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_rels/document.xml.rels" ContentType="application/vnd.openxmlformats-package.relationships+xml"/>
  <Override PartName="/word/settings.xml" ContentType="application/vnd.openxmlformats-officedocument.wordprocessingml.settings+xml"/>
  <Override PartName="/word/media/image1.jpeg" ContentType="image/jpeg"/>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TextBody"/>
        <w:spacing w:before="0" w:after="0"/>
        <w:jc w:val="left"/>
        <w:rPr/>
      </w:pPr>
      <w:bookmarkStart w:id="0" w:name="imax-20230331.htm"/>
      <w:bookmarkStart w:id="1" w:name="ksimax20230331"/>
      <w:bookmarkEnd w:id="0"/>
      <w:bookmarkEnd w:id="1"/>
      <w:r>
        <w:rPr/>
        <w:t> </w:t>
      </w:r>
    </w:p>
    <w:p>
      <w:pPr>
        <w:pStyle w:val="TextBody"/>
        <w:pBdr>
          <w:bottom w:val="double" w:sz="6" w:space="1" w:color="000000"/>
        </w:pBdr>
        <w:spacing w:before="0" w:after="0"/>
        <w:jc w:val="left"/>
        <w:rPr/>
      </w:pPr>
      <w:r>
        <w:rPr/>
        <w:t> </w:t>
      </w:r>
    </w:p>
    <w:p>
      <w:pPr>
        <w:pStyle w:val="TextBody"/>
        <w:spacing w:before="80" w:after="0"/>
        <w:jc w:val="center"/>
        <w:rPr/>
      </w:pPr>
      <w:r>
        <w:rPr/>
        <w:t> </w:t>
      </w:r>
    </w:p>
    <w:p>
      <w:pPr>
        <w:pStyle w:val="TextBody"/>
        <w:spacing w:before="80" w:after="0"/>
        <w:jc w:val="center"/>
        <w:rPr>
          <w:rFonts w:ascii="Times New Roman" w:hAnsi="Times New Roman"/>
          <w:sz w:val="20"/>
        </w:rPr>
      </w:pPr>
      <w:r>
        <w:rPr>
          <w:rFonts w:ascii="Times New Roman;serif" w:hAnsi="Times New Roman;serif"/>
          <w:b/>
          <w:sz w:val="28"/>
        </w:rPr>
        <w:t>UNITED STATES</w:t>
      </w:r>
      <w:r>
        <w:rPr>
          <w:rFonts w:ascii="Times New Roman" w:hAnsi="Times New Roman"/>
          <w:sz w:val="20"/>
        </w:rPr>
        <w:t xml:space="preserve"> </w:t>
      </w:r>
    </w:p>
    <w:p>
      <w:pPr>
        <w:pStyle w:val="TextBody"/>
        <w:spacing w:before="0" w:after="0"/>
        <w:jc w:val="center"/>
        <w:rPr>
          <w:rFonts w:ascii="Times New Roman;serif" w:hAnsi="Times New Roman;serif"/>
          <w:b/>
          <w:sz w:val="28"/>
        </w:rPr>
      </w:pPr>
      <w:r>
        <w:rPr>
          <w:rFonts w:ascii="Times New Roman;serif" w:hAnsi="Times New Roman;serif"/>
          <w:b/>
          <w:sz w:val="28"/>
        </w:rPr>
        <w:t>SECURITIES AND EXCHANGE COMMISSION</w:t>
      </w:r>
    </w:p>
    <w:p>
      <w:pPr>
        <w:pStyle w:val="TextBody"/>
        <w:spacing w:before="0" w:after="0"/>
        <w:jc w:val="center"/>
        <w:rPr>
          <w:rFonts w:ascii="Times New Roman;serif" w:hAnsi="Times New Roman;serif"/>
          <w:b/>
          <w:sz w:val="20"/>
        </w:rPr>
      </w:pPr>
      <w:r>
        <w:rPr>
          <w:rFonts w:ascii="Times New Roman;serif" w:hAnsi="Times New Roman;serif"/>
          <w:b/>
          <w:sz w:val="20"/>
        </w:rPr>
        <w:t>WASHINGTON, D.C. 20549</w:t>
      </w:r>
    </w:p>
    <w:p>
      <w:pPr>
        <w:pStyle w:val="TextBody"/>
        <w:spacing w:before="0" w:after="0"/>
        <w:jc w:val="center"/>
        <w:rPr/>
      </w:pPr>
      <w:r>
        <w:rPr/>
        <w:t> </w:t>
      </w:r>
    </w:p>
    <w:p>
      <w:pPr>
        <w:pStyle w:val="TextBody"/>
        <w:spacing w:before="0" w:after="0"/>
        <w:jc w:val="center"/>
        <w:rPr>
          <w:rFonts w:ascii="Times New Roman;serif" w:hAnsi="Times New Roman;serif"/>
          <w:b/>
          <w:sz w:val="36"/>
        </w:rPr>
      </w:pPr>
      <w:r>
        <w:rPr>
          <w:rFonts w:ascii="Times New Roman;serif" w:hAnsi="Times New Roman;serif"/>
          <w:b/>
          <w:sz w:val="36"/>
        </w:rPr>
        <w:t>Form 10-Q</w:t>
      </w:r>
    </w:p>
    <w:p>
      <w:pPr>
        <w:pStyle w:val="TextBody"/>
        <w:spacing w:before="0" w:after="0"/>
        <w:jc w:val="center"/>
        <w:rPr/>
      </w:pPr>
      <w:r>
        <w:rPr/>
        <w:t> </w:t>
      </w:r>
    </w:p>
    <w:p>
      <w:pPr>
        <w:pStyle w:val="TextBody"/>
        <w:spacing w:before="0" w:after="0"/>
        <w:jc w:val="left"/>
        <w:rPr>
          <w:rFonts w:ascii="Times New Roman;serif" w:hAnsi="Times New Roman;serif"/>
          <w:b/>
          <w:sz w:val="16"/>
        </w:rPr>
      </w:pPr>
      <w:r>
        <w:rPr>
          <w:rFonts w:ascii="Times New Roman;serif" w:hAnsi="Times New Roman;serif"/>
          <w:b/>
          <w:sz w:val="16"/>
        </w:rPr>
        <w:t>(Mark One)</w:t>
      </w:r>
    </w:p>
    <w:p>
      <w:pPr>
        <w:pStyle w:val="TextBody"/>
        <w:spacing w:before="120" w:after="0"/>
        <w:jc w:val="both"/>
        <w:rPr/>
      </w:pPr>
      <w:r>
        <w:rPr/>
        <w:t xml:space="preserve">☒ </w:t>
      </w:r>
      <w:r>
        <w:rPr>
          <w:rFonts w:ascii="Times New Roman;serif" w:hAnsi="Times New Roman;serif"/>
          <w:b/>
          <w:sz w:val="20"/>
        </w:rPr>
        <w:t>QUARTERLY REPORT PURSUANT TO SECTION 13 OR 15(d) OF THE SECURITIES EXCHANGE ACT OF 1934</w:t>
      </w:r>
    </w:p>
    <w:p>
      <w:pPr>
        <w:pStyle w:val="TextBody"/>
        <w:spacing w:before="40" w:after="0"/>
        <w:jc w:val="center"/>
        <w:rPr>
          <w:rFonts w:ascii="Times New Roman;serif" w:hAnsi="Times New Roman;serif"/>
          <w:b/>
          <w:sz w:val="20"/>
        </w:rPr>
      </w:pPr>
      <w:r>
        <w:rPr>
          <w:rFonts w:ascii="Times New Roman;serif" w:hAnsi="Times New Roman;serif"/>
          <w:b/>
          <w:sz w:val="20"/>
        </w:rPr>
        <w:t>For the quarterly period ended March 31, 2023</w:t>
      </w:r>
    </w:p>
    <w:p>
      <w:pPr>
        <w:pStyle w:val="TextBody"/>
        <w:spacing w:before="40" w:after="0"/>
        <w:jc w:val="center"/>
        <w:rPr>
          <w:rFonts w:ascii="Times New Roman;serif" w:hAnsi="Times New Roman;serif"/>
          <w:b/>
          <w:sz w:val="20"/>
        </w:rPr>
      </w:pPr>
      <w:r>
        <w:rPr>
          <w:rFonts w:ascii="Times New Roman;serif" w:hAnsi="Times New Roman;serif"/>
          <w:b/>
          <w:sz w:val="20"/>
        </w:rPr>
        <w:t>OR</w:t>
      </w:r>
    </w:p>
    <w:p>
      <w:pPr>
        <w:pStyle w:val="TextBody"/>
        <w:spacing w:before="40" w:after="0"/>
        <w:jc w:val="both"/>
        <w:rPr/>
      </w:pPr>
      <w:r>
        <w:rPr/>
        <w:t xml:space="preserve">☐ </w:t>
      </w:r>
      <w:r>
        <w:rPr>
          <w:rFonts w:ascii="Times New Roman;serif" w:hAnsi="Times New Roman;serif"/>
          <w:b/>
          <w:sz w:val="20"/>
        </w:rPr>
        <w:t>TRANSITION REPORT PURSUANT TO SECTION 13 OR 15(d) OF THE SECURITIES EXCHANGE ACT OF 1934</w:t>
      </w:r>
    </w:p>
    <w:p>
      <w:pPr>
        <w:pStyle w:val="TextBody"/>
        <w:spacing w:before="40" w:after="0"/>
        <w:jc w:val="center"/>
        <w:rPr>
          <w:rFonts w:ascii="Times New Roman;serif" w:hAnsi="Times New Roman;serif"/>
          <w:b/>
          <w:sz w:val="20"/>
        </w:rPr>
      </w:pPr>
      <w:r>
        <w:rPr>
          <w:rFonts w:ascii="Times New Roman;serif" w:hAnsi="Times New Roman;serif"/>
          <w:b/>
          <w:sz w:val="20"/>
        </w:rPr>
        <w:t>For the transition period from to</w:t>
      </w:r>
    </w:p>
    <w:p>
      <w:pPr>
        <w:pStyle w:val="TextBody"/>
        <w:spacing w:before="40" w:after="0"/>
        <w:jc w:val="center"/>
        <w:rPr>
          <w:rFonts w:ascii="Times New Roman;serif" w:hAnsi="Times New Roman;serif"/>
          <w:b/>
          <w:sz w:val="20"/>
        </w:rPr>
      </w:pPr>
      <w:r>
        <w:rPr>
          <w:rFonts w:ascii="Times New Roman;serif" w:hAnsi="Times New Roman;serif"/>
          <w:b/>
          <w:sz w:val="20"/>
        </w:rPr>
        <w:t>Commission File Number 001-35066</w:t>
      </w:r>
    </w:p>
    <w:p>
      <w:pPr>
        <w:pStyle w:val="TextBody"/>
        <w:spacing w:before="0" w:after="0"/>
        <w:jc w:val="center"/>
        <w:rPr/>
      </w:pPr>
      <w:r>
        <w:rPr/>
        <w:t> </w:t>
      </w:r>
    </w:p>
    <w:p>
      <w:pPr>
        <w:pStyle w:val="TextBody"/>
        <w:spacing w:before="0" w:after="0"/>
        <w:jc w:val="center"/>
        <w:rPr>
          <w:rFonts w:ascii="Times New Roman;serif" w:hAnsi="Times New Roman;serif"/>
          <w:b/>
          <w:sz w:val="48"/>
        </w:rPr>
      </w:pPr>
      <w:r>
        <w:rPr>
          <w:rFonts w:ascii="Times New Roman;serif" w:hAnsi="Times New Roman;serif"/>
          <w:b/>
          <w:sz w:val="48"/>
        </w:rPr>
        <w:t>IMAX Corporation</w:t>
      </w:r>
    </w:p>
    <w:p>
      <w:pPr>
        <w:pStyle w:val="TextBody"/>
        <w:spacing w:before="0" w:after="0"/>
        <w:jc w:val="center"/>
        <w:rPr>
          <w:rFonts w:ascii="Times New Roman;serif" w:hAnsi="Times New Roman;serif"/>
          <w:b w:val="false"/>
          <w:i/>
          <w:sz w:val="20"/>
        </w:rPr>
      </w:pPr>
      <w:r>
        <w:rPr>
          <w:rFonts w:ascii="Times New Roman;serif" w:hAnsi="Times New Roman;serif"/>
          <w:b w:val="false"/>
          <w:i/>
          <w:sz w:val="20"/>
        </w:rPr>
        <w:t>(Exact name of registrant as specified in its charter)</w:t>
      </w:r>
    </w:p>
    <w:p>
      <w:pPr>
        <w:pStyle w:val="TextBody"/>
        <w:spacing w:before="0" w:after="0"/>
        <w:jc w:val="center"/>
        <w:rPr/>
      </w:pPr>
      <w:r>
        <w:rPr/>
        <w:t> </w:t>
      </w:r>
    </w:p>
    <w:p>
      <w:pPr>
        <w:pStyle w:val="TextBody"/>
        <w:spacing w:before="0" w:after="0"/>
        <w:jc w:val="center"/>
        <w:rPr/>
      </w:pPr>
      <w:r>
        <w:rPr/>
        <w:t> </w:t>
      </w:r>
    </w:p>
    <w:tbl>
      <w:tblPr>
        <w:tblW w:w="6437" w:type="dxa"/>
        <w:jc w:val="left"/>
        <w:tblInd w:w="0" w:type="dxa"/>
        <w:tblCellMar>
          <w:top w:w="28" w:type="dxa"/>
          <w:left w:w="28" w:type="dxa"/>
          <w:bottom w:w="28" w:type="dxa"/>
          <w:right w:w="28" w:type="dxa"/>
        </w:tblCellMar>
      </w:tblPr>
      <w:tblGrid>
        <w:gridCol w:w="3481"/>
        <w:gridCol w:w="2956"/>
      </w:tblGrid>
      <w:tr>
        <w:trPr/>
        <w:tc>
          <w:tcPr>
            <w:tcW w:w="3481" w:type="dxa"/>
            <w:tcBorders/>
            <w:shd w:fill="auto" w:val="clear"/>
            <w:vAlign w:val="center"/>
          </w:tcPr>
          <w:p>
            <w:pPr>
              <w:pStyle w:val="TableContents"/>
              <w:spacing w:before="0" w:after="283"/>
              <w:rPr>
                <w:sz w:val="4"/>
                <w:szCs w:val="4"/>
              </w:rPr>
            </w:pPr>
            <w:r>
              <w:rPr>
                <w:sz w:val="4"/>
                <w:szCs w:val="4"/>
              </w:rPr>
            </w:r>
          </w:p>
        </w:tc>
        <w:tc>
          <w:tcPr>
            <w:tcW w:w="2956" w:type="dxa"/>
            <w:tcBorders/>
            <w:shd w:fill="auto" w:val="clear"/>
            <w:vAlign w:val="center"/>
          </w:tcPr>
          <w:p>
            <w:pPr>
              <w:pStyle w:val="TableContents"/>
              <w:spacing w:before="0" w:after="283"/>
              <w:rPr>
                <w:sz w:val="4"/>
                <w:szCs w:val="4"/>
              </w:rPr>
            </w:pPr>
            <w:r>
              <w:rPr>
                <w:sz w:val="4"/>
                <w:szCs w:val="4"/>
              </w:rPr>
            </w:r>
          </w:p>
        </w:tc>
      </w:tr>
      <w:tr>
        <w:trPr/>
        <w:tc>
          <w:tcPr>
            <w:tcW w:w="3481" w:type="dxa"/>
            <w:tcBorders/>
            <w:shd w:fill="auto" w:val="clear"/>
            <w:vAlign w:val="center"/>
          </w:tcPr>
          <w:p>
            <w:pPr>
              <w:pStyle w:val="TableContents"/>
              <w:spacing w:before="0" w:after="0"/>
              <w:ind w:left="0" w:right="0" w:hanging="0"/>
              <w:jc w:val="left"/>
              <w:rPr>
                <w:rFonts w:ascii="Times New Roman;serif" w:hAnsi="Times New Roman;serif"/>
                <w:b/>
                <w:sz w:val="20"/>
              </w:rPr>
            </w:pPr>
            <w:r>
              <w:rPr>
                <w:rFonts w:ascii="Times New Roman;serif" w:hAnsi="Times New Roman;serif"/>
                <w:b/>
                <w:sz w:val="20"/>
              </w:rPr>
              <w:t>Canada</w:t>
            </w:r>
          </w:p>
        </w:tc>
        <w:tc>
          <w:tcPr>
            <w:tcW w:w="2956" w:type="dxa"/>
            <w:tcBorders/>
            <w:shd w:fill="auto" w:val="clear"/>
            <w:vAlign w:val="center"/>
          </w:tcPr>
          <w:p>
            <w:pPr>
              <w:pStyle w:val="TableContents"/>
              <w:spacing w:before="0" w:after="0"/>
              <w:ind w:left="0" w:right="0" w:hanging="0"/>
              <w:jc w:val="left"/>
              <w:rPr>
                <w:rFonts w:ascii="Times New Roman;serif" w:hAnsi="Times New Roman;serif"/>
                <w:b/>
                <w:sz w:val="20"/>
              </w:rPr>
            </w:pPr>
            <w:r>
              <w:rPr>
                <w:rFonts w:ascii="Times New Roman;serif" w:hAnsi="Times New Roman;serif"/>
                <w:b/>
                <w:sz w:val="20"/>
              </w:rPr>
              <w:t>98-0140269</w:t>
            </w:r>
          </w:p>
        </w:tc>
      </w:tr>
      <w:tr>
        <w:trPr/>
        <w:tc>
          <w:tcPr>
            <w:tcW w:w="3481" w:type="dxa"/>
            <w:tcBorders/>
            <w:shd w:fill="auto" w:val="clear"/>
            <w:vAlign w:val="center"/>
          </w:tcPr>
          <w:p>
            <w:pPr>
              <w:pStyle w:val="TableContents"/>
              <w:spacing w:before="0" w:after="0"/>
              <w:ind w:left="0" w:right="0" w:hanging="0"/>
              <w:jc w:val="left"/>
              <w:rPr>
                <w:rFonts w:ascii="Times New Roman;serif" w:hAnsi="Times New Roman;serif"/>
                <w:b w:val="false"/>
                <w:i/>
                <w:sz w:val="16"/>
              </w:rPr>
            </w:pPr>
            <w:r>
              <w:rPr>
                <w:rFonts w:ascii="Times New Roman;serif" w:hAnsi="Times New Roman;serif"/>
                <w:b w:val="false"/>
                <w:i/>
                <w:sz w:val="16"/>
              </w:rPr>
              <w:t>(State or other jurisdiction of</w:t>
            </w:r>
          </w:p>
          <w:p>
            <w:pPr>
              <w:pStyle w:val="TableContents"/>
              <w:spacing w:before="0" w:after="0"/>
              <w:ind w:left="0" w:right="0" w:hanging="0"/>
              <w:jc w:val="left"/>
              <w:rPr>
                <w:rFonts w:ascii="Times New Roman;serif" w:hAnsi="Times New Roman;serif"/>
                <w:b w:val="false"/>
                <w:i/>
                <w:sz w:val="16"/>
              </w:rPr>
            </w:pPr>
            <w:r>
              <w:rPr>
                <w:rFonts w:ascii="Times New Roman;serif" w:hAnsi="Times New Roman;serif"/>
                <w:b w:val="false"/>
                <w:i/>
                <w:sz w:val="16"/>
              </w:rPr>
              <w:t>incorporation or organization)</w:t>
            </w:r>
          </w:p>
        </w:tc>
        <w:tc>
          <w:tcPr>
            <w:tcW w:w="2956" w:type="dxa"/>
            <w:tcBorders/>
            <w:shd w:fill="auto" w:val="clear"/>
            <w:vAlign w:val="center"/>
          </w:tcPr>
          <w:p>
            <w:pPr>
              <w:pStyle w:val="TableContents"/>
              <w:spacing w:before="0" w:after="0"/>
              <w:ind w:left="0" w:right="0" w:hanging="0"/>
              <w:jc w:val="left"/>
              <w:rPr>
                <w:rFonts w:ascii="Times New Roman;serif" w:hAnsi="Times New Roman;serif"/>
                <w:b w:val="false"/>
                <w:i/>
                <w:sz w:val="16"/>
              </w:rPr>
            </w:pPr>
            <w:r>
              <w:rPr>
                <w:rFonts w:ascii="Times New Roman;serif" w:hAnsi="Times New Roman;serif"/>
                <w:b w:val="false"/>
                <w:i/>
                <w:sz w:val="16"/>
              </w:rPr>
              <w:t>(I.R.S. Employer</w:t>
            </w:r>
          </w:p>
          <w:p>
            <w:pPr>
              <w:pStyle w:val="TableContents"/>
              <w:spacing w:before="0" w:after="0"/>
              <w:ind w:left="0" w:right="0" w:hanging="0"/>
              <w:jc w:val="left"/>
              <w:rPr>
                <w:rFonts w:ascii="Times New Roman;serif" w:hAnsi="Times New Roman;serif"/>
                <w:b w:val="false"/>
                <w:i/>
                <w:sz w:val="16"/>
              </w:rPr>
            </w:pPr>
            <w:r>
              <w:rPr>
                <w:rFonts w:ascii="Times New Roman;serif" w:hAnsi="Times New Roman;serif"/>
                <w:b w:val="false"/>
                <w:i/>
                <w:sz w:val="16"/>
              </w:rPr>
              <w:t>Identification Number)</w:t>
            </w:r>
          </w:p>
        </w:tc>
      </w:tr>
      <w:tr>
        <w:trPr/>
        <w:tc>
          <w:tcPr>
            <w:tcW w:w="3481" w:type="dxa"/>
            <w:tcBorders/>
            <w:shd w:fill="auto" w:val="clear"/>
            <w:vAlign w:val="center"/>
          </w:tcPr>
          <w:p>
            <w:pPr>
              <w:pStyle w:val="TableContents"/>
              <w:spacing w:before="0" w:after="0"/>
              <w:ind w:left="0" w:right="0" w:hanging="0"/>
              <w:jc w:val="center"/>
              <w:rPr/>
            </w:pPr>
            <w:r>
              <w:rPr/>
              <w:t> </w:t>
            </w:r>
          </w:p>
        </w:tc>
        <w:tc>
          <w:tcPr>
            <w:tcW w:w="2956" w:type="dxa"/>
            <w:tcBorders/>
            <w:shd w:fill="auto" w:val="clear"/>
            <w:vAlign w:val="center"/>
          </w:tcPr>
          <w:p>
            <w:pPr>
              <w:pStyle w:val="TableContents"/>
              <w:spacing w:before="0" w:after="0"/>
              <w:ind w:left="0" w:right="0" w:hanging="0"/>
              <w:jc w:val="center"/>
              <w:rPr/>
            </w:pPr>
            <w:r>
              <w:rPr/>
              <w:t> </w:t>
            </w:r>
          </w:p>
        </w:tc>
      </w:tr>
      <w:tr>
        <w:trPr/>
        <w:tc>
          <w:tcPr>
            <w:tcW w:w="3481" w:type="dxa"/>
            <w:tcBorders/>
            <w:shd w:fill="auto" w:val="clear"/>
            <w:vAlign w:val="center"/>
          </w:tcPr>
          <w:p>
            <w:pPr>
              <w:pStyle w:val="TableContents"/>
              <w:spacing w:before="0" w:after="0"/>
              <w:ind w:left="0" w:right="0" w:hanging="0"/>
              <w:jc w:val="left"/>
              <w:rPr>
                <w:rFonts w:ascii="Times New Roman;serif" w:hAnsi="Times New Roman;serif"/>
                <w:b/>
                <w:sz w:val="20"/>
              </w:rPr>
            </w:pPr>
            <w:r>
              <w:rPr>
                <w:rFonts w:ascii="Times New Roman;serif" w:hAnsi="Times New Roman;serif"/>
                <w:b/>
                <w:sz w:val="20"/>
              </w:rPr>
              <w:t>2525 Speakman Drive,</w:t>
            </w:r>
          </w:p>
          <w:p>
            <w:pPr>
              <w:pStyle w:val="TableContents"/>
              <w:spacing w:before="0" w:after="0"/>
              <w:ind w:left="0" w:right="0" w:hanging="0"/>
              <w:jc w:val="left"/>
              <w:rPr>
                <w:rFonts w:ascii="Times New Roman" w:hAnsi="Times New Roman"/>
                <w:sz w:val="20"/>
              </w:rPr>
            </w:pPr>
            <w:r>
              <w:rPr>
                <w:rFonts w:ascii="Times New Roman;serif" w:hAnsi="Times New Roman;serif"/>
                <w:b/>
                <w:sz w:val="20"/>
              </w:rPr>
              <w:t>Mississauga, Ontario, Canada</w:t>
            </w:r>
            <w:r>
              <w:rPr>
                <w:rFonts w:ascii="Times New Roman" w:hAnsi="Times New Roman"/>
                <w:sz w:val="20"/>
              </w:rPr>
              <w:t xml:space="preserve"> </w:t>
            </w:r>
            <w:r>
              <w:rPr>
                <w:rFonts w:ascii="Times New Roman;serif" w:hAnsi="Times New Roman;serif"/>
                <w:b/>
                <w:sz w:val="20"/>
              </w:rPr>
              <w:t>L5K 1B1</w:t>
            </w:r>
          </w:p>
          <w:p>
            <w:pPr>
              <w:pStyle w:val="TableContents"/>
              <w:spacing w:before="0" w:after="0"/>
              <w:ind w:left="0" w:right="0" w:hanging="0"/>
              <w:jc w:val="left"/>
              <w:rPr>
                <w:rFonts w:ascii="Times New Roman" w:hAnsi="Times New Roman"/>
                <w:sz w:val="20"/>
              </w:rPr>
            </w:pPr>
            <w:r>
              <w:rPr>
                <w:rFonts w:ascii="Times New Roman;serif" w:hAnsi="Times New Roman;serif"/>
                <w:b/>
                <w:sz w:val="20"/>
              </w:rPr>
              <w:t>(905)</w:t>
            </w:r>
            <w:r>
              <w:rPr>
                <w:rFonts w:ascii="Times New Roman" w:hAnsi="Times New Roman"/>
                <w:sz w:val="20"/>
              </w:rPr>
              <w:t xml:space="preserve"> </w:t>
            </w:r>
            <w:r>
              <w:rPr>
                <w:rFonts w:ascii="Times New Roman;serif" w:hAnsi="Times New Roman;serif"/>
                <w:b/>
                <w:sz w:val="20"/>
              </w:rPr>
              <w:t>403-6500</w:t>
            </w:r>
          </w:p>
        </w:tc>
        <w:tc>
          <w:tcPr>
            <w:tcW w:w="2956" w:type="dxa"/>
            <w:tcBorders/>
            <w:shd w:fill="auto" w:val="clear"/>
            <w:vAlign w:val="center"/>
          </w:tcPr>
          <w:p>
            <w:pPr>
              <w:pStyle w:val="TableContents"/>
              <w:spacing w:before="0" w:after="0"/>
              <w:ind w:left="0" w:right="0" w:hanging="0"/>
              <w:jc w:val="left"/>
              <w:rPr>
                <w:rFonts w:ascii="Times New Roman;serif" w:hAnsi="Times New Roman;serif"/>
                <w:b/>
                <w:sz w:val="20"/>
              </w:rPr>
            </w:pPr>
            <w:r>
              <w:rPr>
                <w:rFonts w:ascii="Times New Roman;serif" w:hAnsi="Times New Roman;serif"/>
                <w:b/>
                <w:sz w:val="20"/>
              </w:rPr>
              <w:t>902 Broadway, Floor 20</w:t>
            </w:r>
          </w:p>
          <w:p>
            <w:pPr>
              <w:pStyle w:val="TableContents"/>
              <w:spacing w:before="0" w:after="0"/>
              <w:ind w:left="0" w:right="0" w:hanging="0"/>
              <w:jc w:val="left"/>
              <w:rPr>
                <w:rFonts w:ascii="Times New Roman" w:hAnsi="Times New Roman"/>
                <w:sz w:val="20"/>
              </w:rPr>
            </w:pPr>
            <w:r>
              <w:rPr>
                <w:rFonts w:ascii="Times New Roman;serif" w:hAnsi="Times New Roman;serif"/>
                <w:b/>
                <w:sz w:val="20"/>
              </w:rPr>
              <w:t>New York, New York, USA</w:t>
            </w:r>
            <w:r>
              <w:rPr>
                <w:rFonts w:ascii="Times New Roman" w:hAnsi="Times New Roman"/>
                <w:sz w:val="20"/>
              </w:rPr>
              <w:t xml:space="preserve"> </w:t>
            </w:r>
            <w:r>
              <w:rPr>
                <w:rFonts w:ascii="Times New Roman;serif" w:hAnsi="Times New Roman;serif"/>
                <w:b/>
                <w:sz w:val="20"/>
              </w:rPr>
              <w:t>10010</w:t>
            </w:r>
          </w:p>
          <w:p>
            <w:pPr>
              <w:pStyle w:val="TableContents"/>
              <w:spacing w:before="0" w:after="0"/>
              <w:ind w:left="0" w:right="0" w:hanging="0"/>
              <w:jc w:val="left"/>
              <w:rPr>
                <w:rFonts w:ascii="Times New Roman" w:hAnsi="Times New Roman"/>
                <w:sz w:val="20"/>
              </w:rPr>
            </w:pPr>
            <w:r>
              <w:rPr>
                <w:rFonts w:ascii="Times New Roman;serif" w:hAnsi="Times New Roman;serif"/>
                <w:b/>
                <w:sz w:val="20"/>
              </w:rPr>
              <w:t>(212)</w:t>
            </w:r>
            <w:r>
              <w:rPr>
                <w:rFonts w:ascii="Times New Roman" w:hAnsi="Times New Roman"/>
                <w:sz w:val="20"/>
              </w:rPr>
              <w:t xml:space="preserve"> </w:t>
            </w:r>
            <w:r>
              <w:rPr>
                <w:rFonts w:ascii="Times New Roman;serif" w:hAnsi="Times New Roman;serif"/>
                <w:b/>
                <w:sz w:val="20"/>
              </w:rPr>
              <w:t>821-0100</w:t>
            </w:r>
          </w:p>
        </w:tc>
      </w:tr>
    </w:tbl>
    <w:p>
      <w:pPr>
        <w:pStyle w:val="TextBody"/>
        <w:spacing w:before="0" w:after="0"/>
        <w:jc w:val="center"/>
        <w:rPr/>
      </w:pPr>
      <w:r>
        <w:rPr/>
        <w:t> </w:t>
      </w:r>
    </w:p>
    <w:p>
      <w:pPr>
        <w:pStyle w:val="TextBody"/>
        <w:spacing w:before="0" w:after="0"/>
        <w:jc w:val="center"/>
        <w:rPr>
          <w:rFonts w:ascii="Times New Roman;serif" w:hAnsi="Times New Roman;serif"/>
          <w:b w:val="false"/>
          <w:i/>
          <w:sz w:val="20"/>
        </w:rPr>
      </w:pPr>
      <w:r>
        <w:rPr>
          <w:rFonts w:ascii="Times New Roman;serif" w:hAnsi="Times New Roman;serif"/>
          <w:b w:val="false"/>
          <w:i/>
          <w:sz w:val="20"/>
        </w:rPr>
        <w:t>(Address of principal executive offices, zip code, telephone numbers)</w:t>
      </w:r>
    </w:p>
    <w:p>
      <w:pPr>
        <w:pStyle w:val="TextBody"/>
        <w:spacing w:before="80" w:after="0"/>
        <w:jc w:val="center"/>
        <w:rPr>
          <w:rFonts w:ascii="Times New Roman;serif" w:hAnsi="Times New Roman;serif"/>
          <w:b/>
          <w:sz w:val="20"/>
        </w:rPr>
      </w:pPr>
      <w:r>
        <w:rPr>
          <w:rFonts w:ascii="Times New Roman;serif" w:hAnsi="Times New Roman;serif"/>
          <w:b/>
          <w:sz w:val="20"/>
        </w:rPr>
        <w:t>Securities registered pursuant to Section 12(b) of the Act:</w:t>
      </w:r>
    </w:p>
    <w:p>
      <w:pPr>
        <w:pStyle w:val="TextBody"/>
        <w:spacing w:before="0" w:after="0"/>
        <w:jc w:val="center"/>
        <w:rPr/>
      </w:pPr>
      <w:r>
        <w:rPr/>
        <w:t> </w:t>
      </w:r>
    </w:p>
    <w:tbl>
      <w:tblPr>
        <w:tblW w:w="7735" w:type="dxa"/>
        <w:jc w:val="left"/>
        <w:tblInd w:w="0" w:type="dxa"/>
        <w:tblCellMar>
          <w:top w:w="28" w:type="dxa"/>
          <w:left w:w="28" w:type="dxa"/>
          <w:bottom w:w="28" w:type="dxa"/>
          <w:right w:w="28" w:type="dxa"/>
        </w:tblCellMar>
      </w:tblPr>
      <w:tblGrid>
        <w:gridCol w:w="2671"/>
        <w:gridCol w:w="146"/>
        <w:gridCol w:w="1456"/>
        <w:gridCol w:w="146"/>
        <w:gridCol w:w="3316"/>
      </w:tblGrid>
      <w:tr>
        <w:trPr/>
        <w:tc>
          <w:tcPr>
            <w:tcW w:w="2671"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5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3316" w:type="dxa"/>
            <w:tcBorders/>
            <w:shd w:fill="auto" w:val="clear"/>
            <w:vAlign w:val="center"/>
          </w:tcPr>
          <w:p>
            <w:pPr>
              <w:pStyle w:val="TableContents"/>
              <w:spacing w:before="0" w:after="283"/>
              <w:rPr>
                <w:sz w:val="4"/>
                <w:szCs w:val="4"/>
              </w:rPr>
            </w:pPr>
            <w:r>
              <w:rPr>
                <w:sz w:val="4"/>
                <w:szCs w:val="4"/>
              </w:rPr>
            </w:r>
          </w:p>
        </w:tc>
      </w:tr>
      <w:tr>
        <w:trPr/>
        <w:tc>
          <w:tcPr>
            <w:tcW w:w="267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sz w:val="16"/>
              </w:rPr>
            </w:pPr>
            <w:r>
              <w:rPr>
                <w:rFonts w:ascii="Times New Roman;serif" w:hAnsi="Times New Roman;serif"/>
                <w:b/>
                <w:sz w:val="16"/>
              </w:rPr>
              <w:t>Title of each class</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5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sz w:val="16"/>
              </w:rPr>
            </w:pPr>
            <w:r>
              <w:rPr>
                <w:rFonts w:ascii="Times New Roman;serif" w:hAnsi="Times New Roman;serif"/>
                <w:b/>
                <w:sz w:val="16"/>
              </w:rPr>
              <w:t>Trading Symbol(s)</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331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sz w:val="16"/>
              </w:rPr>
            </w:pPr>
            <w:r>
              <w:rPr>
                <w:rFonts w:ascii="Times New Roman;serif" w:hAnsi="Times New Roman;serif"/>
                <w:b/>
                <w:sz w:val="16"/>
              </w:rPr>
              <w:t>Name of each exchange on which registered</w:t>
            </w:r>
          </w:p>
        </w:tc>
      </w:tr>
      <w:tr>
        <w:trPr/>
        <w:tc>
          <w:tcPr>
            <w:tcW w:w="2671" w:type="dxa"/>
            <w:tcBorders/>
            <w:shd w:fill="auto" w:val="clear"/>
            <w:vAlign w:val="center"/>
          </w:tcPr>
          <w:p>
            <w:pPr>
              <w:pStyle w:val="TableContents"/>
              <w:spacing w:before="0" w:after="0"/>
              <w:ind w:left="0" w:right="0" w:hanging="0"/>
              <w:jc w:val="left"/>
              <w:rPr>
                <w:rFonts w:ascii="Times New Roman;serif" w:hAnsi="Times New Roman;serif"/>
                <w:b/>
                <w:sz w:val="20"/>
              </w:rPr>
            </w:pPr>
            <w:r>
              <w:rPr>
                <w:rFonts w:ascii="Times New Roman;serif" w:hAnsi="Times New Roman;serif"/>
                <w:b/>
                <w:sz w:val="20"/>
              </w:rPr>
              <w:t>Common Shares, no par value</w:t>
            </w:r>
          </w:p>
        </w:tc>
        <w:tc>
          <w:tcPr>
            <w:tcW w:w="146" w:type="dxa"/>
            <w:tcBorders/>
            <w:shd w:fill="auto" w:val="clear"/>
            <w:vAlign w:val="center"/>
          </w:tcPr>
          <w:p>
            <w:pPr>
              <w:pStyle w:val="TableContents"/>
              <w:spacing w:before="0" w:after="0"/>
              <w:ind w:left="0" w:right="0" w:hanging="0"/>
              <w:jc w:val="left"/>
              <w:rPr/>
            </w:pPr>
            <w:r>
              <w:rPr/>
              <w:t> </w:t>
            </w:r>
          </w:p>
        </w:tc>
        <w:tc>
          <w:tcPr>
            <w:tcW w:w="1456" w:type="dxa"/>
            <w:tcBorders/>
            <w:shd w:fill="auto" w:val="clear"/>
            <w:vAlign w:val="center"/>
          </w:tcPr>
          <w:p>
            <w:pPr>
              <w:pStyle w:val="TableContents"/>
              <w:spacing w:before="0" w:after="0"/>
              <w:ind w:left="0" w:right="0" w:hanging="0"/>
              <w:jc w:val="left"/>
              <w:rPr>
                <w:rFonts w:ascii="Times New Roman;serif" w:hAnsi="Times New Roman;serif"/>
                <w:b/>
                <w:sz w:val="20"/>
              </w:rPr>
            </w:pPr>
            <w:r>
              <w:rPr>
                <w:rFonts w:ascii="Times New Roman;serif" w:hAnsi="Times New Roman;serif"/>
                <w:b/>
                <w:sz w:val="20"/>
              </w:rPr>
              <w:t>IMAX</w:t>
            </w:r>
          </w:p>
        </w:tc>
        <w:tc>
          <w:tcPr>
            <w:tcW w:w="146" w:type="dxa"/>
            <w:tcBorders/>
            <w:shd w:fill="auto" w:val="clear"/>
            <w:vAlign w:val="center"/>
          </w:tcPr>
          <w:p>
            <w:pPr>
              <w:pStyle w:val="TableContents"/>
              <w:spacing w:before="0" w:after="0"/>
              <w:ind w:left="0" w:right="0" w:hanging="0"/>
              <w:jc w:val="left"/>
              <w:rPr/>
            </w:pPr>
            <w:r>
              <w:rPr/>
              <w:t> </w:t>
            </w:r>
          </w:p>
        </w:tc>
        <w:tc>
          <w:tcPr>
            <w:tcW w:w="3316" w:type="dxa"/>
            <w:tcBorders/>
            <w:shd w:fill="auto" w:val="clear"/>
            <w:vAlign w:val="center"/>
          </w:tcPr>
          <w:p>
            <w:pPr>
              <w:pStyle w:val="TableContents"/>
              <w:spacing w:before="0" w:after="0"/>
              <w:ind w:left="0" w:right="0" w:hanging="0"/>
              <w:jc w:val="left"/>
              <w:rPr>
                <w:rFonts w:ascii="Times New Roman;serif" w:hAnsi="Times New Roman;serif"/>
                <w:b/>
                <w:sz w:val="20"/>
              </w:rPr>
            </w:pPr>
            <w:r>
              <w:rPr>
                <w:rFonts w:ascii="Times New Roman;serif" w:hAnsi="Times New Roman;serif"/>
                <w:b/>
                <w:sz w:val="20"/>
              </w:rPr>
              <w:t>The New York Stock Exchange</w:t>
            </w:r>
          </w:p>
        </w:tc>
      </w:tr>
    </w:tbl>
    <w:p>
      <w:pPr>
        <w:pStyle w:val="TextBody"/>
        <w:spacing w:before="0" w:after="0"/>
        <w:jc w:val="left"/>
        <w:rPr/>
      </w:pPr>
      <w:r>
        <w:rPr/>
        <w:t> </w:t>
      </w:r>
    </w:p>
    <w:p>
      <w:pPr>
        <w:pStyle w:val="TextBody"/>
        <w:spacing w:before="0" w:after="0"/>
        <w:jc w:val="center"/>
        <w:rPr/>
      </w:pPr>
      <w:r>
        <w:rPr/>
        <w:t> </w:t>
      </w:r>
    </w:p>
    <w:p>
      <w:pPr>
        <w:pStyle w:val="TextBody"/>
        <w:spacing w:before="0" w:after="0"/>
        <w:jc w:val="both"/>
        <w:rPr>
          <w:rFonts w:ascii="Times New Roman" w:hAnsi="Times New Roman"/>
          <w:sz w:val="20"/>
        </w:rPr>
      </w:pPr>
      <w:r>
        <w:rPr>
          <w:rFonts w:ascii="Times New Roman;serif" w:hAnsi="Times New Roman;serif"/>
          <w:b w:val="false"/>
          <w:sz w:val="20"/>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w:t>
      </w:r>
      <w:r>
        <w:rPr>
          <w:rFonts w:ascii="Times New Roman" w:hAnsi="Times New Roman"/>
          <w:sz w:val="20"/>
        </w:rPr>
        <w:t xml:space="preserve"> ☒ </w:t>
      </w:r>
      <w:r>
        <w:rPr>
          <w:rFonts w:ascii="Times New Roman;serif" w:hAnsi="Times New Roman;serif"/>
          <w:b w:val="false"/>
          <w:sz w:val="20"/>
        </w:rPr>
        <w:t>No ☐</w:t>
      </w:r>
    </w:p>
    <w:p>
      <w:pPr>
        <w:pStyle w:val="TextBody"/>
        <w:spacing w:before="80" w:after="0"/>
        <w:jc w:val="both"/>
        <w:rPr>
          <w:rFonts w:ascii="Times New Roman" w:hAnsi="Times New Roman"/>
          <w:sz w:val="20"/>
        </w:rPr>
      </w:pPr>
      <w:r>
        <w:rPr>
          <w:rFonts w:ascii="Times New Roman;serif" w:hAnsi="Times New Roman;serif"/>
          <w:b w:val="false"/>
          <w:sz w:val="20"/>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w:t>
      </w:r>
      <w:r>
        <w:rPr>
          <w:rFonts w:ascii="Times New Roman" w:hAnsi="Times New Roman"/>
          <w:sz w:val="20"/>
        </w:rPr>
        <w:t xml:space="preserve"> ☒ </w:t>
      </w:r>
      <w:r>
        <w:rPr>
          <w:rFonts w:ascii="Times New Roman;serif" w:hAnsi="Times New Roman;serif"/>
          <w:b w:val="false"/>
          <w:sz w:val="20"/>
        </w:rPr>
        <w:t>No ☐</w:t>
      </w:r>
    </w:p>
    <w:p>
      <w:pPr>
        <w:pStyle w:val="TextBody"/>
        <w:spacing w:before="80" w:after="0"/>
        <w:jc w:val="both"/>
        <w:rPr>
          <w:rFonts w:ascii="Times New Roman" w:hAnsi="Times New Roman"/>
          <w:sz w:val="20"/>
        </w:rPr>
      </w:pPr>
      <w:r>
        <w:rPr>
          <w:rFonts w:ascii="Times New Roman;serif" w:hAnsi="Times New Roman;serif"/>
          <w:b w:val="false"/>
          <w:sz w:val="20"/>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r>
        <w:rPr>
          <w:rFonts w:ascii="Times New Roman" w:hAnsi="Times New Roman"/>
          <w:sz w:val="20"/>
        </w:rPr>
        <w:t xml:space="preserve"> </w:t>
      </w:r>
    </w:p>
    <w:p>
      <w:pPr>
        <w:pStyle w:val="TextBody"/>
        <w:spacing w:before="0" w:after="0"/>
        <w:jc w:val="center"/>
        <w:rPr/>
      </w:pPr>
      <w:r>
        <w:rPr/>
        <w:t> </w:t>
      </w:r>
    </w:p>
    <w:tbl>
      <w:tblPr>
        <w:tblW w:w="5055" w:type="dxa"/>
        <w:jc w:val="left"/>
        <w:tblInd w:w="0" w:type="dxa"/>
        <w:tblCellMar>
          <w:top w:w="28" w:type="dxa"/>
          <w:left w:w="28" w:type="dxa"/>
          <w:bottom w:w="28" w:type="dxa"/>
          <w:right w:w="28" w:type="dxa"/>
        </w:tblCellMar>
      </w:tblPr>
      <w:tblGrid>
        <w:gridCol w:w="1921"/>
        <w:gridCol w:w="316"/>
        <w:gridCol w:w="146"/>
        <w:gridCol w:w="2311"/>
        <w:gridCol w:w="361"/>
      </w:tblGrid>
      <w:tr>
        <w:trPr/>
        <w:tc>
          <w:tcPr>
            <w:tcW w:w="1921" w:type="dxa"/>
            <w:tcBorders/>
            <w:shd w:fill="auto" w:val="clear"/>
            <w:vAlign w:val="center"/>
          </w:tcPr>
          <w:p>
            <w:pPr>
              <w:pStyle w:val="TableContents"/>
              <w:spacing w:before="0" w:after="283"/>
              <w:rPr>
                <w:sz w:val="4"/>
                <w:szCs w:val="4"/>
              </w:rPr>
            </w:pPr>
            <w:r>
              <w:rPr>
                <w:sz w:val="4"/>
                <w:szCs w:val="4"/>
              </w:rPr>
            </w:r>
          </w:p>
        </w:tc>
        <w:tc>
          <w:tcPr>
            <w:tcW w:w="31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311" w:type="dxa"/>
            <w:tcBorders/>
            <w:shd w:fill="auto" w:val="clear"/>
            <w:vAlign w:val="center"/>
          </w:tcPr>
          <w:p>
            <w:pPr>
              <w:pStyle w:val="TableContents"/>
              <w:spacing w:before="0" w:after="283"/>
              <w:rPr>
                <w:sz w:val="4"/>
                <w:szCs w:val="4"/>
              </w:rPr>
            </w:pPr>
            <w:r>
              <w:rPr>
                <w:sz w:val="4"/>
                <w:szCs w:val="4"/>
              </w:rPr>
            </w:r>
          </w:p>
        </w:tc>
        <w:tc>
          <w:tcPr>
            <w:tcW w:w="361" w:type="dxa"/>
            <w:tcBorders/>
            <w:shd w:fill="auto" w:val="clear"/>
            <w:vAlign w:val="center"/>
          </w:tcPr>
          <w:p>
            <w:pPr>
              <w:pStyle w:val="TableContents"/>
              <w:spacing w:before="0" w:after="283"/>
              <w:rPr>
                <w:sz w:val="4"/>
                <w:szCs w:val="4"/>
              </w:rPr>
            </w:pPr>
            <w:r>
              <w:rPr>
                <w:sz w:val="4"/>
                <w:szCs w:val="4"/>
              </w:rPr>
            </w:r>
          </w:p>
        </w:tc>
      </w:tr>
      <w:tr>
        <w:trPr/>
        <w:tc>
          <w:tcPr>
            <w:tcW w:w="192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Large accelerated filer</w:t>
            </w:r>
          </w:p>
        </w:tc>
        <w:tc>
          <w:tcPr>
            <w:tcW w:w="316" w:type="dxa"/>
            <w:tcBorders/>
            <w:shd w:fill="auto" w:val="clear"/>
            <w:vAlign w:val="center"/>
          </w:tcPr>
          <w:p>
            <w:pPr>
              <w:pStyle w:val="TableContents"/>
              <w:spacing w:before="0" w:after="0"/>
              <w:ind w:left="0" w:right="0" w:hanging="0"/>
              <w:jc w:val="center"/>
              <w:rPr/>
            </w:pPr>
            <w:r>
              <w:rPr/>
              <w:t>☒</w:t>
            </w:r>
          </w:p>
        </w:tc>
        <w:tc>
          <w:tcPr>
            <w:tcW w:w="146" w:type="dxa"/>
            <w:tcBorders/>
            <w:shd w:fill="auto" w:val="clear"/>
            <w:vAlign w:val="center"/>
          </w:tcPr>
          <w:p>
            <w:pPr>
              <w:pStyle w:val="TableContents"/>
              <w:spacing w:before="0" w:after="0"/>
              <w:ind w:left="0" w:right="0" w:hanging="0"/>
              <w:jc w:val="left"/>
              <w:rPr/>
            </w:pPr>
            <w:r>
              <w:rPr/>
              <w:t> </w:t>
            </w:r>
          </w:p>
        </w:tc>
        <w:tc>
          <w:tcPr>
            <w:tcW w:w="231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Accelerated filer</w:t>
            </w:r>
          </w:p>
        </w:tc>
        <w:tc>
          <w:tcPr>
            <w:tcW w:w="361" w:type="dxa"/>
            <w:tcBorders/>
            <w:shd w:fill="auto" w:val="clear"/>
            <w:vAlign w:val="center"/>
          </w:tcPr>
          <w:p>
            <w:pPr>
              <w:pStyle w:val="TableContents"/>
              <w:spacing w:before="0" w:after="0"/>
              <w:ind w:left="0" w:right="0" w:hanging="0"/>
              <w:jc w:val="center"/>
              <w:rPr/>
            </w:pPr>
            <w:r>
              <w:rPr/>
              <w:t>☐</w:t>
            </w:r>
          </w:p>
        </w:tc>
      </w:tr>
      <w:tr>
        <w:trPr/>
        <w:tc>
          <w:tcPr>
            <w:tcW w:w="192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Non-accelerated filer</w:t>
            </w:r>
          </w:p>
        </w:tc>
        <w:tc>
          <w:tcPr>
            <w:tcW w:w="316" w:type="dxa"/>
            <w:tcBorders/>
            <w:shd w:fill="auto" w:val="clear"/>
            <w:vAlign w:val="center"/>
          </w:tcPr>
          <w:p>
            <w:pPr>
              <w:pStyle w:val="TableContents"/>
              <w:spacing w:before="0" w:after="0"/>
              <w:ind w:left="0" w:right="0" w:hanging="0"/>
              <w:jc w:val="center"/>
              <w:rPr/>
            </w:pPr>
            <w:r>
              <w:rPr/>
              <w:t>☐</w:t>
            </w:r>
          </w:p>
        </w:tc>
        <w:tc>
          <w:tcPr>
            <w:tcW w:w="146" w:type="dxa"/>
            <w:tcBorders/>
            <w:shd w:fill="auto" w:val="clear"/>
            <w:vAlign w:val="center"/>
          </w:tcPr>
          <w:p>
            <w:pPr>
              <w:pStyle w:val="TableContents"/>
              <w:spacing w:before="0" w:after="0"/>
              <w:ind w:left="0" w:right="0" w:hanging="0"/>
              <w:jc w:val="left"/>
              <w:rPr/>
            </w:pPr>
            <w:r>
              <w:rPr/>
              <w:t> </w:t>
            </w:r>
          </w:p>
        </w:tc>
        <w:tc>
          <w:tcPr>
            <w:tcW w:w="231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Smaller reporting company</w:t>
            </w:r>
          </w:p>
        </w:tc>
        <w:tc>
          <w:tcPr>
            <w:tcW w:w="361" w:type="dxa"/>
            <w:tcBorders/>
            <w:shd w:fill="auto" w:val="clear"/>
            <w:vAlign w:val="center"/>
          </w:tcPr>
          <w:p>
            <w:pPr>
              <w:pStyle w:val="TableContents"/>
              <w:spacing w:before="0" w:after="0"/>
              <w:ind w:left="0" w:right="0" w:hanging="0"/>
              <w:jc w:val="center"/>
              <w:rPr/>
            </w:pPr>
            <w:r>
              <w:rPr/>
              <w:t>☐</w:t>
            </w:r>
          </w:p>
        </w:tc>
      </w:tr>
      <w:tr>
        <w:trPr/>
        <w:tc>
          <w:tcPr>
            <w:tcW w:w="1921" w:type="dxa"/>
            <w:tcBorders/>
            <w:shd w:fill="auto" w:val="clear"/>
            <w:vAlign w:val="center"/>
          </w:tcPr>
          <w:p>
            <w:pPr>
              <w:pStyle w:val="TableContents"/>
              <w:spacing w:before="0" w:after="0"/>
              <w:ind w:left="0" w:right="0" w:hanging="0"/>
              <w:jc w:val="left"/>
              <w:rPr/>
            </w:pPr>
            <w:r>
              <w:rPr/>
              <w:t> </w:t>
            </w:r>
          </w:p>
        </w:tc>
        <w:tc>
          <w:tcPr>
            <w:tcW w:w="31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31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Emerging growth company</w:t>
            </w:r>
          </w:p>
        </w:tc>
        <w:tc>
          <w:tcPr>
            <w:tcW w:w="361" w:type="dxa"/>
            <w:tcBorders/>
            <w:shd w:fill="auto" w:val="clear"/>
            <w:vAlign w:val="center"/>
          </w:tcPr>
          <w:p>
            <w:pPr>
              <w:pStyle w:val="TableContents"/>
              <w:spacing w:before="0" w:after="0"/>
              <w:ind w:left="0" w:right="0" w:hanging="0"/>
              <w:jc w:val="center"/>
              <w:rPr/>
            </w:pPr>
            <w:r>
              <w:rPr/>
              <w:t>☐</w:t>
            </w:r>
          </w:p>
        </w:tc>
      </w:tr>
    </w:tbl>
    <w:p>
      <w:pPr>
        <w:pStyle w:val="TextBody"/>
        <w:spacing w:before="0" w:after="0"/>
        <w:jc w:val="center"/>
        <w:rPr/>
      </w:pPr>
      <w:r>
        <w:rPr/>
        <w:t> </w:t>
      </w:r>
    </w:p>
    <w:p>
      <w:pPr>
        <w:pStyle w:val="TextBody"/>
        <w:spacing w:before="0" w:after="0"/>
        <w:jc w:val="both"/>
        <w:rPr>
          <w:rFonts w:ascii="Times New Roman;serif" w:hAnsi="Times New Roman;serif"/>
          <w:b w:val="false"/>
          <w:sz w:val="20"/>
        </w:rPr>
      </w:pPr>
      <w:r>
        <w:rPr>
          <w:rFonts w:ascii="Times New Roman;serif" w:hAnsi="Times New Roman;serif"/>
          <w:b w:val="false"/>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spacing w:before="60" w:after="0"/>
        <w:jc w:val="both"/>
        <w:rPr>
          <w:rFonts w:ascii="Times New Roman" w:hAnsi="Times New Roman"/>
          <w:sz w:val="20"/>
        </w:rPr>
      </w:pPr>
      <w:r>
        <w:rPr>
          <w:rFonts w:ascii="Times New Roman;serif" w:hAnsi="Times New Roman;serif"/>
          <w:b w:val="false"/>
          <w:sz w:val="20"/>
        </w:rPr>
        <w:t xml:space="preserve">Indicate by check mark whether the registrant is a shell company (as defined in Rule 12b-2 of the Exchange Act). Yes ☐ No </w:t>
      </w:r>
      <w:r>
        <w:rPr>
          <w:rFonts w:ascii="Times New Roman" w:hAnsi="Times New Roman"/>
          <w:sz w:val="20"/>
        </w:rPr>
        <w:t>☒</w:t>
      </w:r>
    </w:p>
    <w:p>
      <w:pPr>
        <w:pStyle w:val="TextBody"/>
        <w:spacing w:before="60" w:after="0"/>
        <w:jc w:val="both"/>
        <w:rPr>
          <w:rFonts w:ascii="Times New Roman;serif" w:hAnsi="Times New Roman;serif"/>
          <w:b w:val="false"/>
          <w:sz w:val="20"/>
        </w:rPr>
      </w:pPr>
      <w:r>
        <w:rPr>
          <w:rFonts w:ascii="Times New Roman;serif" w:hAnsi="Times New Roman;serif"/>
          <w:b w:val="false"/>
          <w:sz w:val="20"/>
        </w:rPr>
        <w:t>Indicate the number of shares outstanding of each of the issuer’s classes of common stock, as of the latest practicable date:</w:t>
      </w:r>
    </w:p>
    <w:p>
      <w:pPr>
        <w:pStyle w:val="TextBody"/>
        <w:spacing w:before="0" w:after="0"/>
        <w:jc w:val="center"/>
        <w:rPr/>
      </w:pPr>
      <w:r>
        <w:rPr/>
        <w:t> </w:t>
      </w:r>
    </w:p>
    <w:tbl>
      <w:tblPr>
        <w:tblW w:w="5323" w:type="dxa"/>
        <w:jc w:val="left"/>
        <w:tblInd w:w="0" w:type="dxa"/>
        <w:tblCellMar>
          <w:top w:w="28" w:type="dxa"/>
          <w:left w:w="28" w:type="dxa"/>
          <w:bottom w:w="28" w:type="dxa"/>
          <w:right w:w="28" w:type="dxa"/>
        </w:tblCellMar>
      </w:tblPr>
      <w:tblGrid>
        <w:gridCol w:w="2536"/>
        <w:gridCol w:w="146"/>
        <w:gridCol w:w="2641"/>
      </w:tblGrid>
      <w:tr>
        <w:trPr/>
        <w:tc>
          <w:tcPr>
            <w:tcW w:w="253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641" w:type="dxa"/>
            <w:tcBorders/>
            <w:shd w:fill="auto" w:val="clear"/>
            <w:vAlign w:val="center"/>
          </w:tcPr>
          <w:p>
            <w:pPr>
              <w:pStyle w:val="TableContents"/>
              <w:spacing w:before="0" w:after="283"/>
              <w:rPr>
                <w:sz w:val="4"/>
                <w:szCs w:val="4"/>
              </w:rPr>
            </w:pPr>
            <w:r>
              <w:rPr>
                <w:sz w:val="4"/>
                <w:szCs w:val="4"/>
              </w:rPr>
            </w:r>
          </w:p>
        </w:tc>
      </w:tr>
      <w:tr>
        <w:trPr/>
        <w:tc>
          <w:tcPr>
            <w:tcW w:w="253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sz w:val="16"/>
              </w:rPr>
            </w:pPr>
            <w:r>
              <w:rPr>
                <w:rFonts w:ascii="Times New Roman;serif" w:hAnsi="Times New Roman;serif"/>
                <w:b/>
                <w:sz w:val="16"/>
              </w:rPr>
              <w:t>Class</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264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sz w:val="16"/>
              </w:rPr>
            </w:pPr>
            <w:r>
              <w:rPr>
                <w:rFonts w:ascii="Times New Roman;serif" w:hAnsi="Times New Roman;serif"/>
                <w:b/>
                <w:sz w:val="16"/>
              </w:rPr>
              <w:t>Outstanding as of March 31, 2023</w:t>
            </w:r>
          </w:p>
        </w:tc>
      </w:tr>
      <w:tr>
        <w:trPr/>
        <w:tc>
          <w:tcPr>
            <w:tcW w:w="253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Common Shares, no par value</w:t>
            </w:r>
          </w:p>
        </w:tc>
        <w:tc>
          <w:tcPr>
            <w:tcW w:w="146" w:type="dxa"/>
            <w:tcBorders/>
            <w:shd w:fill="auto" w:val="clear"/>
            <w:vAlign w:val="center"/>
          </w:tcPr>
          <w:p>
            <w:pPr>
              <w:pStyle w:val="TableContents"/>
              <w:spacing w:before="0" w:after="0"/>
              <w:ind w:left="0" w:right="0" w:hanging="0"/>
              <w:jc w:val="left"/>
              <w:rPr/>
            </w:pPr>
            <w:r>
              <w:rPr/>
              <w:t> </w:t>
            </w:r>
          </w:p>
        </w:tc>
        <w:tc>
          <w:tcPr>
            <w:tcW w:w="264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54,589,933</w:t>
            </w:r>
          </w:p>
        </w:tc>
      </w:tr>
    </w:tbl>
    <w:p>
      <w:pPr>
        <w:pStyle w:val="TextBody"/>
        <w:spacing w:before="0" w:after="0"/>
        <w:jc w:val="left"/>
        <w:rPr/>
      </w:pPr>
      <w:r>
        <w:rPr/>
        <w:t> </w:t>
      </w:r>
    </w:p>
    <w:p>
      <w:pPr>
        <w:pStyle w:val="TextBody"/>
        <w:pBdr>
          <w:bottom w:val="double" w:sz="6" w:space="1" w:color="000000"/>
        </w:pBdr>
        <w:spacing w:before="0" w:after="0"/>
        <w:jc w:val="left"/>
        <w:rPr/>
      </w:pPr>
      <w:r>
        <w:rPr/>
        <w:t> </w:t>
      </w:r>
    </w:p>
    <w:p>
      <w:pPr>
        <w:pStyle w:val="TextBody"/>
        <w:spacing w:before="0" w:after="0"/>
        <w:jc w:val="left"/>
        <w:rPr/>
      </w:pPr>
      <w:r>
        <w:rPr/>
        <w:t> </w:t>
      </w:r>
    </w:p>
    <w:p>
      <w:pPr>
        <w:pStyle w:val="TextBody"/>
        <w:spacing w:before="0" w:after="0"/>
        <w:jc w:val="center"/>
        <w:rPr/>
      </w:pPr>
      <w:r>
        <w:rPr/>
        <w:t> </w:t>
      </w:r>
    </w:p>
    <w:p>
      <w:pPr>
        <w:pStyle w:val="HorizontalLine"/>
        <w:rPr/>
      </w:pPr>
      <w:r>
        <w:rPr/>
      </w:r>
    </w:p>
    <w:p>
      <w:pPr>
        <w:pStyle w:val="TextBody"/>
        <w:spacing w:before="0" w:after="0"/>
        <w:jc w:val="left"/>
        <w:rPr/>
      </w:pPr>
      <w:r>
        <w:rPr/>
        <w:t> </w:t>
      </w:r>
    </w:p>
    <w:p>
      <w:pPr>
        <w:pStyle w:val="TextBody"/>
        <w:spacing w:before="0" w:after="0"/>
        <w:jc w:val="left"/>
        <w:rPr/>
      </w:pPr>
      <w:r>
        <w:rPr/>
        <w:t> </w:t>
      </w:r>
    </w:p>
    <w:p>
      <w:pPr>
        <w:pStyle w:val="TextBody"/>
        <w:spacing w:before="0" w:after="0"/>
        <w:jc w:val="center"/>
        <w:rPr>
          <w:rFonts w:ascii="Times New Roman;serif" w:hAnsi="Times New Roman;serif"/>
          <w:b/>
          <w:sz w:val="20"/>
        </w:rPr>
      </w:pPr>
      <w:r>
        <w:rPr>
          <w:rFonts w:ascii="Times New Roman;serif" w:hAnsi="Times New Roman;serif"/>
          <w:b/>
          <w:sz w:val="20"/>
        </w:rPr>
        <w:t>IMAX CORPORATION</w:t>
      </w:r>
    </w:p>
    <w:p>
      <w:pPr>
        <w:pStyle w:val="TextBody"/>
        <w:spacing w:before="0" w:after="0"/>
        <w:jc w:val="center"/>
        <w:rPr/>
      </w:pPr>
      <w:r>
        <w:rPr/>
        <w:t> </w:t>
      </w:r>
    </w:p>
    <w:p>
      <w:pPr>
        <w:pStyle w:val="TextBody"/>
        <w:spacing w:before="0" w:after="0"/>
        <w:jc w:val="center"/>
        <w:rPr>
          <w:rFonts w:ascii="Times New Roman;serif" w:hAnsi="Times New Roman;serif"/>
          <w:b/>
          <w:sz w:val="20"/>
        </w:rPr>
      </w:pPr>
      <w:r>
        <w:rPr>
          <w:rFonts w:ascii="Times New Roman;serif" w:hAnsi="Times New Roman;serif"/>
          <w:b/>
          <w:sz w:val="20"/>
        </w:rPr>
        <w:t>Table of Contents</w:t>
      </w:r>
    </w:p>
    <w:p>
      <w:pPr>
        <w:pStyle w:val="TextBody"/>
        <w:spacing w:before="0" w:after="0"/>
        <w:jc w:val="left"/>
        <w:rPr/>
      </w:pPr>
      <w:r>
        <w:rPr/>
        <w:t> </w:t>
      </w:r>
    </w:p>
    <w:tbl>
      <w:tblPr>
        <w:tblW w:w="8853" w:type="dxa"/>
        <w:jc w:val="left"/>
        <w:tblInd w:w="0" w:type="dxa"/>
        <w:tblCellMar>
          <w:top w:w="28" w:type="dxa"/>
          <w:left w:w="28" w:type="dxa"/>
          <w:bottom w:w="28" w:type="dxa"/>
          <w:right w:w="28" w:type="dxa"/>
        </w:tblCellMar>
      </w:tblPr>
      <w:tblGrid>
        <w:gridCol w:w="976"/>
        <w:gridCol w:w="7366"/>
        <w:gridCol w:w="511"/>
      </w:tblGrid>
      <w:tr>
        <w:trPr/>
        <w:tc>
          <w:tcPr>
            <w:tcW w:w="976" w:type="dxa"/>
            <w:tcBorders/>
            <w:shd w:fill="auto" w:val="clear"/>
            <w:vAlign w:val="center"/>
          </w:tcPr>
          <w:p>
            <w:pPr>
              <w:pStyle w:val="TableContents"/>
              <w:spacing w:before="0" w:after="283"/>
              <w:rPr>
                <w:sz w:val="4"/>
                <w:szCs w:val="4"/>
              </w:rPr>
            </w:pPr>
            <w:r>
              <w:rPr>
                <w:sz w:val="4"/>
                <w:szCs w:val="4"/>
              </w:rPr>
            </w:r>
          </w:p>
        </w:tc>
        <w:tc>
          <w:tcPr>
            <w:tcW w:w="7366" w:type="dxa"/>
            <w:tcBorders/>
            <w:shd w:fill="auto" w:val="clear"/>
            <w:vAlign w:val="center"/>
          </w:tcPr>
          <w:p>
            <w:pPr>
              <w:pStyle w:val="TableContents"/>
              <w:spacing w:before="0" w:after="283"/>
              <w:rPr>
                <w:sz w:val="4"/>
                <w:szCs w:val="4"/>
              </w:rPr>
            </w:pPr>
            <w:r>
              <w:rPr>
                <w:sz w:val="4"/>
                <w:szCs w:val="4"/>
              </w:rPr>
            </w:r>
          </w:p>
        </w:tc>
        <w:tc>
          <w:tcPr>
            <w:tcW w:w="511" w:type="dxa"/>
            <w:tcBorders/>
            <w:shd w:fill="auto" w:val="clear"/>
            <w:vAlign w:val="center"/>
          </w:tcPr>
          <w:p>
            <w:pPr>
              <w:pStyle w:val="TableContents"/>
              <w:spacing w:before="0" w:after="283"/>
              <w:rPr>
                <w:sz w:val="4"/>
                <w:szCs w:val="4"/>
              </w:rPr>
            </w:pPr>
            <w:r>
              <w:rPr>
                <w:sz w:val="4"/>
                <w:szCs w:val="4"/>
              </w:rPr>
            </w:r>
          </w:p>
        </w:tc>
      </w:tr>
      <w:tr>
        <w:trPr/>
        <w:tc>
          <w:tcPr>
            <w:tcW w:w="976" w:type="dxa"/>
            <w:tcBorders/>
            <w:shd w:fill="auto" w:val="clear"/>
            <w:vAlign w:val="center"/>
          </w:tcPr>
          <w:p>
            <w:pPr>
              <w:pStyle w:val="TableContents"/>
              <w:spacing w:before="0" w:after="0"/>
              <w:ind w:left="0" w:right="0" w:hanging="0"/>
              <w:jc w:val="left"/>
              <w:rPr/>
            </w:pPr>
            <w:r>
              <w:rPr/>
              <w:t> </w:t>
            </w:r>
          </w:p>
        </w:tc>
        <w:tc>
          <w:tcPr>
            <w:tcW w:w="7366" w:type="dxa"/>
            <w:tcBorders/>
            <w:shd w:fill="auto" w:val="clear"/>
            <w:vAlign w:val="center"/>
          </w:tcPr>
          <w:p>
            <w:pPr>
              <w:pStyle w:val="TableContents"/>
              <w:spacing w:before="0" w:after="0"/>
              <w:ind w:left="0" w:right="0" w:hanging="0"/>
              <w:jc w:val="left"/>
              <w:rPr/>
            </w:pPr>
            <w:r>
              <w:rPr/>
              <w:t> </w:t>
            </w:r>
          </w:p>
        </w:tc>
        <w:tc>
          <w:tcPr>
            <w:tcW w:w="5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Page</w:t>
            </w:r>
          </w:p>
        </w:tc>
      </w:tr>
      <w:tr>
        <w:trPr/>
        <w:tc>
          <w:tcPr>
            <w:tcW w:w="8853" w:type="dxa"/>
            <w:gridSpan w:val="3"/>
            <w:tcBorders/>
            <w:shd w:fill="auto" w:val="clear"/>
            <w:vAlign w:val="center"/>
          </w:tcPr>
          <w:p>
            <w:pPr>
              <w:pStyle w:val="TableContents"/>
              <w:spacing w:before="0" w:after="0"/>
              <w:ind w:left="0" w:right="0" w:hanging="0"/>
              <w:jc w:val="left"/>
              <w:rPr/>
            </w:pPr>
            <w:hyperlink w:anchor="part_i_financial_information">
              <w:r>
                <w:rPr>
                  <w:rStyle w:val="InternetLink"/>
                  <w:rFonts w:ascii="Times New Roman;serif" w:hAnsi="Times New Roman;serif"/>
                  <w:b/>
                  <w:sz w:val="20"/>
                  <w:u w:val="single"/>
                </w:rPr>
                <w:t>PART I. FINANCIAL INFORMATION</w:t>
              </w:r>
            </w:hyperlink>
          </w:p>
          <w:p>
            <w:pPr>
              <w:pStyle w:val="TableContents"/>
              <w:spacing w:before="0" w:after="0"/>
              <w:ind w:left="0" w:right="0" w:hanging="0"/>
              <w:jc w:val="left"/>
              <w:rPr/>
            </w:pPr>
            <w:r>
              <w:rPr/>
              <w:t> </w:t>
            </w:r>
          </w:p>
        </w:tc>
      </w:tr>
      <w:tr>
        <w:trPr/>
        <w:tc>
          <w:tcPr>
            <w:tcW w:w="97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Item 1.</w:t>
            </w:r>
          </w:p>
        </w:tc>
        <w:tc>
          <w:tcPr>
            <w:tcW w:w="7366" w:type="dxa"/>
            <w:tcBorders/>
            <w:shd w:fill="auto" w:val="clear"/>
            <w:vAlign w:val="center"/>
          </w:tcPr>
          <w:p>
            <w:pPr>
              <w:pStyle w:val="TableContents"/>
              <w:spacing w:before="0" w:after="0"/>
              <w:ind w:left="0" w:right="0" w:hanging="0"/>
              <w:jc w:val="left"/>
              <w:rPr/>
            </w:pPr>
            <w:hyperlink w:anchor="item_1_financial_statements">
              <w:r>
                <w:rPr>
                  <w:rStyle w:val="InternetLink"/>
                  <w:rFonts w:ascii="Times New Roman;serif" w:hAnsi="Times New Roman;serif"/>
                  <w:b w:val="false"/>
                  <w:sz w:val="20"/>
                  <w:u w:val="single"/>
                </w:rPr>
                <w:t>Financial Statements</w:t>
              </w:r>
            </w:hyperlink>
          </w:p>
        </w:tc>
        <w:tc>
          <w:tcPr>
            <w:tcW w:w="51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w:t>
            </w:r>
          </w:p>
        </w:tc>
      </w:tr>
      <w:tr>
        <w:trPr/>
        <w:tc>
          <w:tcPr>
            <w:tcW w:w="97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Item 2.</w:t>
            </w:r>
          </w:p>
        </w:tc>
        <w:tc>
          <w:tcPr>
            <w:tcW w:w="7366" w:type="dxa"/>
            <w:tcBorders/>
            <w:shd w:fill="auto" w:val="clear"/>
            <w:vAlign w:val="center"/>
          </w:tcPr>
          <w:p>
            <w:pPr>
              <w:pStyle w:val="TableContents"/>
              <w:spacing w:before="0" w:after="0"/>
              <w:ind w:left="0" w:right="0" w:hanging="0"/>
              <w:jc w:val="left"/>
              <w:rPr/>
            </w:pPr>
            <w:hyperlink w:anchor="item_2_managements_discussion_analysis_f">
              <w:r>
                <w:rPr>
                  <w:rStyle w:val="InternetLink"/>
                  <w:rFonts w:ascii="Times New Roman;serif" w:hAnsi="Times New Roman;serif"/>
                  <w:b w:val="false"/>
                  <w:sz w:val="20"/>
                  <w:u w:val="single"/>
                </w:rPr>
                <w:t>Management’s Discussion and Analysis of Financial Condition and Results of Operations</w:t>
              </w:r>
            </w:hyperlink>
          </w:p>
        </w:tc>
        <w:tc>
          <w:tcPr>
            <w:tcW w:w="51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40</w:t>
            </w:r>
          </w:p>
        </w:tc>
      </w:tr>
      <w:tr>
        <w:trPr/>
        <w:tc>
          <w:tcPr>
            <w:tcW w:w="97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Item 3.</w:t>
            </w:r>
          </w:p>
        </w:tc>
        <w:tc>
          <w:tcPr>
            <w:tcW w:w="7366" w:type="dxa"/>
            <w:tcBorders/>
            <w:shd w:fill="auto" w:val="clear"/>
            <w:vAlign w:val="center"/>
          </w:tcPr>
          <w:p>
            <w:pPr>
              <w:pStyle w:val="TableContents"/>
              <w:spacing w:before="0" w:after="0"/>
              <w:ind w:left="0" w:right="0" w:hanging="0"/>
              <w:jc w:val="left"/>
              <w:rPr/>
            </w:pPr>
            <w:hyperlink w:anchor="item_3_quantitative_qualitative_factors_">
              <w:r>
                <w:rPr>
                  <w:rStyle w:val="InternetLink"/>
                  <w:rFonts w:ascii="Times New Roman;serif" w:hAnsi="Times New Roman;serif"/>
                  <w:b w:val="false"/>
                  <w:sz w:val="20"/>
                  <w:u w:val="single"/>
                </w:rPr>
                <w:t>Quantitative and Qualitative Disclosures about Market Risk</w:t>
              </w:r>
            </w:hyperlink>
          </w:p>
        </w:tc>
        <w:tc>
          <w:tcPr>
            <w:tcW w:w="51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64</w:t>
            </w:r>
          </w:p>
        </w:tc>
      </w:tr>
      <w:tr>
        <w:trPr/>
        <w:tc>
          <w:tcPr>
            <w:tcW w:w="97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Item 4.</w:t>
            </w:r>
          </w:p>
        </w:tc>
        <w:tc>
          <w:tcPr>
            <w:tcW w:w="7366" w:type="dxa"/>
            <w:tcBorders/>
            <w:shd w:fill="auto" w:val="clear"/>
            <w:vAlign w:val="center"/>
          </w:tcPr>
          <w:p>
            <w:pPr>
              <w:pStyle w:val="TableContents"/>
              <w:spacing w:before="0" w:after="0"/>
              <w:ind w:left="0" w:right="0" w:hanging="0"/>
              <w:jc w:val="left"/>
              <w:rPr/>
            </w:pPr>
            <w:hyperlink w:anchor="item_4_controls_procedures">
              <w:r>
                <w:rPr>
                  <w:rStyle w:val="InternetLink"/>
                  <w:rFonts w:ascii="Times New Roman;serif" w:hAnsi="Times New Roman;serif"/>
                  <w:b w:val="false"/>
                  <w:sz w:val="20"/>
                  <w:u w:val="single"/>
                </w:rPr>
                <w:t>Controls and Procedures</w:t>
              </w:r>
            </w:hyperlink>
          </w:p>
        </w:tc>
        <w:tc>
          <w:tcPr>
            <w:tcW w:w="51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66</w:t>
            </w:r>
          </w:p>
        </w:tc>
      </w:tr>
      <w:tr>
        <w:trPr/>
        <w:tc>
          <w:tcPr>
            <w:tcW w:w="8853" w:type="dxa"/>
            <w:gridSpan w:val="3"/>
            <w:tcBorders/>
            <w:shd w:fill="auto" w:val="clear"/>
            <w:vAlign w:val="center"/>
          </w:tcPr>
          <w:p>
            <w:pPr>
              <w:pStyle w:val="TableContents"/>
              <w:spacing w:before="0" w:after="0"/>
              <w:ind w:left="0" w:right="0" w:hanging="0"/>
              <w:jc w:val="left"/>
              <w:rPr/>
            </w:pPr>
            <w:r>
              <w:rPr/>
              <w:t> </w:t>
            </w:r>
          </w:p>
        </w:tc>
      </w:tr>
      <w:tr>
        <w:trPr/>
        <w:tc>
          <w:tcPr>
            <w:tcW w:w="8853" w:type="dxa"/>
            <w:gridSpan w:val="3"/>
            <w:tcBorders/>
            <w:shd w:fill="auto" w:val="clear"/>
            <w:vAlign w:val="center"/>
          </w:tcPr>
          <w:p>
            <w:pPr>
              <w:pStyle w:val="TableContents"/>
              <w:spacing w:before="0" w:after="0"/>
              <w:ind w:left="0" w:right="0" w:hanging="0"/>
              <w:jc w:val="left"/>
              <w:rPr/>
            </w:pPr>
            <w:hyperlink w:anchor="part_ii_or_information">
              <w:r>
                <w:rPr>
                  <w:rStyle w:val="InternetLink"/>
                  <w:rFonts w:ascii="Times New Roman;serif" w:hAnsi="Times New Roman;serif"/>
                  <w:b/>
                  <w:sz w:val="20"/>
                  <w:u w:val="single"/>
                </w:rPr>
                <w:t>PART II. OTHER INFORMATION</w:t>
              </w:r>
            </w:hyperlink>
          </w:p>
          <w:p>
            <w:pPr>
              <w:pStyle w:val="TableContents"/>
              <w:spacing w:before="0" w:after="0"/>
              <w:ind w:left="0" w:right="0" w:hanging="0"/>
              <w:jc w:val="left"/>
              <w:rPr/>
            </w:pPr>
            <w:r>
              <w:rPr/>
              <w:t> </w:t>
            </w:r>
          </w:p>
        </w:tc>
      </w:tr>
      <w:tr>
        <w:trPr/>
        <w:tc>
          <w:tcPr>
            <w:tcW w:w="97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Item 1.</w:t>
            </w:r>
          </w:p>
        </w:tc>
        <w:tc>
          <w:tcPr>
            <w:tcW w:w="7366" w:type="dxa"/>
            <w:tcBorders/>
            <w:shd w:fill="auto" w:val="clear"/>
            <w:vAlign w:val="center"/>
          </w:tcPr>
          <w:p>
            <w:pPr>
              <w:pStyle w:val="TableContents"/>
              <w:spacing w:before="0" w:after="0"/>
              <w:ind w:left="0" w:right="0" w:hanging="0"/>
              <w:jc w:val="left"/>
              <w:rPr/>
            </w:pPr>
            <w:hyperlink w:anchor="item_1_legal_proceedings">
              <w:r>
                <w:rPr>
                  <w:rStyle w:val="InternetLink"/>
                  <w:rFonts w:ascii="Times New Roman;serif" w:hAnsi="Times New Roman;serif"/>
                  <w:b w:val="false"/>
                  <w:sz w:val="20"/>
                  <w:u w:val="single"/>
                </w:rPr>
                <w:t>Legal Proceedings</w:t>
              </w:r>
            </w:hyperlink>
          </w:p>
        </w:tc>
        <w:tc>
          <w:tcPr>
            <w:tcW w:w="51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67</w:t>
            </w:r>
          </w:p>
        </w:tc>
      </w:tr>
      <w:tr>
        <w:trPr/>
        <w:tc>
          <w:tcPr>
            <w:tcW w:w="97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Item 1A.</w:t>
            </w:r>
          </w:p>
        </w:tc>
        <w:tc>
          <w:tcPr>
            <w:tcW w:w="7366" w:type="dxa"/>
            <w:tcBorders/>
            <w:shd w:fill="auto" w:val="clear"/>
            <w:vAlign w:val="center"/>
          </w:tcPr>
          <w:p>
            <w:pPr>
              <w:pStyle w:val="TableContents"/>
              <w:spacing w:before="0" w:after="0"/>
              <w:ind w:left="0" w:right="0" w:hanging="0"/>
              <w:jc w:val="left"/>
              <w:rPr/>
            </w:pPr>
            <w:hyperlink w:anchor="item_1a_risk_factors">
              <w:r>
                <w:rPr>
                  <w:rStyle w:val="InternetLink"/>
                  <w:rFonts w:ascii="Times New Roman;serif" w:hAnsi="Times New Roman;serif"/>
                  <w:b w:val="false"/>
                  <w:sz w:val="20"/>
                  <w:u w:val="single"/>
                </w:rPr>
                <w:t>Risk Factors</w:t>
              </w:r>
            </w:hyperlink>
          </w:p>
        </w:tc>
        <w:tc>
          <w:tcPr>
            <w:tcW w:w="51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67</w:t>
            </w:r>
          </w:p>
        </w:tc>
      </w:tr>
      <w:tr>
        <w:trPr/>
        <w:tc>
          <w:tcPr>
            <w:tcW w:w="97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Item 2.</w:t>
            </w:r>
          </w:p>
        </w:tc>
        <w:tc>
          <w:tcPr>
            <w:tcW w:w="7366" w:type="dxa"/>
            <w:tcBorders/>
            <w:shd w:fill="auto" w:val="clear"/>
            <w:vAlign w:val="center"/>
          </w:tcPr>
          <w:p>
            <w:pPr>
              <w:pStyle w:val="TableContents"/>
              <w:spacing w:before="0" w:after="0"/>
              <w:ind w:left="0" w:right="0" w:hanging="0"/>
              <w:jc w:val="left"/>
              <w:rPr/>
            </w:pPr>
            <w:hyperlink w:anchor="item_2_unregistered_sales_equity_securit">
              <w:r>
                <w:rPr>
                  <w:rStyle w:val="InternetLink"/>
                  <w:rFonts w:ascii="Times New Roman;serif" w:hAnsi="Times New Roman;serif"/>
                  <w:b w:val="false"/>
                  <w:sz w:val="20"/>
                  <w:u w:val="single"/>
                </w:rPr>
                <w:t>Unregistered Sales of Equity Securities and Use of Proceeds</w:t>
              </w:r>
            </w:hyperlink>
          </w:p>
        </w:tc>
        <w:tc>
          <w:tcPr>
            <w:tcW w:w="51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67</w:t>
            </w:r>
          </w:p>
        </w:tc>
      </w:tr>
      <w:tr>
        <w:trPr/>
        <w:tc>
          <w:tcPr>
            <w:tcW w:w="97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Item 6.</w:t>
            </w:r>
          </w:p>
        </w:tc>
        <w:tc>
          <w:tcPr>
            <w:tcW w:w="7366" w:type="dxa"/>
            <w:tcBorders/>
            <w:shd w:fill="auto" w:val="clear"/>
            <w:vAlign w:val="center"/>
          </w:tcPr>
          <w:p>
            <w:pPr>
              <w:pStyle w:val="TableContents"/>
              <w:spacing w:before="0" w:after="0"/>
              <w:ind w:left="0" w:right="0" w:hanging="0"/>
              <w:jc w:val="left"/>
              <w:rPr/>
            </w:pPr>
            <w:hyperlink w:anchor="item_6_exhibits">
              <w:r>
                <w:rPr>
                  <w:rStyle w:val="InternetLink"/>
                  <w:rFonts w:ascii="Times New Roman;serif" w:hAnsi="Times New Roman;serif"/>
                  <w:b w:val="false"/>
                  <w:sz w:val="20"/>
                  <w:u w:val="single"/>
                </w:rPr>
                <w:t>Exhibits</w:t>
              </w:r>
            </w:hyperlink>
          </w:p>
        </w:tc>
        <w:tc>
          <w:tcPr>
            <w:tcW w:w="51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68</w:t>
            </w:r>
          </w:p>
        </w:tc>
      </w:tr>
      <w:tr>
        <w:trPr/>
        <w:tc>
          <w:tcPr>
            <w:tcW w:w="976" w:type="dxa"/>
            <w:tcBorders/>
            <w:shd w:fill="auto" w:val="clear"/>
            <w:vAlign w:val="center"/>
          </w:tcPr>
          <w:p>
            <w:pPr>
              <w:pStyle w:val="TableContents"/>
              <w:spacing w:before="0" w:after="0"/>
              <w:ind w:left="0" w:right="0" w:hanging="0"/>
              <w:jc w:val="left"/>
              <w:rPr/>
            </w:pPr>
            <w:hyperlink w:anchor="sig">
              <w:r>
                <w:rPr>
                  <w:rStyle w:val="InternetLink"/>
                  <w:rFonts w:ascii="Times New Roman;serif" w:hAnsi="Times New Roman;serif"/>
                  <w:b w:val="false"/>
                  <w:sz w:val="20"/>
                  <w:u w:val="single"/>
                </w:rPr>
                <w:t>Signatures</w:t>
              </w:r>
            </w:hyperlink>
          </w:p>
        </w:tc>
        <w:tc>
          <w:tcPr>
            <w:tcW w:w="7366" w:type="dxa"/>
            <w:tcBorders/>
            <w:shd w:fill="auto" w:val="clear"/>
            <w:vAlign w:val="center"/>
          </w:tcPr>
          <w:p>
            <w:pPr>
              <w:pStyle w:val="TableContents"/>
              <w:spacing w:before="0" w:after="0"/>
              <w:ind w:left="0" w:right="0" w:hanging="0"/>
              <w:jc w:val="left"/>
              <w:rPr/>
            </w:pPr>
            <w:r>
              <w:rPr/>
              <w:t> </w:t>
            </w:r>
          </w:p>
        </w:tc>
        <w:tc>
          <w:tcPr>
            <w:tcW w:w="51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69</w:t>
            </w:r>
          </w:p>
        </w:tc>
      </w:tr>
    </w:tbl>
    <w:p>
      <w:pPr>
        <w:pStyle w:val="TextBody"/>
        <w:spacing w:before="0" w:after="0"/>
        <w:jc w:val="left"/>
        <w:rPr/>
      </w:pPr>
      <w:r>
        <w:rPr/>
        <w:t> </w:t>
      </w:r>
    </w:p>
    <w:p>
      <w:pPr>
        <w:pStyle w:val="TextBody"/>
        <w:spacing w:before="240" w:after="0"/>
        <w:jc w:val="center"/>
        <w:rPr>
          <w:rFonts w:ascii="Times New Roman;serif" w:hAnsi="Times New Roman;serif"/>
          <w:b w:val="false"/>
          <w:sz w:val="20"/>
        </w:rPr>
      </w:pPr>
      <w:r>
        <w:rPr>
          <w:rFonts w:ascii="Times New Roman;serif" w:hAnsi="Times New Roman;serif"/>
          <w:b w:val="false"/>
          <w:sz w:val="20"/>
        </w:rPr>
        <w:t>2</w:t>
      </w:r>
    </w:p>
    <w:p>
      <w:pPr>
        <w:pStyle w:val="HorizontalLine"/>
        <w:rPr/>
      </w:pPr>
      <w:r>
        <w:rPr/>
      </w:r>
    </w:p>
    <w:p>
      <w:pPr>
        <w:pStyle w:val="TextBody"/>
        <w:spacing w:before="0" w:after="0"/>
        <w:jc w:val="left"/>
        <w:rPr/>
      </w:pPr>
      <w:r>
        <w:rPr/>
        <w:t> </w:t>
      </w:r>
    </w:p>
    <w:p>
      <w:pPr>
        <w:pStyle w:val="TextBody"/>
        <w:spacing w:before="0" w:after="0"/>
        <w:jc w:val="center"/>
        <w:rPr>
          <w:rFonts w:ascii="Times New Roman;serif" w:hAnsi="Times New Roman;serif"/>
          <w:b/>
          <w:sz w:val="20"/>
        </w:rPr>
      </w:pPr>
      <w:bookmarkStart w:id="2" w:name="financials"/>
      <w:bookmarkEnd w:id="2"/>
      <w:r>
        <w:rPr>
          <w:rFonts w:ascii="Times New Roman;serif" w:hAnsi="Times New Roman;serif"/>
          <w:b/>
          <w:sz w:val="20"/>
        </w:rPr>
        <w:t>IMAX CORPORATION</w:t>
      </w:r>
    </w:p>
    <w:p>
      <w:pPr>
        <w:pStyle w:val="TextBody"/>
        <w:spacing w:before="0" w:after="0"/>
        <w:jc w:val="both"/>
        <w:rPr/>
      </w:pPr>
      <w:r>
        <w:rPr/>
        <w:t> </w:t>
      </w:r>
    </w:p>
    <w:p>
      <w:pPr>
        <w:pStyle w:val="TextBody"/>
        <w:spacing w:before="0" w:after="0"/>
        <w:jc w:val="center"/>
        <w:rPr>
          <w:rFonts w:ascii="Times New Roman;serif" w:hAnsi="Times New Roman;serif"/>
          <w:b/>
          <w:sz w:val="20"/>
        </w:rPr>
      </w:pPr>
      <w:bookmarkStart w:id="3" w:name="part_i_financial_information"/>
      <w:bookmarkEnd w:id="3"/>
      <w:r>
        <w:rPr>
          <w:rFonts w:ascii="Times New Roman;serif" w:hAnsi="Times New Roman;serif"/>
          <w:b/>
          <w:sz w:val="20"/>
        </w:rPr>
        <w:t>PART I. FINANCIAL INFORMATION</w:t>
      </w:r>
    </w:p>
    <w:p>
      <w:pPr>
        <w:pStyle w:val="TextBody"/>
        <w:spacing w:before="0" w:after="0"/>
        <w:jc w:val="left"/>
        <w:rPr/>
      </w:pPr>
      <w:r>
        <w:rPr/>
        <w:t> </w:t>
      </w:r>
    </w:p>
    <w:p>
      <w:pPr>
        <w:pStyle w:val="TextBody"/>
        <w:spacing w:before="0" w:after="0"/>
        <w:jc w:val="left"/>
        <w:rPr>
          <w:rFonts w:ascii="Times New Roman" w:hAnsi="Times New Roman"/>
          <w:sz w:val="20"/>
        </w:rPr>
      </w:pPr>
      <w:bookmarkStart w:id="4" w:name="item_1_financial_statements"/>
      <w:bookmarkEnd w:id="4"/>
      <w:r>
        <w:rPr>
          <w:rFonts w:ascii="Times New Roman;serif" w:hAnsi="Times New Roman;serif"/>
          <w:b/>
          <w:sz w:val="20"/>
        </w:rPr>
        <w:t>Item 1.</w:t>
      </w:r>
      <w:r>
        <w:rPr>
          <w:rFonts w:ascii="Times New Roman" w:hAnsi="Times New Roman"/>
          <w:sz w:val="20"/>
        </w:rPr>
        <w:t xml:space="preserve"> </w:t>
      </w:r>
      <w:r>
        <w:rPr>
          <w:rFonts w:ascii="Times New Roman;serif" w:hAnsi="Times New Roman;serif"/>
          <w:b/>
          <w:i/>
          <w:sz w:val="20"/>
        </w:rPr>
        <w:t>Financial Statements</w:t>
      </w:r>
    </w:p>
    <w:p>
      <w:pPr>
        <w:pStyle w:val="TextBody"/>
        <w:spacing w:before="0" w:after="0"/>
        <w:jc w:val="both"/>
        <w:rPr/>
      </w:pPr>
      <w:r>
        <w:rPr/>
        <w:t> </w:t>
      </w:r>
    </w:p>
    <w:tbl>
      <w:tblPr>
        <w:tblW w:w="10205" w:type="dxa"/>
        <w:jc w:val="left"/>
        <w:tblInd w:w="0" w:type="dxa"/>
        <w:tblCellMar>
          <w:top w:w="28" w:type="dxa"/>
          <w:left w:w="28" w:type="dxa"/>
          <w:bottom w:w="28" w:type="dxa"/>
          <w:right w:w="28" w:type="dxa"/>
        </w:tblCellMar>
      </w:tblPr>
      <w:tblGrid>
        <w:gridCol w:w="9694"/>
        <w:gridCol w:w="511"/>
      </w:tblGrid>
      <w:tr>
        <w:trPr/>
        <w:tc>
          <w:tcPr>
            <w:tcW w:w="9694" w:type="dxa"/>
            <w:tcBorders/>
            <w:shd w:fill="auto" w:val="clear"/>
            <w:vAlign w:val="center"/>
          </w:tcPr>
          <w:p>
            <w:pPr>
              <w:pStyle w:val="TableContents"/>
              <w:spacing w:before="0" w:after="283"/>
              <w:rPr>
                <w:sz w:val="4"/>
                <w:szCs w:val="4"/>
              </w:rPr>
            </w:pPr>
            <w:r>
              <w:rPr>
                <w:sz w:val="4"/>
                <w:szCs w:val="4"/>
              </w:rPr>
            </w:r>
          </w:p>
        </w:tc>
        <w:tc>
          <w:tcPr>
            <w:tcW w:w="511" w:type="dxa"/>
            <w:tcBorders/>
            <w:shd w:fill="auto" w:val="clear"/>
            <w:vAlign w:val="center"/>
          </w:tcPr>
          <w:p>
            <w:pPr>
              <w:pStyle w:val="TableContents"/>
              <w:spacing w:before="0" w:after="283"/>
              <w:rPr>
                <w:sz w:val="4"/>
                <w:szCs w:val="4"/>
              </w:rPr>
            </w:pPr>
            <w:r>
              <w:rPr>
                <w:sz w:val="4"/>
                <w:szCs w:val="4"/>
              </w:rPr>
            </w:r>
          </w:p>
        </w:tc>
      </w:tr>
      <w:tr>
        <w:trPr/>
        <w:tc>
          <w:tcPr>
            <w:tcW w:w="9694" w:type="dxa"/>
            <w:tcBorders/>
            <w:shd w:fill="auto" w:val="clear"/>
            <w:vAlign w:val="center"/>
          </w:tcPr>
          <w:p>
            <w:pPr>
              <w:pStyle w:val="TableContents"/>
              <w:spacing w:before="0" w:after="0"/>
              <w:ind w:left="0" w:right="0" w:hanging="0"/>
              <w:jc w:val="left"/>
              <w:rPr/>
            </w:pPr>
            <w:r>
              <w:rPr/>
              <w:t> </w:t>
            </w:r>
          </w:p>
        </w:tc>
        <w:tc>
          <w:tcPr>
            <w:tcW w:w="5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Page</w:t>
            </w:r>
          </w:p>
        </w:tc>
      </w:tr>
      <w:tr>
        <w:trPr/>
        <w:tc>
          <w:tcPr>
            <w:tcW w:w="9694"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The following unaudited Condensed Consolidated Financial Statements are filed as part of this Report:</w:t>
            </w:r>
          </w:p>
        </w:tc>
        <w:tc>
          <w:tcPr>
            <w:tcW w:w="511" w:type="dxa"/>
            <w:tcBorders/>
            <w:shd w:fill="auto" w:val="clear"/>
            <w:vAlign w:val="center"/>
          </w:tcPr>
          <w:p>
            <w:pPr>
              <w:pStyle w:val="TableContents"/>
              <w:spacing w:before="0" w:after="0"/>
              <w:ind w:left="0" w:right="0" w:hanging="0"/>
              <w:jc w:val="left"/>
              <w:rPr/>
            </w:pPr>
            <w:r>
              <w:rPr/>
              <w:t> </w:t>
            </w:r>
          </w:p>
        </w:tc>
      </w:tr>
      <w:tr>
        <w:trPr/>
        <w:tc>
          <w:tcPr>
            <w:tcW w:w="9694" w:type="dxa"/>
            <w:tcBorders/>
            <w:shd w:fill="auto" w:val="clear"/>
            <w:vAlign w:val="center"/>
          </w:tcPr>
          <w:p>
            <w:pPr>
              <w:pStyle w:val="TableContents"/>
              <w:spacing w:before="0" w:after="0"/>
              <w:ind w:left="0" w:right="0" w:hanging="0"/>
              <w:jc w:val="left"/>
              <w:rPr/>
            </w:pPr>
            <w:r>
              <w:rPr/>
              <w:t> </w:t>
            </w:r>
          </w:p>
        </w:tc>
        <w:tc>
          <w:tcPr>
            <w:tcW w:w="511" w:type="dxa"/>
            <w:tcBorders/>
            <w:shd w:fill="auto" w:val="clear"/>
            <w:vAlign w:val="center"/>
          </w:tcPr>
          <w:p>
            <w:pPr>
              <w:pStyle w:val="TableContents"/>
              <w:spacing w:before="0" w:after="0"/>
              <w:ind w:left="0" w:right="0" w:hanging="0"/>
              <w:jc w:val="left"/>
              <w:rPr/>
            </w:pPr>
            <w:r>
              <w:rPr/>
              <w:t> </w:t>
            </w:r>
          </w:p>
        </w:tc>
      </w:tr>
      <w:tr>
        <w:trPr/>
        <w:tc>
          <w:tcPr>
            <w:tcW w:w="9694" w:type="dxa"/>
            <w:tcBorders/>
            <w:shd w:fill="auto" w:val="clear"/>
            <w:vAlign w:val="center"/>
          </w:tcPr>
          <w:p>
            <w:pPr>
              <w:pStyle w:val="TableContents"/>
              <w:spacing w:before="0" w:after="0"/>
              <w:ind w:left="0" w:right="0" w:hanging="0"/>
              <w:jc w:val="left"/>
              <w:rPr/>
            </w:pPr>
            <w:hyperlink w:anchor="condensed_consolidated_balance_sheets">
              <w:r>
                <w:rPr>
                  <w:rStyle w:val="InternetLink"/>
                  <w:rFonts w:ascii="Times New Roman;serif" w:hAnsi="Times New Roman;serif"/>
                  <w:b w:val="false"/>
                  <w:sz w:val="20"/>
                  <w:u w:val="single"/>
                </w:rPr>
                <w:t>Condensed Consolidated Balance Sheets as of March 31, 2023 and December 31, 2022</w:t>
              </w:r>
            </w:hyperlink>
          </w:p>
        </w:tc>
        <w:tc>
          <w:tcPr>
            <w:tcW w:w="51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4</w:t>
            </w:r>
          </w:p>
        </w:tc>
      </w:tr>
      <w:tr>
        <w:trPr/>
        <w:tc>
          <w:tcPr>
            <w:tcW w:w="9694" w:type="dxa"/>
            <w:tcBorders/>
            <w:shd w:fill="auto" w:val="clear"/>
            <w:vAlign w:val="center"/>
          </w:tcPr>
          <w:p>
            <w:pPr>
              <w:pStyle w:val="TableContents"/>
              <w:spacing w:before="0" w:after="0"/>
              <w:ind w:left="0" w:right="0" w:hanging="0"/>
              <w:jc w:val="left"/>
              <w:rPr/>
            </w:pPr>
            <w:hyperlink w:anchor="condensed_consolidated_statements_operat">
              <w:r>
                <w:rPr>
                  <w:rStyle w:val="InternetLink"/>
                  <w:rFonts w:ascii="Times New Roman;serif" w:hAnsi="Times New Roman;serif"/>
                  <w:b w:val="false"/>
                  <w:sz w:val="20"/>
                  <w:u w:val="single"/>
                </w:rPr>
                <w:t>Condensed Consolidated Statements of Operations for the three months ended March 31, 2023 and 2022</w:t>
              </w:r>
            </w:hyperlink>
          </w:p>
        </w:tc>
        <w:tc>
          <w:tcPr>
            <w:tcW w:w="51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5</w:t>
            </w:r>
          </w:p>
        </w:tc>
      </w:tr>
      <w:tr>
        <w:trPr/>
        <w:tc>
          <w:tcPr>
            <w:tcW w:w="9694" w:type="dxa"/>
            <w:tcBorders/>
            <w:shd w:fill="auto" w:val="clear"/>
            <w:vAlign w:val="center"/>
          </w:tcPr>
          <w:p>
            <w:pPr>
              <w:pStyle w:val="TableContents"/>
              <w:spacing w:before="0" w:after="0"/>
              <w:ind w:left="0" w:right="0" w:hanging="0"/>
              <w:jc w:val="left"/>
              <w:rPr/>
            </w:pPr>
            <w:hyperlink w:anchor="condensed_consolidated_statements_compre">
              <w:r>
                <w:rPr>
                  <w:rStyle w:val="InternetLink"/>
                  <w:rFonts w:ascii="Times New Roman;serif" w:hAnsi="Times New Roman;serif"/>
                  <w:b w:val="false"/>
                  <w:sz w:val="20"/>
                  <w:u w:val="single"/>
                </w:rPr>
                <w:t>Condensed Consolidated Statements of Comprehensive Income (Loss) for the three months ended March 31, 2023 and 2022</w:t>
              </w:r>
            </w:hyperlink>
          </w:p>
        </w:tc>
        <w:tc>
          <w:tcPr>
            <w:tcW w:w="51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6</w:t>
            </w:r>
          </w:p>
        </w:tc>
      </w:tr>
      <w:tr>
        <w:trPr/>
        <w:tc>
          <w:tcPr>
            <w:tcW w:w="9694" w:type="dxa"/>
            <w:tcBorders/>
            <w:shd w:fill="auto" w:val="clear"/>
            <w:vAlign w:val="center"/>
          </w:tcPr>
          <w:p>
            <w:pPr>
              <w:pStyle w:val="TableContents"/>
              <w:spacing w:before="0" w:after="0"/>
              <w:ind w:left="0" w:right="0" w:hanging="0"/>
              <w:jc w:val="left"/>
              <w:rPr/>
            </w:pPr>
            <w:hyperlink w:anchor="condensed_consolidated_statements_cash_f">
              <w:r>
                <w:rPr>
                  <w:rStyle w:val="InternetLink"/>
                  <w:rFonts w:ascii="Times New Roman;serif" w:hAnsi="Times New Roman;serif"/>
                  <w:b w:val="false"/>
                  <w:sz w:val="20"/>
                  <w:u w:val="single"/>
                </w:rPr>
                <w:t>Condensed Consolidated Statements of Cash Flows for the three months ended March 31, 2023 and 2022</w:t>
              </w:r>
            </w:hyperlink>
          </w:p>
        </w:tc>
        <w:tc>
          <w:tcPr>
            <w:tcW w:w="51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7</w:t>
            </w:r>
          </w:p>
        </w:tc>
      </w:tr>
      <w:tr>
        <w:trPr/>
        <w:tc>
          <w:tcPr>
            <w:tcW w:w="9694" w:type="dxa"/>
            <w:tcBorders/>
            <w:shd w:fill="auto" w:val="clear"/>
            <w:vAlign w:val="center"/>
          </w:tcPr>
          <w:p>
            <w:pPr>
              <w:pStyle w:val="TableContents"/>
              <w:spacing w:before="0" w:after="0"/>
              <w:ind w:left="0" w:right="0" w:hanging="0"/>
              <w:jc w:val="left"/>
              <w:rPr/>
            </w:pPr>
            <w:hyperlink w:anchor="equity_statement">
              <w:r>
                <w:rPr>
                  <w:rStyle w:val="InternetLink"/>
                  <w:rFonts w:ascii="Times New Roman;serif" w:hAnsi="Times New Roman;serif"/>
                  <w:b w:val="false"/>
                  <w:sz w:val="20"/>
                  <w:u w:val="single"/>
                </w:rPr>
                <w:t>Condensed Consolidated Statements of Shareholders’ Equity for the three months ended March 31, 2023 and 2022</w:t>
              </w:r>
            </w:hyperlink>
          </w:p>
        </w:tc>
        <w:tc>
          <w:tcPr>
            <w:tcW w:w="51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8</w:t>
            </w:r>
          </w:p>
        </w:tc>
      </w:tr>
      <w:tr>
        <w:trPr/>
        <w:tc>
          <w:tcPr>
            <w:tcW w:w="9694" w:type="dxa"/>
            <w:tcBorders/>
            <w:shd w:fill="auto" w:val="clear"/>
            <w:vAlign w:val="center"/>
          </w:tcPr>
          <w:p>
            <w:pPr>
              <w:pStyle w:val="TableContents"/>
              <w:spacing w:before="0" w:after="0"/>
              <w:ind w:left="0" w:right="0" w:hanging="0"/>
              <w:jc w:val="left"/>
              <w:rPr/>
            </w:pPr>
            <w:hyperlink w:anchor="notes_to_condensed_consolidated_financia">
              <w:r>
                <w:rPr>
                  <w:rStyle w:val="InternetLink"/>
                  <w:rFonts w:ascii="Times New Roman;serif" w:hAnsi="Times New Roman;serif"/>
                  <w:b w:val="false"/>
                  <w:sz w:val="20"/>
                  <w:u w:val="single"/>
                </w:rPr>
                <w:t>Notes to Condensed Consolidated Financial Statements</w:t>
              </w:r>
            </w:hyperlink>
          </w:p>
        </w:tc>
        <w:tc>
          <w:tcPr>
            <w:tcW w:w="51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9</w:t>
            </w:r>
          </w:p>
        </w:tc>
      </w:tr>
    </w:tbl>
    <w:p>
      <w:pPr>
        <w:pStyle w:val="TextBody"/>
        <w:spacing w:before="0" w:after="160"/>
        <w:jc w:val="left"/>
        <w:rPr/>
      </w:pPr>
      <w:r>
        <w:rPr/>
        <w:t> </w:t>
      </w:r>
    </w:p>
    <w:p>
      <w:pPr>
        <w:pStyle w:val="TextBody"/>
        <w:spacing w:before="240" w:after="0"/>
        <w:jc w:val="center"/>
        <w:rPr>
          <w:rFonts w:ascii="Times New Roman;serif" w:hAnsi="Times New Roman;serif"/>
          <w:b w:val="false"/>
          <w:sz w:val="20"/>
        </w:rPr>
      </w:pPr>
      <w:r>
        <w:rPr>
          <w:rFonts w:ascii="Times New Roman;serif" w:hAnsi="Times New Roman;serif"/>
          <w:b w:val="false"/>
          <w:sz w:val="20"/>
        </w:rPr>
        <w:t>3</w:t>
      </w:r>
    </w:p>
    <w:p>
      <w:pPr>
        <w:pStyle w:val="HorizontalLine"/>
        <w:rPr/>
      </w:pPr>
      <w:r>
        <w:rPr/>
      </w:r>
    </w:p>
    <w:p>
      <w:pPr>
        <w:pStyle w:val="TextBody"/>
        <w:spacing w:before="0" w:after="0"/>
        <w:jc w:val="left"/>
        <w:rPr/>
      </w:pPr>
      <w:r>
        <w:rPr/>
        <w:t> </w:t>
      </w:r>
    </w:p>
    <w:p>
      <w:pPr>
        <w:pStyle w:val="TextBody"/>
        <w:spacing w:before="0" w:after="0"/>
        <w:jc w:val="center"/>
        <w:rPr>
          <w:rFonts w:ascii="Times New Roman;serif" w:hAnsi="Times New Roman;serif"/>
          <w:b/>
          <w:sz w:val="20"/>
        </w:rPr>
      </w:pPr>
      <w:r>
        <w:rPr>
          <w:rFonts w:ascii="Times New Roman;serif" w:hAnsi="Times New Roman;serif"/>
          <w:b/>
          <w:sz w:val="20"/>
        </w:rPr>
        <w:t>IMAX CORPORATION</w:t>
      </w:r>
    </w:p>
    <w:p>
      <w:pPr>
        <w:pStyle w:val="TextBody"/>
        <w:spacing w:before="0" w:after="0"/>
        <w:jc w:val="center"/>
        <w:rPr>
          <w:rFonts w:ascii="Times New Roman;serif" w:hAnsi="Times New Roman;serif"/>
          <w:b/>
          <w:sz w:val="20"/>
        </w:rPr>
      </w:pPr>
      <w:bookmarkStart w:id="5" w:name="condensed_consolidated_balance_sheets"/>
      <w:bookmarkEnd w:id="5"/>
      <w:r>
        <w:rPr>
          <w:rFonts w:ascii="Times New Roman;serif" w:hAnsi="Times New Roman;serif"/>
          <w:b/>
          <w:sz w:val="20"/>
        </w:rPr>
        <w:t>CONDENSED CONSOLIDATED BALANCE SHEETS</w:t>
      </w:r>
    </w:p>
    <w:p>
      <w:pPr>
        <w:pStyle w:val="TextBody"/>
        <w:spacing w:before="0" w:after="0"/>
        <w:jc w:val="center"/>
        <w:rPr>
          <w:rFonts w:ascii="Times New Roman;serif" w:hAnsi="Times New Roman;serif"/>
          <w:b w:val="false"/>
          <w:i/>
          <w:sz w:val="20"/>
        </w:rPr>
      </w:pPr>
      <w:r>
        <w:rPr>
          <w:rFonts w:ascii="Times New Roman;serif" w:hAnsi="Times New Roman;serif"/>
          <w:b w:val="false"/>
          <w:i/>
          <w:sz w:val="20"/>
        </w:rPr>
        <w:t>(In thousands of U.S. Dollars, except share amounts)</w:t>
      </w:r>
    </w:p>
    <w:p>
      <w:pPr>
        <w:pStyle w:val="TextBody"/>
        <w:spacing w:before="0" w:after="0"/>
        <w:jc w:val="center"/>
        <w:rPr>
          <w:rFonts w:ascii="Times New Roman;serif" w:hAnsi="Times New Roman;serif"/>
          <w:b w:val="false"/>
          <w:i/>
          <w:sz w:val="20"/>
        </w:rPr>
      </w:pPr>
      <w:r>
        <w:rPr>
          <w:rFonts w:ascii="Times New Roman;serif" w:hAnsi="Times New Roman;serif"/>
          <w:b w:val="false"/>
          <w:i/>
          <w:sz w:val="20"/>
        </w:rPr>
        <w:t>(Unaudited)</w:t>
      </w:r>
    </w:p>
    <w:p>
      <w:pPr>
        <w:pStyle w:val="TextBody"/>
        <w:spacing w:before="0" w:after="0"/>
        <w:jc w:val="both"/>
        <w:rPr/>
      </w:pPr>
      <w:r>
        <w:rPr/>
        <w:t> </w:t>
      </w:r>
    </w:p>
    <w:tbl>
      <w:tblPr>
        <w:tblW w:w="10205" w:type="dxa"/>
        <w:jc w:val="left"/>
        <w:tblInd w:w="0" w:type="dxa"/>
        <w:tblCellMar>
          <w:top w:w="28" w:type="dxa"/>
          <w:left w:w="28" w:type="dxa"/>
          <w:bottom w:w="28" w:type="dxa"/>
          <w:right w:w="28" w:type="dxa"/>
        </w:tblCellMar>
      </w:tblPr>
      <w:tblGrid>
        <w:gridCol w:w="7213"/>
        <w:gridCol w:w="146"/>
        <w:gridCol w:w="211"/>
        <w:gridCol w:w="841"/>
        <w:gridCol w:w="166"/>
        <w:gridCol w:w="146"/>
        <w:gridCol w:w="218"/>
        <w:gridCol w:w="872"/>
        <w:gridCol w:w="392"/>
      </w:tblGrid>
      <w:tr>
        <w:trPr/>
        <w:tc>
          <w:tcPr>
            <w:tcW w:w="7213"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41" w:type="dxa"/>
            <w:tcBorders/>
            <w:shd w:fill="auto" w:val="clear"/>
            <w:vAlign w:val="center"/>
          </w:tcPr>
          <w:p>
            <w:pPr>
              <w:pStyle w:val="TableContents"/>
              <w:spacing w:before="0" w:after="283"/>
              <w:rPr>
                <w:sz w:val="4"/>
                <w:szCs w:val="4"/>
              </w:rPr>
            </w:pPr>
            <w:r>
              <w:rPr>
                <w:sz w:val="4"/>
                <w:szCs w:val="4"/>
              </w:rPr>
            </w:r>
          </w:p>
        </w:tc>
        <w:tc>
          <w:tcPr>
            <w:tcW w:w="16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18" w:type="dxa"/>
            <w:tcBorders/>
            <w:shd w:fill="auto" w:val="clear"/>
            <w:vAlign w:val="center"/>
          </w:tcPr>
          <w:p>
            <w:pPr>
              <w:pStyle w:val="TableContents"/>
              <w:spacing w:before="0" w:after="283"/>
              <w:rPr>
                <w:sz w:val="4"/>
                <w:szCs w:val="4"/>
              </w:rPr>
            </w:pPr>
            <w:r>
              <w:rPr>
                <w:sz w:val="4"/>
                <w:szCs w:val="4"/>
              </w:rPr>
            </w:r>
          </w:p>
        </w:tc>
        <w:tc>
          <w:tcPr>
            <w:tcW w:w="872" w:type="dxa"/>
            <w:tcBorders/>
            <w:shd w:fill="auto" w:val="clear"/>
            <w:vAlign w:val="center"/>
          </w:tcPr>
          <w:p>
            <w:pPr>
              <w:pStyle w:val="TableContents"/>
              <w:spacing w:before="0" w:after="283"/>
              <w:rPr>
                <w:sz w:val="4"/>
                <w:szCs w:val="4"/>
              </w:rPr>
            </w:pPr>
            <w:r>
              <w:rPr>
                <w:sz w:val="4"/>
                <w:szCs w:val="4"/>
              </w:rPr>
            </w:r>
          </w:p>
        </w:tc>
        <w:tc>
          <w:tcPr>
            <w:tcW w:w="392" w:type="dxa"/>
            <w:tcBorders/>
            <w:shd w:fill="auto" w:val="clear"/>
            <w:vAlign w:val="center"/>
          </w:tcPr>
          <w:p>
            <w:pPr>
              <w:pStyle w:val="TableContents"/>
              <w:spacing w:before="0" w:after="283"/>
              <w:rPr>
                <w:sz w:val="4"/>
                <w:szCs w:val="4"/>
              </w:rPr>
            </w:pPr>
            <w:r>
              <w:rPr>
                <w:sz w:val="4"/>
                <w:szCs w:val="4"/>
              </w:rPr>
            </w:r>
          </w:p>
        </w:tc>
      </w:tr>
      <w:tr>
        <w:trPr/>
        <w:tc>
          <w:tcPr>
            <w:tcW w:w="7213"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052" w:type="dxa"/>
            <w:gridSpan w:val="2"/>
            <w:tcBorders/>
            <w:shd w:fill="auto" w:val="cle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March 31,</w:t>
            </w:r>
          </w:p>
        </w:tc>
        <w:tc>
          <w:tcPr>
            <w:tcW w:w="166"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090" w:type="dxa"/>
            <w:gridSpan w:val="2"/>
            <w:tcBorders/>
            <w:shd w:fill="auto" w:val="cle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December 31,</w:t>
            </w:r>
          </w:p>
        </w:tc>
        <w:tc>
          <w:tcPr>
            <w:tcW w:w="392" w:type="dxa"/>
            <w:tcBorders/>
            <w:shd w:fill="auto" w:val="clear"/>
            <w:vAlign w:val="center"/>
          </w:tcPr>
          <w:p>
            <w:pPr>
              <w:pStyle w:val="TableContents"/>
              <w:spacing w:before="0" w:after="0"/>
              <w:ind w:left="0" w:right="0" w:hanging="0"/>
              <w:jc w:val="center"/>
              <w:rPr/>
            </w:pPr>
            <w:r>
              <w:rPr/>
              <w:t> </w:t>
            </w:r>
          </w:p>
        </w:tc>
      </w:tr>
      <w:tr>
        <w:trPr/>
        <w:tc>
          <w:tcPr>
            <w:tcW w:w="7213"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052"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2023</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090"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2022</w:t>
            </w:r>
          </w:p>
        </w:tc>
        <w:tc>
          <w:tcPr>
            <w:tcW w:w="392"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7213" w:type="dxa"/>
            <w:tcBorders/>
            <w:shd w:fill="auto" w:val="clear"/>
            <w:vAlign w:val="center"/>
          </w:tcPr>
          <w:p>
            <w:pPr>
              <w:pStyle w:val="TableContents"/>
              <w:spacing w:before="0" w:after="0"/>
              <w:ind w:left="0" w:right="0" w:hanging="0"/>
              <w:jc w:val="left"/>
              <w:rPr>
                <w:rFonts w:ascii="Times New Roman;serif" w:hAnsi="Times New Roman;serif"/>
                <w:b/>
                <w:sz w:val="20"/>
              </w:rPr>
            </w:pPr>
            <w:r>
              <w:rPr>
                <w:rFonts w:ascii="Times New Roman;serif" w:hAnsi="Times New Roman;serif"/>
                <w:b/>
                <w:sz w:val="20"/>
              </w:rPr>
              <w:t>Assets</w:t>
            </w:r>
          </w:p>
        </w:tc>
        <w:tc>
          <w:tcPr>
            <w:tcW w:w="146" w:type="dxa"/>
            <w:tcBorders/>
            <w:shd w:fill="auto" w:val="clear"/>
            <w:vAlign w:val="center"/>
          </w:tcPr>
          <w:p>
            <w:pPr>
              <w:pStyle w:val="TableContents"/>
              <w:spacing w:before="0" w:after="0"/>
              <w:ind w:left="0" w:right="0" w:hanging="0"/>
              <w:jc w:val="left"/>
              <w:rPr/>
            </w:pPr>
            <w:r>
              <w:rPr/>
              <w:t> </w:t>
            </w:r>
          </w:p>
        </w:tc>
        <w:tc>
          <w:tcPr>
            <w:tcW w:w="1052" w:type="dxa"/>
            <w:gridSpan w:val="2"/>
            <w:tcBorders/>
            <w:shd w:fill="auto" w:val="clear"/>
            <w:vAlign w:val="center"/>
          </w:tcPr>
          <w:p>
            <w:pPr>
              <w:pStyle w:val="TableContents"/>
              <w:spacing w:before="0" w:after="0"/>
              <w:ind w:left="0" w:right="0" w:hanging="0"/>
              <w:jc w:val="left"/>
              <w:rPr/>
            </w:pPr>
            <w:r>
              <w:rPr/>
              <w:t> </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090" w:type="dxa"/>
            <w:gridSpan w:val="2"/>
            <w:tcBorders/>
            <w:shd w:fill="auto" w:val="clear"/>
            <w:vAlign w:val="center"/>
          </w:tcPr>
          <w:p>
            <w:pPr>
              <w:pStyle w:val="TableContents"/>
              <w:spacing w:before="0" w:after="0"/>
              <w:ind w:left="0" w:right="0" w:hanging="0"/>
              <w:jc w:val="left"/>
              <w:rPr/>
            </w:pPr>
            <w:r>
              <w:rPr/>
              <w:t> </w:t>
            </w:r>
          </w:p>
        </w:tc>
        <w:tc>
          <w:tcPr>
            <w:tcW w:w="392" w:type="dxa"/>
            <w:tcBorders/>
            <w:shd w:fill="auto" w:val="clear"/>
            <w:vAlign w:val="center"/>
          </w:tcPr>
          <w:p>
            <w:pPr>
              <w:pStyle w:val="TableContents"/>
              <w:spacing w:before="0" w:after="0"/>
              <w:ind w:left="0" w:right="0" w:hanging="0"/>
              <w:jc w:val="left"/>
              <w:rPr/>
            </w:pPr>
            <w:r>
              <w:rPr/>
              <w:t> </w:t>
            </w:r>
          </w:p>
        </w:tc>
      </w:tr>
      <w:tr>
        <w:trPr/>
        <w:tc>
          <w:tcPr>
            <w:tcW w:w="7213"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Cash and cash equivalents</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84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99,246</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8"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872"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97,401</w:t>
            </w:r>
          </w:p>
        </w:tc>
        <w:tc>
          <w:tcPr>
            <w:tcW w:w="392" w:type="dxa"/>
            <w:tcBorders/>
            <w:shd w:fill="auto" w:val="clear"/>
            <w:vAlign w:val="center"/>
          </w:tcPr>
          <w:p>
            <w:pPr>
              <w:pStyle w:val="TableContents"/>
              <w:spacing w:before="0" w:after="0"/>
              <w:ind w:left="0" w:right="0" w:hanging="0"/>
              <w:jc w:val="left"/>
              <w:rPr/>
            </w:pPr>
            <w:r>
              <w:rPr/>
              <w:t> </w:t>
            </w:r>
          </w:p>
        </w:tc>
      </w:tr>
      <w:tr>
        <w:trPr/>
        <w:tc>
          <w:tcPr>
            <w:tcW w:w="7213"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Accounts receivable, net of allowance for credit losses</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84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123,382</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8" w:type="dxa"/>
            <w:tcBorders/>
            <w:shd w:fill="auto" w:val="clear"/>
            <w:vAlign w:val="center"/>
          </w:tcPr>
          <w:p>
            <w:pPr>
              <w:pStyle w:val="TableContents"/>
              <w:spacing w:before="0" w:after="0"/>
              <w:ind w:left="0" w:right="0" w:hanging="0"/>
              <w:jc w:val="left"/>
              <w:rPr/>
            </w:pPr>
            <w:r>
              <w:rPr/>
              <w:t> </w:t>
            </w:r>
          </w:p>
        </w:tc>
        <w:tc>
          <w:tcPr>
            <w:tcW w:w="872"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136,142</w:t>
            </w:r>
          </w:p>
        </w:tc>
        <w:tc>
          <w:tcPr>
            <w:tcW w:w="392" w:type="dxa"/>
            <w:tcBorders/>
            <w:shd w:fill="auto" w:val="clear"/>
            <w:vAlign w:val="center"/>
          </w:tcPr>
          <w:p>
            <w:pPr>
              <w:pStyle w:val="TableContents"/>
              <w:spacing w:before="0" w:after="0"/>
              <w:ind w:left="0" w:right="0" w:hanging="0"/>
              <w:jc w:val="left"/>
              <w:rPr/>
            </w:pPr>
            <w:r>
              <w:rPr/>
              <w:t> </w:t>
            </w:r>
          </w:p>
        </w:tc>
      </w:tr>
      <w:tr>
        <w:trPr/>
        <w:tc>
          <w:tcPr>
            <w:tcW w:w="7213"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Financing receivables, net of allowance for credit losses</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84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131,187</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8" w:type="dxa"/>
            <w:tcBorders/>
            <w:shd w:fill="auto" w:val="clear"/>
            <w:vAlign w:val="center"/>
          </w:tcPr>
          <w:p>
            <w:pPr>
              <w:pStyle w:val="TableContents"/>
              <w:spacing w:before="0" w:after="0"/>
              <w:ind w:left="0" w:right="0" w:hanging="0"/>
              <w:jc w:val="left"/>
              <w:rPr/>
            </w:pPr>
            <w:r>
              <w:rPr/>
              <w:t> </w:t>
            </w:r>
          </w:p>
        </w:tc>
        <w:tc>
          <w:tcPr>
            <w:tcW w:w="872"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129,384</w:t>
            </w:r>
          </w:p>
        </w:tc>
        <w:tc>
          <w:tcPr>
            <w:tcW w:w="392" w:type="dxa"/>
            <w:tcBorders/>
            <w:shd w:fill="auto" w:val="clear"/>
            <w:vAlign w:val="center"/>
          </w:tcPr>
          <w:p>
            <w:pPr>
              <w:pStyle w:val="TableContents"/>
              <w:spacing w:before="0" w:after="0"/>
              <w:ind w:left="0" w:right="0" w:hanging="0"/>
              <w:jc w:val="left"/>
              <w:rPr/>
            </w:pPr>
            <w:r>
              <w:rPr/>
              <w:t> </w:t>
            </w:r>
          </w:p>
        </w:tc>
      </w:tr>
      <w:tr>
        <w:trPr/>
        <w:tc>
          <w:tcPr>
            <w:tcW w:w="7213"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Variable consideration receivables, net of allowance for credit losses</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84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47,380</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8" w:type="dxa"/>
            <w:tcBorders/>
            <w:shd w:fill="auto" w:val="clear"/>
            <w:vAlign w:val="center"/>
          </w:tcPr>
          <w:p>
            <w:pPr>
              <w:pStyle w:val="TableContents"/>
              <w:spacing w:before="0" w:after="0"/>
              <w:ind w:left="0" w:right="0" w:hanging="0"/>
              <w:jc w:val="left"/>
              <w:rPr/>
            </w:pPr>
            <w:r>
              <w:rPr/>
              <w:t> </w:t>
            </w:r>
          </w:p>
        </w:tc>
        <w:tc>
          <w:tcPr>
            <w:tcW w:w="872"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44,024</w:t>
            </w:r>
          </w:p>
        </w:tc>
        <w:tc>
          <w:tcPr>
            <w:tcW w:w="392" w:type="dxa"/>
            <w:tcBorders/>
            <w:shd w:fill="auto" w:val="clear"/>
            <w:vAlign w:val="center"/>
          </w:tcPr>
          <w:p>
            <w:pPr>
              <w:pStyle w:val="TableContents"/>
              <w:spacing w:before="0" w:after="0"/>
              <w:ind w:left="0" w:right="0" w:hanging="0"/>
              <w:jc w:val="left"/>
              <w:rPr/>
            </w:pPr>
            <w:r>
              <w:rPr/>
              <w:t> </w:t>
            </w:r>
          </w:p>
        </w:tc>
      </w:tr>
      <w:tr>
        <w:trPr/>
        <w:tc>
          <w:tcPr>
            <w:tcW w:w="7213"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Inventories</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84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37,492</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8" w:type="dxa"/>
            <w:tcBorders/>
            <w:shd w:fill="auto" w:val="clear"/>
            <w:vAlign w:val="center"/>
          </w:tcPr>
          <w:p>
            <w:pPr>
              <w:pStyle w:val="TableContents"/>
              <w:spacing w:before="0" w:after="0"/>
              <w:ind w:left="0" w:right="0" w:hanging="0"/>
              <w:jc w:val="left"/>
              <w:rPr/>
            </w:pPr>
            <w:r>
              <w:rPr/>
              <w:t> </w:t>
            </w:r>
          </w:p>
        </w:tc>
        <w:tc>
          <w:tcPr>
            <w:tcW w:w="872"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31,534</w:t>
            </w:r>
          </w:p>
        </w:tc>
        <w:tc>
          <w:tcPr>
            <w:tcW w:w="392" w:type="dxa"/>
            <w:tcBorders/>
            <w:shd w:fill="auto" w:val="clear"/>
            <w:vAlign w:val="center"/>
          </w:tcPr>
          <w:p>
            <w:pPr>
              <w:pStyle w:val="TableContents"/>
              <w:spacing w:before="0" w:after="0"/>
              <w:ind w:left="0" w:right="0" w:hanging="0"/>
              <w:jc w:val="left"/>
              <w:rPr/>
            </w:pPr>
            <w:r>
              <w:rPr/>
              <w:t> </w:t>
            </w:r>
          </w:p>
        </w:tc>
      </w:tr>
      <w:tr>
        <w:trPr/>
        <w:tc>
          <w:tcPr>
            <w:tcW w:w="7213"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Prepaid expenses</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84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14,296</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8" w:type="dxa"/>
            <w:tcBorders/>
            <w:shd w:fill="auto" w:val="clear"/>
            <w:vAlign w:val="center"/>
          </w:tcPr>
          <w:p>
            <w:pPr>
              <w:pStyle w:val="TableContents"/>
              <w:spacing w:before="0" w:after="0"/>
              <w:ind w:left="0" w:right="0" w:hanging="0"/>
              <w:jc w:val="left"/>
              <w:rPr/>
            </w:pPr>
            <w:r>
              <w:rPr/>
              <w:t> </w:t>
            </w:r>
          </w:p>
        </w:tc>
        <w:tc>
          <w:tcPr>
            <w:tcW w:w="872"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12,343</w:t>
            </w:r>
          </w:p>
        </w:tc>
        <w:tc>
          <w:tcPr>
            <w:tcW w:w="392" w:type="dxa"/>
            <w:tcBorders/>
            <w:shd w:fill="auto" w:val="clear"/>
            <w:vAlign w:val="center"/>
          </w:tcPr>
          <w:p>
            <w:pPr>
              <w:pStyle w:val="TableContents"/>
              <w:spacing w:before="0" w:after="0"/>
              <w:ind w:left="0" w:right="0" w:hanging="0"/>
              <w:jc w:val="left"/>
              <w:rPr/>
            </w:pPr>
            <w:r>
              <w:rPr/>
              <w:t> </w:t>
            </w:r>
          </w:p>
        </w:tc>
      </w:tr>
      <w:tr>
        <w:trPr/>
        <w:tc>
          <w:tcPr>
            <w:tcW w:w="7213"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Film assets, net of accumulated amortization</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84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6,347</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8" w:type="dxa"/>
            <w:tcBorders/>
            <w:shd w:fill="auto" w:val="clear"/>
            <w:vAlign w:val="center"/>
          </w:tcPr>
          <w:p>
            <w:pPr>
              <w:pStyle w:val="TableContents"/>
              <w:spacing w:before="0" w:after="0"/>
              <w:ind w:left="0" w:right="0" w:hanging="0"/>
              <w:jc w:val="left"/>
              <w:rPr/>
            </w:pPr>
            <w:r>
              <w:rPr/>
              <w:t> </w:t>
            </w:r>
          </w:p>
        </w:tc>
        <w:tc>
          <w:tcPr>
            <w:tcW w:w="872"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5,277</w:t>
            </w:r>
          </w:p>
        </w:tc>
        <w:tc>
          <w:tcPr>
            <w:tcW w:w="392" w:type="dxa"/>
            <w:tcBorders/>
            <w:shd w:fill="auto" w:val="clear"/>
            <w:vAlign w:val="center"/>
          </w:tcPr>
          <w:p>
            <w:pPr>
              <w:pStyle w:val="TableContents"/>
              <w:spacing w:before="0" w:after="0"/>
              <w:ind w:left="0" w:right="0" w:hanging="0"/>
              <w:jc w:val="left"/>
              <w:rPr/>
            </w:pPr>
            <w:r>
              <w:rPr/>
              <w:t> </w:t>
            </w:r>
          </w:p>
        </w:tc>
      </w:tr>
      <w:tr>
        <w:trPr/>
        <w:tc>
          <w:tcPr>
            <w:tcW w:w="7213"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Property, plant and equipment, net of accumulated depreciation</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84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248,279</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8" w:type="dxa"/>
            <w:tcBorders/>
            <w:shd w:fill="auto" w:val="clear"/>
            <w:vAlign w:val="center"/>
          </w:tcPr>
          <w:p>
            <w:pPr>
              <w:pStyle w:val="TableContents"/>
              <w:spacing w:before="0" w:after="0"/>
              <w:ind w:left="0" w:right="0" w:hanging="0"/>
              <w:jc w:val="left"/>
              <w:rPr/>
            </w:pPr>
            <w:r>
              <w:rPr/>
              <w:t> </w:t>
            </w:r>
          </w:p>
        </w:tc>
        <w:tc>
          <w:tcPr>
            <w:tcW w:w="872"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252,896</w:t>
            </w:r>
          </w:p>
        </w:tc>
        <w:tc>
          <w:tcPr>
            <w:tcW w:w="392" w:type="dxa"/>
            <w:tcBorders/>
            <w:shd w:fill="auto" w:val="clear"/>
            <w:vAlign w:val="center"/>
          </w:tcPr>
          <w:p>
            <w:pPr>
              <w:pStyle w:val="TableContents"/>
              <w:spacing w:before="0" w:after="0"/>
              <w:ind w:left="0" w:right="0" w:hanging="0"/>
              <w:jc w:val="left"/>
              <w:rPr/>
            </w:pPr>
            <w:r>
              <w:rPr/>
              <w:t> </w:t>
            </w:r>
          </w:p>
        </w:tc>
      </w:tr>
      <w:tr>
        <w:trPr/>
        <w:tc>
          <w:tcPr>
            <w:tcW w:w="7213"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Investment in equity securities</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84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1,050</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8" w:type="dxa"/>
            <w:tcBorders/>
            <w:shd w:fill="auto" w:val="clear"/>
            <w:vAlign w:val="center"/>
          </w:tcPr>
          <w:p>
            <w:pPr>
              <w:pStyle w:val="TableContents"/>
              <w:spacing w:before="0" w:after="0"/>
              <w:ind w:left="0" w:right="0" w:hanging="0"/>
              <w:jc w:val="left"/>
              <w:rPr/>
            </w:pPr>
            <w:r>
              <w:rPr/>
              <w:t> </w:t>
            </w:r>
          </w:p>
        </w:tc>
        <w:tc>
          <w:tcPr>
            <w:tcW w:w="872"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1,035</w:t>
            </w:r>
          </w:p>
        </w:tc>
        <w:tc>
          <w:tcPr>
            <w:tcW w:w="392" w:type="dxa"/>
            <w:tcBorders/>
            <w:shd w:fill="auto" w:val="clear"/>
            <w:vAlign w:val="center"/>
          </w:tcPr>
          <w:p>
            <w:pPr>
              <w:pStyle w:val="TableContents"/>
              <w:spacing w:before="0" w:after="0"/>
              <w:ind w:left="0" w:right="0" w:hanging="0"/>
              <w:jc w:val="left"/>
              <w:rPr/>
            </w:pPr>
            <w:r>
              <w:rPr/>
              <w:t> </w:t>
            </w:r>
          </w:p>
        </w:tc>
      </w:tr>
      <w:tr>
        <w:trPr/>
        <w:tc>
          <w:tcPr>
            <w:tcW w:w="7213"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Other assets</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84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15,480</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8" w:type="dxa"/>
            <w:tcBorders/>
            <w:shd w:fill="auto" w:val="clear"/>
            <w:vAlign w:val="center"/>
          </w:tcPr>
          <w:p>
            <w:pPr>
              <w:pStyle w:val="TableContents"/>
              <w:spacing w:before="0" w:after="0"/>
              <w:ind w:left="0" w:right="0" w:hanging="0"/>
              <w:jc w:val="left"/>
              <w:rPr/>
            </w:pPr>
            <w:r>
              <w:rPr/>
              <w:t> </w:t>
            </w:r>
          </w:p>
        </w:tc>
        <w:tc>
          <w:tcPr>
            <w:tcW w:w="872"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15,665</w:t>
            </w:r>
          </w:p>
        </w:tc>
        <w:tc>
          <w:tcPr>
            <w:tcW w:w="392" w:type="dxa"/>
            <w:tcBorders/>
            <w:shd w:fill="auto" w:val="clear"/>
            <w:vAlign w:val="center"/>
          </w:tcPr>
          <w:p>
            <w:pPr>
              <w:pStyle w:val="TableContents"/>
              <w:spacing w:before="0" w:after="0"/>
              <w:ind w:left="0" w:right="0" w:hanging="0"/>
              <w:jc w:val="left"/>
              <w:rPr/>
            </w:pPr>
            <w:r>
              <w:rPr/>
              <w:t> </w:t>
            </w:r>
          </w:p>
        </w:tc>
      </w:tr>
      <w:tr>
        <w:trPr/>
        <w:tc>
          <w:tcPr>
            <w:tcW w:w="7213"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Deferred income tax assets, net of valuation allowance</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84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11,218</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8" w:type="dxa"/>
            <w:tcBorders/>
            <w:shd w:fill="auto" w:val="clear"/>
            <w:vAlign w:val="center"/>
          </w:tcPr>
          <w:p>
            <w:pPr>
              <w:pStyle w:val="TableContents"/>
              <w:spacing w:before="0" w:after="0"/>
              <w:ind w:left="0" w:right="0" w:hanging="0"/>
              <w:jc w:val="left"/>
              <w:rPr/>
            </w:pPr>
            <w:r>
              <w:rPr/>
              <w:t> </w:t>
            </w:r>
          </w:p>
        </w:tc>
        <w:tc>
          <w:tcPr>
            <w:tcW w:w="872"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9,900</w:t>
            </w:r>
          </w:p>
        </w:tc>
        <w:tc>
          <w:tcPr>
            <w:tcW w:w="392" w:type="dxa"/>
            <w:tcBorders/>
            <w:shd w:fill="auto" w:val="clear"/>
            <w:vAlign w:val="center"/>
          </w:tcPr>
          <w:p>
            <w:pPr>
              <w:pStyle w:val="TableContents"/>
              <w:spacing w:before="0" w:after="0"/>
              <w:ind w:left="0" w:right="0" w:hanging="0"/>
              <w:jc w:val="left"/>
              <w:rPr/>
            </w:pPr>
            <w:r>
              <w:rPr/>
              <w:t> </w:t>
            </w:r>
          </w:p>
        </w:tc>
      </w:tr>
      <w:tr>
        <w:trPr/>
        <w:tc>
          <w:tcPr>
            <w:tcW w:w="7213"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Goodwill</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84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52,815</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8" w:type="dxa"/>
            <w:tcBorders/>
            <w:shd w:fill="auto" w:val="clear"/>
            <w:vAlign w:val="center"/>
          </w:tcPr>
          <w:p>
            <w:pPr>
              <w:pStyle w:val="TableContents"/>
              <w:spacing w:before="0" w:after="0"/>
              <w:ind w:left="0" w:right="0" w:hanging="0"/>
              <w:jc w:val="left"/>
              <w:rPr/>
            </w:pPr>
            <w:r>
              <w:rPr/>
              <w:t> </w:t>
            </w:r>
          </w:p>
        </w:tc>
        <w:tc>
          <w:tcPr>
            <w:tcW w:w="872"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52,815</w:t>
            </w:r>
          </w:p>
        </w:tc>
        <w:tc>
          <w:tcPr>
            <w:tcW w:w="392" w:type="dxa"/>
            <w:tcBorders/>
            <w:shd w:fill="auto" w:val="clear"/>
            <w:vAlign w:val="center"/>
          </w:tcPr>
          <w:p>
            <w:pPr>
              <w:pStyle w:val="TableContents"/>
              <w:spacing w:before="0" w:after="0"/>
              <w:ind w:left="0" w:right="0" w:hanging="0"/>
              <w:jc w:val="left"/>
              <w:rPr/>
            </w:pPr>
            <w:r>
              <w:rPr/>
              <w:t> </w:t>
            </w:r>
          </w:p>
        </w:tc>
      </w:tr>
      <w:tr>
        <w:trPr/>
        <w:tc>
          <w:tcPr>
            <w:tcW w:w="7213"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Other intangible assets, net of accumulated amortization</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84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33,349</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8"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872"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32,738</w:t>
            </w:r>
          </w:p>
        </w:tc>
        <w:tc>
          <w:tcPr>
            <w:tcW w:w="392"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r>
        <w:trPr/>
        <w:tc>
          <w:tcPr>
            <w:tcW w:w="7213" w:type="dxa"/>
            <w:tcBorders/>
            <w:shd w:fill="auto" w:val="clear"/>
            <w:vAlign w:val="center"/>
          </w:tcPr>
          <w:p>
            <w:pPr>
              <w:pStyle w:val="TableContents"/>
              <w:spacing w:before="0" w:after="0"/>
              <w:ind w:left="0" w:right="0" w:hanging="0"/>
              <w:jc w:val="left"/>
              <w:rPr>
                <w:rFonts w:ascii="Times New Roman;serif" w:hAnsi="Times New Roman;serif"/>
                <w:b/>
                <w:sz w:val="20"/>
              </w:rPr>
            </w:pPr>
            <w:r>
              <w:rPr>
                <w:rFonts w:ascii="Times New Roman;serif" w:hAnsi="Times New Roman;serif"/>
                <w:b/>
                <w:sz w:val="20"/>
              </w:rPr>
              <w:t>Total assets</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sz w:val="20"/>
              </w:rPr>
            </w:pPr>
            <w:r>
              <w:rPr>
                <w:rFonts w:ascii="Times New Roman;serif" w:hAnsi="Times New Roman;serif"/>
                <w:b/>
                <w:sz w:val="20"/>
              </w:rPr>
              <w:t>$</w:t>
            </w:r>
          </w:p>
        </w:tc>
        <w:tc>
          <w:tcPr>
            <w:tcW w:w="84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sz w:val="20"/>
              </w:rPr>
            </w:pPr>
            <w:r>
              <w:rPr>
                <w:rFonts w:ascii="Times New Roman;serif" w:hAnsi="Times New Roman;serif"/>
                <w:b/>
                <w:sz w:val="20"/>
              </w:rPr>
              <w:t>821,521</w:t>
            </w:r>
          </w:p>
        </w:tc>
        <w:tc>
          <w:tcPr>
            <w:tcW w:w="16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8"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sz w:val="20"/>
              </w:rPr>
            </w:pPr>
            <w:r>
              <w:rPr>
                <w:rFonts w:ascii="Times New Roman;serif" w:hAnsi="Times New Roman;serif"/>
                <w:b/>
                <w:sz w:val="20"/>
              </w:rPr>
              <w:t>$</w:t>
            </w:r>
          </w:p>
        </w:tc>
        <w:tc>
          <w:tcPr>
            <w:tcW w:w="872"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sz w:val="20"/>
              </w:rPr>
            </w:pPr>
            <w:r>
              <w:rPr>
                <w:rFonts w:ascii="Times New Roman;serif" w:hAnsi="Times New Roman;serif"/>
                <w:b/>
                <w:sz w:val="20"/>
              </w:rPr>
              <w:t>821,154</w:t>
            </w:r>
          </w:p>
        </w:tc>
        <w:tc>
          <w:tcPr>
            <w:tcW w:w="392"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r>
        <w:trPr/>
        <w:tc>
          <w:tcPr>
            <w:tcW w:w="7213" w:type="dxa"/>
            <w:tcBorders/>
            <w:shd w:fill="auto" w:val="clear"/>
            <w:vAlign w:val="center"/>
          </w:tcPr>
          <w:p>
            <w:pPr>
              <w:pStyle w:val="TableContents"/>
              <w:spacing w:before="0" w:after="0"/>
              <w:ind w:left="0" w:right="0" w:hanging="0"/>
              <w:jc w:val="left"/>
              <w:rPr>
                <w:rFonts w:ascii="Times New Roman;serif" w:hAnsi="Times New Roman;serif"/>
                <w:b/>
                <w:sz w:val="20"/>
              </w:rPr>
            </w:pPr>
            <w:r>
              <w:rPr>
                <w:rFonts w:ascii="Times New Roman;serif" w:hAnsi="Times New Roman;serif"/>
                <w:b/>
                <w:sz w:val="20"/>
              </w:rPr>
              <w:t>Liabilities</w:t>
            </w:r>
          </w:p>
        </w:tc>
        <w:tc>
          <w:tcPr>
            <w:tcW w:w="146" w:type="dxa"/>
            <w:tcBorders/>
            <w:shd w:fill="auto" w:val="clear"/>
            <w:vAlign w:val="center"/>
          </w:tcPr>
          <w:p>
            <w:pPr>
              <w:pStyle w:val="TableContents"/>
              <w:spacing w:before="0" w:after="0"/>
              <w:ind w:left="0" w:right="0" w:hanging="0"/>
              <w:jc w:val="left"/>
              <w:rPr/>
            </w:pPr>
            <w:r>
              <w:rPr/>
              <w:t> </w:t>
            </w:r>
          </w:p>
        </w:tc>
        <w:tc>
          <w:tcPr>
            <w:tcW w:w="1052" w:type="dxa"/>
            <w:gridSpan w:val="2"/>
            <w:tcBorders/>
            <w:shd w:fill="auto" w:val="clear"/>
            <w:vAlign w:val="center"/>
          </w:tcPr>
          <w:p>
            <w:pPr>
              <w:pStyle w:val="TableContents"/>
              <w:spacing w:before="0" w:after="0"/>
              <w:ind w:left="0" w:right="0" w:hanging="0"/>
              <w:jc w:val="right"/>
              <w:rPr/>
            </w:pPr>
            <w:r>
              <w:rPr/>
              <w:t> </w:t>
            </w:r>
          </w:p>
        </w:tc>
        <w:tc>
          <w:tcPr>
            <w:tcW w:w="16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090" w:type="dxa"/>
            <w:gridSpan w:val="2"/>
            <w:tcBorders/>
            <w:shd w:fill="auto" w:val="clear"/>
            <w:vAlign w:val="center"/>
          </w:tcPr>
          <w:p>
            <w:pPr>
              <w:pStyle w:val="TableContents"/>
              <w:spacing w:before="0" w:after="0"/>
              <w:ind w:left="0" w:right="0" w:hanging="0"/>
              <w:jc w:val="right"/>
              <w:rPr/>
            </w:pPr>
            <w:r>
              <w:rPr/>
              <w:t> </w:t>
            </w:r>
          </w:p>
        </w:tc>
        <w:tc>
          <w:tcPr>
            <w:tcW w:w="392" w:type="dxa"/>
            <w:tcBorders/>
            <w:shd w:fill="auto" w:val="clear"/>
            <w:vAlign w:val="center"/>
          </w:tcPr>
          <w:p>
            <w:pPr>
              <w:pStyle w:val="TableContents"/>
              <w:spacing w:before="0" w:after="0"/>
              <w:ind w:left="0" w:right="0" w:hanging="0"/>
              <w:jc w:val="right"/>
              <w:rPr/>
            </w:pPr>
            <w:r>
              <w:rPr/>
              <w:t> </w:t>
            </w:r>
          </w:p>
        </w:tc>
      </w:tr>
      <w:tr>
        <w:trPr/>
        <w:tc>
          <w:tcPr>
            <w:tcW w:w="7213"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Accounts payable</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84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25,783</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8"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872"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25,237</w:t>
            </w:r>
          </w:p>
        </w:tc>
        <w:tc>
          <w:tcPr>
            <w:tcW w:w="392" w:type="dxa"/>
            <w:tcBorders/>
            <w:shd w:fill="auto" w:val="clear"/>
            <w:vAlign w:val="center"/>
          </w:tcPr>
          <w:p>
            <w:pPr>
              <w:pStyle w:val="TableContents"/>
              <w:spacing w:before="0" w:after="0"/>
              <w:ind w:left="0" w:right="0" w:hanging="0"/>
              <w:jc w:val="left"/>
              <w:rPr/>
            </w:pPr>
            <w:r>
              <w:rPr/>
              <w:t> </w:t>
            </w:r>
          </w:p>
        </w:tc>
      </w:tr>
      <w:tr>
        <w:trPr/>
        <w:tc>
          <w:tcPr>
            <w:tcW w:w="7213"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Accrued and other liabilities</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84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113,729</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8" w:type="dxa"/>
            <w:tcBorders/>
            <w:shd w:fill="auto" w:val="clear"/>
            <w:vAlign w:val="center"/>
          </w:tcPr>
          <w:p>
            <w:pPr>
              <w:pStyle w:val="TableContents"/>
              <w:spacing w:before="0" w:after="0"/>
              <w:ind w:left="0" w:right="0" w:hanging="0"/>
              <w:jc w:val="left"/>
              <w:rPr/>
            </w:pPr>
            <w:r>
              <w:rPr/>
              <w:t> </w:t>
            </w:r>
          </w:p>
        </w:tc>
        <w:tc>
          <w:tcPr>
            <w:tcW w:w="872"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117,286</w:t>
            </w:r>
          </w:p>
        </w:tc>
        <w:tc>
          <w:tcPr>
            <w:tcW w:w="392" w:type="dxa"/>
            <w:tcBorders/>
            <w:shd w:fill="auto" w:val="clear"/>
            <w:vAlign w:val="center"/>
          </w:tcPr>
          <w:p>
            <w:pPr>
              <w:pStyle w:val="TableContents"/>
              <w:spacing w:before="0" w:after="0"/>
              <w:ind w:left="0" w:right="0" w:hanging="0"/>
              <w:jc w:val="left"/>
              <w:rPr/>
            </w:pPr>
            <w:r>
              <w:rPr/>
              <w:t> </w:t>
            </w:r>
          </w:p>
        </w:tc>
      </w:tr>
      <w:tr>
        <w:trPr/>
        <w:tc>
          <w:tcPr>
            <w:tcW w:w="7213"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Deferred revenue</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84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73,550</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8" w:type="dxa"/>
            <w:tcBorders/>
            <w:shd w:fill="auto" w:val="clear"/>
            <w:vAlign w:val="center"/>
          </w:tcPr>
          <w:p>
            <w:pPr>
              <w:pStyle w:val="TableContents"/>
              <w:spacing w:before="0" w:after="0"/>
              <w:ind w:left="0" w:right="0" w:hanging="0"/>
              <w:jc w:val="left"/>
              <w:rPr/>
            </w:pPr>
            <w:r>
              <w:rPr/>
              <w:t> </w:t>
            </w:r>
          </w:p>
        </w:tc>
        <w:tc>
          <w:tcPr>
            <w:tcW w:w="872"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70,940</w:t>
            </w:r>
          </w:p>
        </w:tc>
        <w:tc>
          <w:tcPr>
            <w:tcW w:w="392" w:type="dxa"/>
            <w:tcBorders/>
            <w:shd w:fill="auto" w:val="clear"/>
            <w:vAlign w:val="center"/>
          </w:tcPr>
          <w:p>
            <w:pPr>
              <w:pStyle w:val="TableContents"/>
              <w:spacing w:before="0" w:after="0"/>
              <w:ind w:left="0" w:right="0" w:hanging="0"/>
              <w:jc w:val="left"/>
              <w:rPr/>
            </w:pPr>
            <w:r>
              <w:rPr/>
              <w:t> </w:t>
            </w:r>
          </w:p>
        </w:tc>
      </w:tr>
      <w:tr>
        <w:trPr/>
        <w:tc>
          <w:tcPr>
            <w:tcW w:w="7213"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Revolving credit facility borrowings, net of unamortized debt issuance costs</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84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31,025</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8" w:type="dxa"/>
            <w:tcBorders/>
            <w:shd w:fill="auto" w:val="clear"/>
            <w:vAlign w:val="center"/>
          </w:tcPr>
          <w:p>
            <w:pPr>
              <w:pStyle w:val="TableContents"/>
              <w:spacing w:before="0" w:after="0"/>
              <w:ind w:left="0" w:right="0" w:hanging="0"/>
              <w:jc w:val="left"/>
              <w:rPr/>
            </w:pPr>
            <w:r>
              <w:rPr/>
              <w:t> </w:t>
            </w:r>
          </w:p>
        </w:tc>
        <w:tc>
          <w:tcPr>
            <w:tcW w:w="872"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36,111</w:t>
            </w:r>
          </w:p>
        </w:tc>
        <w:tc>
          <w:tcPr>
            <w:tcW w:w="392" w:type="dxa"/>
            <w:tcBorders/>
            <w:shd w:fill="auto" w:val="clear"/>
            <w:vAlign w:val="center"/>
          </w:tcPr>
          <w:p>
            <w:pPr>
              <w:pStyle w:val="TableContents"/>
              <w:spacing w:before="0" w:after="0"/>
              <w:ind w:left="0" w:right="0" w:hanging="0"/>
              <w:jc w:val="left"/>
              <w:rPr/>
            </w:pPr>
            <w:r>
              <w:rPr/>
              <w:t> </w:t>
            </w:r>
          </w:p>
        </w:tc>
      </w:tr>
      <w:tr>
        <w:trPr/>
        <w:tc>
          <w:tcPr>
            <w:tcW w:w="7213"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Convertible notes and other borrowings, net of unamortized discounts and debt issuance costs</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84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227,549</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8" w:type="dxa"/>
            <w:tcBorders/>
            <w:shd w:fill="auto" w:val="clear"/>
            <w:vAlign w:val="center"/>
          </w:tcPr>
          <w:p>
            <w:pPr>
              <w:pStyle w:val="TableContents"/>
              <w:spacing w:before="0" w:after="0"/>
              <w:ind w:left="0" w:right="0" w:hanging="0"/>
              <w:jc w:val="left"/>
              <w:rPr/>
            </w:pPr>
            <w:r>
              <w:rPr/>
              <w:t> </w:t>
            </w:r>
          </w:p>
        </w:tc>
        <w:tc>
          <w:tcPr>
            <w:tcW w:w="872"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226,912</w:t>
            </w:r>
          </w:p>
        </w:tc>
        <w:tc>
          <w:tcPr>
            <w:tcW w:w="392" w:type="dxa"/>
            <w:tcBorders/>
            <w:shd w:fill="auto" w:val="clear"/>
            <w:vAlign w:val="center"/>
          </w:tcPr>
          <w:p>
            <w:pPr>
              <w:pStyle w:val="TableContents"/>
              <w:spacing w:before="0" w:after="0"/>
              <w:ind w:left="0" w:right="0" w:hanging="0"/>
              <w:jc w:val="left"/>
              <w:rPr/>
            </w:pPr>
            <w:r>
              <w:rPr/>
              <w:t> </w:t>
            </w:r>
          </w:p>
        </w:tc>
      </w:tr>
      <w:tr>
        <w:trPr/>
        <w:tc>
          <w:tcPr>
            <w:tcW w:w="7213"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Deferred income tax liabilities</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84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16,046</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8"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872"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14,900</w:t>
            </w:r>
          </w:p>
        </w:tc>
        <w:tc>
          <w:tcPr>
            <w:tcW w:w="392"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r>
        <w:trPr/>
        <w:tc>
          <w:tcPr>
            <w:tcW w:w="7213" w:type="dxa"/>
            <w:tcBorders/>
            <w:shd w:fill="auto" w:val="clear"/>
            <w:vAlign w:val="center"/>
          </w:tcPr>
          <w:p>
            <w:pPr>
              <w:pStyle w:val="TableContents"/>
              <w:spacing w:before="0" w:after="0"/>
              <w:ind w:left="0" w:right="0" w:hanging="0"/>
              <w:jc w:val="left"/>
              <w:rPr>
                <w:rFonts w:ascii="Times New Roman;serif" w:hAnsi="Times New Roman;serif"/>
                <w:b/>
                <w:sz w:val="20"/>
              </w:rPr>
            </w:pPr>
            <w:r>
              <w:rPr>
                <w:rFonts w:ascii="Times New Roman;serif" w:hAnsi="Times New Roman;serif"/>
                <w:b/>
                <w:sz w:val="20"/>
              </w:rPr>
              <w:t>Total liabilities</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84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sz w:val="20"/>
              </w:rPr>
            </w:pPr>
            <w:r>
              <w:rPr>
                <w:rFonts w:ascii="Times New Roman;serif" w:hAnsi="Times New Roman;serif"/>
                <w:b/>
                <w:sz w:val="20"/>
              </w:rPr>
              <w:t>487,682</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8"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872"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sz w:val="20"/>
              </w:rPr>
            </w:pPr>
            <w:r>
              <w:rPr>
                <w:rFonts w:ascii="Times New Roman;serif" w:hAnsi="Times New Roman;serif"/>
                <w:b/>
                <w:sz w:val="20"/>
              </w:rPr>
              <w:t>491,386</w:t>
            </w:r>
          </w:p>
        </w:tc>
        <w:tc>
          <w:tcPr>
            <w:tcW w:w="392"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r>
        <w:trPr/>
        <w:tc>
          <w:tcPr>
            <w:tcW w:w="7213" w:type="dxa"/>
            <w:tcBorders/>
            <w:shd w:fill="auto" w:val="clear"/>
            <w:vAlign w:val="center"/>
          </w:tcPr>
          <w:p>
            <w:pPr>
              <w:pStyle w:val="TableContents"/>
              <w:spacing w:before="0" w:after="0"/>
              <w:ind w:left="0" w:right="0" w:hanging="0"/>
              <w:jc w:val="left"/>
              <w:rPr>
                <w:rFonts w:ascii="Times New Roman" w:hAnsi="Times New Roman"/>
                <w:sz w:val="20"/>
              </w:rPr>
            </w:pPr>
            <w:r>
              <w:rPr>
                <w:rFonts w:ascii="Times New Roman;serif" w:hAnsi="Times New Roman;serif"/>
                <w:b/>
                <w:sz w:val="20"/>
              </w:rPr>
              <w:t>Commitments, contingencies and guarantees</w:t>
            </w:r>
            <w:r>
              <w:rPr>
                <w:rFonts w:ascii="Times New Roman" w:hAnsi="Times New Roman"/>
                <w:sz w:val="20"/>
              </w:rPr>
              <w:t xml:space="preserve"> </w:t>
            </w:r>
            <w:r>
              <w:rPr>
                <w:rFonts w:ascii="Times New Roman;serif" w:hAnsi="Times New Roman;serif"/>
                <w:b w:val="false"/>
                <w:sz w:val="20"/>
              </w:rPr>
              <w:t>(see Note 7)</w:t>
            </w:r>
          </w:p>
        </w:tc>
        <w:tc>
          <w:tcPr>
            <w:tcW w:w="146" w:type="dxa"/>
            <w:tcBorders/>
            <w:shd w:fill="auto" w:val="clear"/>
            <w:vAlign w:val="center"/>
          </w:tcPr>
          <w:p>
            <w:pPr>
              <w:pStyle w:val="TableContents"/>
              <w:spacing w:before="0" w:after="0"/>
              <w:ind w:left="0" w:right="0" w:hanging="0"/>
              <w:jc w:val="left"/>
              <w:rPr/>
            </w:pPr>
            <w:r>
              <w:rPr/>
              <w:t> </w:t>
            </w:r>
          </w:p>
        </w:tc>
        <w:tc>
          <w:tcPr>
            <w:tcW w:w="1052" w:type="dxa"/>
            <w:gridSpan w:val="2"/>
            <w:tcBorders/>
            <w:shd w:fill="auto" w:val="clear"/>
            <w:vAlign w:val="center"/>
          </w:tcPr>
          <w:p>
            <w:pPr>
              <w:pStyle w:val="TableContents"/>
              <w:spacing w:before="0" w:after="0"/>
              <w:ind w:left="0" w:right="0" w:hanging="0"/>
              <w:jc w:val="right"/>
              <w:rPr/>
            </w:pPr>
            <w:r>
              <w:rPr/>
              <w:t> </w:t>
            </w:r>
          </w:p>
        </w:tc>
        <w:tc>
          <w:tcPr>
            <w:tcW w:w="16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090" w:type="dxa"/>
            <w:gridSpan w:val="2"/>
            <w:tcBorders/>
            <w:shd w:fill="auto" w:val="clear"/>
            <w:vAlign w:val="center"/>
          </w:tcPr>
          <w:p>
            <w:pPr>
              <w:pStyle w:val="TableContents"/>
              <w:spacing w:before="0" w:after="0"/>
              <w:ind w:left="0" w:right="0" w:hanging="0"/>
              <w:jc w:val="right"/>
              <w:rPr/>
            </w:pPr>
            <w:r>
              <w:rPr/>
              <w:t> </w:t>
            </w:r>
          </w:p>
        </w:tc>
        <w:tc>
          <w:tcPr>
            <w:tcW w:w="392" w:type="dxa"/>
            <w:tcBorders/>
            <w:shd w:fill="auto" w:val="clear"/>
            <w:vAlign w:val="center"/>
          </w:tcPr>
          <w:p>
            <w:pPr>
              <w:pStyle w:val="TableContents"/>
              <w:spacing w:before="0" w:after="0"/>
              <w:ind w:left="0" w:right="0" w:hanging="0"/>
              <w:jc w:val="right"/>
              <w:rPr/>
            </w:pPr>
            <w:r>
              <w:rPr/>
              <w:t> </w:t>
            </w:r>
          </w:p>
        </w:tc>
      </w:tr>
      <w:tr>
        <w:trPr/>
        <w:tc>
          <w:tcPr>
            <w:tcW w:w="7213" w:type="dxa"/>
            <w:tcBorders/>
            <w:shd w:fill="auto" w:val="clear"/>
            <w:vAlign w:val="center"/>
          </w:tcPr>
          <w:p>
            <w:pPr>
              <w:pStyle w:val="TableContents"/>
              <w:spacing w:before="0" w:after="0"/>
              <w:ind w:left="0" w:right="0" w:hanging="0"/>
              <w:jc w:val="left"/>
              <w:rPr>
                <w:rFonts w:ascii="Times New Roman;serif" w:hAnsi="Times New Roman;serif"/>
                <w:b/>
                <w:sz w:val="20"/>
              </w:rPr>
            </w:pPr>
            <w:r>
              <w:rPr>
                <w:rFonts w:ascii="Times New Roman;serif" w:hAnsi="Times New Roman;serif"/>
                <w:b/>
                <w:sz w:val="20"/>
              </w:rPr>
              <w:t>Non-controlling interests</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84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sz w:val="20"/>
              </w:rPr>
            </w:pPr>
            <w:r>
              <w:rPr>
                <w:rFonts w:ascii="Times New Roman;serif" w:hAnsi="Times New Roman;serif"/>
                <w:b/>
                <w:sz w:val="20"/>
              </w:rPr>
              <w:t>731</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8"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872"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sz w:val="20"/>
              </w:rPr>
            </w:pPr>
            <w:r>
              <w:rPr>
                <w:rFonts w:ascii="Times New Roman;serif" w:hAnsi="Times New Roman;serif"/>
                <w:b/>
                <w:sz w:val="20"/>
              </w:rPr>
              <w:t>722</w:t>
            </w:r>
          </w:p>
        </w:tc>
        <w:tc>
          <w:tcPr>
            <w:tcW w:w="392"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r>
        <w:trPr/>
        <w:tc>
          <w:tcPr>
            <w:tcW w:w="7213" w:type="dxa"/>
            <w:tcBorders/>
            <w:shd w:fill="auto" w:val="clear"/>
            <w:vAlign w:val="center"/>
          </w:tcPr>
          <w:p>
            <w:pPr>
              <w:pStyle w:val="TableContents"/>
              <w:spacing w:before="0" w:after="0"/>
              <w:ind w:left="0" w:right="0" w:hanging="0"/>
              <w:jc w:val="left"/>
              <w:rPr>
                <w:rFonts w:ascii="Times New Roman;serif" w:hAnsi="Times New Roman;serif"/>
                <w:b/>
                <w:sz w:val="20"/>
              </w:rPr>
            </w:pPr>
            <w:r>
              <w:rPr>
                <w:rFonts w:ascii="Times New Roman;serif" w:hAnsi="Times New Roman;serif"/>
                <w:b/>
                <w:sz w:val="20"/>
              </w:rPr>
              <w:t>Shareholders' equity</w:t>
            </w:r>
          </w:p>
        </w:tc>
        <w:tc>
          <w:tcPr>
            <w:tcW w:w="146" w:type="dxa"/>
            <w:tcBorders/>
            <w:shd w:fill="auto" w:val="clear"/>
            <w:vAlign w:val="center"/>
          </w:tcPr>
          <w:p>
            <w:pPr>
              <w:pStyle w:val="TableContents"/>
              <w:spacing w:before="0" w:after="0"/>
              <w:ind w:left="0" w:right="0" w:hanging="0"/>
              <w:jc w:val="left"/>
              <w:rPr/>
            </w:pPr>
            <w:r>
              <w:rPr/>
              <w:t> </w:t>
            </w:r>
          </w:p>
        </w:tc>
        <w:tc>
          <w:tcPr>
            <w:tcW w:w="1052" w:type="dxa"/>
            <w:gridSpan w:val="2"/>
            <w:tcBorders/>
            <w:shd w:fill="auto" w:val="clear"/>
            <w:vAlign w:val="center"/>
          </w:tcPr>
          <w:p>
            <w:pPr>
              <w:pStyle w:val="TableContents"/>
              <w:spacing w:before="0" w:after="0"/>
              <w:ind w:left="0" w:right="0" w:hanging="0"/>
              <w:jc w:val="right"/>
              <w:rPr/>
            </w:pPr>
            <w:r>
              <w:rPr/>
              <w:t> </w:t>
            </w:r>
          </w:p>
        </w:tc>
        <w:tc>
          <w:tcPr>
            <w:tcW w:w="16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090" w:type="dxa"/>
            <w:gridSpan w:val="2"/>
            <w:tcBorders/>
            <w:shd w:fill="auto" w:val="clear"/>
            <w:vAlign w:val="center"/>
          </w:tcPr>
          <w:p>
            <w:pPr>
              <w:pStyle w:val="TableContents"/>
              <w:spacing w:before="0" w:after="0"/>
              <w:ind w:left="0" w:right="0" w:hanging="0"/>
              <w:jc w:val="right"/>
              <w:rPr/>
            </w:pPr>
            <w:r>
              <w:rPr/>
              <w:t> </w:t>
            </w:r>
          </w:p>
        </w:tc>
        <w:tc>
          <w:tcPr>
            <w:tcW w:w="392" w:type="dxa"/>
            <w:tcBorders/>
            <w:shd w:fill="auto" w:val="clear"/>
            <w:vAlign w:val="center"/>
          </w:tcPr>
          <w:p>
            <w:pPr>
              <w:pStyle w:val="TableContents"/>
              <w:spacing w:before="0" w:after="0"/>
              <w:ind w:left="0" w:right="0" w:hanging="0"/>
              <w:jc w:val="right"/>
              <w:rPr/>
            </w:pPr>
            <w:r>
              <w:rPr/>
              <w:t> </w:t>
            </w:r>
          </w:p>
        </w:tc>
      </w:tr>
      <w:tr>
        <w:trPr/>
        <w:tc>
          <w:tcPr>
            <w:tcW w:w="7213" w:type="dxa"/>
            <w:tcBorders/>
            <w:shd w:fill="auto" w:val="clear"/>
            <w:vAlign w:val="center"/>
          </w:tcPr>
          <w:p>
            <w:pPr>
              <w:pStyle w:val="TableContents"/>
              <w:spacing w:before="0" w:after="0"/>
              <w:ind w:left="0" w:right="0" w:hanging="0"/>
              <w:jc w:val="left"/>
              <w:rPr>
                <w:rFonts w:ascii="Times New Roman" w:hAnsi="Times New Roman"/>
                <w:sz w:val="20"/>
              </w:rPr>
            </w:pPr>
            <w:r>
              <w:rPr>
                <w:rFonts w:ascii="Times New Roman;serif" w:hAnsi="Times New Roman;serif"/>
                <w:b w:val="false"/>
                <w:sz w:val="20"/>
              </w:rPr>
              <w:t>Capital stock common shares — no</w:t>
            </w:r>
            <w:r>
              <w:rPr>
                <w:rFonts w:ascii="Times New Roman" w:hAnsi="Times New Roman"/>
                <w:sz w:val="20"/>
              </w:rPr>
              <w:t> </w:t>
            </w:r>
            <w:r>
              <w:rPr>
                <w:rFonts w:ascii="Times New Roman;serif" w:hAnsi="Times New Roman;serif"/>
                <w:b w:val="false"/>
                <w:sz w:val="20"/>
              </w:rPr>
              <w:t>par value. Authorized — unlimited number.</w:t>
            </w:r>
          </w:p>
        </w:tc>
        <w:tc>
          <w:tcPr>
            <w:tcW w:w="146" w:type="dxa"/>
            <w:tcBorders/>
            <w:shd w:fill="auto" w:val="clear"/>
            <w:vAlign w:val="center"/>
          </w:tcPr>
          <w:p>
            <w:pPr>
              <w:pStyle w:val="TableContents"/>
              <w:spacing w:before="0" w:after="0"/>
              <w:ind w:left="0" w:right="0" w:hanging="0"/>
              <w:jc w:val="left"/>
              <w:rPr/>
            </w:pPr>
            <w:r>
              <w:rPr/>
              <w:t> </w:t>
            </w:r>
          </w:p>
        </w:tc>
        <w:tc>
          <w:tcPr>
            <w:tcW w:w="1052" w:type="dxa"/>
            <w:gridSpan w:val="2"/>
            <w:tcBorders/>
            <w:shd w:fill="auto" w:val="clear"/>
            <w:vAlign w:val="center"/>
          </w:tcPr>
          <w:p>
            <w:pPr>
              <w:pStyle w:val="TableContents"/>
              <w:spacing w:before="0" w:after="0"/>
              <w:ind w:left="0" w:right="0" w:hanging="0"/>
              <w:jc w:val="right"/>
              <w:rPr/>
            </w:pPr>
            <w:r>
              <w:rPr/>
              <w:t> </w:t>
            </w:r>
          </w:p>
        </w:tc>
        <w:tc>
          <w:tcPr>
            <w:tcW w:w="16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090" w:type="dxa"/>
            <w:gridSpan w:val="2"/>
            <w:tcBorders/>
            <w:shd w:fill="auto" w:val="clear"/>
            <w:vAlign w:val="center"/>
          </w:tcPr>
          <w:p>
            <w:pPr>
              <w:pStyle w:val="TableContents"/>
              <w:spacing w:before="0" w:after="0"/>
              <w:ind w:left="0" w:right="0" w:hanging="0"/>
              <w:jc w:val="right"/>
              <w:rPr/>
            </w:pPr>
            <w:r>
              <w:rPr/>
              <w:t> </w:t>
            </w:r>
          </w:p>
        </w:tc>
        <w:tc>
          <w:tcPr>
            <w:tcW w:w="392" w:type="dxa"/>
            <w:tcBorders/>
            <w:shd w:fill="auto" w:val="clear"/>
            <w:vAlign w:val="center"/>
          </w:tcPr>
          <w:p>
            <w:pPr>
              <w:pStyle w:val="TableContents"/>
              <w:spacing w:before="0" w:after="0"/>
              <w:ind w:left="0" w:right="0" w:firstLine="200"/>
              <w:jc w:val="right"/>
              <w:rPr/>
            </w:pPr>
            <w:r>
              <w:rPr/>
              <w:t> </w:t>
            </w:r>
          </w:p>
        </w:tc>
      </w:tr>
      <w:tr>
        <w:trPr/>
        <w:tc>
          <w:tcPr>
            <w:tcW w:w="7213" w:type="dxa"/>
            <w:tcBorders/>
            <w:shd w:fill="auto" w:val="clear"/>
            <w:vAlign w:val="center"/>
          </w:tcPr>
          <w:p>
            <w:pPr>
              <w:pStyle w:val="TableContents"/>
              <w:spacing w:before="0" w:after="0"/>
              <w:ind w:left="200" w:right="0" w:hanging="0"/>
              <w:jc w:val="left"/>
              <w:rPr>
                <w:rFonts w:ascii="Times New Roman" w:hAnsi="Times New Roman"/>
                <w:sz w:val="20"/>
              </w:rPr>
            </w:pPr>
            <w:r>
              <w:rPr>
                <w:rFonts w:ascii="Times New Roman;serif" w:hAnsi="Times New Roman;serif"/>
                <w:b w:val="false"/>
                <w:sz w:val="20"/>
              </w:rPr>
              <w:t>54,589,933</w:t>
            </w:r>
            <w:r>
              <w:rPr>
                <w:rFonts w:ascii="Times New Roman" w:hAnsi="Times New Roman"/>
                <w:sz w:val="20"/>
              </w:rPr>
              <w:t> </w:t>
            </w:r>
            <w:r>
              <w:rPr>
                <w:rFonts w:ascii="Times New Roman;serif" w:hAnsi="Times New Roman;serif"/>
                <w:b w:val="false"/>
                <w:sz w:val="20"/>
              </w:rPr>
              <w:t>issued and outstanding (December 31, 2022 — 54,148,614</w:t>
            </w:r>
            <w:r>
              <w:rPr>
                <w:rFonts w:ascii="Times New Roman" w:hAnsi="Times New Roman"/>
                <w:sz w:val="20"/>
              </w:rPr>
              <w:t> </w:t>
            </w:r>
            <w:r>
              <w:rPr>
                <w:rFonts w:ascii="Times New Roman;serif" w:hAnsi="Times New Roman;serif"/>
                <w:b w:val="false"/>
                <w:sz w:val="20"/>
              </w:rPr>
              <w:t>issued and outstanding)</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84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389,500</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8" w:type="dxa"/>
            <w:tcBorders/>
            <w:shd w:fill="auto" w:val="clear"/>
            <w:vAlign w:val="center"/>
          </w:tcPr>
          <w:p>
            <w:pPr>
              <w:pStyle w:val="TableContents"/>
              <w:spacing w:before="0" w:after="0"/>
              <w:ind w:left="0" w:right="0" w:hanging="0"/>
              <w:jc w:val="left"/>
              <w:rPr/>
            </w:pPr>
            <w:r>
              <w:rPr/>
              <w:t> </w:t>
            </w:r>
          </w:p>
        </w:tc>
        <w:tc>
          <w:tcPr>
            <w:tcW w:w="872"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376,715</w:t>
            </w:r>
          </w:p>
        </w:tc>
        <w:tc>
          <w:tcPr>
            <w:tcW w:w="392" w:type="dxa"/>
            <w:tcBorders/>
            <w:shd w:fill="auto" w:val="clear"/>
            <w:vAlign w:val="center"/>
          </w:tcPr>
          <w:p>
            <w:pPr>
              <w:pStyle w:val="TableContents"/>
              <w:spacing w:before="0" w:after="0"/>
              <w:ind w:left="0" w:right="0" w:hanging="0"/>
              <w:jc w:val="left"/>
              <w:rPr/>
            </w:pPr>
            <w:r>
              <w:rPr/>
              <w:t> </w:t>
            </w:r>
          </w:p>
        </w:tc>
      </w:tr>
      <w:tr>
        <w:trPr/>
        <w:tc>
          <w:tcPr>
            <w:tcW w:w="7213"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Other equity</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84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170,871</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8" w:type="dxa"/>
            <w:tcBorders/>
            <w:shd w:fill="auto" w:val="clear"/>
            <w:vAlign w:val="center"/>
          </w:tcPr>
          <w:p>
            <w:pPr>
              <w:pStyle w:val="TableContents"/>
              <w:spacing w:before="0" w:after="0"/>
              <w:ind w:left="0" w:right="0" w:hanging="0"/>
              <w:jc w:val="left"/>
              <w:rPr/>
            </w:pPr>
            <w:r>
              <w:rPr/>
              <w:t> </w:t>
            </w:r>
          </w:p>
        </w:tc>
        <w:tc>
          <w:tcPr>
            <w:tcW w:w="872"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185,678</w:t>
            </w:r>
          </w:p>
        </w:tc>
        <w:tc>
          <w:tcPr>
            <w:tcW w:w="392" w:type="dxa"/>
            <w:tcBorders/>
            <w:shd w:fill="auto" w:val="clear"/>
            <w:vAlign w:val="center"/>
          </w:tcPr>
          <w:p>
            <w:pPr>
              <w:pStyle w:val="TableContents"/>
              <w:spacing w:before="0" w:after="0"/>
              <w:ind w:left="0" w:right="0" w:hanging="0"/>
              <w:jc w:val="left"/>
              <w:rPr/>
            </w:pPr>
            <w:r>
              <w:rPr/>
              <w:t> </w:t>
            </w:r>
          </w:p>
        </w:tc>
      </w:tr>
      <w:tr>
        <w:trPr/>
        <w:tc>
          <w:tcPr>
            <w:tcW w:w="7213"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Statutory surplus reserve</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84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3,932</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8" w:type="dxa"/>
            <w:tcBorders/>
            <w:shd w:fill="auto" w:val="clear"/>
            <w:vAlign w:val="center"/>
          </w:tcPr>
          <w:p>
            <w:pPr>
              <w:pStyle w:val="TableContents"/>
              <w:spacing w:before="0" w:after="0"/>
              <w:ind w:left="0" w:right="0" w:hanging="0"/>
              <w:jc w:val="left"/>
              <w:rPr/>
            </w:pPr>
            <w:r>
              <w:rPr/>
              <w:t> </w:t>
            </w:r>
          </w:p>
        </w:tc>
        <w:tc>
          <w:tcPr>
            <w:tcW w:w="872"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3,932</w:t>
            </w:r>
          </w:p>
        </w:tc>
        <w:tc>
          <w:tcPr>
            <w:tcW w:w="392" w:type="dxa"/>
            <w:tcBorders/>
            <w:shd w:fill="auto" w:val="clear"/>
            <w:vAlign w:val="center"/>
          </w:tcPr>
          <w:p>
            <w:pPr>
              <w:pStyle w:val="TableContents"/>
              <w:spacing w:before="0" w:after="0"/>
              <w:ind w:left="0" w:right="0" w:hanging="0"/>
              <w:jc w:val="left"/>
              <w:rPr/>
            </w:pPr>
            <w:r>
              <w:rPr/>
              <w:t> </w:t>
            </w:r>
          </w:p>
        </w:tc>
      </w:tr>
      <w:tr>
        <w:trPr/>
        <w:tc>
          <w:tcPr>
            <w:tcW w:w="7213"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Accumulated deficit</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84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(292,409</w:t>
            </w:r>
          </w:p>
        </w:tc>
        <w:tc>
          <w:tcPr>
            <w:tcW w:w="16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shd w:fill="auto" w:val="clear"/>
            <w:vAlign w:val="center"/>
          </w:tcPr>
          <w:p>
            <w:pPr>
              <w:pStyle w:val="TableContents"/>
              <w:spacing w:before="0" w:after="0"/>
              <w:ind w:left="0" w:right="0" w:hanging="0"/>
              <w:jc w:val="left"/>
              <w:rPr/>
            </w:pPr>
            <w:r>
              <w:rPr/>
              <w:t> </w:t>
            </w:r>
          </w:p>
        </w:tc>
        <w:tc>
          <w:tcPr>
            <w:tcW w:w="218" w:type="dxa"/>
            <w:tcBorders/>
            <w:shd w:fill="auto" w:val="clear"/>
            <w:vAlign w:val="center"/>
          </w:tcPr>
          <w:p>
            <w:pPr>
              <w:pStyle w:val="TableContents"/>
              <w:spacing w:before="0" w:after="0"/>
              <w:ind w:left="0" w:right="0" w:hanging="0"/>
              <w:jc w:val="left"/>
              <w:rPr/>
            </w:pPr>
            <w:r>
              <w:rPr/>
              <w:t> </w:t>
            </w:r>
          </w:p>
        </w:tc>
        <w:tc>
          <w:tcPr>
            <w:tcW w:w="872"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(293,124</w:t>
            </w:r>
          </w:p>
        </w:tc>
        <w:tc>
          <w:tcPr>
            <w:tcW w:w="392"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7213"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Accumulated other comprehensive loss</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84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(7,876</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shd w:fill="auto" w:val="clear"/>
            <w:vAlign w:val="center"/>
          </w:tcPr>
          <w:p>
            <w:pPr>
              <w:pStyle w:val="TableContents"/>
              <w:spacing w:before="0" w:after="0"/>
              <w:ind w:left="0" w:right="0" w:hanging="0"/>
              <w:jc w:val="left"/>
              <w:rPr/>
            </w:pPr>
            <w:r>
              <w:rPr/>
              <w:t> </w:t>
            </w:r>
          </w:p>
        </w:tc>
        <w:tc>
          <w:tcPr>
            <w:tcW w:w="218"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872"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(9,846</w:t>
            </w:r>
          </w:p>
        </w:tc>
        <w:tc>
          <w:tcPr>
            <w:tcW w:w="392"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7213" w:type="dxa"/>
            <w:tcBorders/>
            <w:shd w:fill="auto" w:val="clear"/>
            <w:vAlign w:val="center"/>
          </w:tcPr>
          <w:p>
            <w:pPr>
              <w:pStyle w:val="TableContents"/>
              <w:spacing w:before="0" w:after="0"/>
              <w:ind w:left="0" w:right="0" w:hanging="0"/>
              <w:jc w:val="left"/>
              <w:rPr>
                <w:rFonts w:ascii="Times New Roman;serif" w:hAnsi="Times New Roman;serif"/>
                <w:b/>
                <w:sz w:val="20"/>
              </w:rPr>
            </w:pPr>
            <w:r>
              <w:rPr>
                <w:rFonts w:ascii="Times New Roman;serif" w:hAnsi="Times New Roman;serif"/>
                <w:b/>
                <w:sz w:val="20"/>
              </w:rPr>
              <w:t>Total shareholders' equity attributable to common shareholders</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841" w:type="dxa"/>
            <w:tcBorders/>
            <w:shd w:fill="auto" w:val="clear"/>
            <w:vAlign w:val="center"/>
          </w:tcPr>
          <w:p>
            <w:pPr>
              <w:pStyle w:val="TableContents"/>
              <w:spacing w:before="0" w:after="0"/>
              <w:ind w:left="0" w:right="0" w:hanging="0"/>
              <w:jc w:val="right"/>
              <w:rPr>
                <w:rFonts w:ascii="Times New Roman;serif" w:hAnsi="Times New Roman;serif"/>
                <w:b/>
                <w:sz w:val="20"/>
              </w:rPr>
            </w:pPr>
            <w:r>
              <w:rPr>
                <w:rFonts w:ascii="Times New Roman;serif" w:hAnsi="Times New Roman;serif"/>
                <w:b/>
                <w:sz w:val="20"/>
              </w:rPr>
              <w:t>264,018</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8" w:type="dxa"/>
            <w:tcBorders/>
            <w:shd w:fill="auto" w:val="clear"/>
            <w:vAlign w:val="center"/>
          </w:tcPr>
          <w:p>
            <w:pPr>
              <w:pStyle w:val="TableContents"/>
              <w:spacing w:before="0" w:after="0"/>
              <w:ind w:left="0" w:right="0" w:hanging="0"/>
              <w:jc w:val="left"/>
              <w:rPr/>
            </w:pPr>
            <w:r>
              <w:rPr/>
              <w:t> </w:t>
            </w:r>
          </w:p>
        </w:tc>
        <w:tc>
          <w:tcPr>
            <w:tcW w:w="872" w:type="dxa"/>
            <w:tcBorders/>
            <w:shd w:fill="auto" w:val="clear"/>
            <w:vAlign w:val="center"/>
          </w:tcPr>
          <w:p>
            <w:pPr>
              <w:pStyle w:val="TableContents"/>
              <w:spacing w:before="0" w:after="0"/>
              <w:ind w:left="0" w:right="0" w:hanging="0"/>
              <w:jc w:val="right"/>
              <w:rPr>
                <w:rFonts w:ascii="Times New Roman;serif" w:hAnsi="Times New Roman;serif"/>
                <w:b/>
                <w:sz w:val="20"/>
              </w:rPr>
            </w:pPr>
            <w:r>
              <w:rPr>
                <w:rFonts w:ascii="Times New Roman;serif" w:hAnsi="Times New Roman;serif"/>
                <w:b/>
                <w:sz w:val="20"/>
              </w:rPr>
              <w:t>263,355</w:t>
            </w:r>
          </w:p>
        </w:tc>
        <w:tc>
          <w:tcPr>
            <w:tcW w:w="392" w:type="dxa"/>
            <w:tcBorders/>
            <w:shd w:fill="auto" w:val="clear"/>
            <w:vAlign w:val="center"/>
          </w:tcPr>
          <w:p>
            <w:pPr>
              <w:pStyle w:val="TableContents"/>
              <w:spacing w:before="0" w:after="0"/>
              <w:ind w:left="0" w:right="0" w:hanging="0"/>
              <w:jc w:val="left"/>
              <w:rPr/>
            </w:pPr>
            <w:r>
              <w:rPr/>
              <w:t> </w:t>
            </w:r>
          </w:p>
        </w:tc>
      </w:tr>
      <w:tr>
        <w:trPr/>
        <w:tc>
          <w:tcPr>
            <w:tcW w:w="7213"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Non-controlling interests</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84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69,090</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8"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872"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65,691</w:t>
            </w:r>
          </w:p>
        </w:tc>
        <w:tc>
          <w:tcPr>
            <w:tcW w:w="392"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r>
        <w:trPr/>
        <w:tc>
          <w:tcPr>
            <w:tcW w:w="7213" w:type="dxa"/>
            <w:tcBorders/>
            <w:shd w:fill="auto" w:val="clear"/>
            <w:vAlign w:val="center"/>
          </w:tcPr>
          <w:p>
            <w:pPr>
              <w:pStyle w:val="TableContents"/>
              <w:spacing w:before="0" w:after="0"/>
              <w:ind w:left="0" w:right="0" w:hanging="0"/>
              <w:jc w:val="left"/>
              <w:rPr>
                <w:rFonts w:ascii="Times New Roman;serif" w:hAnsi="Times New Roman;serif"/>
                <w:b/>
                <w:sz w:val="20"/>
              </w:rPr>
            </w:pPr>
            <w:r>
              <w:rPr>
                <w:rFonts w:ascii="Times New Roman;serif" w:hAnsi="Times New Roman;serif"/>
                <w:b/>
                <w:sz w:val="20"/>
              </w:rPr>
              <w:t>Total shareholders' equity</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84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sz w:val="20"/>
              </w:rPr>
            </w:pPr>
            <w:r>
              <w:rPr>
                <w:rFonts w:ascii="Times New Roman;serif" w:hAnsi="Times New Roman;serif"/>
                <w:b/>
                <w:sz w:val="20"/>
              </w:rPr>
              <w:t>333,108</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8"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872"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sz w:val="20"/>
              </w:rPr>
            </w:pPr>
            <w:r>
              <w:rPr>
                <w:rFonts w:ascii="Times New Roman;serif" w:hAnsi="Times New Roman;serif"/>
                <w:b/>
                <w:sz w:val="20"/>
              </w:rPr>
              <w:t>329,046</w:t>
            </w:r>
          </w:p>
        </w:tc>
        <w:tc>
          <w:tcPr>
            <w:tcW w:w="392"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r>
        <w:trPr/>
        <w:tc>
          <w:tcPr>
            <w:tcW w:w="7213" w:type="dxa"/>
            <w:tcBorders/>
            <w:shd w:fill="auto" w:val="clear"/>
            <w:vAlign w:val="center"/>
          </w:tcPr>
          <w:p>
            <w:pPr>
              <w:pStyle w:val="TableContents"/>
              <w:spacing w:before="0" w:after="0"/>
              <w:ind w:left="0" w:right="0" w:hanging="0"/>
              <w:jc w:val="left"/>
              <w:rPr>
                <w:rFonts w:ascii="Times New Roman;serif" w:hAnsi="Times New Roman;serif"/>
                <w:b/>
                <w:sz w:val="20"/>
              </w:rPr>
            </w:pPr>
            <w:r>
              <w:rPr>
                <w:rFonts w:ascii="Times New Roman;serif" w:hAnsi="Times New Roman;serif"/>
                <w:b/>
                <w:sz w:val="20"/>
              </w:rPr>
              <w:t>Total liabilities and shareholders' equity</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sz w:val="20"/>
              </w:rPr>
            </w:pPr>
            <w:r>
              <w:rPr>
                <w:rFonts w:ascii="Times New Roman;serif" w:hAnsi="Times New Roman;serif"/>
                <w:b/>
                <w:sz w:val="20"/>
              </w:rPr>
              <w:t>$</w:t>
            </w:r>
          </w:p>
        </w:tc>
        <w:tc>
          <w:tcPr>
            <w:tcW w:w="84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sz w:val="20"/>
              </w:rPr>
            </w:pPr>
            <w:r>
              <w:rPr>
                <w:rFonts w:ascii="Times New Roman;serif" w:hAnsi="Times New Roman;serif"/>
                <w:b/>
                <w:sz w:val="20"/>
              </w:rPr>
              <w:t>821,521</w:t>
            </w:r>
          </w:p>
        </w:tc>
        <w:tc>
          <w:tcPr>
            <w:tcW w:w="16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8"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sz w:val="20"/>
              </w:rPr>
            </w:pPr>
            <w:r>
              <w:rPr>
                <w:rFonts w:ascii="Times New Roman;serif" w:hAnsi="Times New Roman;serif"/>
                <w:b/>
                <w:sz w:val="20"/>
              </w:rPr>
              <w:t>$</w:t>
            </w:r>
          </w:p>
        </w:tc>
        <w:tc>
          <w:tcPr>
            <w:tcW w:w="872"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sz w:val="20"/>
              </w:rPr>
            </w:pPr>
            <w:r>
              <w:rPr>
                <w:rFonts w:ascii="Times New Roman;serif" w:hAnsi="Times New Roman;serif"/>
                <w:b/>
                <w:sz w:val="20"/>
              </w:rPr>
              <w:t>821,154</w:t>
            </w:r>
          </w:p>
        </w:tc>
        <w:tc>
          <w:tcPr>
            <w:tcW w:w="392"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bl>
    <w:p>
      <w:pPr>
        <w:pStyle w:val="TextBody"/>
        <w:spacing w:before="0" w:after="0"/>
        <w:jc w:val="center"/>
        <w:rPr/>
      </w:pPr>
      <w:r>
        <w:rPr/>
        <w:t> </w:t>
      </w:r>
    </w:p>
    <w:p>
      <w:pPr>
        <w:pStyle w:val="TextBody"/>
        <w:spacing w:before="0" w:after="0"/>
        <w:jc w:val="center"/>
        <w:rPr>
          <w:rFonts w:ascii="Times New Roman;serif" w:hAnsi="Times New Roman;serif"/>
          <w:b w:val="false"/>
          <w:i/>
          <w:sz w:val="20"/>
        </w:rPr>
      </w:pPr>
      <w:r>
        <w:rPr>
          <w:rFonts w:ascii="Times New Roman;serif" w:hAnsi="Times New Roman;serif"/>
          <w:b w:val="false"/>
          <w:i/>
          <w:sz w:val="20"/>
        </w:rPr>
        <w:t>(See the accompanying notes, which are an integral part of these Condensed Consolidated Financial Statements.)</w:t>
      </w:r>
    </w:p>
    <w:p>
      <w:pPr>
        <w:pStyle w:val="TextBody"/>
        <w:spacing w:before="240" w:after="0"/>
        <w:jc w:val="center"/>
        <w:rPr>
          <w:rFonts w:ascii="Times New Roman;serif" w:hAnsi="Times New Roman;serif"/>
          <w:b w:val="false"/>
          <w:sz w:val="20"/>
        </w:rPr>
      </w:pPr>
      <w:r>
        <w:rPr>
          <w:rFonts w:ascii="Times New Roman;serif" w:hAnsi="Times New Roman;serif"/>
          <w:b w:val="false"/>
          <w:sz w:val="20"/>
        </w:rPr>
        <w:t>4</w:t>
      </w:r>
    </w:p>
    <w:p>
      <w:pPr>
        <w:pStyle w:val="HorizontalLine"/>
        <w:rPr/>
      </w:pPr>
      <w:r>
        <w:rPr/>
      </w:r>
    </w:p>
    <w:p>
      <w:pPr>
        <w:pStyle w:val="TextBody"/>
        <w:spacing w:before="0" w:after="0"/>
        <w:jc w:val="left"/>
        <w:rPr/>
      </w:pPr>
      <w:r>
        <w:rPr/>
        <w:t> </w:t>
      </w:r>
    </w:p>
    <w:p>
      <w:pPr>
        <w:pStyle w:val="TextBody"/>
        <w:spacing w:before="0" w:after="0"/>
        <w:jc w:val="center"/>
        <w:rPr>
          <w:rFonts w:ascii="Times New Roman;serif" w:hAnsi="Times New Roman;serif"/>
          <w:b/>
          <w:sz w:val="20"/>
        </w:rPr>
      </w:pPr>
      <w:r>
        <w:rPr>
          <w:rFonts w:ascii="Times New Roman;serif" w:hAnsi="Times New Roman;serif"/>
          <w:b/>
          <w:sz w:val="20"/>
        </w:rPr>
        <w:t>IMAX CORPORATION</w:t>
      </w:r>
    </w:p>
    <w:p>
      <w:pPr>
        <w:pStyle w:val="TextBody"/>
        <w:spacing w:before="0" w:after="0"/>
        <w:jc w:val="center"/>
        <w:rPr>
          <w:rFonts w:ascii="Times New Roman;serif" w:hAnsi="Times New Roman;serif"/>
          <w:b/>
          <w:sz w:val="20"/>
        </w:rPr>
      </w:pPr>
      <w:bookmarkStart w:id="6" w:name="condensed_consolidated_statements_operat"/>
      <w:bookmarkEnd w:id="6"/>
      <w:r>
        <w:rPr>
          <w:rFonts w:ascii="Times New Roman;serif" w:hAnsi="Times New Roman;serif"/>
          <w:b/>
          <w:sz w:val="20"/>
        </w:rPr>
        <w:t>CONDENSED CONSOLIDATED STATEMENTS OF OPERATIONS</w:t>
      </w:r>
    </w:p>
    <w:p>
      <w:pPr>
        <w:pStyle w:val="TextBody"/>
        <w:spacing w:before="0" w:after="0"/>
        <w:jc w:val="center"/>
        <w:rPr>
          <w:rFonts w:ascii="Times New Roman;serif" w:hAnsi="Times New Roman;serif"/>
          <w:b w:val="false"/>
          <w:i/>
          <w:sz w:val="20"/>
        </w:rPr>
      </w:pPr>
      <w:r>
        <w:rPr>
          <w:rFonts w:ascii="Times New Roman;serif" w:hAnsi="Times New Roman;serif"/>
          <w:b w:val="false"/>
          <w:i/>
          <w:sz w:val="20"/>
        </w:rPr>
        <w:t>(In thousands of U.S. Dollars, except per share amounts)</w:t>
      </w:r>
    </w:p>
    <w:p>
      <w:pPr>
        <w:pStyle w:val="TextBody"/>
        <w:spacing w:before="0" w:after="0"/>
        <w:jc w:val="center"/>
        <w:rPr>
          <w:rFonts w:ascii="Times New Roman;serif" w:hAnsi="Times New Roman;serif"/>
          <w:b w:val="false"/>
          <w:i/>
          <w:sz w:val="20"/>
        </w:rPr>
      </w:pPr>
      <w:r>
        <w:rPr>
          <w:rFonts w:ascii="Times New Roman;serif" w:hAnsi="Times New Roman;serif"/>
          <w:b w:val="false"/>
          <w:i/>
          <w:sz w:val="20"/>
        </w:rPr>
        <w:t>(Unaudited)</w:t>
      </w:r>
    </w:p>
    <w:p>
      <w:pPr>
        <w:pStyle w:val="TextBody"/>
        <w:spacing w:before="0" w:after="0"/>
        <w:jc w:val="both"/>
        <w:rPr/>
      </w:pPr>
      <w:r>
        <w:rPr/>
        <w:t> </w:t>
      </w:r>
    </w:p>
    <w:tbl>
      <w:tblPr>
        <w:tblW w:w="8684" w:type="dxa"/>
        <w:jc w:val="left"/>
        <w:tblInd w:w="0" w:type="dxa"/>
        <w:tblCellMar>
          <w:top w:w="28" w:type="dxa"/>
          <w:left w:w="28" w:type="dxa"/>
          <w:bottom w:w="28" w:type="dxa"/>
          <w:right w:w="28" w:type="dxa"/>
        </w:tblCellMar>
      </w:tblPr>
      <w:tblGrid>
        <w:gridCol w:w="6181"/>
        <w:gridCol w:w="146"/>
        <w:gridCol w:w="211"/>
        <w:gridCol w:w="676"/>
        <w:gridCol w:w="166"/>
        <w:gridCol w:w="146"/>
        <w:gridCol w:w="211"/>
        <w:gridCol w:w="736"/>
        <w:gridCol w:w="211"/>
      </w:tblGrid>
      <w:tr>
        <w:trPr/>
        <w:tc>
          <w:tcPr>
            <w:tcW w:w="6181"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676" w:type="dxa"/>
            <w:tcBorders/>
            <w:shd w:fill="auto" w:val="clear"/>
            <w:vAlign w:val="center"/>
          </w:tcPr>
          <w:p>
            <w:pPr>
              <w:pStyle w:val="TableContents"/>
              <w:spacing w:before="0" w:after="283"/>
              <w:rPr>
                <w:sz w:val="4"/>
                <w:szCs w:val="4"/>
              </w:rPr>
            </w:pPr>
            <w:r>
              <w:rPr>
                <w:sz w:val="4"/>
                <w:szCs w:val="4"/>
              </w:rPr>
            </w:r>
          </w:p>
        </w:tc>
        <w:tc>
          <w:tcPr>
            <w:tcW w:w="16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36"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r>
      <w:tr>
        <w:trPr/>
        <w:tc>
          <w:tcPr>
            <w:tcW w:w="618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46" w:type="dxa"/>
            <w:gridSpan w:val="6"/>
            <w:tcBorders/>
            <w:shd w:fill="auto" w:val="cle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Three Months Ended</w:t>
            </w:r>
          </w:p>
        </w:tc>
        <w:tc>
          <w:tcPr>
            <w:tcW w:w="211" w:type="dxa"/>
            <w:tcBorders/>
            <w:shd w:fill="auto" w:val="clear"/>
            <w:vAlign w:val="center"/>
          </w:tcPr>
          <w:p>
            <w:pPr>
              <w:pStyle w:val="TableContents"/>
              <w:spacing w:before="0" w:after="0"/>
              <w:ind w:left="0" w:right="0" w:hanging="0"/>
              <w:jc w:val="center"/>
              <w:rPr/>
            </w:pPr>
            <w:r>
              <w:rPr/>
              <w:t> </w:t>
            </w:r>
          </w:p>
        </w:tc>
      </w:tr>
      <w:tr>
        <w:trPr/>
        <w:tc>
          <w:tcPr>
            <w:tcW w:w="618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46" w:type="dxa"/>
            <w:gridSpan w:val="6"/>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March 31,</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618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887"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2023</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947"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2022</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6181" w:type="dxa"/>
            <w:tcBorders/>
            <w:shd w:fill="auto" w:val="clear"/>
            <w:vAlign w:val="center"/>
          </w:tcPr>
          <w:p>
            <w:pPr>
              <w:pStyle w:val="TableContents"/>
              <w:spacing w:before="0" w:after="0"/>
              <w:ind w:left="0" w:right="0" w:hanging="0"/>
              <w:jc w:val="left"/>
              <w:rPr>
                <w:rFonts w:ascii="Times New Roman;serif" w:hAnsi="Times New Roman;serif"/>
                <w:b/>
                <w:sz w:val="20"/>
              </w:rPr>
            </w:pPr>
            <w:r>
              <w:rPr>
                <w:rFonts w:ascii="Times New Roman;serif" w:hAnsi="Times New Roman;serif"/>
                <w:b/>
                <w:sz w:val="20"/>
              </w:rPr>
              <w:t>Revenues</w:t>
            </w:r>
          </w:p>
        </w:tc>
        <w:tc>
          <w:tcPr>
            <w:tcW w:w="146" w:type="dxa"/>
            <w:tcBorders/>
            <w:shd w:fill="auto" w:val="clear"/>
            <w:vAlign w:val="center"/>
          </w:tcPr>
          <w:p>
            <w:pPr>
              <w:pStyle w:val="TableContents"/>
              <w:spacing w:before="0" w:after="0"/>
              <w:ind w:left="0" w:right="0" w:hanging="0"/>
              <w:jc w:val="left"/>
              <w:rPr/>
            </w:pPr>
            <w:r>
              <w:rPr/>
              <w:t> </w:t>
            </w:r>
          </w:p>
        </w:tc>
        <w:tc>
          <w:tcPr>
            <w:tcW w:w="887" w:type="dxa"/>
            <w:gridSpan w:val="2"/>
            <w:tcBorders/>
            <w:shd w:fill="auto" w:val="clear"/>
            <w:vAlign w:val="center"/>
          </w:tcPr>
          <w:p>
            <w:pPr>
              <w:pStyle w:val="TableContents"/>
              <w:spacing w:before="0" w:after="0"/>
              <w:ind w:left="0" w:right="0" w:hanging="0"/>
              <w:jc w:val="left"/>
              <w:rPr/>
            </w:pPr>
            <w:r>
              <w:rPr/>
              <w:t> </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947" w:type="dxa"/>
            <w:gridSpan w:val="2"/>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r>
      <w:tr>
        <w:trPr/>
        <w:tc>
          <w:tcPr>
            <w:tcW w:w="618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Technology sales</w:t>
            </w:r>
          </w:p>
        </w:tc>
        <w:tc>
          <w:tcPr>
            <w:tcW w:w="146" w:type="dxa"/>
            <w:tcBorders/>
            <w:shd w:fill="auto" w:val="clear"/>
            <w:vAlign w:val="center"/>
          </w:tcPr>
          <w:p>
            <w:pPr>
              <w:pStyle w:val="TableContents"/>
              <w:spacing w:before="0" w:after="0"/>
              <w:ind w:left="0" w:right="0" w:hanging="0"/>
              <w:jc w:val="right"/>
              <w:rPr/>
            </w:pPr>
            <w:r>
              <w:rPr/>
              <w:t> </w:t>
            </w:r>
          </w:p>
        </w:tc>
        <w:tc>
          <w:tcPr>
            <w:tcW w:w="21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7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17,822</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3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8,976</w:t>
            </w:r>
          </w:p>
        </w:tc>
        <w:tc>
          <w:tcPr>
            <w:tcW w:w="211" w:type="dxa"/>
            <w:tcBorders/>
            <w:shd w:fill="auto" w:val="clear"/>
            <w:vAlign w:val="center"/>
          </w:tcPr>
          <w:p>
            <w:pPr>
              <w:pStyle w:val="TableContents"/>
              <w:spacing w:before="0" w:after="0"/>
              <w:ind w:left="0" w:right="0" w:hanging="0"/>
              <w:jc w:val="left"/>
              <w:rPr/>
            </w:pPr>
            <w:r>
              <w:rPr/>
              <w:t> </w:t>
            </w:r>
          </w:p>
        </w:tc>
      </w:tr>
      <w:tr>
        <w:trPr/>
        <w:tc>
          <w:tcPr>
            <w:tcW w:w="618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Image enhancement and maintenance services</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67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47,127</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73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36,094</w:t>
            </w:r>
          </w:p>
        </w:tc>
        <w:tc>
          <w:tcPr>
            <w:tcW w:w="211" w:type="dxa"/>
            <w:tcBorders/>
            <w:shd w:fill="auto" w:val="clear"/>
            <w:vAlign w:val="center"/>
          </w:tcPr>
          <w:p>
            <w:pPr>
              <w:pStyle w:val="TableContents"/>
              <w:spacing w:before="0" w:after="0"/>
              <w:ind w:left="0" w:right="0" w:hanging="0"/>
              <w:jc w:val="left"/>
              <w:rPr/>
            </w:pPr>
            <w:r>
              <w:rPr/>
              <w:t> </w:t>
            </w:r>
          </w:p>
        </w:tc>
      </w:tr>
      <w:tr>
        <w:trPr/>
        <w:tc>
          <w:tcPr>
            <w:tcW w:w="618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Technology rentals</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67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20,058</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73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12,661</w:t>
            </w:r>
          </w:p>
        </w:tc>
        <w:tc>
          <w:tcPr>
            <w:tcW w:w="211" w:type="dxa"/>
            <w:tcBorders/>
            <w:shd w:fill="auto" w:val="clear"/>
            <w:vAlign w:val="center"/>
          </w:tcPr>
          <w:p>
            <w:pPr>
              <w:pStyle w:val="TableContents"/>
              <w:spacing w:before="0" w:after="0"/>
              <w:ind w:left="0" w:right="0" w:hanging="0"/>
              <w:jc w:val="left"/>
              <w:rPr/>
            </w:pPr>
            <w:r>
              <w:rPr/>
              <w:t> </w:t>
            </w:r>
          </w:p>
        </w:tc>
      </w:tr>
      <w:tr>
        <w:trPr/>
        <w:tc>
          <w:tcPr>
            <w:tcW w:w="618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Finance income</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67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1,939</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73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2,305</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r>
        <w:trPr/>
        <w:tc>
          <w:tcPr>
            <w:tcW w:w="6181" w:type="dxa"/>
            <w:tcBorders/>
            <w:shd w:fill="auto" w:val="clear"/>
            <w:vAlign w:val="center"/>
          </w:tcPr>
          <w:p>
            <w:pPr>
              <w:pStyle w:val="TableContents"/>
              <w:spacing w:before="0" w:after="283"/>
              <w:ind w:left="0" w:right="0" w:hanging="0"/>
              <w:rPr>
                <w:sz w:val="4"/>
                <w:szCs w:val="4"/>
              </w:rPr>
            </w:pPr>
            <w:r>
              <w:rPr>
                <w:sz w:val="4"/>
                <w:szCs w:val="4"/>
              </w:rPr>
            </w:r>
          </w:p>
        </w:tc>
        <w:tc>
          <w:tcPr>
            <w:tcW w:w="146" w:type="dxa"/>
            <w:tcBorders/>
            <w:shd w:fill="auto" w:val="clear"/>
            <w:vAlign w:val="center"/>
          </w:tcPr>
          <w:p>
            <w:pPr>
              <w:pStyle w:val="TableContents"/>
              <w:spacing w:before="0" w:after="0"/>
              <w:ind w:left="0" w:right="0" w:hanging="0"/>
              <w:jc w:val="righ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67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sz w:val="20"/>
              </w:rPr>
            </w:pPr>
            <w:r>
              <w:rPr>
                <w:rFonts w:ascii="Times New Roman;serif" w:hAnsi="Times New Roman;serif"/>
                <w:b/>
                <w:sz w:val="20"/>
              </w:rPr>
              <w:t>86,946</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73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sz w:val="20"/>
              </w:rPr>
            </w:pPr>
            <w:r>
              <w:rPr>
                <w:rFonts w:ascii="Times New Roman;serif" w:hAnsi="Times New Roman;serif"/>
                <w:b/>
                <w:sz w:val="20"/>
              </w:rPr>
              <w:t>60,036</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r>
        <w:trPr/>
        <w:tc>
          <w:tcPr>
            <w:tcW w:w="6181" w:type="dxa"/>
            <w:tcBorders/>
            <w:shd w:fill="auto" w:val="clear"/>
            <w:vAlign w:val="center"/>
          </w:tcPr>
          <w:p>
            <w:pPr>
              <w:pStyle w:val="TableContents"/>
              <w:spacing w:before="0" w:after="0"/>
              <w:ind w:left="0" w:right="0" w:hanging="0"/>
              <w:jc w:val="left"/>
              <w:rPr>
                <w:rFonts w:ascii="Times New Roman;serif" w:hAnsi="Times New Roman;serif"/>
                <w:b/>
                <w:sz w:val="20"/>
              </w:rPr>
            </w:pPr>
            <w:r>
              <w:rPr>
                <w:rFonts w:ascii="Times New Roman;serif" w:hAnsi="Times New Roman;serif"/>
                <w:b/>
                <w:sz w:val="20"/>
              </w:rPr>
              <w:t>Costs and expenses applicable to revenues</w:t>
            </w:r>
          </w:p>
        </w:tc>
        <w:tc>
          <w:tcPr>
            <w:tcW w:w="146" w:type="dxa"/>
            <w:tcBorders/>
            <w:shd w:fill="auto" w:val="clear"/>
            <w:vAlign w:val="center"/>
          </w:tcPr>
          <w:p>
            <w:pPr>
              <w:pStyle w:val="TableContents"/>
              <w:spacing w:before="0" w:after="0"/>
              <w:ind w:left="0" w:right="0" w:hanging="0"/>
              <w:jc w:val="left"/>
              <w:rPr/>
            </w:pPr>
            <w:r>
              <w:rPr/>
              <w:t> </w:t>
            </w:r>
          </w:p>
        </w:tc>
        <w:tc>
          <w:tcPr>
            <w:tcW w:w="887" w:type="dxa"/>
            <w:gridSpan w:val="2"/>
            <w:tcBorders/>
            <w:shd w:fill="auto" w:val="clear"/>
            <w:vAlign w:val="center"/>
          </w:tcPr>
          <w:p>
            <w:pPr>
              <w:pStyle w:val="TableContents"/>
              <w:spacing w:before="0" w:after="0"/>
              <w:ind w:left="0" w:right="0" w:hanging="0"/>
              <w:jc w:val="left"/>
              <w:rPr/>
            </w:pPr>
            <w:r>
              <w:rPr/>
              <w:t> </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947" w:type="dxa"/>
            <w:gridSpan w:val="2"/>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r>
      <w:tr>
        <w:trPr/>
        <w:tc>
          <w:tcPr>
            <w:tcW w:w="618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Technology sales</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67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7,232</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73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5,985</w:t>
            </w:r>
          </w:p>
        </w:tc>
        <w:tc>
          <w:tcPr>
            <w:tcW w:w="211" w:type="dxa"/>
            <w:tcBorders/>
            <w:shd w:fill="auto" w:val="clear"/>
            <w:vAlign w:val="center"/>
          </w:tcPr>
          <w:p>
            <w:pPr>
              <w:pStyle w:val="TableContents"/>
              <w:spacing w:before="0" w:after="0"/>
              <w:ind w:left="0" w:right="0" w:hanging="0"/>
              <w:jc w:val="left"/>
              <w:rPr/>
            </w:pPr>
            <w:r>
              <w:rPr/>
              <w:t> </w:t>
            </w:r>
          </w:p>
        </w:tc>
      </w:tr>
      <w:tr>
        <w:trPr/>
        <w:tc>
          <w:tcPr>
            <w:tcW w:w="618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Image enhancement and maintenance services</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67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23,085</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73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15,743</w:t>
            </w:r>
          </w:p>
        </w:tc>
        <w:tc>
          <w:tcPr>
            <w:tcW w:w="211" w:type="dxa"/>
            <w:tcBorders/>
            <w:shd w:fill="auto" w:val="clear"/>
            <w:vAlign w:val="center"/>
          </w:tcPr>
          <w:p>
            <w:pPr>
              <w:pStyle w:val="TableContents"/>
              <w:spacing w:before="0" w:after="0"/>
              <w:ind w:left="0" w:right="0" w:hanging="0"/>
              <w:jc w:val="left"/>
              <w:rPr/>
            </w:pPr>
            <w:r>
              <w:rPr/>
              <w:t> </w:t>
            </w:r>
          </w:p>
        </w:tc>
      </w:tr>
      <w:tr>
        <w:trPr/>
        <w:tc>
          <w:tcPr>
            <w:tcW w:w="618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Technology rentals</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67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6,578</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73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6,537</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r>
        <w:trPr/>
        <w:tc>
          <w:tcPr>
            <w:tcW w:w="6181" w:type="dxa"/>
            <w:tcBorders/>
            <w:shd w:fill="auto" w:val="clear"/>
            <w:vAlign w:val="center"/>
          </w:tcPr>
          <w:p>
            <w:pPr>
              <w:pStyle w:val="TableContents"/>
              <w:spacing w:before="0" w:after="283"/>
              <w:ind w:left="0" w:right="0" w:hanging="0"/>
              <w:rPr>
                <w:sz w:val="4"/>
                <w:szCs w:val="4"/>
              </w:rPr>
            </w:pPr>
            <w:r>
              <w:rPr>
                <w:sz w:val="4"/>
                <w:szCs w:val="4"/>
              </w:rPr>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67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sz w:val="20"/>
              </w:rPr>
            </w:pPr>
            <w:r>
              <w:rPr>
                <w:rFonts w:ascii="Times New Roman;serif" w:hAnsi="Times New Roman;serif"/>
                <w:b/>
                <w:sz w:val="20"/>
              </w:rPr>
              <w:t>36,895</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73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sz w:val="20"/>
              </w:rPr>
            </w:pPr>
            <w:r>
              <w:rPr>
                <w:rFonts w:ascii="Times New Roman;serif" w:hAnsi="Times New Roman;serif"/>
                <w:b/>
                <w:sz w:val="20"/>
              </w:rPr>
              <w:t>28,265</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r>
        <w:trPr/>
        <w:tc>
          <w:tcPr>
            <w:tcW w:w="6181" w:type="dxa"/>
            <w:tcBorders/>
            <w:shd w:fill="auto" w:val="clear"/>
            <w:vAlign w:val="center"/>
          </w:tcPr>
          <w:p>
            <w:pPr>
              <w:pStyle w:val="TableContents"/>
              <w:spacing w:before="0" w:after="0"/>
              <w:ind w:left="0" w:right="0" w:hanging="0"/>
              <w:jc w:val="left"/>
              <w:rPr>
                <w:rFonts w:ascii="Times New Roman;serif" w:hAnsi="Times New Roman;serif"/>
                <w:b/>
                <w:sz w:val="20"/>
              </w:rPr>
            </w:pPr>
            <w:r>
              <w:rPr>
                <w:rFonts w:ascii="Times New Roman;serif" w:hAnsi="Times New Roman;serif"/>
                <w:b/>
                <w:sz w:val="20"/>
              </w:rPr>
              <w:t>Gross margin</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676" w:type="dxa"/>
            <w:tcBorders/>
            <w:shd w:fill="auto" w:val="clear"/>
            <w:vAlign w:val="center"/>
          </w:tcPr>
          <w:p>
            <w:pPr>
              <w:pStyle w:val="TableContents"/>
              <w:spacing w:before="0" w:after="0"/>
              <w:ind w:left="0" w:right="0" w:hanging="0"/>
              <w:jc w:val="right"/>
              <w:rPr>
                <w:rFonts w:ascii="Times New Roman;serif" w:hAnsi="Times New Roman;serif"/>
                <w:b/>
                <w:sz w:val="20"/>
              </w:rPr>
            </w:pPr>
            <w:r>
              <w:rPr>
                <w:rFonts w:ascii="Times New Roman;serif" w:hAnsi="Times New Roman;serif"/>
                <w:b/>
                <w:sz w:val="20"/>
              </w:rPr>
              <w:t>50,051</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736" w:type="dxa"/>
            <w:tcBorders/>
            <w:shd w:fill="auto" w:val="clear"/>
            <w:vAlign w:val="center"/>
          </w:tcPr>
          <w:p>
            <w:pPr>
              <w:pStyle w:val="TableContents"/>
              <w:spacing w:before="0" w:after="0"/>
              <w:ind w:left="0" w:right="0" w:hanging="0"/>
              <w:jc w:val="right"/>
              <w:rPr>
                <w:rFonts w:ascii="Times New Roman;serif" w:hAnsi="Times New Roman;serif"/>
                <w:b/>
                <w:sz w:val="20"/>
              </w:rPr>
            </w:pPr>
            <w:r>
              <w:rPr>
                <w:rFonts w:ascii="Times New Roman;serif" w:hAnsi="Times New Roman;serif"/>
                <w:b/>
                <w:sz w:val="20"/>
              </w:rPr>
              <w:t>31,771</w:t>
            </w:r>
          </w:p>
        </w:tc>
        <w:tc>
          <w:tcPr>
            <w:tcW w:w="211" w:type="dxa"/>
            <w:tcBorders/>
            <w:shd w:fill="auto" w:val="clear"/>
            <w:vAlign w:val="center"/>
          </w:tcPr>
          <w:p>
            <w:pPr>
              <w:pStyle w:val="TableContents"/>
              <w:spacing w:before="0" w:after="0"/>
              <w:ind w:left="0" w:right="0" w:hanging="0"/>
              <w:jc w:val="left"/>
              <w:rPr/>
            </w:pPr>
            <w:r>
              <w:rPr/>
              <w:t> </w:t>
            </w:r>
          </w:p>
        </w:tc>
      </w:tr>
      <w:tr>
        <w:trPr/>
        <w:tc>
          <w:tcPr>
            <w:tcW w:w="618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Selling, general and administrative expenses</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67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34,148</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73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30,181</w:t>
            </w:r>
          </w:p>
        </w:tc>
        <w:tc>
          <w:tcPr>
            <w:tcW w:w="211" w:type="dxa"/>
            <w:tcBorders/>
            <w:shd w:fill="auto" w:val="clear"/>
            <w:vAlign w:val="center"/>
          </w:tcPr>
          <w:p>
            <w:pPr>
              <w:pStyle w:val="TableContents"/>
              <w:spacing w:before="0" w:after="0"/>
              <w:ind w:left="0" w:right="0" w:hanging="0"/>
              <w:jc w:val="left"/>
              <w:rPr/>
            </w:pPr>
            <w:r>
              <w:rPr/>
              <w:t> </w:t>
            </w:r>
          </w:p>
        </w:tc>
      </w:tr>
      <w:tr>
        <w:trPr/>
        <w:tc>
          <w:tcPr>
            <w:tcW w:w="618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Research and development</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67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1,855</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73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1,197</w:t>
            </w:r>
          </w:p>
        </w:tc>
        <w:tc>
          <w:tcPr>
            <w:tcW w:w="211" w:type="dxa"/>
            <w:tcBorders/>
            <w:shd w:fill="auto" w:val="clear"/>
            <w:vAlign w:val="center"/>
          </w:tcPr>
          <w:p>
            <w:pPr>
              <w:pStyle w:val="TableContents"/>
              <w:spacing w:before="0" w:after="0"/>
              <w:ind w:left="0" w:right="0" w:hanging="0"/>
              <w:jc w:val="left"/>
              <w:rPr/>
            </w:pPr>
            <w:r>
              <w:rPr/>
              <w:t> </w:t>
            </w:r>
          </w:p>
        </w:tc>
      </w:tr>
      <w:tr>
        <w:trPr/>
        <w:tc>
          <w:tcPr>
            <w:tcW w:w="618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Amortization of intangible assets</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67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1,074</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73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1,196</w:t>
            </w:r>
          </w:p>
        </w:tc>
        <w:tc>
          <w:tcPr>
            <w:tcW w:w="211" w:type="dxa"/>
            <w:tcBorders/>
            <w:shd w:fill="auto" w:val="clear"/>
            <w:vAlign w:val="center"/>
          </w:tcPr>
          <w:p>
            <w:pPr>
              <w:pStyle w:val="TableContents"/>
              <w:spacing w:before="0" w:after="0"/>
              <w:ind w:left="0" w:right="0" w:hanging="0"/>
              <w:jc w:val="left"/>
              <w:rPr/>
            </w:pPr>
            <w:r>
              <w:rPr/>
              <w:t> </w:t>
            </w:r>
          </w:p>
        </w:tc>
      </w:tr>
      <w:tr>
        <w:trPr/>
        <w:tc>
          <w:tcPr>
            <w:tcW w:w="618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Credit loss expense, net</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67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220</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73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7,229</w:t>
            </w:r>
          </w:p>
        </w:tc>
        <w:tc>
          <w:tcPr>
            <w:tcW w:w="211" w:type="dxa"/>
            <w:tcBorders/>
            <w:shd w:fill="auto" w:val="clear"/>
            <w:vAlign w:val="center"/>
          </w:tcPr>
          <w:p>
            <w:pPr>
              <w:pStyle w:val="TableContents"/>
              <w:spacing w:before="0" w:after="0"/>
              <w:ind w:left="0" w:right="0" w:hanging="0"/>
              <w:jc w:val="left"/>
              <w:rPr/>
            </w:pPr>
            <w:r>
              <w:rPr/>
              <w:t> </w:t>
            </w:r>
          </w:p>
        </w:tc>
      </w:tr>
      <w:tr>
        <w:trPr/>
        <w:tc>
          <w:tcPr>
            <w:tcW w:w="618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Executive transition costs</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67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1,353</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73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pPr>
            <w:r>
              <w:rPr/>
              <w:t>—</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r>
        <w:trPr/>
        <w:tc>
          <w:tcPr>
            <w:tcW w:w="6181" w:type="dxa"/>
            <w:tcBorders/>
            <w:shd w:fill="auto" w:val="clear"/>
            <w:vAlign w:val="center"/>
          </w:tcPr>
          <w:p>
            <w:pPr>
              <w:pStyle w:val="TableContents"/>
              <w:spacing w:before="0" w:after="0"/>
              <w:ind w:left="0" w:right="0" w:hanging="0"/>
              <w:jc w:val="left"/>
              <w:rPr>
                <w:rFonts w:ascii="Times New Roman;serif" w:hAnsi="Times New Roman;serif"/>
                <w:b/>
                <w:sz w:val="20"/>
              </w:rPr>
            </w:pPr>
            <w:r>
              <w:rPr>
                <w:rFonts w:ascii="Times New Roman;serif" w:hAnsi="Times New Roman;serif"/>
                <w:b/>
                <w:sz w:val="20"/>
              </w:rPr>
              <w:t>Income (loss) from operations</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676" w:type="dxa"/>
            <w:tcBorders/>
            <w:shd w:fill="auto" w:val="clear"/>
            <w:vAlign w:val="center"/>
          </w:tcPr>
          <w:p>
            <w:pPr>
              <w:pStyle w:val="TableContents"/>
              <w:spacing w:before="0" w:after="0"/>
              <w:ind w:left="0" w:right="0" w:hanging="0"/>
              <w:jc w:val="right"/>
              <w:rPr>
                <w:rFonts w:ascii="Times New Roman;serif" w:hAnsi="Times New Roman;serif"/>
                <w:b/>
                <w:sz w:val="20"/>
              </w:rPr>
            </w:pPr>
            <w:r>
              <w:rPr>
                <w:rFonts w:ascii="Times New Roman;serif" w:hAnsi="Times New Roman;serif"/>
                <w:b/>
                <w:sz w:val="20"/>
              </w:rPr>
              <w:t>11,401</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736" w:type="dxa"/>
            <w:tcBorders/>
            <w:shd w:fill="auto" w:val="clear"/>
            <w:vAlign w:val="center"/>
          </w:tcPr>
          <w:p>
            <w:pPr>
              <w:pStyle w:val="TableContents"/>
              <w:spacing w:before="0" w:after="0"/>
              <w:ind w:left="0" w:right="0" w:hanging="0"/>
              <w:jc w:val="right"/>
              <w:rPr>
                <w:rFonts w:ascii="Times New Roman;serif" w:hAnsi="Times New Roman;serif"/>
                <w:b/>
                <w:sz w:val="20"/>
              </w:rPr>
            </w:pPr>
            <w:r>
              <w:rPr>
                <w:rFonts w:ascii="Times New Roman;serif" w:hAnsi="Times New Roman;serif"/>
                <w:b/>
                <w:sz w:val="20"/>
              </w:rPr>
              <w:t>(8,032</w:t>
            </w:r>
          </w:p>
        </w:tc>
        <w:tc>
          <w:tcPr>
            <w:tcW w:w="211" w:type="dxa"/>
            <w:tcBorders/>
            <w:shd w:fill="auto" w:val="clear"/>
            <w:vAlign w:val="center"/>
          </w:tcPr>
          <w:p>
            <w:pPr>
              <w:pStyle w:val="TableContents"/>
              <w:spacing w:before="0" w:after="0"/>
              <w:ind w:left="0" w:right="0" w:hanging="0"/>
              <w:jc w:val="left"/>
              <w:rPr>
                <w:rFonts w:ascii="Times New Roman;serif" w:hAnsi="Times New Roman;serif"/>
                <w:b/>
                <w:sz w:val="20"/>
              </w:rPr>
            </w:pPr>
            <w:r>
              <w:rPr>
                <w:rFonts w:ascii="Times New Roman;serif" w:hAnsi="Times New Roman;serif"/>
                <w:b/>
                <w:sz w:val="20"/>
              </w:rPr>
              <w:t>)</w:t>
            </w:r>
          </w:p>
        </w:tc>
      </w:tr>
      <w:tr>
        <w:trPr/>
        <w:tc>
          <w:tcPr>
            <w:tcW w:w="618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Realized and unrealized investment gains</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67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44</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73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34</w:t>
            </w:r>
          </w:p>
        </w:tc>
        <w:tc>
          <w:tcPr>
            <w:tcW w:w="211" w:type="dxa"/>
            <w:tcBorders/>
            <w:shd w:fill="auto" w:val="clear"/>
            <w:vAlign w:val="center"/>
          </w:tcPr>
          <w:p>
            <w:pPr>
              <w:pStyle w:val="TableContents"/>
              <w:spacing w:before="0" w:after="0"/>
              <w:ind w:left="0" w:right="0" w:hanging="0"/>
              <w:jc w:val="left"/>
              <w:rPr/>
            </w:pPr>
            <w:r>
              <w:rPr/>
              <w:t> </w:t>
            </w:r>
          </w:p>
        </w:tc>
      </w:tr>
      <w:tr>
        <w:trPr/>
        <w:tc>
          <w:tcPr>
            <w:tcW w:w="618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Retirement benefits non-service expense</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67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(77</w:t>
            </w:r>
          </w:p>
        </w:tc>
        <w:tc>
          <w:tcPr>
            <w:tcW w:w="16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73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(139</w:t>
            </w:r>
          </w:p>
        </w:tc>
        <w:tc>
          <w:tcPr>
            <w:tcW w:w="21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618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Interest income</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67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407</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73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502</w:t>
            </w:r>
          </w:p>
        </w:tc>
        <w:tc>
          <w:tcPr>
            <w:tcW w:w="211" w:type="dxa"/>
            <w:tcBorders/>
            <w:shd w:fill="auto" w:val="clear"/>
            <w:vAlign w:val="center"/>
          </w:tcPr>
          <w:p>
            <w:pPr>
              <w:pStyle w:val="TableContents"/>
              <w:spacing w:before="0" w:after="0"/>
              <w:ind w:left="0" w:right="0" w:hanging="0"/>
              <w:jc w:val="left"/>
              <w:rPr/>
            </w:pPr>
            <w:r>
              <w:rPr/>
              <w:t> </w:t>
            </w:r>
          </w:p>
        </w:tc>
      </w:tr>
      <w:tr>
        <w:trPr/>
        <w:tc>
          <w:tcPr>
            <w:tcW w:w="618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Interest expense</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67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(1,767</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73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(1,705</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6181" w:type="dxa"/>
            <w:tcBorders/>
            <w:shd w:fill="auto" w:val="clear"/>
            <w:vAlign w:val="center"/>
          </w:tcPr>
          <w:p>
            <w:pPr>
              <w:pStyle w:val="TableContents"/>
              <w:spacing w:before="0" w:after="0"/>
              <w:ind w:left="0" w:right="0" w:hanging="0"/>
              <w:jc w:val="left"/>
              <w:rPr>
                <w:rFonts w:ascii="Times New Roman;serif" w:hAnsi="Times New Roman;serif"/>
                <w:b/>
                <w:sz w:val="20"/>
              </w:rPr>
            </w:pPr>
            <w:r>
              <w:rPr>
                <w:rFonts w:ascii="Times New Roman;serif" w:hAnsi="Times New Roman;serif"/>
                <w:b/>
                <w:sz w:val="20"/>
              </w:rPr>
              <w:t>Income (loss) before taxes</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676" w:type="dxa"/>
            <w:tcBorders/>
            <w:shd w:fill="auto" w:val="clear"/>
            <w:vAlign w:val="center"/>
          </w:tcPr>
          <w:p>
            <w:pPr>
              <w:pStyle w:val="TableContents"/>
              <w:spacing w:before="0" w:after="0"/>
              <w:ind w:left="0" w:right="0" w:hanging="0"/>
              <w:jc w:val="right"/>
              <w:rPr>
                <w:rFonts w:ascii="Times New Roman;serif" w:hAnsi="Times New Roman;serif"/>
                <w:b/>
                <w:sz w:val="20"/>
              </w:rPr>
            </w:pPr>
            <w:r>
              <w:rPr>
                <w:rFonts w:ascii="Times New Roman;serif" w:hAnsi="Times New Roman;serif"/>
                <w:b/>
                <w:sz w:val="20"/>
              </w:rPr>
              <w:t>10,008</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736" w:type="dxa"/>
            <w:tcBorders/>
            <w:shd w:fill="auto" w:val="clear"/>
            <w:vAlign w:val="center"/>
          </w:tcPr>
          <w:p>
            <w:pPr>
              <w:pStyle w:val="TableContents"/>
              <w:spacing w:before="0" w:after="0"/>
              <w:ind w:left="0" w:right="0" w:hanging="0"/>
              <w:jc w:val="right"/>
              <w:rPr>
                <w:rFonts w:ascii="Times New Roman;serif" w:hAnsi="Times New Roman;serif"/>
                <w:b/>
                <w:sz w:val="20"/>
              </w:rPr>
            </w:pPr>
            <w:r>
              <w:rPr>
                <w:rFonts w:ascii="Times New Roman;serif" w:hAnsi="Times New Roman;serif"/>
                <w:b/>
                <w:sz w:val="20"/>
              </w:rPr>
              <w:t>(9,340</w:t>
            </w:r>
          </w:p>
        </w:tc>
        <w:tc>
          <w:tcPr>
            <w:tcW w:w="211" w:type="dxa"/>
            <w:tcBorders/>
            <w:shd w:fill="auto" w:val="clear"/>
            <w:vAlign w:val="center"/>
          </w:tcPr>
          <w:p>
            <w:pPr>
              <w:pStyle w:val="TableContents"/>
              <w:spacing w:before="0" w:after="0"/>
              <w:ind w:left="0" w:right="0" w:hanging="0"/>
              <w:jc w:val="left"/>
              <w:rPr>
                <w:rFonts w:ascii="Times New Roman;serif" w:hAnsi="Times New Roman;serif"/>
                <w:b/>
                <w:sz w:val="20"/>
              </w:rPr>
            </w:pPr>
            <w:r>
              <w:rPr>
                <w:rFonts w:ascii="Times New Roman;serif" w:hAnsi="Times New Roman;serif"/>
                <w:b/>
                <w:sz w:val="20"/>
              </w:rPr>
              <w:t>)</w:t>
            </w:r>
          </w:p>
        </w:tc>
      </w:tr>
      <w:tr>
        <w:trPr/>
        <w:tc>
          <w:tcPr>
            <w:tcW w:w="618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Income tax expense</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67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(4,885</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73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(2,610</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6181" w:type="dxa"/>
            <w:tcBorders/>
            <w:shd w:fill="auto" w:val="clear"/>
            <w:vAlign w:val="center"/>
          </w:tcPr>
          <w:p>
            <w:pPr>
              <w:pStyle w:val="TableContents"/>
              <w:spacing w:before="0" w:after="0"/>
              <w:ind w:left="0" w:right="0" w:hanging="0"/>
              <w:jc w:val="left"/>
              <w:rPr>
                <w:rFonts w:ascii="Times New Roman;serif" w:hAnsi="Times New Roman;serif"/>
                <w:b/>
                <w:sz w:val="20"/>
              </w:rPr>
            </w:pPr>
            <w:r>
              <w:rPr>
                <w:rFonts w:ascii="Times New Roman;serif" w:hAnsi="Times New Roman;serif"/>
                <w:b/>
                <w:sz w:val="20"/>
              </w:rPr>
              <w:t>Net income (loss)</w:t>
            </w:r>
          </w:p>
        </w:tc>
        <w:tc>
          <w:tcPr>
            <w:tcW w:w="146" w:type="dxa"/>
            <w:tcBorders/>
            <w:shd w:fill="auto" w:val="clear"/>
            <w:vAlign w:val="center"/>
          </w:tcPr>
          <w:p>
            <w:pPr>
              <w:pStyle w:val="TableContents"/>
              <w:spacing w:before="0" w:after="0"/>
              <w:ind w:left="0" w:right="0" w:hanging="0"/>
              <w:jc w:val="righ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676" w:type="dxa"/>
            <w:tcBorders/>
            <w:shd w:fill="auto" w:val="clear"/>
            <w:vAlign w:val="center"/>
          </w:tcPr>
          <w:p>
            <w:pPr>
              <w:pStyle w:val="TableContents"/>
              <w:spacing w:before="0" w:after="0"/>
              <w:ind w:left="0" w:right="0" w:hanging="0"/>
              <w:jc w:val="right"/>
              <w:rPr>
                <w:rFonts w:ascii="Times New Roman;serif" w:hAnsi="Times New Roman;serif"/>
                <w:b/>
                <w:sz w:val="20"/>
              </w:rPr>
            </w:pPr>
            <w:r>
              <w:rPr>
                <w:rFonts w:ascii="Times New Roman;serif" w:hAnsi="Times New Roman;serif"/>
                <w:b/>
                <w:sz w:val="20"/>
              </w:rPr>
              <w:t>5,123</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736" w:type="dxa"/>
            <w:tcBorders/>
            <w:shd w:fill="auto" w:val="clear"/>
            <w:vAlign w:val="center"/>
          </w:tcPr>
          <w:p>
            <w:pPr>
              <w:pStyle w:val="TableContents"/>
              <w:spacing w:before="0" w:after="0"/>
              <w:ind w:left="0" w:right="0" w:hanging="0"/>
              <w:jc w:val="right"/>
              <w:rPr>
                <w:rFonts w:ascii="Times New Roman;serif" w:hAnsi="Times New Roman;serif"/>
                <w:b/>
                <w:sz w:val="20"/>
              </w:rPr>
            </w:pPr>
            <w:r>
              <w:rPr>
                <w:rFonts w:ascii="Times New Roman;serif" w:hAnsi="Times New Roman;serif"/>
                <w:b/>
                <w:sz w:val="20"/>
              </w:rPr>
              <w:t>(11,950</w:t>
            </w:r>
          </w:p>
        </w:tc>
        <w:tc>
          <w:tcPr>
            <w:tcW w:w="211" w:type="dxa"/>
            <w:tcBorders/>
            <w:shd w:fill="auto" w:val="clear"/>
            <w:vAlign w:val="center"/>
          </w:tcPr>
          <w:p>
            <w:pPr>
              <w:pStyle w:val="TableContents"/>
              <w:spacing w:before="0" w:after="0"/>
              <w:ind w:left="0" w:right="0" w:hanging="0"/>
              <w:jc w:val="left"/>
              <w:rPr>
                <w:rFonts w:ascii="Times New Roman;serif" w:hAnsi="Times New Roman;serif"/>
                <w:b/>
                <w:sz w:val="20"/>
              </w:rPr>
            </w:pPr>
            <w:r>
              <w:rPr>
                <w:rFonts w:ascii="Times New Roman;serif" w:hAnsi="Times New Roman;serif"/>
                <w:b/>
                <w:sz w:val="20"/>
              </w:rPr>
              <w:t>)</w:t>
            </w:r>
          </w:p>
        </w:tc>
      </w:tr>
      <w:tr>
        <w:trPr/>
        <w:tc>
          <w:tcPr>
            <w:tcW w:w="618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Less: net income attributable to non-controlling interests</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67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(2,669</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73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(1,659</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6181" w:type="dxa"/>
            <w:tcBorders/>
            <w:shd w:fill="auto" w:val="clear"/>
            <w:vAlign w:val="center"/>
          </w:tcPr>
          <w:p>
            <w:pPr>
              <w:pStyle w:val="TableContents"/>
              <w:spacing w:before="0" w:after="0"/>
              <w:ind w:left="0" w:right="0" w:hanging="0"/>
              <w:jc w:val="left"/>
              <w:rPr>
                <w:rFonts w:ascii="Times New Roman;serif" w:hAnsi="Times New Roman;serif"/>
                <w:b/>
                <w:sz w:val="20"/>
              </w:rPr>
            </w:pPr>
            <w:r>
              <w:rPr>
                <w:rFonts w:ascii="Times New Roman;serif" w:hAnsi="Times New Roman;serif"/>
                <w:b/>
                <w:sz w:val="20"/>
              </w:rPr>
              <w:t>Net income (loss) attributable to common shareholders</w:t>
            </w:r>
          </w:p>
        </w:tc>
        <w:tc>
          <w:tcPr>
            <w:tcW w:w="146" w:type="dxa"/>
            <w:tcBorders/>
            <w:shd w:fill="auto" w:val="clear"/>
            <w:vAlign w:val="center"/>
          </w:tcPr>
          <w:p>
            <w:pPr>
              <w:pStyle w:val="TableContents"/>
              <w:spacing w:before="0" w:after="0"/>
              <w:ind w:left="0" w:right="0" w:hanging="0"/>
              <w:jc w:val="right"/>
              <w:rPr/>
            </w:pPr>
            <w:r>
              <w:rPr/>
              <w:t> </w:t>
            </w:r>
          </w:p>
        </w:tc>
        <w:tc>
          <w:tcPr>
            <w:tcW w:w="21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sz w:val="20"/>
              </w:rPr>
            </w:pPr>
            <w:r>
              <w:rPr>
                <w:rFonts w:ascii="Times New Roman;serif" w:hAnsi="Times New Roman;serif"/>
                <w:b/>
                <w:sz w:val="20"/>
              </w:rPr>
              <w:t>$</w:t>
            </w:r>
          </w:p>
        </w:tc>
        <w:tc>
          <w:tcPr>
            <w:tcW w:w="67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sz w:val="20"/>
              </w:rPr>
            </w:pPr>
            <w:r>
              <w:rPr>
                <w:rFonts w:ascii="Times New Roman;serif" w:hAnsi="Times New Roman;serif"/>
                <w:b/>
                <w:sz w:val="20"/>
              </w:rPr>
              <w:t>2,454</w:t>
            </w:r>
          </w:p>
        </w:tc>
        <w:tc>
          <w:tcPr>
            <w:tcW w:w="16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sz w:val="20"/>
              </w:rPr>
            </w:pPr>
            <w:r>
              <w:rPr>
                <w:rFonts w:ascii="Times New Roman;serif" w:hAnsi="Times New Roman;serif"/>
                <w:b/>
                <w:sz w:val="20"/>
              </w:rPr>
              <w:t>$</w:t>
            </w:r>
          </w:p>
        </w:tc>
        <w:tc>
          <w:tcPr>
            <w:tcW w:w="73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sz w:val="20"/>
              </w:rPr>
            </w:pPr>
            <w:r>
              <w:rPr>
                <w:rFonts w:ascii="Times New Roman;serif" w:hAnsi="Times New Roman;serif"/>
                <w:b/>
                <w:sz w:val="20"/>
              </w:rPr>
              <w:t>(13,609</w:t>
            </w:r>
          </w:p>
        </w:tc>
        <w:tc>
          <w:tcPr>
            <w:tcW w:w="21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sz w:val="20"/>
              </w:rPr>
            </w:pPr>
            <w:r>
              <w:rPr>
                <w:rFonts w:ascii="Times New Roman;serif" w:hAnsi="Times New Roman;serif"/>
                <w:b/>
                <w:sz w:val="20"/>
              </w:rPr>
              <w:t>)</w:t>
            </w:r>
          </w:p>
        </w:tc>
      </w:tr>
      <w:tr>
        <w:trPr/>
        <w:tc>
          <w:tcPr>
            <w:tcW w:w="618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887" w:type="dxa"/>
            <w:gridSpan w:val="2"/>
            <w:tcBorders/>
            <w:shd w:fill="auto" w:val="clear"/>
            <w:vAlign w:val="center"/>
          </w:tcPr>
          <w:p>
            <w:pPr>
              <w:pStyle w:val="TableContents"/>
              <w:spacing w:before="0" w:after="0"/>
              <w:ind w:left="0" w:right="0" w:hanging="0"/>
              <w:jc w:val="left"/>
              <w:rPr/>
            </w:pPr>
            <w:r>
              <w:rPr/>
              <w:t> </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947" w:type="dxa"/>
            <w:gridSpan w:val="2"/>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r>
      <w:tr>
        <w:trPr/>
        <w:tc>
          <w:tcPr>
            <w:tcW w:w="8473" w:type="dxa"/>
            <w:gridSpan w:val="8"/>
            <w:tcBorders/>
            <w:shd w:fill="auto" w:val="clear"/>
            <w:vAlign w:val="center"/>
          </w:tcPr>
          <w:p>
            <w:pPr>
              <w:pStyle w:val="TableContents"/>
              <w:spacing w:before="0" w:after="0"/>
              <w:ind w:left="0" w:right="0" w:hanging="0"/>
              <w:jc w:val="left"/>
              <w:rPr>
                <w:rFonts w:ascii="Times New Roman;serif" w:hAnsi="Times New Roman;serif"/>
                <w:b/>
                <w:sz w:val="20"/>
              </w:rPr>
            </w:pPr>
            <w:r>
              <w:rPr>
                <w:rFonts w:ascii="Times New Roman;serif" w:hAnsi="Times New Roman;serif"/>
                <w:b/>
                <w:sz w:val="20"/>
              </w:rPr>
              <w:t>Net income (loss) per share attributable to common shareholders - basic and diluted:</w:t>
            </w:r>
          </w:p>
        </w:tc>
        <w:tc>
          <w:tcPr>
            <w:tcW w:w="211" w:type="dxa"/>
            <w:tcBorders/>
            <w:shd w:fill="auto" w:val="clear"/>
            <w:vAlign w:val="center"/>
          </w:tcPr>
          <w:p>
            <w:pPr>
              <w:pStyle w:val="TableContents"/>
              <w:spacing w:before="0" w:after="0"/>
              <w:ind w:left="0" w:right="0" w:hanging="0"/>
              <w:jc w:val="left"/>
              <w:rPr/>
            </w:pPr>
            <w:r>
              <w:rPr/>
              <w:t> </w:t>
            </w:r>
          </w:p>
        </w:tc>
      </w:tr>
      <w:tr>
        <w:trPr/>
        <w:tc>
          <w:tcPr>
            <w:tcW w:w="618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Net income (loss) per share attributable to common shareholders — basic</w:t>
            </w:r>
          </w:p>
        </w:tc>
        <w:tc>
          <w:tcPr>
            <w:tcW w:w="146" w:type="dxa"/>
            <w:tcBorders/>
            <w:shd w:fill="auto" w:val="clear"/>
            <w:vAlign w:val="center"/>
          </w:tcPr>
          <w:p>
            <w:pPr>
              <w:pStyle w:val="TableContents"/>
              <w:spacing w:before="0" w:after="0"/>
              <w:ind w:left="0" w:right="0" w:hanging="0"/>
              <w:jc w:val="right"/>
              <w:rPr/>
            </w:pPr>
            <w:r>
              <w:rPr/>
              <w:t> </w:t>
            </w:r>
          </w:p>
        </w:tc>
        <w:tc>
          <w:tcPr>
            <w:tcW w:w="21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7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0.05</w:t>
            </w:r>
          </w:p>
        </w:tc>
        <w:tc>
          <w:tcPr>
            <w:tcW w:w="16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3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(0.23</w:t>
            </w:r>
          </w:p>
        </w:tc>
        <w:tc>
          <w:tcPr>
            <w:tcW w:w="21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618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Net income (loss) per share attributable to common shareholders — diluted</w:t>
            </w:r>
          </w:p>
        </w:tc>
        <w:tc>
          <w:tcPr>
            <w:tcW w:w="146" w:type="dxa"/>
            <w:tcBorders/>
            <w:shd w:fill="auto" w:val="clear"/>
            <w:vAlign w:val="center"/>
          </w:tcPr>
          <w:p>
            <w:pPr>
              <w:pStyle w:val="TableContents"/>
              <w:spacing w:before="0" w:after="0"/>
              <w:ind w:left="0" w:right="0" w:hanging="0"/>
              <w:jc w:val="right"/>
              <w:rPr/>
            </w:pPr>
            <w:r>
              <w:rPr/>
              <w:t> </w:t>
            </w:r>
          </w:p>
        </w:tc>
        <w:tc>
          <w:tcPr>
            <w:tcW w:w="21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7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0.04</w:t>
            </w:r>
          </w:p>
        </w:tc>
        <w:tc>
          <w:tcPr>
            <w:tcW w:w="16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3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(0.23</w:t>
            </w:r>
          </w:p>
        </w:tc>
        <w:tc>
          <w:tcPr>
            <w:tcW w:w="21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618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Weighted average shares outstanding — basic (in thousands)</w:t>
            </w:r>
          </w:p>
        </w:tc>
        <w:tc>
          <w:tcPr>
            <w:tcW w:w="146" w:type="dxa"/>
            <w:tcBorders/>
            <w:shd w:fill="auto" w:val="clear"/>
            <w:vAlign w:val="center"/>
          </w:tcPr>
          <w:p>
            <w:pPr>
              <w:pStyle w:val="TableContents"/>
              <w:spacing w:before="0" w:after="0"/>
              <w:ind w:left="0" w:right="0" w:hanging="0"/>
              <w:jc w:val="right"/>
              <w:rPr/>
            </w:pPr>
            <w:r>
              <w:rPr/>
              <w:t> </w:t>
            </w:r>
          </w:p>
        </w:tc>
        <w:tc>
          <w:tcPr>
            <w:tcW w:w="21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67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54,064</w:t>
            </w:r>
          </w:p>
        </w:tc>
        <w:tc>
          <w:tcPr>
            <w:tcW w:w="16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73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58,574</w:t>
            </w:r>
          </w:p>
        </w:tc>
        <w:tc>
          <w:tcPr>
            <w:tcW w:w="21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r>
        <w:trPr/>
        <w:tc>
          <w:tcPr>
            <w:tcW w:w="618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Weighted average shares outstanding — diluted (in thousands)</w:t>
            </w:r>
          </w:p>
        </w:tc>
        <w:tc>
          <w:tcPr>
            <w:tcW w:w="146" w:type="dxa"/>
            <w:tcBorders/>
            <w:shd w:fill="auto" w:val="clear"/>
            <w:vAlign w:val="center"/>
          </w:tcPr>
          <w:p>
            <w:pPr>
              <w:pStyle w:val="TableContents"/>
              <w:spacing w:before="0" w:after="0"/>
              <w:ind w:left="0" w:right="0" w:hanging="0"/>
              <w:jc w:val="right"/>
              <w:rPr/>
            </w:pPr>
            <w:r>
              <w:rPr/>
              <w:t> </w:t>
            </w:r>
          </w:p>
        </w:tc>
        <w:tc>
          <w:tcPr>
            <w:tcW w:w="21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67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54,991</w:t>
            </w:r>
          </w:p>
        </w:tc>
        <w:tc>
          <w:tcPr>
            <w:tcW w:w="16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73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58,574</w:t>
            </w:r>
          </w:p>
        </w:tc>
        <w:tc>
          <w:tcPr>
            <w:tcW w:w="21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bl>
    <w:p>
      <w:pPr>
        <w:pStyle w:val="TextBody"/>
        <w:spacing w:before="0" w:after="0"/>
        <w:jc w:val="center"/>
        <w:rPr/>
      </w:pPr>
      <w:r>
        <w:rPr/>
        <w:t> </w:t>
      </w:r>
    </w:p>
    <w:p>
      <w:pPr>
        <w:pStyle w:val="TextBody"/>
        <w:spacing w:before="0" w:after="0"/>
        <w:jc w:val="center"/>
        <w:rPr>
          <w:rFonts w:ascii="Times New Roman;serif" w:hAnsi="Times New Roman;serif"/>
          <w:b w:val="false"/>
          <w:i/>
          <w:sz w:val="20"/>
        </w:rPr>
      </w:pPr>
      <w:r>
        <w:rPr>
          <w:rFonts w:ascii="Times New Roman;serif" w:hAnsi="Times New Roman;serif"/>
          <w:b w:val="false"/>
          <w:i/>
          <w:sz w:val="20"/>
        </w:rPr>
        <w:t>(See the accompanying notes, which are an integral part of these Condensed Consolidated Financial Statements.)</w:t>
      </w:r>
    </w:p>
    <w:p>
      <w:pPr>
        <w:pStyle w:val="TextBody"/>
        <w:spacing w:before="240" w:after="0"/>
        <w:jc w:val="center"/>
        <w:rPr>
          <w:rFonts w:ascii="Times New Roman;serif" w:hAnsi="Times New Roman;serif"/>
          <w:b w:val="false"/>
          <w:sz w:val="20"/>
        </w:rPr>
      </w:pPr>
      <w:r>
        <w:rPr>
          <w:rFonts w:ascii="Times New Roman;serif" w:hAnsi="Times New Roman;serif"/>
          <w:b w:val="false"/>
          <w:sz w:val="20"/>
        </w:rPr>
        <w:t>5</w:t>
      </w:r>
    </w:p>
    <w:p>
      <w:pPr>
        <w:pStyle w:val="HorizontalLine"/>
        <w:rPr/>
      </w:pPr>
      <w:r>
        <w:rPr/>
      </w:r>
    </w:p>
    <w:p>
      <w:pPr>
        <w:pStyle w:val="TextBody"/>
        <w:spacing w:before="0" w:after="0"/>
        <w:jc w:val="left"/>
        <w:rPr/>
      </w:pPr>
      <w:r>
        <w:rPr/>
        <w:t> </w:t>
      </w:r>
    </w:p>
    <w:p>
      <w:pPr>
        <w:pStyle w:val="TextBody"/>
        <w:spacing w:before="0" w:after="0"/>
        <w:jc w:val="center"/>
        <w:rPr>
          <w:rFonts w:ascii="Times New Roman;serif" w:hAnsi="Times New Roman;serif"/>
          <w:b/>
          <w:sz w:val="20"/>
        </w:rPr>
      </w:pPr>
      <w:r>
        <w:rPr>
          <w:rFonts w:ascii="Times New Roman;serif" w:hAnsi="Times New Roman;serif"/>
          <w:b/>
          <w:sz w:val="20"/>
        </w:rPr>
        <w:t>IMAX CORPORATION</w:t>
      </w:r>
    </w:p>
    <w:p>
      <w:pPr>
        <w:pStyle w:val="TextBody"/>
        <w:spacing w:before="0" w:after="0"/>
        <w:jc w:val="center"/>
        <w:rPr>
          <w:rFonts w:ascii="Times New Roman;serif" w:hAnsi="Times New Roman;serif"/>
          <w:b/>
          <w:sz w:val="20"/>
        </w:rPr>
      </w:pPr>
      <w:bookmarkStart w:id="7" w:name="condensed_consolidated_statements_compre"/>
      <w:bookmarkEnd w:id="7"/>
      <w:r>
        <w:rPr>
          <w:rFonts w:ascii="Times New Roman;serif" w:hAnsi="Times New Roman;serif"/>
          <w:b/>
          <w:sz w:val="20"/>
        </w:rPr>
        <w:t>CONDENSED CONSOLIDATED STATEMENTS OF COMPREHENSIVE INCOME (LOSS)</w:t>
      </w:r>
    </w:p>
    <w:p>
      <w:pPr>
        <w:pStyle w:val="TextBody"/>
        <w:spacing w:before="0" w:after="0"/>
        <w:jc w:val="center"/>
        <w:rPr>
          <w:rFonts w:ascii="Times New Roman;serif" w:hAnsi="Times New Roman;serif"/>
          <w:b w:val="false"/>
          <w:i/>
          <w:sz w:val="20"/>
        </w:rPr>
      </w:pPr>
      <w:r>
        <w:rPr>
          <w:rFonts w:ascii="Times New Roman;serif" w:hAnsi="Times New Roman;serif"/>
          <w:b w:val="false"/>
          <w:i/>
          <w:sz w:val="20"/>
        </w:rPr>
        <w:t>(In thousands of U.S. Dollars)</w:t>
      </w:r>
    </w:p>
    <w:p>
      <w:pPr>
        <w:pStyle w:val="TextBody"/>
        <w:spacing w:before="0" w:after="0"/>
        <w:jc w:val="center"/>
        <w:rPr>
          <w:rFonts w:ascii="Times New Roman;serif" w:hAnsi="Times New Roman;serif"/>
          <w:b w:val="false"/>
          <w:i/>
          <w:sz w:val="20"/>
        </w:rPr>
      </w:pPr>
      <w:r>
        <w:rPr>
          <w:rFonts w:ascii="Times New Roman;serif" w:hAnsi="Times New Roman;serif"/>
          <w:b w:val="false"/>
          <w:i/>
          <w:sz w:val="20"/>
        </w:rPr>
        <w:t>(Unaudited)</w:t>
      </w:r>
    </w:p>
    <w:p>
      <w:pPr>
        <w:pStyle w:val="TextBody"/>
        <w:spacing w:before="0" w:after="0"/>
        <w:jc w:val="center"/>
        <w:rPr/>
      </w:pPr>
      <w:r>
        <w:rPr/>
        <w:t> </w:t>
      </w:r>
    </w:p>
    <w:tbl>
      <w:tblPr>
        <w:tblW w:w="8499" w:type="dxa"/>
        <w:jc w:val="left"/>
        <w:tblInd w:w="0" w:type="dxa"/>
        <w:tblCellMar>
          <w:top w:w="28" w:type="dxa"/>
          <w:left w:w="28" w:type="dxa"/>
          <w:bottom w:w="28" w:type="dxa"/>
          <w:right w:w="28" w:type="dxa"/>
        </w:tblCellMar>
      </w:tblPr>
      <w:tblGrid>
        <w:gridCol w:w="5761"/>
        <w:gridCol w:w="146"/>
        <w:gridCol w:w="211"/>
        <w:gridCol w:w="631"/>
        <w:gridCol w:w="166"/>
        <w:gridCol w:w="146"/>
        <w:gridCol w:w="211"/>
        <w:gridCol w:w="736"/>
        <w:gridCol w:w="491"/>
      </w:tblGrid>
      <w:tr>
        <w:trPr/>
        <w:tc>
          <w:tcPr>
            <w:tcW w:w="5761"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631" w:type="dxa"/>
            <w:tcBorders/>
            <w:shd w:fill="auto" w:val="clear"/>
            <w:vAlign w:val="center"/>
          </w:tcPr>
          <w:p>
            <w:pPr>
              <w:pStyle w:val="TableContents"/>
              <w:spacing w:before="0" w:after="283"/>
              <w:rPr>
                <w:sz w:val="4"/>
                <w:szCs w:val="4"/>
              </w:rPr>
            </w:pPr>
            <w:r>
              <w:rPr>
                <w:sz w:val="4"/>
                <w:szCs w:val="4"/>
              </w:rPr>
            </w:r>
          </w:p>
        </w:tc>
        <w:tc>
          <w:tcPr>
            <w:tcW w:w="16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36" w:type="dxa"/>
            <w:tcBorders/>
            <w:shd w:fill="auto" w:val="clear"/>
            <w:vAlign w:val="center"/>
          </w:tcPr>
          <w:p>
            <w:pPr>
              <w:pStyle w:val="TableContents"/>
              <w:spacing w:before="0" w:after="283"/>
              <w:rPr>
                <w:sz w:val="4"/>
                <w:szCs w:val="4"/>
              </w:rPr>
            </w:pPr>
            <w:r>
              <w:rPr>
                <w:sz w:val="4"/>
                <w:szCs w:val="4"/>
              </w:rPr>
            </w:r>
          </w:p>
        </w:tc>
        <w:tc>
          <w:tcPr>
            <w:tcW w:w="491" w:type="dxa"/>
            <w:tcBorders/>
            <w:shd w:fill="auto" w:val="clear"/>
            <w:vAlign w:val="center"/>
          </w:tcPr>
          <w:p>
            <w:pPr>
              <w:pStyle w:val="TableContents"/>
              <w:spacing w:before="0" w:after="283"/>
              <w:rPr>
                <w:sz w:val="4"/>
                <w:szCs w:val="4"/>
              </w:rPr>
            </w:pPr>
            <w:r>
              <w:rPr>
                <w:sz w:val="4"/>
                <w:szCs w:val="4"/>
              </w:rPr>
            </w:r>
          </w:p>
        </w:tc>
      </w:tr>
      <w:tr>
        <w:trPr/>
        <w:tc>
          <w:tcPr>
            <w:tcW w:w="576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01" w:type="dxa"/>
            <w:gridSpan w:val="6"/>
            <w:tcBorders/>
            <w:shd w:fill="auto" w:val="cle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Three Months Ended</w:t>
            </w:r>
          </w:p>
        </w:tc>
        <w:tc>
          <w:tcPr>
            <w:tcW w:w="491" w:type="dxa"/>
            <w:tcBorders/>
            <w:shd w:fill="auto" w:val="clear"/>
            <w:vAlign w:val="center"/>
          </w:tcPr>
          <w:p>
            <w:pPr>
              <w:pStyle w:val="TableContents"/>
              <w:spacing w:before="0" w:after="0"/>
              <w:ind w:left="0" w:right="0" w:hanging="0"/>
              <w:jc w:val="center"/>
              <w:rPr/>
            </w:pPr>
            <w:r>
              <w:rPr/>
              <w:t> </w:t>
            </w:r>
          </w:p>
        </w:tc>
      </w:tr>
      <w:tr>
        <w:trPr/>
        <w:tc>
          <w:tcPr>
            <w:tcW w:w="576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01" w:type="dxa"/>
            <w:gridSpan w:val="6"/>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March 31,</w:t>
            </w:r>
          </w:p>
        </w:tc>
        <w:tc>
          <w:tcPr>
            <w:tcW w:w="4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576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842"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2023</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947"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2022</w:t>
            </w:r>
          </w:p>
        </w:tc>
        <w:tc>
          <w:tcPr>
            <w:tcW w:w="4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5761" w:type="dxa"/>
            <w:tcBorders/>
            <w:shd w:fill="auto" w:val="clear"/>
            <w:vAlign w:val="center"/>
          </w:tcPr>
          <w:p>
            <w:pPr>
              <w:pStyle w:val="TableContents"/>
              <w:spacing w:before="0" w:after="0"/>
              <w:ind w:left="0" w:right="0" w:hanging="0"/>
              <w:jc w:val="left"/>
              <w:rPr>
                <w:rFonts w:ascii="Times New Roman;serif" w:hAnsi="Times New Roman;serif"/>
                <w:b/>
                <w:sz w:val="20"/>
              </w:rPr>
            </w:pPr>
            <w:r>
              <w:rPr>
                <w:rFonts w:ascii="Times New Roman;serif" w:hAnsi="Times New Roman;serif"/>
                <w:b/>
                <w:sz w:val="20"/>
              </w:rPr>
              <w:t>Net income (loss)</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rFonts w:ascii="Times New Roman;serif" w:hAnsi="Times New Roman;serif"/>
                <w:b/>
                <w:sz w:val="20"/>
              </w:rPr>
            </w:pPr>
            <w:r>
              <w:rPr>
                <w:rFonts w:ascii="Times New Roman;serif" w:hAnsi="Times New Roman;serif"/>
                <w:b/>
                <w:sz w:val="20"/>
              </w:rPr>
              <w:t>$</w:t>
            </w:r>
          </w:p>
        </w:tc>
        <w:tc>
          <w:tcPr>
            <w:tcW w:w="631" w:type="dxa"/>
            <w:tcBorders/>
            <w:shd w:fill="auto" w:val="clear"/>
            <w:vAlign w:val="center"/>
          </w:tcPr>
          <w:p>
            <w:pPr>
              <w:pStyle w:val="TableContents"/>
              <w:spacing w:before="0" w:after="0"/>
              <w:ind w:left="0" w:right="0" w:hanging="0"/>
              <w:jc w:val="right"/>
              <w:rPr>
                <w:rFonts w:ascii="Times New Roman;serif" w:hAnsi="Times New Roman;serif"/>
                <w:b/>
                <w:sz w:val="20"/>
              </w:rPr>
            </w:pPr>
            <w:r>
              <w:rPr>
                <w:rFonts w:ascii="Times New Roman;serif" w:hAnsi="Times New Roman;serif"/>
                <w:b/>
                <w:sz w:val="20"/>
              </w:rPr>
              <w:t>5,123</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rFonts w:ascii="Times New Roman;serif" w:hAnsi="Times New Roman;serif"/>
                <w:b/>
                <w:sz w:val="20"/>
              </w:rPr>
            </w:pPr>
            <w:r>
              <w:rPr>
                <w:rFonts w:ascii="Times New Roman;serif" w:hAnsi="Times New Roman;serif"/>
                <w:b/>
                <w:sz w:val="20"/>
              </w:rPr>
              <w:t>$</w:t>
            </w:r>
          </w:p>
        </w:tc>
        <w:tc>
          <w:tcPr>
            <w:tcW w:w="736" w:type="dxa"/>
            <w:tcBorders/>
            <w:shd w:fill="auto" w:val="clear"/>
            <w:vAlign w:val="center"/>
          </w:tcPr>
          <w:p>
            <w:pPr>
              <w:pStyle w:val="TableContents"/>
              <w:spacing w:before="0" w:after="0"/>
              <w:ind w:left="0" w:right="0" w:hanging="0"/>
              <w:jc w:val="right"/>
              <w:rPr>
                <w:rFonts w:ascii="Times New Roman;serif" w:hAnsi="Times New Roman;serif"/>
                <w:b/>
                <w:sz w:val="20"/>
              </w:rPr>
            </w:pPr>
            <w:r>
              <w:rPr>
                <w:rFonts w:ascii="Times New Roman;serif" w:hAnsi="Times New Roman;serif"/>
                <w:b/>
                <w:sz w:val="20"/>
              </w:rPr>
              <w:t>(11,950</w:t>
            </w:r>
          </w:p>
        </w:tc>
        <w:tc>
          <w:tcPr>
            <w:tcW w:w="491" w:type="dxa"/>
            <w:tcBorders/>
            <w:shd w:fill="auto" w:val="clear"/>
            <w:vAlign w:val="center"/>
          </w:tcPr>
          <w:p>
            <w:pPr>
              <w:pStyle w:val="TableContents"/>
              <w:spacing w:before="0" w:after="0"/>
              <w:ind w:left="0" w:right="0" w:hanging="0"/>
              <w:jc w:val="left"/>
              <w:rPr>
                <w:rFonts w:ascii="Times New Roman;serif" w:hAnsi="Times New Roman;serif"/>
                <w:b/>
                <w:sz w:val="20"/>
              </w:rPr>
            </w:pPr>
            <w:r>
              <w:rPr>
                <w:rFonts w:ascii="Times New Roman;serif" w:hAnsi="Times New Roman;serif"/>
                <w:b/>
                <w:sz w:val="20"/>
              </w:rPr>
              <w:t>)</w:t>
            </w:r>
          </w:p>
        </w:tc>
      </w:tr>
      <w:tr>
        <w:trPr/>
        <w:tc>
          <w:tcPr>
            <w:tcW w:w="5761" w:type="dxa"/>
            <w:tcBorders/>
            <w:shd w:fill="auto" w:val="clear"/>
            <w:vAlign w:val="center"/>
          </w:tcPr>
          <w:p>
            <w:pPr>
              <w:pStyle w:val="TableContents"/>
              <w:spacing w:before="0" w:after="0"/>
              <w:ind w:left="0" w:right="0" w:hanging="0"/>
              <w:jc w:val="left"/>
              <w:rPr>
                <w:rFonts w:ascii="Times New Roman;serif" w:hAnsi="Times New Roman;serif"/>
                <w:b/>
                <w:sz w:val="20"/>
              </w:rPr>
            </w:pPr>
            <w:r>
              <w:rPr>
                <w:rFonts w:ascii="Times New Roman;serif" w:hAnsi="Times New Roman;serif"/>
                <w:b/>
                <w:sz w:val="20"/>
              </w:rPr>
              <w:t>Other comprehensive income, before tax</w:t>
            </w:r>
          </w:p>
        </w:tc>
        <w:tc>
          <w:tcPr>
            <w:tcW w:w="146" w:type="dxa"/>
            <w:tcBorders/>
            <w:shd w:fill="auto" w:val="clear"/>
            <w:vAlign w:val="center"/>
          </w:tcPr>
          <w:p>
            <w:pPr>
              <w:pStyle w:val="TableContents"/>
              <w:spacing w:before="0" w:after="0"/>
              <w:ind w:left="0" w:right="0" w:hanging="0"/>
              <w:jc w:val="left"/>
              <w:rPr/>
            </w:pPr>
            <w:r>
              <w:rPr/>
              <w:t> </w:t>
            </w:r>
          </w:p>
        </w:tc>
        <w:tc>
          <w:tcPr>
            <w:tcW w:w="842" w:type="dxa"/>
            <w:gridSpan w:val="2"/>
            <w:tcBorders/>
            <w:shd w:fill="auto" w:val="clear"/>
            <w:vAlign w:val="center"/>
          </w:tcPr>
          <w:p>
            <w:pPr>
              <w:pStyle w:val="TableContents"/>
              <w:spacing w:before="0" w:after="0"/>
              <w:ind w:left="0" w:right="0" w:hanging="0"/>
              <w:jc w:val="left"/>
              <w:rPr/>
            </w:pPr>
            <w:r>
              <w:rPr/>
              <w:t> </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947" w:type="dxa"/>
            <w:gridSpan w:val="2"/>
            <w:tcBorders/>
            <w:shd w:fill="auto" w:val="clear"/>
            <w:vAlign w:val="center"/>
          </w:tcPr>
          <w:p>
            <w:pPr>
              <w:pStyle w:val="TableContents"/>
              <w:spacing w:before="0" w:after="0"/>
              <w:ind w:left="0" w:right="0" w:hanging="0"/>
              <w:jc w:val="left"/>
              <w:rPr/>
            </w:pPr>
            <w:r>
              <w:rPr/>
              <w:t> </w:t>
            </w:r>
          </w:p>
        </w:tc>
        <w:tc>
          <w:tcPr>
            <w:tcW w:w="491" w:type="dxa"/>
            <w:tcBorders/>
            <w:shd w:fill="auto" w:val="clear"/>
            <w:vAlign w:val="center"/>
          </w:tcPr>
          <w:p>
            <w:pPr>
              <w:pStyle w:val="TableContents"/>
              <w:spacing w:before="0" w:after="0"/>
              <w:ind w:left="0" w:right="0" w:firstLine="200"/>
              <w:jc w:val="left"/>
              <w:rPr/>
            </w:pPr>
            <w:r>
              <w:rPr/>
              <w:t> </w:t>
            </w:r>
          </w:p>
        </w:tc>
      </w:tr>
      <w:tr>
        <w:trPr/>
        <w:tc>
          <w:tcPr>
            <w:tcW w:w="5761" w:type="dxa"/>
            <w:tcBorders/>
            <w:shd w:fill="auto" w:val="clear"/>
            <w:vAlign w:val="center"/>
          </w:tcPr>
          <w:p>
            <w:pPr>
              <w:pStyle w:val="TableContents"/>
              <w:spacing w:before="0" w:after="0"/>
              <w:ind w:left="200" w:right="0" w:hanging="0"/>
              <w:jc w:val="left"/>
              <w:rPr>
                <w:rFonts w:ascii="Times New Roman;serif" w:hAnsi="Times New Roman;serif"/>
                <w:b w:val="false"/>
                <w:sz w:val="20"/>
              </w:rPr>
            </w:pPr>
            <w:r>
              <w:rPr>
                <w:rFonts w:ascii="Times New Roman;serif" w:hAnsi="Times New Roman;serif"/>
                <w:b w:val="false"/>
                <w:sz w:val="20"/>
              </w:rPr>
              <w:t>Unrealized net gain from cash flow hedging instruments</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63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134</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73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315</w:t>
            </w:r>
          </w:p>
        </w:tc>
        <w:tc>
          <w:tcPr>
            <w:tcW w:w="491" w:type="dxa"/>
            <w:tcBorders/>
            <w:shd w:fill="auto" w:val="clear"/>
            <w:vAlign w:val="center"/>
          </w:tcPr>
          <w:p>
            <w:pPr>
              <w:pStyle w:val="TableContents"/>
              <w:spacing w:before="0" w:after="0"/>
              <w:ind w:left="0" w:right="0" w:firstLine="200"/>
              <w:jc w:val="left"/>
              <w:rPr/>
            </w:pPr>
            <w:r>
              <w:rPr/>
              <w:t> </w:t>
            </w:r>
          </w:p>
        </w:tc>
      </w:tr>
      <w:tr>
        <w:trPr/>
        <w:tc>
          <w:tcPr>
            <w:tcW w:w="5761" w:type="dxa"/>
            <w:tcBorders/>
            <w:shd w:fill="auto" w:val="clear"/>
            <w:vAlign w:val="center"/>
          </w:tcPr>
          <w:p>
            <w:pPr>
              <w:pStyle w:val="TableContents"/>
              <w:spacing w:before="0" w:after="0"/>
              <w:ind w:left="200" w:right="0" w:hanging="0"/>
              <w:jc w:val="left"/>
              <w:rPr>
                <w:rFonts w:ascii="Times New Roman;serif" w:hAnsi="Times New Roman;serif"/>
                <w:b w:val="false"/>
                <w:sz w:val="20"/>
              </w:rPr>
            </w:pPr>
            <w:r>
              <w:rPr>
                <w:rFonts w:ascii="Times New Roman;serif" w:hAnsi="Times New Roman;serif"/>
                <w:b w:val="false"/>
                <w:sz w:val="20"/>
              </w:rPr>
              <w:t>Realized net loss from cash flow hedging instruments</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63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339</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73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29</w:t>
            </w:r>
          </w:p>
        </w:tc>
        <w:tc>
          <w:tcPr>
            <w:tcW w:w="491" w:type="dxa"/>
            <w:tcBorders/>
            <w:shd w:fill="auto" w:val="clear"/>
            <w:vAlign w:val="center"/>
          </w:tcPr>
          <w:p>
            <w:pPr>
              <w:pStyle w:val="TableContents"/>
              <w:spacing w:before="0" w:after="0"/>
              <w:ind w:left="0" w:right="0" w:firstLine="200"/>
              <w:jc w:val="left"/>
              <w:rPr/>
            </w:pPr>
            <w:r>
              <w:rPr/>
              <w:t> </w:t>
            </w:r>
          </w:p>
        </w:tc>
      </w:tr>
      <w:tr>
        <w:trPr/>
        <w:tc>
          <w:tcPr>
            <w:tcW w:w="5761" w:type="dxa"/>
            <w:tcBorders/>
            <w:shd w:fill="auto" w:val="clear"/>
            <w:vAlign w:val="center"/>
          </w:tcPr>
          <w:p>
            <w:pPr>
              <w:pStyle w:val="TableContents"/>
              <w:spacing w:before="0" w:after="0"/>
              <w:ind w:left="200" w:right="0" w:hanging="0"/>
              <w:jc w:val="left"/>
              <w:rPr>
                <w:rFonts w:ascii="Times New Roman;serif" w:hAnsi="Times New Roman;serif"/>
                <w:b w:val="false"/>
                <w:sz w:val="20"/>
              </w:rPr>
            </w:pPr>
            <w:r>
              <w:rPr>
                <w:rFonts w:ascii="Times New Roman;serif" w:hAnsi="Times New Roman;serif"/>
                <w:b w:val="false"/>
                <w:sz w:val="20"/>
              </w:rPr>
              <w:t>Foreign currency translation adjustments</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63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2,440</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73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580</w:t>
            </w:r>
          </w:p>
        </w:tc>
        <w:tc>
          <w:tcPr>
            <w:tcW w:w="491" w:type="dxa"/>
            <w:tcBorders/>
            <w:shd w:fill="auto" w:val="clear"/>
            <w:vAlign w:val="center"/>
          </w:tcPr>
          <w:p>
            <w:pPr>
              <w:pStyle w:val="TableContents"/>
              <w:spacing w:before="0" w:after="0"/>
              <w:ind w:left="0" w:right="0" w:firstLine="200"/>
              <w:jc w:val="left"/>
              <w:rPr/>
            </w:pPr>
            <w:r>
              <w:rPr/>
              <w:t> </w:t>
            </w:r>
          </w:p>
        </w:tc>
      </w:tr>
      <w:tr>
        <w:trPr/>
        <w:tc>
          <w:tcPr>
            <w:tcW w:w="5761" w:type="dxa"/>
            <w:tcBorders/>
            <w:shd w:fill="auto" w:val="clear"/>
            <w:vAlign w:val="center"/>
          </w:tcPr>
          <w:p>
            <w:pPr>
              <w:pStyle w:val="TableContents"/>
              <w:spacing w:before="0" w:after="0"/>
              <w:ind w:left="200" w:right="0" w:hanging="0"/>
              <w:jc w:val="left"/>
              <w:rPr>
                <w:rFonts w:ascii="Times New Roman;serif" w:hAnsi="Times New Roman;serif"/>
                <w:b w:val="false"/>
                <w:sz w:val="20"/>
              </w:rPr>
            </w:pPr>
            <w:r>
              <w:rPr>
                <w:rFonts w:ascii="Times New Roman;serif" w:hAnsi="Times New Roman;serif"/>
                <w:b w:val="false"/>
                <w:sz w:val="20"/>
              </w:rPr>
              <w:t>Defined benefit and postretirement benefit plans</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63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(176</w:t>
            </w:r>
          </w:p>
        </w:tc>
        <w:tc>
          <w:tcPr>
            <w:tcW w:w="16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73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46</w:t>
            </w:r>
          </w:p>
        </w:tc>
        <w:tc>
          <w:tcPr>
            <w:tcW w:w="491" w:type="dxa"/>
            <w:tcBorders/>
            <w:shd w:fill="auto" w:val="clear"/>
            <w:vAlign w:val="center"/>
          </w:tcPr>
          <w:p>
            <w:pPr>
              <w:pStyle w:val="TableContents"/>
              <w:spacing w:before="0" w:after="0"/>
              <w:ind w:left="0" w:right="0" w:firstLine="300"/>
              <w:jc w:val="left"/>
              <w:rPr/>
            </w:pPr>
            <w:r>
              <w:rPr/>
              <w:t> </w:t>
            </w:r>
          </w:p>
        </w:tc>
      </w:tr>
      <w:tr>
        <w:trPr/>
        <w:tc>
          <w:tcPr>
            <w:tcW w:w="5761" w:type="dxa"/>
            <w:tcBorders/>
            <w:shd w:fill="auto" w:val="clear"/>
            <w:vAlign w:val="center"/>
          </w:tcPr>
          <w:p>
            <w:pPr>
              <w:pStyle w:val="TableContents"/>
              <w:spacing w:before="0" w:after="0"/>
              <w:ind w:left="300" w:right="0" w:hanging="0"/>
              <w:jc w:val="left"/>
              <w:rPr>
                <w:rFonts w:ascii="Times New Roman;serif" w:hAnsi="Times New Roman;serif"/>
                <w:b/>
                <w:sz w:val="20"/>
              </w:rPr>
            </w:pPr>
            <w:r>
              <w:rPr>
                <w:rFonts w:ascii="Times New Roman;serif" w:hAnsi="Times New Roman;serif"/>
                <w:b/>
                <w:sz w:val="20"/>
              </w:rPr>
              <w:t>Total other comprehensive income, before tax</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top w:val="single" w:sz="4" w:space="0" w:color="000000"/>
            </w:tcBorders>
            <w:shd w:fill="auto" w:val="clear"/>
            <w:tcMar>
              <w:left w:w="0" w:type="dxa"/>
              <w:bottom w:w="0" w:type="dxa"/>
              <w:right w:w="0" w:type="dxa"/>
            </w:tcMar>
            <w:vAlign w:val="center"/>
          </w:tcPr>
          <w:p>
            <w:pPr>
              <w:pStyle w:val="TableContents"/>
              <w:spacing w:before="0" w:after="0"/>
              <w:ind w:left="0" w:right="0" w:hanging="0"/>
              <w:jc w:val="left"/>
              <w:rPr/>
            </w:pPr>
            <w:r>
              <w:rPr/>
              <w:t> </w:t>
            </w:r>
          </w:p>
        </w:tc>
        <w:tc>
          <w:tcPr>
            <w:tcW w:w="631" w:type="dxa"/>
            <w:tcBorders>
              <w:top w:val="single" w:sz="4" w:space="0" w:color="000000"/>
            </w:tcBorders>
            <w:shd w:fill="auto" w:val="clear"/>
            <w:tcMar>
              <w:left w:w="0" w:type="dxa"/>
              <w:bottom w:w="0" w:type="dxa"/>
              <w:right w:w="0" w:type="dxa"/>
            </w:tcMar>
            <w:vAlign w:val="center"/>
          </w:tcPr>
          <w:p>
            <w:pPr>
              <w:pStyle w:val="TableContents"/>
              <w:spacing w:before="0" w:after="0"/>
              <w:ind w:left="0" w:right="0" w:hanging="0"/>
              <w:jc w:val="right"/>
              <w:rPr>
                <w:rFonts w:ascii="Times New Roman;serif" w:hAnsi="Times New Roman;serif"/>
                <w:b/>
                <w:sz w:val="20"/>
              </w:rPr>
            </w:pPr>
            <w:r>
              <w:rPr>
                <w:rFonts w:ascii="Times New Roman;serif" w:hAnsi="Times New Roman;serif"/>
                <w:b/>
                <w:sz w:val="20"/>
              </w:rPr>
              <w:t>2,737</w:t>
            </w:r>
          </w:p>
        </w:tc>
        <w:tc>
          <w:tcPr>
            <w:tcW w:w="166" w:type="dxa"/>
            <w:tcBorders>
              <w:top w:val="single" w:sz="4" w:space="0" w:color="000000"/>
            </w:tcBorders>
            <w:shd w:fill="auto" w:val="clear"/>
            <w:tcMar>
              <w:left w:w="0" w:type="dxa"/>
              <w:bottom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top w:val="single" w:sz="4" w:space="0" w:color="000000"/>
            </w:tcBorders>
            <w:shd w:fill="auto" w:val="clear"/>
            <w:tcMar>
              <w:left w:w="0" w:type="dxa"/>
              <w:bottom w:w="0" w:type="dxa"/>
              <w:right w:w="0" w:type="dxa"/>
            </w:tcMar>
            <w:vAlign w:val="center"/>
          </w:tcPr>
          <w:p>
            <w:pPr>
              <w:pStyle w:val="TableContents"/>
              <w:spacing w:before="0" w:after="0"/>
              <w:ind w:left="0" w:right="0" w:hanging="0"/>
              <w:jc w:val="left"/>
              <w:rPr/>
            </w:pPr>
            <w:r>
              <w:rPr/>
              <w:t> </w:t>
            </w:r>
          </w:p>
        </w:tc>
        <w:tc>
          <w:tcPr>
            <w:tcW w:w="736" w:type="dxa"/>
            <w:tcBorders>
              <w:top w:val="single" w:sz="4" w:space="0" w:color="000000"/>
            </w:tcBorders>
            <w:shd w:fill="auto" w:val="clear"/>
            <w:tcMar>
              <w:left w:w="0" w:type="dxa"/>
              <w:bottom w:w="0" w:type="dxa"/>
              <w:right w:w="0" w:type="dxa"/>
            </w:tcMar>
            <w:vAlign w:val="center"/>
          </w:tcPr>
          <w:p>
            <w:pPr>
              <w:pStyle w:val="TableContents"/>
              <w:spacing w:before="0" w:after="0"/>
              <w:ind w:left="0" w:right="0" w:hanging="0"/>
              <w:jc w:val="right"/>
              <w:rPr>
                <w:rFonts w:ascii="Times New Roman;serif" w:hAnsi="Times New Roman;serif"/>
                <w:b/>
                <w:sz w:val="20"/>
              </w:rPr>
            </w:pPr>
            <w:r>
              <w:rPr>
                <w:rFonts w:ascii="Times New Roman;serif" w:hAnsi="Times New Roman;serif"/>
                <w:b/>
                <w:sz w:val="20"/>
              </w:rPr>
              <w:t>970</w:t>
            </w:r>
          </w:p>
        </w:tc>
        <w:tc>
          <w:tcPr>
            <w:tcW w:w="491" w:type="dxa"/>
            <w:tcBorders>
              <w:top w:val="single" w:sz="4" w:space="0" w:color="000000"/>
            </w:tcBorders>
            <w:shd w:fill="auto" w:val="clear"/>
            <w:tcMar>
              <w:left w:w="0" w:type="dxa"/>
              <w:bottom w:w="0" w:type="dxa"/>
              <w:right w:w="0" w:type="dxa"/>
            </w:tcMar>
            <w:vAlign w:val="center"/>
          </w:tcPr>
          <w:p>
            <w:pPr>
              <w:pStyle w:val="TableContents"/>
              <w:spacing w:before="0" w:after="0"/>
              <w:ind w:left="0" w:right="0" w:hanging="0"/>
              <w:jc w:val="left"/>
              <w:rPr/>
            </w:pPr>
            <w:r>
              <w:rPr/>
              <w:t> </w:t>
            </w:r>
          </w:p>
        </w:tc>
      </w:tr>
      <w:tr>
        <w:trPr/>
        <w:tc>
          <w:tcPr>
            <w:tcW w:w="576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Income tax expense related to other comprehensive income</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63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(78</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73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(102</w:t>
            </w:r>
          </w:p>
        </w:tc>
        <w:tc>
          <w:tcPr>
            <w:tcW w:w="4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576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Other comprehensive income, net of tax</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63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2,659</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73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868</w:t>
            </w:r>
          </w:p>
        </w:tc>
        <w:tc>
          <w:tcPr>
            <w:tcW w:w="4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r>
        <w:trPr/>
        <w:tc>
          <w:tcPr>
            <w:tcW w:w="5761" w:type="dxa"/>
            <w:tcBorders/>
            <w:shd w:fill="auto" w:val="clear"/>
            <w:vAlign w:val="center"/>
          </w:tcPr>
          <w:p>
            <w:pPr>
              <w:pStyle w:val="TableContents"/>
              <w:spacing w:before="0" w:after="0"/>
              <w:ind w:left="0" w:right="0" w:hanging="0"/>
              <w:jc w:val="left"/>
              <w:rPr>
                <w:rFonts w:ascii="Times New Roman;serif" w:hAnsi="Times New Roman;serif"/>
                <w:b/>
                <w:sz w:val="20"/>
              </w:rPr>
            </w:pPr>
            <w:r>
              <w:rPr>
                <w:rFonts w:ascii="Times New Roman;serif" w:hAnsi="Times New Roman;serif"/>
                <w:b/>
                <w:sz w:val="20"/>
              </w:rPr>
              <w:t>Comprehensive income (loss)</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631" w:type="dxa"/>
            <w:tcBorders/>
            <w:shd w:fill="auto" w:val="clear"/>
            <w:vAlign w:val="center"/>
          </w:tcPr>
          <w:p>
            <w:pPr>
              <w:pStyle w:val="TableContents"/>
              <w:spacing w:before="0" w:after="0"/>
              <w:ind w:left="0" w:right="0" w:hanging="0"/>
              <w:jc w:val="right"/>
              <w:rPr>
                <w:rFonts w:ascii="Times New Roman;serif" w:hAnsi="Times New Roman;serif"/>
                <w:b/>
                <w:sz w:val="20"/>
              </w:rPr>
            </w:pPr>
            <w:r>
              <w:rPr>
                <w:rFonts w:ascii="Times New Roman;serif" w:hAnsi="Times New Roman;serif"/>
                <w:b/>
                <w:sz w:val="20"/>
              </w:rPr>
              <w:t>7,782</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736" w:type="dxa"/>
            <w:tcBorders/>
            <w:shd w:fill="auto" w:val="clear"/>
            <w:vAlign w:val="center"/>
          </w:tcPr>
          <w:p>
            <w:pPr>
              <w:pStyle w:val="TableContents"/>
              <w:spacing w:before="0" w:after="0"/>
              <w:ind w:left="0" w:right="0" w:hanging="0"/>
              <w:jc w:val="right"/>
              <w:rPr>
                <w:rFonts w:ascii="Times New Roman;serif" w:hAnsi="Times New Roman;serif"/>
                <w:b/>
                <w:sz w:val="20"/>
              </w:rPr>
            </w:pPr>
            <w:r>
              <w:rPr>
                <w:rFonts w:ascii="Times New Roman;serif" w:hAnsi="Times New Roman;serif"/>
                <w:b/>
                <w:sz w:val="20"/>
              </w:rPr>
              <w:t>(11,082</w:t>
            </w:r>
          </w:p>
        </w:tc>
        <w:tc>
          <w:tcPr>
            <w:tcW w:w="491" w:type="dxa"/>
            <w:tcBorders/>
            <w:shd w:fill="auto" w:val="clear"/>
            <w:vAlign w:val="center"/>
          </w:tcPr>
          <w:p>
            <w:pPr>
              <w:pStyle w:val="TableContents"/>
              <w:spacing w:before="0" w:after="0"/>
              <w:ind w:left="0" w:right="0" w:hanging="0"/>
              <w:jc w:val="left"/>
              <w:rPr>
                <w:rFonts w:ascii="Times New Roman;serif" w:hAnsi="Times New Roman;serif"/>
                <w:b/>
                <w:sz w:val="20"/>
              </w:rPr>
            </w:pPr>
            <w:r>
              <w:rPr>
                <w:rFonts w:ascii="Times New Roman;serif" w:hAnsi="Times New Roman;serif"/>
                <w:b/>
                <w:sz w:val="20"/>
              </w:rPr>
              <w:t>)</w:t>
            </w:r>
          </w:p>
        </w:tc>
      </w:tr>
      <w:tr>
        <w:trPr/>
        <w:tc>
          <w:tcPr>
            <w:tcW w:w="576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Comprehensive income attributable to non-controlling interests</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63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(3,358</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73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(1,826</w:t>
            </w:r>
          </w:p>
        </w:tc>
        <w:tc>
          <w:tcPr>
            <w:tcW w:w="4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5761" w:type="dxa"/>
            <w:tcBorders/>
            <w:shd w:fill="auto" w:val="clear"/>
            <w:vAlign w:val="center"/>
          </w:tcPr>
          <w:p>
            <w:pPr>
              <w:pStyle w:val="TableContents"/>
              <w:spacing w:before="0" w:after="0"/>
              <w:ind w:left="0" w:right="0" w:hanging="0"/>
              <w:jc w:val="left"/>
              <w:rPr>
                <w:rFonts w:ascii="Times New Roman;serif" w:hAnsi="Times New Roman;serif"/>
                <w:b/>
                <w:sz w:val="20"/>
              </w:rPr>
            </w:pPr>
            <w:r>
              <w:rPr>
                <w:rFonts w:ascii="Times New Roman;serif" w:hAnsi="Times New Roman;serif"/>
                <w:b/>
                <w:sz w:val="20"/>
              </w:rPr>
              <w:t>Comprehensive income (loss) attributable to common shareholders</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sz w:val="20"/>
              </w:rPr>
            </w:pPr>
            <w:r>
              <w:rPr>
                <w:rFonts w:ascii="Times New Roman;serif" w:hAnsi="Times New Roman;serif"/>
                <w:b/>
                <w:sz w:val="20"/>
              </w:rPr>
              <w:t>$</w:t>
            </w:r>
          </w:p>
        </w:tc>
        <w:tc>
          <w:tcPr>
            <w:tcW w:w="63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sz w:val="20"/>
              </w:rPr>
            </w:pPr>
            <w:r>
              <w:rPr>
                <w:rFonts w:ascii="Times New Roman;serif" w:hAnsi="Times New Roman;serif"/>
                <w:b/>
                <w:sz w:val="20"/>
              </w:rPr>
              <w:t>4,424</w:t>
            </w:r>
          </w:p>
        </w:tc>
        <w:tc>
          <w:tcPr>
            <w:tcW w:w="16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sz w:val="20"/>
              </w:rPr>
            </w:pPr>
            <w:r>
              <w:rPr>
                <w:rFonts w:ascii="Times New Roman;serif" w:hAnsi="Times New Roman;serif"/>
                <w:b/>
                <w:sz w:val="20"/>
              </w:rPr>
              <w:t>$</w:t>
            </w:r>
          </w:p>
        </w:tc>
        <w:tc>
          <w:tcPr>
            <w:tcW w:w="73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sz w:val="20"/>
              </w:rPr>
            </w:pPr>
            <w:r>
              <w:rPr>
                <w:rFonts w:ascii="Times New Roman;serif" w:hAnsi="Times New Roman;serif"/>
                <w:b/>
                <w:sz w:val="20"/>
              </w:rPr>
              <w:t>(12,908</w:t>
            </w:r>
          </w:p>
        </w:tc>
        <w:tc>
          <w:tcPr>
            <w:tcW w:w="49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sz w:val="20"/>
              </w:rPr>
            </w:pPr>
            <w:r>
              <w:rPr>
                <w:rFonts w:ascii="Times New Roman;serif" w:hAnsi="Times New Roman;serif"/>
                <w:b/>
                <w:sz w:val="20"/>
              </w:rPr>
              <w:t>)</w:t>
            </w:r>
          </w:p>
        </w:tc>
      </w:tr>
    </w:tbl>
    <w:p>
      <w:pPr>
        <w:pStyle w:val="TextBody"/>
        <w:spacing w:before="0" w:after="0"/>
        <w:jc w:val="center"/>
        <w:rPr/>
      </w:pPr>
      <w:r>
        <w:rPr/>
        <w:t> </w:t>
      </w:r>
    </w:p>
    <w:p>
      <w:pPr>
        <w:pStyle w:val="TextBody"/>
        <w:spacing w:before="0" w:after="0"/>
        <w:jc w:val="center"/>
        <w:rPr>
          <w:rFonts w:ascii="Times New Roman;serif" w:hAnsi="Times New Roman;serif"/>
          <w:b w:val="false"/>
          <w:i/>
          <w:sz w:val="20"/>
        </w:rPr>
      </w:pPr>
      <w:r>
        <w:rPr>
          <w:rFonts w:ascii="Times New Roman;serif" w:hAnsi="Times New Roman;serif"/>
          <w:b w:val="false"/>
          <w:i/>
          <w:sz w:val="20"/>
        </w:rPr>
        <w:t>(See the accompanying notes, which are an integral part of these Condensed Consolidated Financial Statements.)</w:t>
      </w:r>
    </w:p>
    <w:p>
      <w:pPr>
        <w:pStyle w:val="TextBody"/>
        <w:spacing w:before="240" w:after="0"/>
        <w:jc w:val="center"/>
        <w:rPr>
          <w:rFonts w:ascii="Times New Roman;serif" w:hAnsi="Times New Roman;serif"/>
          <w:b w:val="false"/>
          <w:sz w:val="20"/>
        </w:rPr>
      </w:pPr>
      <w:r>
        <w:rPr>
          <w:rFonts w:ascii="Times New Roman;serif" w:hAnsi="Times New Roman;serif"/>
          <w:b w:val="false"/>
          <w:sz w:val="20"/>
        </w:rPr>
        <w:t>6</w:t>
      </w:r>
    </w:p>
    <w:p>
      <w:pPr>
        <w:pStyle w:val="HorizontalLine"/>
        <w:rPr/>
      </w:pPr>
      <w:r>
        <w:rPr/>
      </w:r>
    </w:p>
    <w:p>
      <w:pPr>
        <w:pStyle w:val="TextBody"/>
        <w:spacing w:before="0" w:after="0"/>
        <w:jc w:val="left"/>
        <w:rPr/>
      </w:pPr>
      <w:r>
        <w:rPr/>
        <w:t> </w:t>
      </w:r>
    </w:p>
    <w:p>
      <w:pPr>
        <w:pStyle w:val="TextBody"/>
        <w:spacing w:before="0" w:after="0"/>
        <w:jc w:val="center"/>
        <w:rPr>
          <w:rFonts w:ascii="Times New Roman;serif" w:hAnsi="Times New Roman;serif"/>
          <w:b/>
          <w:sz w:val="20"/>
        </w:rPr>
      </w:pPr>
      <w:r>
        <w:rPr>
          <w:rFonts w:ascii="Times New Roman;serif" w:hAnsi="Times New Roman;serif"/>
          <w:b/>
          <w:sz w:val="20"/>
        </w:rPr>
        <w:t>IMAX CORPORATION</w:t>
      </w:r>
    </w:p>
    <w:p>
      <w:pPr>
        <w:pStyle w:val="TextBody"/>
        <w:spacing w:before="0" w:after="0"/>
        <w:jc w:val="center"/>
        <w:rPr>
          <w:rFonts w:ascii="Times New Roman;serif" w:hAnsi="Times New Roman;serif"/>
          <w:b/>
          <w:sz w:val="20"/>
        </w:rPr>
      </w:pPr>
      <w:bookmarkStart w:id="8" w:name="condensed_consolidated_statements_cash_f"/>
      <w:bookmarkEnd w:id="8"/>
      <w:r>
        <w:rPr>
          <w:rFonts w:ascii="Times New Roman;serif" w:hAnsi="Times New Roman;serif"/>
          <w:b/>
          <w:sz w:val="20"/>
        </w:rPr>
        <w:t>CONDENSED CONSOLIDATED STATEMENTS OF CASH FLOWS</w:t>
      </w:r>
    </w:p>
    <w:p>
      <w:pPr>
        <w:pStyle w:val="TextBody"/>
        <w:spacing w:before="0" w:after="0"/>
        <w:jc w:val="center"/>
        <w:rPr>
          <w:rFonts w:ascii="Times New Roman;serif" w:hAnsi="Times New Roman;serif"/>
          <w:b w:val="false"/>
          <w:i/>
          <w:sz w:val="20"/>
        </w:rPr>
      </w:pPr>
      <w:r>
        <w:rPr>
          <w:rFonts w:ascii="Times New Roman;serif" w:hAnsi="Times New Roman;serif"/>
          <w:b w:val="false"/>
          <w:i/>
          <w:sz w:val="20"/>
        </w:rPr>
        <w:t>(In thousands of U.S. Dollars)</w:t>
      </w:r>
    </w:p>
    <w:p>
      <w:pPr>
        <w:pStyle w:val="TextBody"/>
        <w:spacing w:before="0" w:after="0"/>
        <w:jc w:val="center"/>
        <w:rPr>
          <w:rFonts w:ascii="Times New Roman;serif" w:hAnsi="Times New Roman;serif"/>
          <w:b w:val="false"/>
          <w:i/>
          <w:sz w:val="20"/>
        </w:rPr>
      </w:pPr>
      <w:r>
        <w:rPr>
          <w:rFonts w:ascii="Times New Roman;serif" w:hAnsi="Times New Roman;serif"/>
          <w:b w:val="false"/>
          <w:i/>
          <w:sz w:val="20"/>
        </w:rPr>
        <w:t>(Unaudited)</w:t>
      </w:r>
    </w:p>
    <w:p>
      <w:pPr>
        <w:pStyle w:val="TextBody"/>
        <w:spacing w:before="0" w:after="0"/>
        <w:jc w:val="center"/>
        <w:rPr/>
      </w:pPr>
      <w:r>
        <w:rPr/>
        <w:t> </w:t>
      </w:r>
    </w:p>
    <w:tbl>
      <w:tblPr>
        <w:tblW w:w="10205" w:type="dxa"/>
        <w:jc w:val="left"/>
        <w:tblInd w:w="0" w:type="dxa"/>
        <w:tblCellMar>
          <w:top w:w="28" w:type="dxa"/>
          <w:left w:w="28" w:type="dxa"/>
          <w:bottom w:w="28" w:type="dxa"/>
          <w:right w:w="28" w:type="dxa"/>
        </w:tblCellMar>
      </w:tblPr>
      <w:tblGrid>
        <w:gridCol w:w="7397"/>
        <w:gridCol w:w="146"/>
        <w:gridCol w:w="211"/>
        <w:gridCol w:w="736"/>
        <w:gridCol w:w="166"/>
        <w:gridCol w:w="146"/>
        <w:gridCol w:w="211"/>
        <w:gridCol w:w="781"/>
        <w:gridCol w:w="411"/>
      </w:tblGrid>
      <w:tr>
        <w:trPr/>
        <w:tc>
          <w:tcPr>
            <w:tcW w:w="7397"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36" w:type="dxa"/>
            <w:tcBorders/>
            <w:shd w:fill="auto" w:val="clear"/>
            <w:vAlign w:val="center"/>
          </w:tcPr>
          <w:p>
            <w:pPr>
              <w:pStyle w:val="TableContents"/>
              <w:spacing w:before="0" w:after="283"/>
              <w:rPr>
                <w:sz w:val="4"/>
                <w:szCs w:val="4"/>
              </w:rPr>
            </w:pPr>
            <w:r>
              <w:rPr>
                <w:sz w:val="4"/>
                <w:szCs w:val="4"/>
              </w:rPr>
            </w:r>
          </w:p>
        </w:tc>
        <w:tc>
          <w:tcPr>
            <w:tcW w:w="16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81" w:type="dxa"/>
            <w:tcBorders/>
            <w:shd w:fill="auto" w:val="clear"/>
            <w:vAlign w:val="center"/>
          </w:tcPr>
          <w:p>
            <w:pPr>
              <w:pStyle w:val="TableContents"/>
              <w:spacing w:before="0" w:after="283"/>
              <w:rPr>
                <w:sz w:val="4"/>
                <w:szCs w:val="4"/>
              </w:rPr>
            </w:pPr>
            <w:r>
              <w:rPr>
                <w:sz w:val="4"/>
                <w:szCs w:val="4"/>
              </w:rPr>
            </w:r>
          </w:p>
        </w:tc>
        <w:tc>
          <w:tcPr>
            <w:tcW w:w="411" w:type="dxa"/>
            <w:tcBorders/>
            <w:shd w:fill="auto" w:val="clear"/>
            <w:vAlign w:val="center"/>
          </w:tcPr>
          <w:p>
            <w:pPr>
              <w:pStyle w:val="TableContents"/>
              <w:spacing w:before="0" w:after="283"/>
              <w:rPr>
                <w:sz w:val="4"/>
                <w:szCs w:val="4"/>
              </w:rPr>
            </w:pPr>
            <w:r>
              <w:rPr>
                <w:sz w:val="4"/>
                <w:szCs w:val="4"/>
              </w:rPr>
            </w:r>
          </w:p>
        </w:tc>
      </w:tr>
      <w:tr>
        <w:trPr/>
        <w:tc>
          <w:tcPr>
            <w:tcW w:w="7397"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251" w:type="dxa"/>
            <w:gridSpan w:val="6"/>
            <w:tcBorders/>
            <w:shd w:fill="auto" w:val="cle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Three Months Ended</w:t>
            </w:r>
          </w:p>
        </w:tc>
        <w:tc>
          <w:tcPr>
            <w:tcW w:w="411" w:type="dxa"/>
            <w:tcBorders/>
            <w:shd w:fill="auto" w:val="clear"/>
            <w:vAlign w:val="center"/>
          </w:tcPr>
          <w:p>
            <w:pPr>
              <w:pStyle w:val="TableContents"/>
              <w:spacing w:before="0" w:after="0"/>
              <w:ind w:left="0" w:right="0" w:hanging="0"/>
              <w:jc w:val="center"/>
              <w:rPr/>
            </w:pPr>
            <w:r>
              <w:rPr/>
              <w:t> </w:t>
            </w:r>
          </w:p>
        </w:tc>
      </w:tr>
      <w:tr>
        <w:trPr/>
        <w:tc>
          <w:tcPr>
            <w:tcW w:w="7397"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251" w:type="dxa"/>
            <w:gridSpan w:val="6"/>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March 31,</w:t>
            </w:r>
          </w:p>
        </w:tc>
        <w:tc>
          <w:tcPr>
            <w:tcW w:w="4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7397"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947"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2023</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992"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2022</w:t>
            </w:r>
          </w:p>
        </w:tc>
        <w:tc>
          <w:tcPr>
            <w:tcW w:w="4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7397" w:type="dxa"/>
            <w:tcBorders/>
            <w:shd w:fill="auto" w:val="clear"/>
            <w:vAlign w:val="center"/>
          </w:tcPr>
          <w:p>
            <w:pPr>
              <w:pStyle w:val="TableContents"/>
              <w:spacing w:before="0" w:after="0"/>
              <w:ind w:left="0" w:right="0" w:hanging="0"/>
              <w:jc w:val="left"/>
              <w:rPr>
                <w:rFonts w:ascii="Times New Roman;serif" w:hAnsi="Times New Roman;serif"/>
                <w:b/>
                <w:sz w:val="20"/>
              </w:rPr>
            </w:pPr>
            <w:r>
              <w:rPr>
                <w:rFonts w:ascii="Times New Roman;serif" w:hAnsi="Times New Roman;serif"/>
                <w:b/>
                <w:sz w:val="20"/>
              </w:rPr>
              <w:t>Operating Activities</w:t>
            </w:r>
          </w:p>
        </w:tc>
        <w:tc>
          <w:tcPr>
            <w:tcW w:w="146" w:type="dxa"/>
            <w:tcBorders/>
            <w:shd w:fill="auto" w:val="clear"/>
            <w:vAlign w:val="center"/>
          </w:tcPr>
          <w:p>
            <w:pPr>
              <w:pStyle w:val="TableContents"/>
              <w:spacing w:before="0" w:after="0"/>
              <w:ind w:left="0" w:right="0" w:hanging="0"/>
              <w:jc w:val="left"/>
              <w:rPr/>
            </w:pPr>
            <w:r>
              <w:rPr/>
              <w:t> </w:t>
            </w:r>
          </w:p>
        </w:tc>
        <w:tc>
          <w:tcPr>
            <w:tcW w:w="947" w:type="dxa"/>
            <w:gridSpan w:val="2"/>
            <w:tcBorders/>
            <w:shd w:fill="auto" w:val="clear"/>
            <w:vAlign w:val="center"/>
          </w:tcPr>
          <w:p>
            <w:pPr>
              <w:pStyle w:val="TableContents"/>
              <w:spacing w:before="0" w:after="0"/>
              <w:ind w:left="0" w:right="0" w:hanging="0"/>
              <w:jc w:val="left"/>
              <w:rPr/>
            </w:pPr>
            <w:r>
              <w:rPr/>
              <w:t> </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992" w:type="dxa"/>
            <w:gridSpan w:val="2"/>
            <w:tcBorders/>
            <w:shd w:fill="auto" w:val="clear"/>
            <w:vAlign w:val="center"/>
          </w:tcPr>
          <w:p>
            <w:pPr>
              <w:pStyle w:val="TableContents"/>
              <w:spacing w:before="0" w:after="0"/>
              <w:ind w:left="0" w:right="0" w:hanging="0"/>
              <w:jc w:val="left"/>
              <w:rPr/>
            </w:pPr>
            <w:r>
              <w:rPr/>
              <w:t> </w:t>
            </w:r>
          </w:p>
        </w:tc>
        <w:tc>
          <w:tcPr>
            <w:tcW w:w="411" w:type="dxa"/>
            <w:tcBorders/>
            <w:shd w:fill="auto" w:val="clear"/>
            <w:vAlign w:val="center"/>
          </w:tcPr>
          <w:p>
            <w:pPr>
              <w:pStyle w:val="TableContents"/>
              <w:spacing w:before="0" w:after="0"/>
              <w:ind w:left="0" w:right="0" w:hanging="0"/>
              <w:jc w:val="left"/>
              <w:rPr/>
            </w:pPr>
            <w:r>
              <w:rPr/>
              <w:t> </w:t>
            </w:r>
          </w:p>
        </w:tc>
      </w:tr>
      <w:tr>
        <w:trPr/>
        <w:tc>
          <w:tcPr>
            <w:tcW w:w="7397"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Net income (loss)</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3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5,123</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8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(11,950</w:t>
            </w:r>
          </w:p>
        </w:tc>
        <w:tc>
          <w:tcPr>
            <w:tcW w:w="41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7397"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Adjustments to reconcile net income (loss) to cash provided by (used in) operating activities:</w:t>
            </w:r>
          </w:p>
        </w:tc>
        <w:tc>
          <w:tcPr>
            <w:tcW w:w="146" w:type="dxa"/>
            <w:tcBorders/>
            <w:shd w:fill="auto" w:val="clear"/>
            <w:vAlign w:val="center"/>
          </w:tcPr>
          <w:p>
            <w:pPr>
              <w:pStyle w:val="TableContents"/>
              <w:spacing w:before="0" w:after="0"/>
              <w:ind w:left="0" w:right="0" w:hanging="0"/>
              <w:jc w:val="left"/>
              <w:rPr/>
            </w:pPr>
            <w:r>
              <w:rPr/>
              <w:t> </w:t>
            </w:r>
          </w:p>
        </w:tc>
        <w:tc>
          <w:tcPr>
            <w:tcW w:w="947" w:type="dxa"/>
            <w:gridSpan w:val="2"/>
            <w:tcBorders/>
            <w:shd w:fill="auto" w:val="clear"/>
            <w:vAlign w:val="center"/>
          </w:tcPr>
          <w:p>
            <w:pPr>
              <w:pStyle w:val="TableContents"/>
              <w:spacing w:before="0" w:after="0"/>
              <w:ind w:left="0" w:right="0" w:hanging="0"/>
              <w:jc w:val="left"/>
              <w:rPr/>
            </w:pPr>
            <w:r>
              <w:rPr/>
              <w:t> </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992" w:type="dxa"/>
            <w:gridSpan w:val="2"/>
            <w:tcBorders/>
            <w:shd w:fill="auto" w:val="clear"/>
            <w:vAlign w:val="center"/>
          </w:tcPr>
          <w:p>
            <w:pPr>
              <w:pStyle w:val="TableContents"/>
              <w:spacing w:before="0" w:after="0"/>
              <w:ind w:left="0" w:right="0" w:hanging="0"/>
              <w:jc w:val="left"/>
              <w:rPr/>
            </w:pPr>
            <w:r>
              <w:rPr/>
              <w:t> </w:t>
            </w:r>
          </w:p>
        </w:tc>
        <w:tc>
          <w:tcPr>
            <w:tcW w:w="411" w:type="dxa"/>
            <w:tcBorders/>
            <w:shd w:fill="auto" w:val="clear"/>
            <w:vAlign w:val="center"/>
          </w:tcPr>
          <w:p>
            <w:pPr>
              <w:pStyle w:val="TableContents"/>
              <w:spacing w:before="0" w:after="0"/>
              <w:ind w:left="0" w:right="0" w:firstLine="200"/>
              <w:jc w:val="left"/>
              <w:rPr/>
            </w:pPr>
            <w:r>
              <w:rPr/>
              <w:t> </w:t>
            </w:r>
          </w:p>
        </w:tc>
      </w:tr>
      <w:tr>
        <w:trPr/>
        <w:tc>
          <w:tcPr>
            <w:tcW w:w="7397" w:type="dxa"/>
            <w:tcBorders/>
            <w:shd w:fill="auto" w:val="clear"/>
            <w:vAlign w:val="center"/>
          </w:tcPr>
          <w:p>
            <w:pPr>
              <w:pStyle w:val="TableContents"/>
              <w:spacing w:before="0" w:after="0"/>
              <w:ind w:left="200" w:right="0" w:hanging="0"/>
              <w:jc w:val="left"/>
              <w:rPr>
                <w:rFonts w:ascii="Times New Roman;serif" w:hAnsi="Times New Roman;serif"/>
                <w:b w:val="false"/>
                <w:sz w:val="20"/>
              </w:rPr>
            </w:pPr>
            <w:r>
              <w:rPr>
                <w:rFonts w:ascii="Times New Roman;serif" w:hAnsi="Times New Roman;serif"/>
                <w:b w:val="false"/>
                <w:sz w:val="20"/>
              </w:rPr>
              <w:t>Depreciation and amortization</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73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13,320</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78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12,741</w:t>
            </w:r>
          </w:p>
        </w:tc>
        <w:tc>
          <w:tcPr>
            <w:tcW w:w="411" w:type="dxa"/>
            <w:tcBorders/>
            <w:shd w:fill="auto" w:val="clear"/>
            <w:vAlign w:val="center"/>
          </w:tcPr>
          <w:p>
            <w:pPr>
              <w:pStyle w:val="TableContents"/>
              <w:spacing w:before="0" w:after="0"/>
              <w:ind w:left="0" w:right="0" w:firstLine="200"/>
              <w:jc w:val="left"/>
              <w:rPr/>
            </w:pPr>
            <w:r>
              <w:rPr/>
              <w:t> </w:t>
            </w:r>
          </w:p>
        </w:tc>
      </w:tr>
      <w:tr>
        <w:trPr/>
        <w:tc>
          <w:tcPr>
            <w:tcW w:w="7397" w:type="dxa"/>
            <w:tcBorders/>
            <w:shd w:fill="auto" w:val="clear"/>
            <w:vAlign w:val="center"/>
          </w:tcPr>
          <w:p>
            <w:pPr>
              <w:pStyle w:val="TableContents"/>
              <w:spacing w:before="0" w:after="0"/>
              <w:ind w:left="200" w:right="0" w:hanging="0"/>
              <w:jc w:val="left"/>
              <w:rPr>
                <w:rFonts w:ascii="Times New Roman;serif" w:hAnsi="Times New Roman;serif"/>
                <w:b w:val="false"/>
                <w:sz w:val="20"/>
              </w:rPr>
            </w:pPr>
            <w:r>
              <w:rPr>
                <w:rFonts w:ascii="Times New Roman;serif" w:hAnsi="Times New Roman;serif"/>
                <w:b w:val="false"/>
                <w:sz w:val="20"/>
              </w:rPr>
              <w:t>Amortization of deferred financing costs</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73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625</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78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1,023</w:t>
            </w:r>
          </w:p>
        </w:tc>
        <w:tc>
          <w:tcPr>
            <w:tcW w:w="411" w:type="dxa"/>
            <w:tcBorders/>
            <w:shd w:fill="auto" w:val="clear"/>
            <w:vAlign w:val="center"/>
          </w:tcPr>
          <w:p>
            <w:pPr>
              <w:pStyle w:val="TableContents"/>
              <w:spacing w:before="0" w:after="0"/>
              <w:ind w:left="0" w:right="0" w:firstLine="200"/>
              <w:jc w:val="left"/>
              <w:rPr/>
            </w:pPr>
            <w:r>
              <w:rPr/>
              <w:t> </w:t>
            </w:r>
          </w:p>
        </w:tc>
      </w:tr>
      <w:tr>
        <w:trPr/>
        <w:tc>
          <w:tcPr>
            <w:tcW w:w="7397" w:type="dxa"/>
            <w:tcBorders/>
            <w:shd w:fill="auto" w:val="clear"/>
            <w:vAlign w:val="center"/>
          </w:tcPr>
          <w:p>
            <w:pPr>
              <w:pStyle w:val="TableContents"/>
              <w:spacing w:before="0" w:after="0"/>
              <w:ind w:left="200" w:right="0" w:hanging="0"/>
              <w:jc w:val="left"/>
              <w:rPr>
                <w:rFonts w:ascii="Times New Roman;serif" w:hAnsi="Times New Roman;serif"/>
                <w:b w:val="false"/>
                <w:sz w:val="20"/>
              </w:rPr>
            </w:pPr>
            <w:r>
              <w:rPr>
                <w:rFonts w:ascii="Times New Roman;serif" w:hAnsi="Times New Roman;serif"/>
                <w:b w:val="false"/>
                <w:sz w:val="20"/>
              </w:rPr>
              <w:t>Credit loss expense, net</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73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220</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78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7,229</w:t>
            </w:r>
          </w:p>
        </w:tc>
        <w:tc>
          <w:tcPr>
            <w:tcW w:w="411" w:type="dxa"/>
            <w:tcBorders/>
            <w:shd w:fill="auto" w:val="clear"/>
            <w:vAlign w:val="center"/>
          </w:tcPr>
          <w:p>
            <w:pPr>
              <w:pStyle w:val="TableContents"/>
              <w:spacing w:before="0" w:after="0"/>
              <w:ind w:left="0" w:right="0" w:firstLine="200"/>
              <w:jc w:val="left"/>
              <w:rPr/>
            </w:pPr>
            <w:r>
              <w:rPr/>
              <w:t> </w:t>
            </w:r>
          </w:p>
        </w:tc>
      </w:tr>
      <w:tr>
        <w:trPr/>
        <w:tc>
          <w:tcPr>
            <w:tcW w:w="7397" w:type="dxa"/>
            <w:tcBorders/>
            <w:shd w:fill="auto" w:val="clear"/>
            <w:vAlign w:val="center"/>
          </w:tcPr>
          <w:p>
            <w:pPr>
              <w:pStyle w:val="TableContents"/>
              <w:spacing w:before="0" w:after="0"/>
              <w:ind w:left="200" w:right="0" w:hanging="0"/>
              <w:jc w:val="left"/>
              <w:rPr>
                <w:rFonts w:ascii="Times New Roman;serif" w:hAnsi="Times New Roman;serif"/>
                <w:b w:val="false"/>
                <w:sz w:val="20"/>
              </w:rPr>
            </w:pPr>
            <w:r>
              <w:rPr>
                <w:rFonts w:ascii="Times New Roman;serif" w:hAnsi="Times New Roman;serif"/>
                <w:b w:val="false"/>
                <w:sz w:val="20"/>
              </w:rPr>
              <w:t>Write-downs</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73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304</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78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381</w:t>
            </w:r>
          </w:p>
        </w:tc>
        <w:tc>
          <w:tcPr>
            <w:tcW w:w="411" w:type="dxa"/>
            <w:tcBorders/>
            <w:shd w:fill="auto" w:val="clear"/>
            <w:vAlign w:val="center"/>
          </w:tcPr>
          <w:p>
            <w:pPr>
              <w:pStyle w:val="TableContents"/>
              <w:spacing w:before="0" w:after="0"/>
              <w:ind w:left="0" w:right="0" w:firstLine="200"/>
              <w:jc w:val="left"/>
              <w:rPr/>
            </w:pPr>
            <w:r>
              <w:rPr/>
              <w:t> </w:t>
            </w:r>
          </w:p>
        </w:tc>
      </w:tr>
      <w:tr>
        <w:trPr/>
        <w:tc>
          <w:tcPr>
            <w:tcW w:w="7397" w:type="dxa"/>
            <w:tcBorders/>
            <w:shd w:fill="auto" w:val="clear"/>
            <w:vAlign w:val="center"/>
          </w:tcPr>
          <w:p>
            <w:pPr>
              <w:pStyle w:val="TableContents"/>
              <w:spacing w:before="0" w:after="0"/>
              <w:ind w:left="200" w:right="0" w:hanging="0"/>
              <w:jc w:val="left"/>
              <w:rPr>
                <w:rFonts w:ascii="Times New Roman;serif" w:hAnsi="Times New Roman;serif"/>
                <w:b w:val="false"/>
                <w:sz w:val="20"/>
              </w:rPr>
            </w:pPr>
            <w:r>
              <w:rPr>
                <w:rFonts w:ascii="Times New Roman;serif" w:hAnsi="Times New Roman;serif"/>
                <w:b w:val="false"/>
                <w:sz w:val="20"/>
              </w:rPr>
              <w:t>Deferred income tax benefit</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73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(193</w:t>
            </w:r>
          </w:p>
        </w:tc>
        <w:tc>
          <w:tcPr>
            <w:tcW w:w="16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78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(109</w:t>
            </w:r>
          </w:p>
        </w:tc>
        <w:tc>
          <w:tcPr>
            <w:tcW w:w="411" w:type="dxa"/>
            <w:tcBorders/>
            <w:shd w:fill="auto" w:val="clear"/>
            <w:vAlign w:val="center"/>
          </w:tcPr>
          <w:p>
            <w:pPr>
              <w:pStyle w:val="TableContents"/>
              <w:spacing w:before="0" w:after="0"/>
              <w:ind w:left="0" w:right="0" w:firstLine="200"/>
              <w:jc w:val="left"/>
              <w:rPr>
                <w:rFonts w:ascii="Times New Roman;serif" w:hAnsi="Times New Roman;serif"/>
                <w:b w:val="false"/>
                <w:sz w:val="20"/>
              </w:rPr>
            </w:pPr>
            <w:r>
              <w:rPr>
                <w:rFonts w:ascii="Times New Roman;serif" w:hAnsi="Times New Roman;serif"/>
                <w:b w:val="false"/>
                <w:sz w:val="20"/>
              </w:rPr>
              <w:t>)</w:t>
            </w:r>
          </w:p>
        </w:tc>
      </w:tr>
      <w:tr>
        <w:trPr/>
        <w:tc>
          <w:tcPr>
            <w:tcW w:w="7397" w:type="dxa"/>
            <w:tcBorders/>
            <w:shd w:fill="auto" w:val="clear"/>
            <w:vAlign w:val="center"/>
          </w:tcPr>
          <w:p>
            <w:pPr>
              <w:pStyle w:val="TableContents"/>
              <w:spacing w:before="0" w:after="0"/>
              <w:ind w:left="200" w:right="0" w:hanging="0"/>
              <w:jc w:val="left"/>
              <w:rPr>
                <w:rFonts w:ascii="Times New Roman;serif" w:hAnsi="Times New Roman;serif"/>
                <w:b w:val="false"/>
                <w:sz w:val="20"/>
              </w:rPr>
            </w:pPr>
            <w:r>
              <w:rPr>
                <w:rFonts w:ascii="Times New Roman;serif" w:hAnsi="Times New Roman;serif"/>
                <w:b w:val="false"/>
                <w:sz w:val="20"/>
              </w:rPr>
              <w:t>Share-based and other non-cash compensation</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73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5,135</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78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6,189</w:t>
            </w:r>
          </w:p>
        </w:tc>
        <w:tc>
          <w:tcPr>
            <w:tcW w:w="411" w:type="dxa"/>
            <w:tcBorders/>
            <w:shd w:fill="auto" w:val="clear"/>
            <w:vAlign w:val="center"/>
          </w:tcPr>
          <w:p>
            <w:pPr>
              <w:pStyle w:val="TableContents"/>
              <w:spacing w:before="0" w:after="0"/>
              <w:ind w:left="0" w:right="0" w:firstLine="200"/>
              <w:jc w:val="left"/>
              <w:rPr/>
            </w:pPr>
            <w:r>
              <w:rPr/>
              <w:t> </w:t>
            </w:r>
          </w:p>
        </w:tc>
      </w:tr>
      <w:tr>
        <w:trPr/>
        <w:tc>
          <w:tcPr>
            <w:tcW w:w="7397" w:type="dxa"/>
            <w:tcBorders/>
            <w:shd w:fill="auto" w:val="clear"/>
            <w:vAlign w:val="center"/>
          </w:tcPr>
          <w:p>
            <w:pPr>
              <w:pStyle w:val="TableContents"/>
              <w:spacing w:before="0" w:after="0"/>
              <w:ind w:left="200" w:right="0" w:hanging="0"/>
              <w:jc w:val="left"/>
              <w:rPr>
                <w:rFonts w:ascii="Times New Roman;serif" w:hAnsi="Times New Roman;serif"/>
                <w:b w:val="false"/>
                <w:sz w:val="20"/>
              </w:rPr>
            </w:pPr>
            <w:r>
              <w:rPr>
                <w:rFonts w:ascii="Times New Roman;serif" w:hAnsi="Times New Roman;serif"/>
                <w:b w:val="false"/>
                <w:sz w:val="20"/>
              </w:rPr>
              <w:t>Unrealized foreign currency exchange (gain) loss</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73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(78</w:t>
            </w:r>
          </w:p>
        </w:tc>
        <w:tc>
          <w:tcPr>
            <w:tcW w:w="16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78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58</w:t>
            </w:r>
          </w:p>
        </w:tc>
        <w:tc>
          <w:tcPr>
            <w:tcW w:w="411" w:type="dxa"/>
            <w:tcBorders/>
            <w:shd w:fill="auto" w:val="clear"/>
            <w:vAlign w:val="center"/>
          </w:tcPr>
          <w:p>
            <w:pPr>
              <w:pStyle w:val="TableContents"/>
              <w:spacing w:before="0" w:after="0"/>
              <w:ind w:left="0" w:right="0" w:firstLine="200"/>
              <w:jc w:val="left"/>
              <w:rPr/>
            </w:pPr>
            <w:r>
              <w:rPr/>
              <w:t> </w:t>
            </w:r>
          </w:p>
        </w:tc>
      </w:tr>
      <w:tr>
        <w:trPr/>
        <w:tc>
          <w:tcPr>
            <w:tcW w:w="7397" w:type="dxa"/>
            <w:tcBorders/>
            <w:shd w:fill="auto" w:val="clear"/>
            <w:vAlign w:val="center"/>
          </w:tcPr>
          <w:p>
            <w:pPr>
              <w:pStyle w:val="TableContents"/>
              <w:spacing w:before="0" w:after="0"/>
              <w:ind w:left="200" w:right="0" w:hanging="0"/>
              <w:jc w:val="left"/>
              <w:rPr>
                <w:rFonts w:ascii="Times New Roman;serif" w:hAnsi="Times New Roman;serif"/>
                <w:b w:val="false"/>
                <w:sz w:val="20"/>
              </w:rPr>
            </w:pPr>
            <w:r>
              <w:rPr>
                <w:rFonts w:ascii="Times New Roman;serif" w:hAnsi="Times New Roman;serif"/>
                <w:b w:val="false"/>
                <w:sz w:val="20"/>
              </w:rPr>
              <w:t>Realized and unrealized investment gains</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73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(44</w:t>
            </w:r>
          </w:p>
        </w:tc>
        <w:tc>
          <w:tcPr>
            <w:tcW w:w="16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78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(34</w:t>
            </w:r>
          </w:p>
        </w:tc>
        <w:tc>
          <w:tcPr>
            <w:tcW w:w="41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7397"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Changes in assets and liabilities:</w:t>
            </w:r>
          </w:p>
        </w:tc>
        <w:tc>
          <w:tcPr>
            <w:tcW w:w="146" w:type="dxa"/>
            <w:tcBorders/>
            <w:shd w:fill="auto" w:val="clear"/>
            <w:vAlign w:val="center"/>
          </w:tcPr>
          <w:p>
            <w:pPr>
              <w:pStyle w:val="TableContents"/>
              <w:spacing w:before="0" w:after="0"/>
              <w:ind w:left="0" w:right="0" w:hanging="0"/>
              <w:jc w:val="left"/>
              <w:rPr/>
            </w:pPr>
            <w:r>
              <w:rPr/>
              <w:t> </w:t>
            </w:r>
          </w:p>
        </w:tc>
        <w:tc>
          <w:tcPr>
            <w:tcW w:w="947" w:type="dxa"/>
            <w:gridSpan w:val="2"/>
            <w:tcBorders/>
            <w:shd w:fill="auto" w:val="clear"/>
            <w:vAlign w:val="center"/>
          </w:tcPr>
          <w:p>
            <w:pPr>
              <w:pStyle w:val="TableContents"/>
              <w:spacing w:before="0" w:after="0"/>
              <w:ind w:left="0" w:right="0" w:hanging="0"/>
              <w:jc w:val="left"/>
              <w:rPr/>
            </w:pPr>
            <w:r>
              <w:rPr/>
              <w:t> </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992" w:type="dxa"/>
            <w:gridSpan w:val="2"/>
            <w:tcBorders/>
            <w:shd w:fill="auto" w:val="clear"/>
            <w:vAlign w:val="center"/>
          </w:tcPr>
          <w:p>
            <w:pPr>
              <w:pStyle w:val="TableContents"/>
              <w:spacing w:before="0" w:after="0"/>
              <w:ind w:left="0" w:right="0" w:hanging="0"/>
              <w:jc w:val="left"/>
              <w:rPr/>
            </w:pPr>
            <w:r>
              <w:rPr/>
              <w:t> </w:t>
            </w:r>
          </w:p>
        </w:tc>
        <w:tc>
          <w:tcPr>
            <w:tcW w:w="411" w:type="dxa"/>
            <w:tcBorders/>
            <w:shd w:fill="auto" w:val="clear"/>
            <w:vAlign w:val="center"/>
          </w:tcPr>
          <w:p>
            <w:pPr>
              <w:pStyle w:val="TableContents"/>
              <w:spacing w:before="0" w:after="0"/>
              <w:ind w:left="0" w:right="0" w:firstLine="200"/>
              <w:jc w:val="left"/>
              <w:rPr/>
            </w:pPr>
            <w:r>
              <w:rPr/>
              <w:t> </w:t>
            </w:r>
          </w:p>
        </w:tc>
      </w:tr>
      <w:tr>
        <w:trPr/>
        <w:tc>
          <w:tcPr>
            <w:tcW w:w="7397" w:type="dxa"/>
            <w:tcBorders/>
            <w:shd w:fill="auto" w:val="clear"/>
            <w:vAlign w:val="center"/>
          </w:tcPr>
          <w:p>
            <w:pPr>
              <w:pStyle w:val="TableContents"/>
              <w:spacing w:before="0" w:after="0"/>
              <w:ind w:left="200" w:right="0" w:hanging="0"/>
              <w:jc w:val="left"/>
              <w:rPr>
                <w:rFonts w:ascii="Times New Roman;serif" w:hAnsi="Times New Roman;serif"/>
                <w:b w:val="false"/>
                <w:sz w:val="20"/>
              </w:rPr>
            </w:pPr>
            <w:r>
              <w:rPr>
                <w:rFonts w:ascii="Times New Roman;serif" w:hAnsi="Times New Roman;serif"/>
                <w:b w:val="false"/>
                <w:sz w:val="20"/>
              </w:rPr>
              <w:t>Accounts receivable</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73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12,374</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78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(2,654</w:t>
            </w:r>
          </w:p>
        </w:tc>
        <w:tc>
          <w:tcPr>
            <w:tcW w:w="411" w:type="dxa"/>
            <w:tcBorders/>
            <w:shd w:fill="auto" w:val="clear"/>
            <w:vAlign w:val="center"/>
          </w:tcPr>
          <w:p>
            <w:pPr>
              <w:pStyle w:val="TableContents"/>
              <w:spacing w:before="0" w:after="0"/>
              <w:ind w:left="0" w:right="0" w:firstLine="200"/>
              <w:jc w:val="left"/>
              <w:rPr>
                <w:rFonts w:ascii="Times New Roman;serif" w:hAnsi="Times New Roman;serif"/>
                <w:b w:val="false"/>
                <w:sz w:val="20"/>
              </w:rPr>
            </w:pPr>
            <w:r>
              <w:rPr>
                <w:rFonts w:ascii="Times New Roman;serif" w:hAnsi="Times New Roman;serif"/>
                <w:b w:val="false"/>
                <w:sz w:val="20"/>
              </w:rPr>
              <w:t>)</w:t>
            </w:r>
          </w:p>
        </w:tc>
      </w:tr>
      <w:tr>
        <w:trPr/>
        <w:tc>
          <w:tcPr>
            <w:tcW w:w="7397" w:type="dxa"/>
            <w:tcBorders/>
            <w:shd w:fill="auto" w:val="clear"/>
            <w:vAlign w:val="center"/>
          </w:tcPr>
          <w:p>
            <w:pPr>
              <w:pStyle w:val="TableContents"/>
              <w:spacing w:before="0" w:after="0"/>
              <w:ind w:left="200" w:right="0" w:hanging="0"/>
              <w:jc w:val="left"/>
              <w:rPr>
                <w:rFonts w:ascii="Times New Roman;serif" w:hAnsi="Times New Roman;serif"/>
                <w:b w:val="false"/>
                <w:sz w:val="20"/>
              </w:rPr>
            </w:pPr>
            <w:r>
              <w:rPr>
                <w:rFonts w:ascii="Times New Roman;serif" w:hAnsi="Times New Roman;serif"/>
                <w:b w:val="false"/>
                <w:sz w:val="20"/>
              </w:rPr>
              <w:t>Inventories</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73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(5,946</w:t>
            </w:r>
          </w:p>
        </w:tc>
        <w:tc>
          <w:tcPr>
            <w:tcW w:w="16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78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(534</w:t>
            </w:r>
          </w:p>
        </w:tc>
        <w:tc>
          <w:tcPr>
            <w:tcW w:w="411" w:type="dxa"/>
            <w:tcBorders/>
            <w:shd w:fill="auto" w:val="clear"/>
            <w:vAlign w:val="center"/>
          </w:tcPr>
          <w:p>
            <w:pPr>
              <w:pStyle w:val="TableContents"/>
              <w:spacing w:before="0" w:after="0"/>
              <w:ind w:left="0" w:right="0" w:firstLine="200"/>
              <w:jc w:val="left"/>
              <w:rPr>
                <w:rFonts w:ascii="Times New Roman;serif" w:hAnsi="Times New Roman;serif"/>
                <w:b w:val="false"/>
                <w:sz w:val="20"/>
              </w:rPr>
            </w:pPr>
            <w:r>
              <w:rPr>
                <w:rFonts w:ascii="Times New Roman;serif" w:hAnsi="Times New Roman;serif"/>
                <w:b w:val="false"/>
                <w:sz w:val="20"/>
              </w:rPr>
              <w:t>)</w:t>
            </w:r>
          </w:p>
        </w:tc>
      </w:tr>
      <w:tr>
        <w:trPr/>
        <w:tc>
          <w:tcPr>
            <w:tcW w:w="7397" w:type="dxa"/>
            <w:tcBorders/>
            <w:shd w:fill="auto" w:val="clear"/>
            <w:vAlign w:val="center"/>
          </w:tcPr>
          <w:p>
            <w:pPr>
              <w:pStyle w:val="TableContents"/>
              <w:spacing w:before="0" w:after="0"/>
              <w:ind w:left="200" w:right="0" w:hanging="0"/>
              <w:jc w:val="left"/>
              <w:rPr>
                <w:rFonts w:ascii="Times New Roman;serif" w:hAnsi="Times New Roman;serif"/>
                <w:b w:val="false"/>
                <w:sz w:val="20"/>
              </w:rPr>
            </w:pPr>
            <w:r>
              <w:rPr>
                <w:rFonts w:ascii="Times New Roman;serif" w:hAnsi="Times New Roman;serif"/>
                <w:b w:val="false"/>
                <w:sz w:val="20"/>
              </w:rPr>
              <w:t>Film assets</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73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(3,884</w:t>
            </w:r>
          </w:p>
        </w:tc>
        <w:tc>
          <w:tcPr>
            <w:tcW w:w="16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78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(5,107</w:t>
            </w:r>
          </w:p>
        </w:tc>
        <w:tc>
          <w:tcPr>
            <w:tcW w:w="411" w:type="dxa"/>
            <w:tcBorders/>
            <w:shd w:fill="auto" w:val="clear"/>
            <w:vAlign w:val="center"/>
          </w:tcPr>
          <w:p>
            <w:pPr>
              <w:pStyle w:val="TableContents"/>
              <w:spacing w:before="0" w:after="0"/>
              <w:ind w:left="0" w:right="0" w:firstLine="200"/>
              <w:jc w:val="left"/>
              <w:rPr>
                <w:rFonts w:ascii="Times New Roman;serif" w:hAnsi="Times New Roman;serif"/>
                <w:b w:val="false"/>
                <w:sz w:val="20"/>
              </w:rPr>
            </w:pPr>
            <w:r>
              <w:rPr>
                <w:rFonts w:ascii="Times New Roman;serif" w:hAnsi="Times New Roman;serif"/>
                <w:b w:val="false"/>
                <w:sz w:val="20"/>
              </w:rPr>
              <w:t>)</w:t>
            </w:r>
          </w:p>
        </w:tc>
      </w:tr>
      <w:tr>
        <w:trPr/>
        <w:tc>
          <w:tcPr>
            <w:tcW w:w="7397" w:type="dxa"/>
            <w:tcBorders/>
            <w:shd w:fill="auto" w:val="clear"/>
            <w:vAlign w:val="center"/>
          </w:tcPr>
          <w:p>
            <w:pPr>
              <w:pStyle w:val="TableContents"/>
              <w:spacing w:before="0" w:after="0"/>
              <w:ind w:left="200" w:right="0" w:hanging="0"/>
              <w:jc w:val="left"/>
              <w:rPr>
                <w:rFonts w:ascii="Times New Roman;serif" w:hAnsi="Times New Roman;serif"/>
                <w:b w:val="false"/>
                <w:sz w:val="20"/>
              </w:rPr>
            </w:pPr>
            <w:r>
              <w:rPr>
                <w:rFonts w:ascii="Times New Roman;serif" w:hAnsi="Times New Roman;serif"/>
                <w:b w:val="false"/>
                <w:sz w:val="20"/>
              </w:rPr>
              <w:t>Deferred revenue</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73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2,606</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78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(830</w:t>
            </w:r>
          </w:p>
        </w:tc>
        <w:tc>
          <w:tcPr>
            <w:tcW w:w="411" w:type="dxa"/>
            <w:tcBorders/>
            <w:shd w:fill="auto" w:val="clear"/>
            <w:vAlign w:val="center"/>
          </w:tcPr>
          <w:p>
            <w:pPr>
              <w:pStyle w:val="TableContents"/>
              <w:spacing w:before="0" w:after="0"/>
              <w:ind w:left="0" w:right="0" w:firstLine="200"/>
              <w:jc w:val="left"/>
              <w:rPr>
                <w:rFonts w:ascii="Times New Roman;serif" w:hAnsi="Times New Roman;serif"/>
                <w:b w:val="false"/>
                <w:sz w:val="20"/>
              </w:rPr>
            </w:pPr>
            <w:r>
              <w:rPr>
                <w:rFonts w:ascii="Times New Roman;serif" w:hAnsi="Times New Roman;serif"/>
                <w:b w:val="false"/>
                <w:sz w:val="20"/>
              </w:rPr>
              <w:t>)</w:t>
            </w:r>
          </w:p>
        </w:tc>
      </w:tr>
      <w:tr>
        <w:trPr/>
        <w:tc>
          <w:tcPr>
            <w:tcW w:w="7397" w:type="dxa"/>
            <w:tcBorders/>
            <w:shd w:fill="auto" w:val="clear"/>
            <w:vAlign w:val="center"/>
          </w:tcPr>
          <w:p>
            <w:pPr>
              <w:pStyle w:val="TableContents"/>
              <w:spacing w:before="0" w:after="0"/>
              <w:ind w:left="200" w:right="0" w:hanging="0"/>
              <w:jc w:val="left"/>
              <w:rPr>
                <w:rFonts w:ascii="Times New Roman;serif" w:hAnsi="Times New Roman;serif"/>
                <w:b w:val="false"/>
                <w:sz w:val="20"/>
              </w:rPr>
            </w:pPr>
            <w:r>
              <w:rPr>
                <w:rFonts w:ascii="Times New Roman;serif" w:hAnsi="Times New Roman;serif"/>
                <w:b w:val="false"/>
                <w:sz w:val="20"/>
              </w:rPr>
              <w:t>Changes in other operating assets and liabilities</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73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(8,344</w:t>
            </w:r>
          </w:p>
        </w:tc>
        <w:tc>
          <w:tcPr>
            <w:tcW w:w="16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78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(10,186</w:t>
            </w:r>
          </w:p>
        </w:tc>
        <w:tc>
          <w:tcPr>
            <w:tcW w:w="411" w:type="dxa"/>
            <w:tcBorders/>
            <w:shd w:fill="auto" w:val="clear"/>
            <w:vAlign w:val="center"/>
          </w:tcPr>
          <w:p>
            <w:pPr>
              <w:pStyle w:val="TableContents"/>
              <w:spacing w:before="0" w:after="0"/>
              <w:ind w:left="0" w:right="0" w:firstLine="200"/>
              <w:jc w:val="left"/>
              <w:rPr>
                <w:rFonts w:ascii="Times New Roman;serif" w:hAnsi="Times New Roman;serif"/>
                <w:b w:val="false"/>
                <w:sz w:val="20"/>
              </w:rPr>
            </w:pPr>
            <w:r>
              <w:rPr>
                <w:rFonts w:ascii="Times New Roman;serif" w:hAnsi="Times New Roman;serif"/>
                <w:b w:val="false"/>
                <w:sz w:val="20"/>
              </w:rPr>
              <w:t>)</w:t>
            </w:r>
          </w:p>
        </w:tc>
      </w:tr>
      <w:tr>
        <w:trPr/>
        <w:tc>
          <w:tcPr>
            <w:tcW w:w="7397" w:type="dxa"/>
            <w:tcBorders/>
            <w:shd w:fill="auto" w:val="clear"/>
            <w:vAlign w:val="center"/>
          </w:tcPr>
          <w:p>
            <w:pPr>
              <w:pStyle w:val="TableContents"/>
              <w:spacing w:before="0" w:after="0"/>
              <w:ind w:left="200" w:right="0" w:hanging="0"/>
              <w:jc w:val="left"/>
              <w:rPr>
                <w:rFonts w:ascii="Times New Roman;serif" w:hAnsi="Times New Roman;serif"/>
                <w:b/>
                <w:sz w:val="20"/>
              </w:rPr>
            </w:pPr>
            <w:r>
              <w:rPr>
                <w:rFonts w:ascii="Times New Roman;serif" w:hAnsi="Times New Roman;serif"/>
                <w:b/>
                <w:sz w:val="20"/>
              </w:rPr>
              <w:t>Net cash provided by (used in) operating activities</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top w:val="single" w:sz="4" w:space="0" w:color="000000"/>
              <w:bottom w:val="single" w:sz="4" w:space="0" w:color="000000"/>
            </w:tcBorders>
            <w:shd w:fill="auto" w:val="clear"/>
            <w:tcMar>
              <w:left w:w="0" w:type="dxa"/>
              <w:right w:w="0" w:type="dxa"/>
            </w:tcMar>
            <w:vAlign w:val="center"/>
          </w:tcPr>
          <w:p>
            <w:pPr>
              <w:pStyle w:val="TableContents"/>
              <w:spacing w:before="0" w:after="0"/>
              <w:ind w:left="0" w:right="0" w:hanging="0"/>
              <w:jc w:val="left"/>
              <w:rPr/>
            </w:pPr>
            <w:r>
              <w:rPr/>
              <w:t> </w:t>
            </w:r>
          </w:p>
        </w:tc>
        <w:tc>
          <w:tcPr>
            <w:tcW w:w="736" w:type="dxa"/>
            <w:tcBorders>
              <w:top w:val="single" w:sz="4" w:space="0" w:color="000000"/>
              <w:bottom w:val="single" w:sz="4" w:space="0" w:color="000000"/>
            </w:tcBorders>
            <w:shd w:fill="auto" w:val="clear"/>
            <w:tcMar>
              <w:left w:w="0" w:type="dxa"/>
              <w:right w:w="0" w:type="dxa"/>
            </w:tcMar>
            <w:vAlign w:val="center"/>
          </w:tcPr>
          <w:p>
            <w:pPr>
              <w:pStyle w:val="TableContents"/>
              <w:spacing w:before="0" w:after="0"/>
              <w:ind w:left="0" w:right="0" w:hanging="0"/>
              <w:jc w:val="right"/>
              <w:rPr>
                <w:rFonts w:ascii="Times New Roman;serif" w:hAnsi="Times New Roman;serif"/>
                <w:b/>
                <w:sz w:val="20"/>
              </w:rPr>
            </w:pPr>
            <w:r>
              <w:rPr>
                <w:rFonts w:ascii="Times New Roman;serif" w:hAnsi="Times New Roman;serif"/>
                <w:b/>
                <w:sz w:val="20"/>
              </w:rPr>
              <w:t>21,218</w:t>
            </w:r>
          </w:p>
        </w:tc>
        <w:tc>
          <w:tcPr>
            <w:tcW w:w="166" w:type="dxa"/>
            <w:tcBorders>
              <w:top w:val="single" w:sz="4" w:space="0" w:color="000000"/>
              <w:bottom w:val="single" w:sz="4" w:space="0" w:color="000000"/>
            </w:tcBorders>
            <w:shd w:fill="auto" w:val="clear"/>
            <w:tcMar>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top w:val="single" w:sz="4" w:space="0" w:color="000000"/>
              <w:bottom w:val="single" w:sz="4" w:space="0" w:color="000000"/>
            </w:tcBorders>
            <w:shd w:fill="auto" w:val="clear"/>
            <w:tcMar>
              <w:left w:w="0" w:type="dxa"/>
              <w:right w:w="0" w:type="dxa"/>
            </w:tcMar>
            <w:vAlign w:val="center"/>
          </w:tcPr>
          <w:p>
            <w:pPr>
              <w:pStyle w:val="TableContents"/>
              <w:spacing w:before="0" w:after="0"/>
              <w:ind w:left="0" w:right="0" w:hanging="0"/>
              <w:jc w:val="left"/>
              <w:rPr/>
            </w:pPr>
            <w:r>
              <w:rPr/>
              <w:t> </w:t>
            </w:r>
          </w:p>
        </w:tc>
        <w:tc>
          <w:tcPr>
            <w:tcW w:w="781" w:type="dxa"/>
            <w:tcBorders>
              <w:top w:val="single" w:sz="4" w:space="0" w:color="000000"/>
              <w:bottom w:val="single" w:sz="4" w:space="0" w:color="000000"/>
            </w:tcBorders>
            <w:shd w:fill="auto" w:val="clear"/>
            <w:tcMar>
              <w:left w:w="0" w:type="dxa"/>
              <w:right w:w="0" w:type="dxa"/>
            </w:tcMar>
            <w:vAlign w:val="center"/>
          </w:tcPr>
          <w:p>
            <w:pPr>
              <w:pStyle w:val="TableContents"/>
              <w:spacing w:before="0" w:after="0"/>
              <w:ind w:left="0" w:right="0" w:hanging="0"/>
              <w:jc w:val="right"/>
              <w:rPr>
                <w:rFonts w:ascii="Times New Roman;serif" w:hAnsi="Times New Roman;serif"/>
                <w:b/>
                <w:sz w:val="20"/>
              </w:rPr>
            </w:pPr>
            <w:r>
              <w:rPr>
                <w:rFonts w:ascii="Times New Roman;serif" w:hAnsi="Times New Roman;serif"/>
                <w:b/>
                <w:sz w:val="20"/>
              </w:rPr>
              <w:t>(3,783</w:t>
            </w:r>
          </w:p>
        </w:tc>
        <w:tc>
          <w:tcPr>
            <w:tcW w:w="411" w:type="dxa"/>
            <w:tcBorders>
              <w:top w:val="single" w:sz="4" w:space="0" w:color="000000"/>
              <w:bottom w:val="single" w:sz="4" w:space="0" w:color="000000"/>
            </w:tcBorders>
            <w:shd w:fill="auto" w:val="clear"/>
            <w:tcMar>
              <w:left w:w="0" w:type="dxa"/>
              <w:right w:w="0" w:type="dxa"/>
            </w:tcMar>
            <w:vAlign w:val="center"/>
          </w:tcPr>
          <w:p>
            <w:pPr>
              <w:pStyle w:val="TableContents"/>
              <w:spacing w:before="0" w:after="0"/>
              <w:ind w:left="0" w:right="0" w:hanging="0"/>
              <w:jc w:val="left"/>
              <w:rPr>
                <w:rFonts w:ascii="Times New Roman;serif" w:hAnsi="Times New Roman;serif"/>
                <w:b/>
                <w:sz w:val="20"/>
              </w:rPr>
            </w:pPr>
            <w:r>
              <w:rPr>
                <w:rFonts w:ascii="Times New Roman;serif" w:hAnsi="Times New Roman;serif"/>
                <w:b/>
                <w:sz w:val="20"/>
              </w:rPr>
              <w:t>)</w:t>
            </w:r>
          </w:p>
        </w:tc>
      </w:tr>
      <w:tr>
        <w:trPr/>
        <w:tc>
          <w:tcPr>
            <w:tcW w:w="7397" w:type="dxa"/>
            <w:tcBorders/>
            <w:shd w:fill="auto" w:val="clear"/>
            <w:vAlign w:val="center"/>
          </w:tcPr>
          <w:p>
            <w:pPr>
              <w:pStyle w:val="TableContents"/>
              <w:spacing w:before="0" w:after="0"/>
              <w:ind w:left="0" w:right="0" w:hanging="0"/>
              <w:jc w:val="left"/>
              <w:rPr>
                <w:rFonts w:ascii="Times New Roman;serif" w:hAnsi="Times New Roman;serif"/>
                <w:b/>
                <w:sz w:val="20"/>
              </w:rPr>
            </w:pPr>
            <w:r>
              <w:rPr>
                <w:rFonts w:ascii="Times New Roman;serif" w:hAnsi="Times New Roman;serif"/>
                <w:b/>
                <w:sz w:val="20"/>
              </w:rPr>
              <w:t>Investing Activities</w:t>
            </w:r>
          </w:p>
        </w:tc>
        <w:tc>
          <w:tcPr>
            <w:tcW w:w="146" w:type="dxa"/>
            <w:tcBorders/>
            <w:shd w:fill="auto" w:val="clear"/>
            <w:vAlign w:val="center"/>
          </w:tcPr>
          <w:p>
            <w:pPr>
              <w:pStyle w:val="TableContents"/>
              <w:spacing w:before="0" w:after="0"/>
              <w:ind w:left="0" w:right="0" w:hanging="0"/>
              <w:jc w:val="left"/>
              <w:rPr/>
            </w:pPr>
            <w:r>
              <w:rPr/>
              <w:t> </w:t>
            </w:r>
          </w:p>
        </w:tc>
        <w:tc>
          <w:tcPr>
            <w:tcW w:w="947" w:type="dxa"/>
            <w:gridSpan w:val="2"/>
            <w:tcBorders/>
            <w:shd w:fill="auto" w:val="clear"/>
            <w:vAlign w:val="center"/>
          </w:tcPr>
          <w:p>
            <w:pPr>
              <w:pStyle w:val="TableContents"/>
              <w:spacing w:before="0" w:after="0"/>
              <w:ind w:left="0" w:right="0" w:hanging="0"/>
              <w:jc w:val="left"/>
              <w:rPr/>
            </w:pPr>
            <w:r>
              <w:rPr/>
              <w:t> </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992" w:type="dxa"/>
            <w:gridSpan w:val="2"/>
            <w:tcBorders/>
            <w:shd w:fill="auto" w:val="clear"/>
            <w:vAlign w:val="center"/>
          </w:tcPr>
          <w:p>
            <w:pPr>
              <w:pStyle w:val="TableContents"/>
              <w:spacing w:before="0" w:after="0"/>
              <w:ind w:left="0" w:right="0" w:hanging="0"/>
              <w:jc w:val="left"/>
              <w:rPr/>
            </w:pPr>
            <w:r>
              <w:rPr/>
              <w:t> </w:t>
            </w:r>
          </w:p>
        </w:tc>
        <w:tc>
          <w:tcPr>
            <w:tcW w:w="411" w:type="dxa"/>
            <w:tcBorders/>
            <w:shd w:fill="auto" w:val="clear"/>
            <w:vAlign w:val="center"/>
          </w:tcPr>
          <w:p>
            <w:pPr>
              <w:pStyle w:val="TableContents"/>
              <w:spacing w:before="0" w:after="0"/>
              <w:ind w:left="0" w:right="0" w:hanging="0"/>
              <w:jc w:val="left"/>
              <w:rPr/>
            </w:pPr>
            <w:r>
              <w:rPr/>
              <w:t> </w:t>
            </w:r>
          </w:p>
        </w:tc>
      </w:tr>
      <w:tr>
        <w:trPr/>
        <w:tc>
          <w:tcPr>
            <w:tcW w:w="7397"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Purchase of property, plant and equipment</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73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(364</w:t>
            </w:r>
          </w:p>
        </w:tc>
        <w:tc>
          <w:tcPr>
            <w:tcW w:w="16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78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(728</w:t>
            </w:r>
          </w:p>
        </w:tc>
        <w:tc>
          <w:tcPr>
            <w:tcW w:w="41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7397"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Investment in equipment for joint revenue sharing arrangements</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73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(2,157</w:t>
            </w:r>
          </w:p>
        </w:tc>
        <w:tc>
          <w:tcPr>
            <w:tcW w:w="16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78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(4,587</w:t>
            </w:r>
          </w:p>
        </w:tc>
        <w:tc>
          <w:tcPr>
            <w:tcW w:w="41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7397"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Interest in film classified as a financial instrument</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736" w:type="dxa"/>
            <w:tcBorders/>
            <w:shd w:fill="auto" w:val="clear"/>
            <w:vAlign w:val="center"/>
          </w:tcPr>
          <w:p>
            <w:pPr>
              <w:pStyle w:val="TableContents"/>
              <w:spacing w:before="0" w:after="0"/>
              <w:ind w:left="0" w:right="0" w:hanging="0"/>
              <w:jc w:val="right"/>
              <w:rPr/>
            </w:pPr>
            <w:r>
              <w:rPr/>
              <w:t>—</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78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(4,731</w:t>
            </w:r>
          </w:p>
        </w:tc>
        <w:tc>
          <w:tcPr>
            <w:tcW w:w="41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7397"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Acquisition of other intangible assets</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73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(1,760</w:t>
            </w:r>
          </w:p>
        </w:tc>
        <w:tc>
          <w:tcPr>
            <w:tcW w:w="16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78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(551</w:t>
            </w:r>
          </w:p>
        </w:tc>
        <w:tc>
          <w:tcPr>
            <w:tcW w:w="411" w:type="dxa"/>
            <w:tcBorders/>
            <w:shd w:fill="auto" w:val="clear"/>
            <w:vAlign w:val="center"/>
          </w:tcPr>
          <w:p>
            <w:pPr>
              <w:pStyle w:val="TableContents"/>
              <w:spacing w:before="0" w:after="0"/>
              <w:ind w:left="0" w:right="0" w:firstLine="200"/>
              <w:jc w:val="left"/>
              <w:rPr>
                <w:rFonts w:ascii="Times New Roman;serif" w:hAnsi="Times New Roman;serif"/>
                <w:b w:val="false"/>
                <w:sz w:val="20"/>
              </w:rPr>
            </w:pPr>
            <w:r>
              <w:rPr>
                <w:rFonts w:ascii="Times New Roman;serif" w:hAnsi="Times New Roman;serif"/>
                <w:b w:val="false"/>
                <w:sz w:val="20"/>
              </w:rPr>
              <w:t>)</w:t>
            </w:r>
          </w:p>
        </w:tc>
      </w:tr>
      <w:tr>
        <w:trPr/>
        <w:tc>
          <w:tcPr>
            <w:tcW w:w="7397" w:type="dxa"/>
            <w:tcBorders/>
            <w:shd w:fill="auto" w:val="clear"/>
            <w:vAlign w:val="center"/>
          </w:tcPr>
          <w:p>
            <w:pPr>
              <w:pStyle w:val="TableContents"/>
              <w:spacing w:before="0" w:after="0"/>
              <w:ind w:left="200" w:right="0" w:hanging="0"/>
              <w:jc w:val="left"/>
              <w:rPr>
                <w:rFonts w:ascii="Times New Roman;serif" w:hAnsi="Times New Roman;serif"/>
                <w:b/>
                <w:sz w:val="20"/>
              </w:rPr>
            </w:pPr>
            <w:r>
              <w:rPr>
                <w:rFonts w:ascii="Times New Roman;serif" w:hAnsi="Times New Roman;serif"/>
                <w:b/>
                <w:sz w:val="20"/>
              </w:rPr>
              <w:t>Net cash used in investing activities</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top w:val="single" w:sz="4" w:space="0" w:color="000000"/>
              <w:bottom w:val="single" w:sz="4" w:space="0" w:color="000000"/>
            </w:tcBorders>
            <w:shd w:fill="auto" w:val="clear"/>
            <w:tcMar>
              <w:left w:w="0" w:type="dxa"/>
              <w:right w:w="0" w:type="dxa"/>
            </w:tcMar>
            <w:vAlign w:val="center"/>
          </w:tcPr>
          <w:p>
            <w:pPr>
              <w:pStyle w:val="TableContents"/>
              <w:spacing w:before="0" w:after="0"/>
              <w:ind w:left="0" w:right="0" w:hanging="0"/>
              <w:jc w:val="left"/>
              <w:rPr/>
            </w:pPr>
            <w:r>
              <w:rPr/>
              <w:t> </w:t>
            </w:r>
          </w:p>
        </w:tc>
        <w:tc>
          <w:tcPr>
            <w:tcW w:w="736" w:type="dxa"/>
            <w:tcBorders>
              <w:top w:val="single" w:sz="4" w:space="0" w:color="000000"/>
              <w:bottom w:val="single" w:sz="4" w:space="0" w:color="000000"/>
            </w:tcBorders>
            <w:shd w:fill="auto" w:val="clear"/>
            <w:tcMar>
              <w:left w:w="0" w:type="dxa"/>
              <w:right w:w="0" w:type="dxa"/>
            </w:tcMar>
            <w:vAlign w:val="center"/>
          </w:tcPr>
          <w:p>
            <w:pPr>
              <w:pStyle w:val="TableContents"/>
              <w:spacing w:before="0" w:after="0"/>
              <w:ind w:left="0" w:right="0" w:hanging="0"/>
              <w:jc w:val="right"/>
              <w:rPr>
                <w:rFonts w:ascii="Times New Roman;serif" w:hAnsi="Times New Roman;serif"/>
                <w:b/>
                <w:sz w:val="20"/>
              </w:rPr>
            </w:pPr>
            <w:r>
              <w:rPr>
                <w:rFonts w:ascii="Times New Roman;serif" w:hAnsi="Times New Roman;serif"/>
                <w:b/>
                <w:sz w:val="20"/>
              </w:rPr>
              <w:t>(4,281</w:t>
            </w:r>
          </w:p>
        </w:tc>
        <w:tc>
          <w:tcPr>
            <w:tcW w:w="166" w:type="dxa"/>
            <w:tcBorders>
              <w:top w:val="single" w:sz="4" w:space="0" w:color="000000"/>
              <w:bottom w:val="single" w:sz="4" w:space="0" w:color="000000"/>
            </w:tcBorders>
            <w:shd w:fill="auto" w:val="clear"/>
            <w:tcMar>
              <w:left w:w="0" w:type="dxa"/>
              <w:right w:w="0" w:type="dxa"/>
            </w:tcMar>
            <w:vAlign w:val="center"/>
          </w:tcPr>
          <w:p>
            <w:pPr>
              <w:pStyle w:val="TableContents"/>
              <w:spacing w:before="0" w:after="0"/>
              <w:ind w:left="0" w:right="0" w:hanging="0"/>
              <w:jc w:val="left"/>
              <w:rPr>
                <w:rFonts w:ascii="Times New Roman;serif" w:hAnsi="Times New Roman;serif"/>
                <w:b/>
                <w:sz w:val="20"/>
              </w:rPr>
            </w:pPr>
            <w:r>
              <w:rPr>
                <w:rFonts w:ascii="Times New Roman;serif" w:hAnsi="Times New Roman;serif"/>
                <w:b/>
                <w:sz w:val="20"/>
              </w:rPr>
              <w:t>)</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top w:val="single" w:sz="4" w:space="0" w:color="000000"/>
              <w:bottom w:val="single" w:sz="4" w:space="0" w:color="000000"/>
            </w:tcBorders>
            <w:shd w:fill="auto" w:val="clear"/>
            <w:tcMar>
              <w:left w:w="0" w:type="dxa"/>
              <w:right w:w="0" w:type="dxa"/>
            </w:tcMar>
            <w:vAlign w:val="center"/>
          </w:tcPr>
          <w:p>
            <w:pPr>
              <w:pStyle w:val="TableContents"/>
              <w:spacing w:before="0" w:after="0"/>
              <w:ind w:left="0" w:right="0" w:hanging="0"/>
              <w:jc w:val="left"/>
              <w:rPr/>
            </w:pPr>
            <w:r>
              <w:rPr/>
              <w:t> </w:t>
            </w:r>
          </w:p>
        </w:tc>
        <w:tc>
          <w:tcPr>
            <w:tcW w:w="781" w:type="dxa"/>
            <w:tcBorders>
              <w:top w:val="single" w:sz="4" w:space="0" w:color="000000"/>
              <w:bottom w:val="single" w:sz="4" w:space="0" w:color="000000"/>
            </w:tcBorders>
            <w:shd w:fill="auto" w:val="clear"/>
            <w:tcMar>
              <w:left w:w="0" w:type="dxa"/>
              <w:right w:w="0" w:type="dxa"/>
            </w:tcMar>
            <w:vAlign w:val="center"/>
          </w:tcPr>
          <w:p>
            <w:pPr>
              <w:pStyle w:val="TableContents"/>
              <w:spacing w:before="0" w:after="0"/>
              <w:ind w:left="0" w:right="0" w:hanging="0"/>
              <w:jc w:val="right"/>
              <w:rPr>
                <w:rFonts w:ascii="Times New Roman;serif" w:hAnsi="Times New Roman;serif"/>
                <w:b/>
                <w:sz w:val="20"/>
              </w:rPr>
            </w:pPr>
            <w:r>
              <w:rPr>
                <w:rFonts w:ascii="Times New Roman;serif" w:hAnsi="Times New Roman;serif"/>
                <w:b/>
                <w:sz w:val="20"/>
              </w:rPr>
              <w:t>(10,597</w:t>
            </w:r>
          </w:p>
        </w:tc>
        <w:tc>
          <w:tcPr>
            <w:tcW w:w="411" w:type="dxa"/>
            <w:tcBorders>
              <w:top w:val="single" w:sz="4" w:space="0" w:color="000000"/>
              <w:bottom w:val="single" w:sz="4" w:space="0" w:color="000000"/>
            </w:tcBorders>
            <w:shd w:fill="auto" w:val="clear"/>
            <w:tcMar>
              <w:left w:w="0" w:type="dxa"/>
              <w:right w:w="0" w:type="dxa"/>
            </w:tcMar>
            <w:vAlign w:val="center"/>
          </w:tcPr>
          <w:p>
            <w:pPr>
              <w:pStyle w:val="TableContents"/>
              <w:spacing w:before="0" w:after="0"/>
              <w:ind w:left="0" w:right="0" w:hanging="0"/>
              <w:jc w:val="left"/>
              <w:rPr>
                <w:rFonts w:ascii="Times New Roman;serif" w:hAnsi="Times New Roman;serif"/>
                <w:b/>
                <w:sz w:val="20"/>
              </w:rPr>
            </w:pPr>
            <w:r>
              <w:rPr>
                <w:rFonts w:ascii="Times New Roman;serif" w:hAnsi="Times New Roman;serif"/>
                <w:b/>
                <w:sz w:val="20"/>
              </w:rPr>
              <w:t>)</w:t>
            </w:r>
          </w:p>
        </w:tc>
      </w:tr>
      <w:tr>
        <w:trPr/>
        <w:tc>
          <w:tcPr>
            <w:tcW w:w="7397" w:type="dxa"/>
            <w:tcBorders/>
            <w:shd w:fill="auto" w:val="clear"/>
            <w:vAlign w:val="center"/>
          </w:tcPr>
          <w:p>
            <w:pPr>
              <w:pStyle w:val="TableContents"/>
              <w:spacing w:before="0" w:after="0"/>
              <w:ind w:left="0" w:right="0" w:hanging="0"/>
              <w:jc w:val="left"/>
              <w:rPr>
                <w:rFonts w:ascii="Times New Roman;serif" w:hAnsi="Times New Roman;serif"/>
                <w:b/>
                <w:sz w:val="20"/>
              </w:rPr>
            </w:pPr>
            <w:r>
              <w:rPr>
                <w:rFonts w:ascii="Times New Roman;serif" w:hAnsi="Times New Roman;serif"/>
                <w:b/>
                <w:sz w:val="20"/>
              </w:rPr>
              <w:t>Financing Activities</w:t>
            </w:r>
          </w:p>
        </w:tc>
        <w:tc>
          <w:tcPr>
            <w:tcW w:w="146" w:type="dxa"/>
            <w:tcBorders/>
            <w:shd w:fill="auto" w:val="clear"/>
            <w:vAlign w:val="center"/>
          </w:tcPr>
          <w:p>
            <w:pPr>
              <w:pStyle w:val="TableContents"/>
              <w:spacing w:before="0" w:after="0"/>
              <w:ind w:left="0" w:right="0" w:hanging="0"/>
              <w:jc w:val="left"/>
              <w:rPr/>
            </w:pPr>
            <w:r>
              <w:rPr/>
              <w:t> </w:t>
            </w:r>
          </w:p>
        </w:tc>
        <w:tc>
          <w:tcPr>
            <w:tcW w:w="947" w:type="dxa"/>
            <w:gridSpan w:val="2"/>
            <w:tcBorders/>
            <w:shd w:fill="auto" w:val="clear"/>
            <w:vAlign w:val="center"/>
          </w:tcPr>
          <w:p>
            <w:pPr>
              <w:pStyle w:val="TableContents"/>
              <w:spacing w:before="0" w:after="0"/>
              <w:ind w:left="0" w:right="0" w:hanging="0"/>
              <w:jc w:val="left"/>
              <w:rPr/>
            </w:pPr>
            <w:r>
              <w:rPr/>
              <w:t> </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992" w:type="dxa"/>
            <w:gridSpan w:val="2"/>
            <w:tcBorders/>
            <w:shd w:fill="auto" w:val="clear"/>
            <w:vAlign w:val="center"/>
          </w:tcPr>
          <w:p>
            <w:pPr>
              <w:pStyle w:val="TableContents"/>
              <w:spacing w:before="0" w:after="0"/>
              <w:ind w:left="0" w:right="0" w:hanging="0"/>
              <w:jc w:val="left"/>
              <w:rPr/>
            </w:pPr>
            <w:r>
              <w:rPr/>
              <w:t> </w:t>
            </w:r>
          </w:p>
        </w:tc>
        <w:tc>
          <w:tcPr>
            <w:tcW w:w="411" w:type="dxa"/>
            <w:tcBorders/>
            <w:shd w:fill="auto" w:val="clear"/>
            <w:vAlign w:val="center"/>
          </w:tcPr>
          <w:p>
            <w:pPr>
              <w:pStyle w:val="TableContents"/>
              <w:spacing w:before="0" w:after="0"/>
              <w:ind w:left="0" w:right="0" w:hanging="0"/>
              <w:jc w:val="left"/>
              <w:rPr/>
            </w:pPr>
            <w:r>
              <w:rPr/>
              <w:t> </w:t>
            </w:r>
          </w:p>
        </w:tc>
      </w:tr>
      <w:tr>
        <w:trPr/>
        <w:tc>
          <w:tcPr>
            <w:tcW w:w="7397"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Revolving credit facility borrowings</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73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25,717</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781" w:type="dxa"/>
            <w:tcBorders/>
            <w:shd w:fill="auto" w:val="clear"/>
            <w:vAlign w:val="center"/>
          </w:tcPr>
          <w:p>
            <w:pPr>
              <w:pStyle w:val="TableContents"/>
              <w:spacing w:before="0" w:after="0"/>
              <w:ind w:left="0" w:right="0" w:hanging="0"/>
              <w:jc w:val="right"/>
              <w:rPr/>
            </w:pPr>
            <w:r>
              <w:rPr/>
              <w:t>—</w:t>
            </w:r>
          </w:p>
        </w:tc>
        <w:tc>
          <w:tcPr>
            <w:tcW w:w="411" w:type="dxa"/>
            <w:tcBorders/>
            <w:shd w:fill="auto" w:val="clear"/>
            <w:vAlign w:val="center"/>
          </w:tcPr>
          <w:p>
            <w:pPr>
              <w:pStyle w:val="TableContents"/>
              <w:spacing w:before="0" w:after="0"/>
              <w:ind w:left="0" w:right="0" w:hanging="0"/>
              <w:jc w:val="left"/>
              <w:rPr/>
            </w:pPr>
            <w:r>
              <w:rPr/>
              <w:t> </w:t>
            </w:r>
          </w:p>
        </w:tc>
      </w:tr>
      <w:tr>
        <w:trPr/>
        <w:tc>
          <w:tcPr>
            <w:tcW w:w="7397"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Repayments of revolving credit facility borrowings</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73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(31,180</w:t>
            </w:r>
          </w:p>
        </w:tc>
        <w:tc>
          <w:tcPr>
            <w:tcW w:w="16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781" w:type="dxa"/>
            <w:tcBorders/>
            <w:shd w:fill="auto" w:val="clear"/>
            <w:vAlign w:val="center"/>
          </w:tcPr>
          <w:p>
            <w:pPr>
              <w:pStyle w:val="TableContents"/>
              <w:spacing w:before="0" w:after="0"/>
              <w:ind w:left="0" w:right="0" w:hanging="0"/>
              <w:jc w:val="right"/>
              <w:rPr/>
            </w:pPr>
            <w:r>
              <w:rPr/>
              <w:t>—</w:t>
            </w:r>
          </w:p>
        </w:tc>
        <w:tc>
          <w:tcPr>
            <w:tcW w:w="411" w:type="dxa"/>
            <w:tcBorders/>
            <w:shd w:fill="auto" w:val="clear"/>
            <w:vAlign w:val="center"/>
          </w:tcPr>
          <w:p>
            <w:pPr>
              <w:pStyle w:val="TableContents"/>
              <w:spacing w:before="0" w:after="0"/>
              <w:ind w:left="0" w:right="0" w:hanging="0"/>
              <w:jc w:val="left"/>
              <w:rPr/>
            </w:pPr>
            <w:r>
              <w:rPr/>
              <w:t> </w:t>
            </w:r>
          </w:p>
        </w:tc>
      </w:tr>
      <w:tr>
        <w:trPr/>
        <w:tc>
          <w:tcPr>
            <w:tcW w:w="7397"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Credit facility amendment fees paid</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736" w:type="dxa"/>
            <w:tcBorders/>
            <w:shd w:fill="auto" w:val="clear"/>
            <w:vAlign w:val="center"/>
          </w:tcPr>
          <w:p>
            <w:pPr>
              <w:pStyle w:val="TableContents"/>
              <w:spacing w:before="0" w:after="0"/>
              <w:ind w:left="0" w:right="0" w:hanging="0"/>
              <w:jc w:val="right"/>
              <w:rPr/>
            </w:pPr>
            <w:r>
              <w:rPr/>
              <w:t>—</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78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(1,783</w:t>
            </w:r>
          </w:p>
        </w:tc>
        <w:tc>
          <w:tcPr>
            <w:tcW w:w="41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7397"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Other borrowings</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73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315</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781" w:type="dxa"/>
            <w:tcBorders/>
            <w:shd w:fill="auto" w:val="clear"/>
            <w:vAlign w:val="center"/>
          </w:tcPr>
          <w:p>
            <w:pPr>
              <w:pStyle w:val="TableContents"/>
              <w:spacing w:before="0" w:after="0"/>
              <w:ind w:left="0" w:right="0" w:hanging="0"/>
              <w:jc w:val="right"/>
              <w:rPr/>
            </w:pPr>
            <w:r>
              <w:rPr/>
              <w:t>—</w:t>
            </w:r>
          </w:p>
        </w:tc>
        <w:tc>
          <w:tcPr>
            <w:tcW w:w="411" w:type="dxa"/>
            <w:tcBorders/>
            <w:shd w:fill="auto" w:val="clear"/>
            <w:vAlign w:val="center"/>
          </w:tcPr>
          <w:p>
            <w:pPr>
              <w:pStyle w:val="TableContents"/>
              <w:spacing w:before="0" w:after="0"/>
              <w:ind w:left="0" w:right="0" w:hanging="0"/>
              <w:jc w:val="left"/>
              <w:rPr/>
            </w:pPr>
            <w:r>
              <w:rPr/>
              <w:t> </w:t>
            </w:r>
          </w:p>
        </w:tc>
      </w:tr>
      <w:tr>
        <w:trPr/>
        <w:tc>
          <w:tcPr>
            <w:tcW w:w="7397"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Repurchase of common shares</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73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(3,656</w:t>
            </w:r>
          </w:p>
        </w:tc>
        <w:tc>
          <w:tcPr>
            <w:tcW w:w="16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78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(6,272</w:t>
            </w:r>
          </w:p>
        </w:tc>
        <w:tc>
          <w:tcPr>
            <w:tcW w:w="41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7397"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Repurchase of common shares, IMAX China</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736" w:type="dxa"/>
            <w:tcBorders/>
            <w:shd w:fill="auto" w:val="clear"/>
            <w:vAlign w:val="center"/>
          </w:tcPr>
          <w:p>
            <w:pPr>
              <w:pStyle w:val="TableContents"/>
              <w:spacing w:before="0" w:after="0"/>
              <w:ind w:left="0" w:right="0" w:hanging="0"/>
              <w:jc w:val="right"/>
              <w:rPr/>
            </w:pPr>
            <w:r>
              <w:rPr/>
              <w:t>—</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78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(1,844</w:t>
            </w:r>
          </w:p>
        </w:tc>
        <w:tc>
          <w:tcPr>
            <w:tcW w:w="41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7397"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Taxes withheld and paid on employee stock awards vested</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73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(6,233</w:t>
            </w:r>
          </w:p>
        </w:tc>
        <w:tc>
          <w:tcPr>
            <w:tcW w:w="16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78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(3,136</w:t>
            </w:r>
          </w:p>
        </w:tc>
        <w:tc>
          <w:tcPr>
            <w:tcW w:w="411" w:type="dxa"/>
            <w:tcBorders/>
            <w:shd w:fill="auto" w:val="clear"/>
            <w:vAlign w:val="center"/>
          </w:tcPr>
          <w:p>
            <w:pPr>
              <w:pStyle w:val="TableContents"/>
              <w:spacing w:before="0" w:after="0"/>
              <w:ind w:left="0" w:right="0" w:firstLine="200"/>
              <w:jc w:val="left"/>
              <w:rPr>
                <w:rFonts w:ascii="Times New Roman;serif" w:hAnsi="Times New Roman;serif"/>
                <w:b w:val="false"/>
                <w:sz w:val="20"/>
              </w:rPr>
            </w:pPr>
            <w:r>
              <w:rPr>
                <w:rFonts w:ascii="Times New Roman;serif" w:hAnsi="Times New Roman;serif"/>
                <w:b w:val="false"/>
                <w:sz w:val="20"/>
              </w:rPr>
              <w:t>)</w:t>
            </w:r>
          </w:p>
        </w:tc>
      </w:tr>
      <w:tr>
        <w:trPr/>
        <w:tc>
          <w:tcPr>
            <w:tcW w:w="7397" w:type="dxa"/>
            <w:tcBorders/>
            <w:shd w:fill="auto" w:val="clear"/>
            <w:vAlign w:val="center"/>
          </w:tcPr>
          <w:p>
            <w:pPr>
              <w:pStyle w:val="TableContents"/>
              <w:spacing w:before="0" w:after="0"/>
              <w:ind w:left="200" w:right="0" w:hanging="0"/>
              <w:jc w:val="left"/>
              <w:rPr>
                <w:rFonts w:ascii="Times New Roman;serif" w:hAnsi="Times New Roman;serif"/>
                <w:b/>
                <w:sz w:val="20"/>
              </w:rPr>
            </w:pPr>
            <w:r>
              <w:rPr>
                <w:rFonts w:ascii="Times New Roman;serif" w:hAnsi="Times New Roman;serif"/>
                <w:b/>
                <w:sz w:val="20"/>
              </w:rPr>
              <w:t>Net cash used in financing activities</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top w:val="single" w:sz="4" w:space="0" w:color="000000"/>
              <w:bottom w:val="single" w:sz="4" w:space="0" w:color="000000"/>
            </w:tcBorders>
            <w:shd w:fill="auto" w:val="clear"/>
            <w:tcMar>
              <w:left w:w="0" w:type="dxa"/>
              <w:right w:w="0" w:type="dxa"/>
            </w:tcMar>
            <w:vAlign w:val="center"/>
          </w:tcPr>
          <w:p>
            <w:pPr>
              <w:pStyle w:val="TableContents"/>
              <w:spacing w:before="0" w:after="0"/>
              <w:ind w:left="0" w:right="0" w:hanging="0"/>
              <w:jc w:val="left"/>
              <w:rPr/>
            </w:pPr>
            <w:r>
              <w:rPr/>
              <w:t> </w:t>
            </w:r>
          </w:p>
        </w:tc>
        <w:tc>
          <w:tcPr>
            <w:tcW w:w="736" w:type="dxa"/>
            <w:tcBorders>
              <w:top w:val="single" w:sz="4" w:space="0" w:color="000000"/>
              <w:bottom w:val="single" w:sz="4" w:space="0" w:color="000000"/>
            </w:tcBorders>
            <w:shd w:fill="auto" w:val="clear"/>
            <w:tcMar>
              <w:left w:w="0" w:type="dxa"/>
              <w:right w:w="0" w:type="dxa"/>
            </w:tcMar>
            <w:vAlign w:val="center"/>
          </w:tcPr>
          <w:p>
            <w:pPr>
              <w:pStyle w:val="TableContents"/>
              <w:spacing w:before="0" w:after="0"/>
              <w:ind w:left="0" w:right="0" w:hanging="0"/>
              <w:jc w:val="right"/>
              <w:rPr>
                <w:rFonts w:ascii="Times New Roman;serif" w:hAnsi="Times New Roman;serif"/>
                <w:b/>
                <w:sz w:val="20"/>
              </w:rPr>
            </w:pPr>
            <w:r>
              <w:rPr>
                <w:rFonts w:ascii="Times New Roman;serif" w:hAnsi="Times New Roman;serif"/>
                <w:b/>
                <w:sz w:val="20"/>
              </w:rPr>
              <w:t>(15,037</w:t>
            </w:r>
          </w:p>
        </w:tc>
        <w:tc>
          <w:tcPr>
            <w:tcW w:w="166" w:type="dxa"/>
            <w:tcBorders>
              <w:top w:val="single" w:sz="4" w:space="0" w:color="000000"/>
              <w:bottom w:val="single" w:sz="4" w:space="0" w:color="000000"/>
            </w:tcBorders>
            <w:shd w:fill="auto" w:val="clear"/>
            <w:tcMar>
              <w:left w:w="0" w:type="dxa"/>
              <w:right w:w="0" w:type="dxa"/>
            </w:tcMar>
            <w:vAlign w:val="center"/>
          </w:tcPr>
          <w:p>
            <w:pPr>
              <w:pStyle w:val="TableContents"/>
              <w:spacing w:before="0" w:after="0"/>
              <w:ind w:left="0" w:right="0" w:hanging="0"/>
              <w:jc w:val="left"/>
              <w:rPr>
                <w:rFonts w:ascii="Times New Roman;serif" w:hAnsi="Times New Roman;serif"/>
                <w:b/>
                <w:sz w:val="20"/>
              </w:rPr>
            </w:pPr>
            <w:r>
              <w:rPr>
                <w:rFonts w:ascii="Times New Roman;serif" w:hAnsi="Times New Roman;serif"/>
                <w:b/>
                <w:sz w:val="20"/>
              </w:rPr>
              <w:t>)</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top w:val="single" w:sz="4" w:space="0" w:color="000000"/>
              <w:bottom w:val="single" w:sz="4" w:space="0" w:color="000000"/>
            </w:tcBorders>
            <w:shd w:fill="auto" w:val="clear"/>
            <w:tcMar>
              <w:left w:w="0" w:type="dxa"/>
              <w:right w:w="0" w:type="dxa"/>
            </w:tcMar>
            <w:vAlign w:val="center"/>
          </w:tcPr>
          <w:p>
            <w:pPr>
              <w:pStyle w:val="TableContents"/>
              <w:spacing w:before="0" w:after="0"/>
              <w:ind w:left="0" w:right="0" w:hanging="0"/>
              <w:jc w:val="left"/>
              <w:rPr/>
            </w:pPr>
            <w:r>
              <w:rPr/>
              <w:t> </w:t>
            </w:r>
          </w:p>
        </w:tc>
        <w:tc>
          <w:tcPr>
            <w:tcW w:w="781" w:type="dxa"/>
            <w:tcBorders>
              <w:top w:val="single" w:sz="4" w:space="0" w:color="000000"/>
              <w:bottom w:val="single" w:sz="4" w:space="0" w:color="000000"/>
            </w:tcBorders>
            <w:shd w:fill="auto" w:val="clear"/>
            <w:tcMar>
              <w:left w:w="0" w:type="dxa"/>
              <w:right w:w="0" w:type="dxa"/>
            </w:tcMar>
            <w:vAlign w:val="center"/>
          </w:tcPr>
          <w:p>
            <w:pPr>
              <w:pStyle w:val="TableContents"/>
              <w:spacing w:before="0" w:after="0"/>
              <w:ind w:left="0" w:right="0" w:hanging="0"/>
              <w:jc w:val="right"/>
              <w:rPr>
                <w:rFonts w:ascii="Times New Roman;serif" w:hAnsi="Times New Roman;serif"/>
                <w:b/>
                <w:sz w:val="20"/>
              </w:rPr>
            </w:pPr>
            <w:r>
              <w:rPr>
                <w:rFonts w:ascii="Times New Roman;serif" w:hAnsi="Times New Roman;serif"/>
                <w:b/>
                <w:sz w:val="20"/>
              </w:rPr>
              <w:t>(13,035</w:t>
            </w:r>
          </w:p>
        </w:tc>
        <w:tc>
          <w:tcPr>
            <w:tcW w:w="411" w:type="dxa"/>
            <w:tcBorders>
              <w:top w:val="single" w:sz="4" w:space="0" w:color="000000"/>
              <w:bottom w:val="single" w:sz="4" w:space="0" w:color="000000"/>
            </w:tcBorders>
            <w:shd w:fill="auto" w:val="clear"/>
            <w:tcMar>
              <w:left w:w="0" w:type="dxa"/>
              <w:right w:w="0" w:type="dxa"/>
            </w:tcMar>
            <w:vAlign w:val="center"/>
          </w:tcPr>
          <w:p>
            <w:pPr>
              <w:pStyle w:val="TableContents"/>
              <w:spacing w:before="0" w:after="0"/>
              <w:ind w:left="0" w:right="0" w:hanging="0"/>
              <w:jc w:val="left"/>
              <w:rPr>
                <w:rFonts w:ascii="Times New Roman;serif" w:hAnsi="Times New Roman;serif"/>
                <w:b/>
                <w:sz w:val="20"/>
              </w:rPr>
            </w:pPr>
            <w:r>
              <w:rPr>
                <w:rFonts w:ascii="Times New Roman;serif" w:hAnsi="Times New Roman;serif"/>
                <w:b/>
                <w:sz w:val="20"/>
              </w:rPr>
              <w:t>)</w:t>
            </w:r>
          </w:p>
        </w:tc>
      </w:tr>
      <w:tr>
        <w:trPr/>
        <w:tc>
          <w:tcPr>
            <w:tcW w:w="7397"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Effects of exchange rate changes on cash</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73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(55</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78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4</w:t>
            </w:r>
          </w:p>
        </w:tc>
        <w:tc>
          <w:tcPr>
            <w:tcW w:w="4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r>
        <w:trPr/>
        <w:tc>
          <w:tcPr>
            <w:tcW w:w="7397" w:type="dxa"/>
            <w:tcBorders/>
            <w:shd w:fill="auto" w:val="clear"/>
            <w:vAlign w:val="center"/>
          </w:tcPr>
          <w:p>
            <w:pPr>
              <w:pStyle w:val="TableContents"/>
              <w:spacing w:before="0" w:after="0"/>
              <w:ind w:left="0" w:right="0" w:hanging="0"/>
              <w:jc w:val="left"/>
              <w:rPr>
                <w:rFonts w:ascii="Times New Roman;serif" w:hAnsi="Times New Roman;serif"/>
                <w:b/>
                <w:sz w:val="20"/>
              </w:rPr>
            </w:pPr>
            <w:r>
              <w:rPr>
                <w:rFonts w:ascii="Times New Roman;serif" w:hAnsi="Times New Roman;serif"/>
                <w:b/>
                <w:sz w:val="20"/>
              </w:rPr>
              <w:t>Increase (decrease) in cash and cash equivalents during period</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736" w:type="dxa"/>
            <w:tcBorders/>
            <w:shd w:fill="auto" w:val="clear"/>
            <w:vAlign w:val="center"/>
          </w:tcPr>
          <w:p>
            <w:pPr>
              <w:pStyle w:val="TableContents"/>
              <w:spacing w:before="0" w:after="0"/>
              <w:ind w:left="0" w:right="0" w:hanging="0"/>
              <w:jc w:val="right"/>
              <w:rPr>
                <w:rFonts w:ascii="Times New Roman;serif" w:hAnsi="Times New Roman;serif"/>
                <w:b/>
                <w:sz w:val="20"/>
              </w:rPr>
            </w:pPr>
            <w:r>
              <w:rPr>
                <w:rFonts w:ascii="Times New Roman;serif" w:hAnsi="Times New Roman;serif"/>
                <w:b/>
                <w:sz w:val="20"/>
              </w:rPr>
              <w:t>1,845</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781" w:type="dxa"/>
            <w:tcBorders/>
            <w:shd w:fill="auto" w:val="clear"/>
            <w:vAlign w:val="center"/>
          </w:tcPr>
          <w:p>
            <w:pPr>
              <w:pStyle w:val="TableContents"/>
              <w:spacing w:before="0" w:after="0"/>
              <w:ind w:left="0" w:right="0" w:hanging="0"/>
              <w:jc w:val="right"/>
              <w:rPr>
                <w:rFonts w:ascii="Times New Roman;serif" w:hAnsi="Times New Roman;serif"/>
                <w:b/>
                <w:sz w:val="20"/>
              </w:rPr>
            </w:pPr>
            <w:r>
              <w:rPr>
                <w:rFonts w:ascii="Times New Roman;serif" w:hAnsi="Times New Roman;serif"/>
                <w:b/>
                <w:sz w:val="20"/>
              </w:rPr>
              <w:t>(27,411</w:t>
            </w:r>
          </w:p>
        </w:tc>
        <w:tc>
          <w:tcPr>
            <w:tcW w:w="411" w:type="dxa"/>
            <w:tcBorders/>
            <w:shd w:fill="auto" w:val="clear"/>
            <w:vAlign w:val="center"/>
          </w:tcPr>
          <w:p>
            <w:pPr>
              <w:pStyle w:val="TableContents"/>
              <w:spacing w:before="0" w:after="0"/>
              <w:ind w:left="0" w:right="0" w:hanging="0"/>
              <w:jc w:val="left"/>
              <w:rPr>
                <w:rFonts w:ascii="Times New Roman;serif" w:hAnsi="Times New Roman;serif"/>
                <w:b/>
                <w:sz w:val="20"/>
              </w:rPr>
            </w:pPr>
            <w:r>
              <w:rPr>
                <w:rFonts w:ascii="Times New Roman;serif" w:hAnsi="Times New Roman;serif"/>
                <w:b/>
                <w:sz w:val="20"/>
              </w:rPr>
              <w:t>)</w:t>
            </w:r>
          </w:p>
        </w:tc>
      </w:tr>
      <w:tr>
        <w:trPr/>
        <w:tc>
          <w:tcPr>
            <w:tcW w:w="7397" w:type="dxa"/>
            <w:tcBorders/>
            <w:shd w:fill="auto" w:val="clear"/>
            <w:vAlign w:val="center"/>
          </w:tcPr>
          <w:p>
            <w:pPr>
              <w:pStyle w:val="TableContents"/>
              <w:spacing w:before="0" w:after="0"/>
              <w:ind w:left="0" w:right="0" w:hanging="0"/>
              <w:jc w:val="left"/>
              <w:rPr>
                <w:rFonts w:ascii="Times New Roman;serif" w:hAnsi="Times New Roman;serif"/>
                <w:b/>
                <w:sz w:val="20"/>
              </w:rPr>
            </w:pPr>
            <w:r>
              <w:rPr>
                <w:rFonts w:ascii="Times New Roman;serif" w:hAnsi="Times New Roman;serif"/>
                <w:b/>
                <w:sz w:val="20"/>
              </w:rPr>
              <w:t>Cash and cash equivalents, beginning of period</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736" w:type="dxa"/>
            <w:tcBorders/>
            <w:shd w:fill="auto" w:val="clear"/>
            <w:vAlign w:val="center"/>
          </w:tcPr>
          <w:p>
            <w:pPr>
              <w:pStyle w:val="TableContents"/>
              <w:spacing w:before="0" w:after="0"/>
              <w:ind w:left="0" w:right="0" w:hanging="0"/>
              <w:jc w:val="right"/>
              <w:rPr>
                <w:rFonts w:ascii="Times New Roman;serif" w:hAnsi="Times New Roman;serif"/>
                <w:b/>
                <w:sz w:val="20"/>
              </w:rPr>
            </w:pPr>
            <w:r>
              <w:rPr>
                <w:rFonts w:ascii="Times New Roman;serif" w:hAnsi="Times New Roman;serif"/>
                <w:b/>
                <w:sz w:val="20"/>
              </w:rPr>
              <w:t>97,401</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781" w:type="dxa"/>
            <w:tcBorders/>
            <w:shd w:fill="auto" w:val="clear"/>
            <w:vAlign w:val="center"/>
          </w:tcPr>
          <w:p>
            <w:pPr>
              <w:pStyle w:val="TableContents"/>
              <w:spacing w:before="0" w:after="0"/>
              <w:ind w:left="0" w:right="0" w:hanging="0"/>
              <w:jc w:val="right"/>
              <w:rPr>
                <w:rFonts w:ascii="Times New Roman;serif" w:hAnsi="Times New Roman;serif"/>
                <w:b/>
                <w:sz w:val="20"/>
              </w:rPr>
            </w:pPr>
            <w:r>
              <w:rPr>
                <w:rFonts w:ascii="Times New Roman;serif" w:hAnsi="Times New Roman;serif"/>
                <w:b/>
                <w:sz w:val="20"/>
              </w:rPr>
              <w:t>189,711</w:t>
            </w:r>
          </w:p>
        </w:tc>
        <w:tc>
          <w:tcPr>
            <w:tcW w:w="411" w:type="dxa"/>
            <w:tcBorders/>
            <w:shd w:fill="auto" w:val="clear"/>
            <w:vAlign w:val="center"/>
          </w:tcPr>
          <w:p>
            <w:pPr>
              <w:pStyle w:val="TableContents"/>
              <w:spacing w:before="0" w:after="0"/>
              <w:ind w:left="0" w:right="0" w:hanging="0"/>
              <w:jc w:val="left"/>
              <w:rPr/>
            </w:pPr>
            <w:r>
              <w:rPr/>
              <w:t> </w:t>
            </w:r>
          </w:p>
        </w:tc>
      </w:tr>
      <w:tr>
        <w:trPr/>
        <w:tc>
          <w:tcPr>
            <w:tcW w:w="7397" w:type="dxa"/>
            <w:tcBorders/>
            <w:shd w:fill="auto" w:val="clear"/>
            <w:vAlign w:val="center"/>
          </w:tcPr>
          <w:p>
            <w:pPr>
              <w:pStyle w:val="TableContents"/>
              <w:spacing w:before="0" w:after="0"/>
              <w:ind w:left="0" w:right="0" w:hanging="0"/>
              <w:jc w:val="left"/>
              <w:rPr>
                <w:rFonts w:ascii="Times New Roman;serif" w:hAnsi="Times New Roman;serif"/>
                <w:b/>
                <w:sz w:val="20"/>
              </w:rPr>
            </w:pPr>
            <w:r>
              <w:rPr>
                <w:rFonts w:ascii="Times New Roman;serif" w:hAnsi="Times New Roman;serif"/>
                <w:b/>
                <w:sz w:val="20"/>
              </w:rPr>
              <w:t>Cash and cash equivalents, end of period</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top w:val="single" w:sz="4" w:space="0" w:color="000000"/>
              <w:bottom w:val="double" w:sz="6" w:space="0" w:color="000000"/>
            </w:tcBorders>
            <w:shd w:fill="auto" w:val="clear"/>
            <w:tcMar>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36" w:type="dxa"/>
            <w:tcBorders>
              <w:top w:val="single" w:sz="4" w:space="0" w:color="000000"/>
              <w:bottom w:val="double" w:sz="6" w:space="0" w:color="000000"/>
            </w:tcBorders>
            <w:shd w:fill="auto" w:val="clear"/>
            <w:tcMar>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99,246</w:t>
            </w:r>
          </w:p>
        </w:tc>
        <w:tc>
          <w:tcPr>
            <w:tcW w:w="166" w:type="dxa"/>
            <w:tcBorders>
              <w:top w:val="single" w:sz="4" w:space="0" w:color="000000"/>
              <w:bottom w:val="double" w:sz="6" w:space="0" w:color="000000"/>
            </w:tcBorders>
            <w:shd w:fill="auto" w:val="clear"/>
            <w:tcMar>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top w:val="single" w:sz="4" w:space="0" w:color="000000"/>
              <w:bottom w:val="double" w:sz="6" w:space="0" w:color="000000"/>
            </w:tcBorders>
            <w:shd w:fill="auto" w:val="clear"/>
            <w:tcMar>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81" w:type="dxa"/>
            <w:tcBorders>
              <w:top w:val="single" w:sz="4" w:space="0" w:color="000000"/>
              <w:bottom w:val="double" w:sz="6" w:space="0" w:color="000000"/>
            </w:tcBorders>
            <w:shd w:fill="auto" w:val="clear"/>
            <w:tcMar>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162,300</w:t>
            </w:r>
          </w:p>
        </w:tc>
        <w:tc>
          <w:tcPr>
            <w:tcW w:w="411" w:type="dxa"/>
            <w:tcBorders>
              <w:top w:val="single" w:sz="4" w:space="0" w:color="000000"/>
              <w:bottom w:val="double" w:sz="6" w:space="0" w:color="000000"/>
            </w:tcBorders>
            <w:shd w:fill="auto" w:val="clear"/>
            <w:tcMar>
              <w:left w:w="0" w:type="dxa"/>
              <w:right w:w="0" w:type="dxa"/>
            </w:tcMar>
            <w:vAlign w:val="center"/>
          </w:tcPr>
          <w:p>
            <w:pPr>
              <w:pStyle w:val="TableContents"/>
              <w:spacing w:before="0" w:after="0"/>
              <w:ind w:left="0" w:right="0" w:hanging="0"/>
              <w:jc w:val="left"/>
              <w:rPr/>
            </w:pPr>
            <w:r>
              <w:rPr/>
              <w:t> </w:t>
            </w:r>
          </w:p>
        </w:tc>
      </w:tr>
    </w:tbl>
    <w:p>
      <w:pPr>
        <w:pStyle w:val="TextBody"/>
        <w:spacing w:before="0" w:after="0"/>
        <w:jc w:val="center"/>
        <w:rPr/>
      </w:pPr>
      <w:r>
        <w:rPr/>
        <w:t> </w:t>
      </w:r>
    </w:p>
    <w:p>
      <w:pPr>
        <w:pStyle w:val="TextBody"/>
        <w:spacing w:before="0" w:after="0"/>
        <w:jc w:val="center"/>
        <w:rPr>
          <w:rFonts w:ascii="Times New Roman;serif" w:hAnsi="Times New Roman;serif"/>
          <w:b w:val="false"/>
          <w:i/>
          <w:sz w:val="20"/>
        </w:rPr>
      </w:pPr>
      <w:r>
        <w:rPr>
          <w:rFonts w:ascii="Times New Roman;serif" w:hAnsi="Times New Roman;serif"/>
          <w:b w:val="false"/>
          <w:i/>
          <w:sz w:val="20"/>
        </w:rPr>
        <w:t>(See the accompanying notes, which are an integral part of these Condensed Consolidated Financial Statements.)</w:t>
      </w:r>
    </w:p>
    <w:p>
      <w:pPr>
        <w:pStyle w:val="TextBody"/>
        <w:spacing w:before="240" w:after="0"/>
        <w:jc w:val="center"/>
        <w:rPr>
          <w:rFonts w:ascii="Times New Roman;serif" w:hAnsi="Times New Roman;serif"/>
          <w:b w:val="false"/>
          <w:sz w:val="20"/>
        </w:rPr>
      </w:pPr>
      <w:r>
        <w:rPr>
          <w:rFonts w:ascii="Times New Roman;serif" w:hAnsi="Times New Roman;serif"/>
          <w:b w:val="false"/>
          <w:sz w:val="20"/>
        </w:rPr>
        <w:t>7</w:t>
      </w:r>
    </w:p>
    <w:p>
      <w:pPr>
        <w:pStyle w:val="HorizontalLine"/>
        <w:rPr/>
      </w:pPr>
      <w:r>
        <w:rPr/>
      </w:r>
    </w:p>
    <w:p>
      <w:pPr>
        <w:pStyle w:val="TextBody"/>
        <w:spacing w:before="0" w:after="0"/>
        <w:jc w:val="left"/>
        <w:rPr/>
      </w:pPr>
      <w:r>
        <w:rPr/>
        <w:t> </w:t>
      </w:r>
    </w:p>
    <w:p>
      <w:pPr>
        <w:pStyle w:val="TextBody"/>
        <w:spacing w:before="0" w:after="0"/>
        <w:jc w:val="center"/>
        <w:rPr>
          <w:rFonts w:ascii="Times New Roman;serif" w:hAnsi="Times New Roman;serif"/>
          <w:b/>
          <w:sz w:val="20"/>
        </w:rPr>
      </w:pPr>
      <w:bookmarkStart w:id="9" w:name="condensed_consolidated_statements_equity"/>
      <w:bookmarkEnd w:id="9"/>
      <w:r>
        <w:rPr>
          <w:rFonts w:ascii="Times New Roman;serif" w:hAnsi="Times New Roman;serif"/>
          <w:b/>
          <w:sz w:val="20"/>
        </w:rPr>
        <w:t>IMAX CORPORATION</w:t>
      </w:r>
    </w:p>
    <w:p>
      <w:pPr>
        <w:pStyle w:val="TextBody"/>
        <w:spacing w:before="0" w:after="0"/>
        <w:jc w:val="center"/>
        <w:rPr/>
      </w:pPr>
      <w:r>
        <w:rPr/>
        <w:t> </w:t>
      </w:r>
    </w:p>
    <w:p>
      <w:pPr>
        <w:pStyle w:val="TextBody"/>
        <w:spacing w:before="0" w:after="0"/>
        <w:jc w:val="center"/>
        <w:rPr>
          <w:rFonts w:ascii="Times New Roman;serif" w:hAnsi="Times New Roman;serif"/>
          <w:b/>
          <w:sz w:val="20"/>
        </w:rPr>
      </w:pPr>
      <w:bookmarkStart w:id="10" w:name="equity_statement"/>
      <w:bookmarkEnd w:id="10"/>
      <w:r>
        <w:rPr>
          <w:rFonts w:ascii="Times New Roman;serif" w:hAnsi="Times New Roman;serif"/>
          <w:b/>
          <w:sz w:val="20"/>
        </w:rPr>
        <w:t>CONDENSED CONSOLIDATED STATEMENTS OF SHAREHOLDERS' EQUITY</w:t>
      </w:r>
    </w:p>
    <w:p>
      <w:pPr>
        <w:pStyle w:val="TextBody"/>
        <w:spacing w:before="0" w:after="0"/>
        <w:jc w:val="center"/>
        <w:rPr>
          <w:rFonts w:ascii="Times New Roman;serif" w:hAnsi="Times New Roman;serif"/>
          <w:b w:val="false"/>
          <w:i/>
          <w:sz w:val="20"/>
        </w:rPr>
      </w:pPr>
      <w:r>
        <w:rPr>
          <w:rFonts w:ascii="Times New Roman;serif" w:hAnsi="Times New Roman;serif"/>
          <w:b w:val="false"/>
          <w:i/>
          <w:sz w:val="20"/>
        </w:rPr>
        <w:t>(In thousands of U.S. Dollars)</w:t>
      </w:r>
    </w:p>
    <w:p>
      <w:pPr>
        <w:pStyle w:val="TextBody"/>
        <w:spacing w:before="0" w:after="0"/>
        <w:jc w:val="center"/>
        <w:rPr>
          <w:rFonts w:ascii="Times New Roman;serif" w:hAnsi="Times New Roman;serif"/>
          <w:b w:val="false"/>
          <w:i/>
          <w:sz w:val="20"/>
        </w:rPr>
      </w:pPr>
      <w:r>
        <w:rPr>
          <w:rFonts w:ascii="Times New Roman;serif" w:hAnsi="Times New Roman;serif"/>
          <w:b w:val="false"/>
          <w:i/>
          <w:sz w:val="20"/>
        </w:rPr>
        <w:t>(Unaudited)</w:t>
      </w:r>
    </w:p>
    <w:p>
      <w:pPr>
        <w:pStyle w:val="TextBody"/>
        <w:spacing w:before="0" w:after="0"/>
        <w:jc w:val="both"/>
        <w:rPr/>
      </w:pPr>
      <w:r>
        <w:rPr/>
        <w:t> </w:t>
      </w:r>
    </w:p>
    <w:tbl>
      <w:tblPr>
        <w:tblW w:w="9503" w:type="dxa"/>
        <w:jc w:val="left"/>
        <w:tblInd w:w="0" w:type="dxa"/>
        <w:tblCellMar>
          <w:top w:w="28" w:type="dxa"/>
          <w:left w:w="28" w:type="dxa"/>
          <w:bottom w:w="28" w:type="dxa"/>
          <w:right w:w="28" w:type="dxa"/>
        </w:tblCellMar>
      </w:tblPr>
      <w:tblGrid>
        <w:gridCol w:w="6676"/>
        <w:gridCol w:w="211"/>
        <w:gridCol w:w="841"/>
        <w:gridCol w:w="166"/>
        <w:gridCol w:w="146"/>
        <w:gridCol w:w="211"/>
        <w:gridCol w:w="841"/>
        <w:gridCol w:w="411"/>
      </w:tblGrid>
      <w:tr>
        <w:trPr/>
        <w:tc>
          <w:tcPr>
            <w:tcW w:w="6676"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41" w:type="dxa"/>
            <w:tcBorders/>
            <w:shd w:fill="auto" w:val="clear"/>
            <w:vAlign w:val="center"/>
          </w:tcPr>
          <w:p>
            <w:pPr>
              <w:pStyle w:val="TableContents"/>
              <w:spacing w:before="0" w:after="283"/>
              <w:rPr>
                <w:sz w:val="4"/>
                <w:szCs w:val="4"/>
              </w:rPr>
            </w:pPr>
            <w:r>
              <w:rPr>
                <w:sz w:val="4"/>
                <w:szCs w:val="4"/>
              </w:rPr>
            </w:r>
          </w:p>
        </w:tc>
        <w:tc>
          <w:tcPr>
            <w:tcW w:w="16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41" w:type="dxa"/>
            <w:tcBorders/>
            <w:shd w:fill="auto" w:val="clear"/>
            <w:vAlign w:val="center"/>
          </w:tcPr>
          <w:p>
            <w:pPr>
              <w:pStyle w:val="TableContents"/>
              <w:spacing w:before="0" w:after="283"/>
              <w:rPr>
                <w:sz w:val="4"/>
                <w:szCs w:val="4"/>
              </w:rPr>
            </w:pPr>
            <w:r>
              <w:rPr>
                <w:sz w:val="4"/>
                <w:szCs w:val="4"/>
              </w:rPr>
            </w:r>
          </w:p>
        </w:tc>
        <w:tc>
          <w:tcPr>
            <w:tcW w:w="411" w:type="dxa"/>
            <w:tcBorders/>
            <w:shd w:fill="auto" w:val="clear"/>
            <w:vAlign w:val="center"/>
          </w:tcPr>
          <w:p>
            <w:pPr>
              <w:pStyle w:val="TableContents"/>
              <w:spacing w:before="0" w:after="283"/>
              <w:rPr>
                <w:sz w:val="4"/>
                <w:szCs w:val="4"/>
              </w:rPr>
            </w:pPr>
            <w:r>
              <w:rPr>
                <w:sz w:val="4"/>
                <w:szCs w:val="4"/>
              </w:rPr>
            </w:r>
          </w:p>
        </w:tc>
      </w:tr>
      <w:tr>
        <w:trPr/>
        <w:tc>
          <w:tcPr>
            <w:tcW w:w="6676" w:type="dxa"/>
            <w:tcBorders/>
            <w:shd w:fill="auto" w:val="clear"/>
            <w:vAlign w:val="center"/>
          </w:tcPr>
          <w:p>
            <w:pPr>
              <w:pStyle w:val="TableContents"/>
              <w:spacing w:before="0" w:after="0"/>
              <w:ind w:left="0" w:right="0" w:hanging="0"/>
              <w:jc w:val="left"/>
              <w:rPr/>
            </w:pPr>
            <w:r>
              <w:rPr/>
              <w:t> </w:t>
            </w:r>
          </w:p>
        </w:tc>
        <w:tc>
          <w:tcPr>
            <w:tcW w:w="2416" w:type="dxa"/>
            <w:gridSpan w:val="6"/>
            <w:tcBorders/>
            <w:shd w:fill="auto" w:val="cle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Three Months Ended</w:t>
            </w:r>
          </w:p>
        </w:tc>
        <w:tc>
          <w:tcPr>
            <w:tcW w:w="411" w:type="dxa"/>
            <w:tcBorders/>
            <w:shd w:fill="auto" w:val="clear"/>
            <w:vAlign w:val="center"/>
          </w:tcPr>
          <w:p>
            <w:pPr>
              <w:pStyle w:val="TableContents"/>
              <w:spacing w:before="0" w:after="0"/>
              <w:ind w:left="0" w:right="0" w:hanging="0"/>
              <w:jc w:val="center"/>
              <w:rPr/>
            </w:pPr>
            <w:r>
              <w:rPr/>
              <w:t> </w:t>
            </w:r>
          </w:p>
        </w:tc>
      </w:tr>
      <w:tr>
        <w:trPr/>
        <w:tc>
          <w:tcPr>
            <w:tcW w:w="6676" w:type="dxa"/>
            <w:tcBorders/>
            <w:shd w:fill="auto" w:val="clear"/>
            <w:vAlign w:val="center"/>
          </w:tcPr>
          <w:p>
            <w:pPr>
              <w:pStyle w:val="TableContents"/>
              <w:spacing w:before="0" w:after="0"/>
              <w:ind w:left="0" w:right="0" w:hanging="0"/>
              <w:jc w:val="left"/>
              <w:rPr/>
            </w:pPr>
            <w:r>
              <w:rPr/>
              <w:t> </w:t>
            </w:r>
          </w:p>
        </w:tc>
        <w:tc>
          <w:tcPr>
            <w:tcW w:w="2416" w:type="dxa"/>
            <w:gridSpan w:val="6"/>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March 31,</w:t>
            </w:r>
          </w:p>
        </w:tc>
        <w:tc>
          <w:tcPr>
            <w:tcW w:w="4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6676" w:type="dxa"/>
            <w:tcBorders/>
            <w:shd w:fill="auto" w:val="clear"/>
            <w:vAlign w:val="center"/>
          </w:tcPr>
          <w:p>
            <w:pPr>
              <w:pStyle w:val="TableContents"/>
              <w:spacing w:before="0" w:after="0"/>
              <w:ind w:left="0" w:right="0" w:hanging="0"/>
              <w:jc w:val="left"/>
              <w:rPr/>
            </w:pPr>
            <w:r>
              <w:rPr/>
              <w:t> </w:t>
            </w:r>
          </w:p>
        </w:tc>
        <w:tc>
          <w:tcPr>
            <w:tcW w:w="1052"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2023</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1052"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2022</w:t>
            </w:r>
          </w:p>
        </w:tc>
        <w:tc>
          <w:tcPr>
            <w:tcW w:w="4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6676" w:type="dxa"/>
            <w:tcBorders/>
            <w:shd w:fill="auto" w:val="clear"/>
            <w:vAlign w:val="center"/>
          </w:tcPr>
          <w:p>
            <w:pPr>
              <w:pStyle w:val="TableContents"/>
              <w:spacing w:before="0" w:after="0"/>
              <w:ind w:left="0" w:right="0" w:hanging="0"/>
              <w:jc w:val="left"/>
              <w:rPr>
                <w:rFonts w:ascii="Times New Roman;serif" w:hAnsi="Times New Roman;serif"/>
                <w:b/>
                <w:sz w:val="20"/>
              </w:rPr>
            </w:pPr>
            <w:r>
              <w:rPr>
                <w:rFonts w:ascii="Times New Roman;serif" w:hAnsi="Times New Roman;serif"/>
                <w:b/>
                <w:sz w:val="20"/>
              </w:rPr>
              <w:t>Adjustments to capital stock:</w:t>
            </w:r>
          </w:p>
        </w:tc>
        <w:tc>
          <w:tcPr>
            <w:tcW w:w="1052" w:type="dxa"/>
            <w:gridSpan w:val="2"/>
            <w:tcBorders/>
            <w:shd w:fill="auto" w:val="clear"/>
            <w:vAlign w:val="center"/>
          </w:tcPr>
          <w:p>
            <w:pPr>
              <w:pStyle w:val="TableContents"/>
              <w:spacing w:before="0" w:after="0"/>
              <w:ind w:left="0" w:right="0" w:hanging="0"/>
              <w:jc w:val="left"/>
              <w:rPr/>
            </w:pPr>
            <w:r>
              <w:rPr/>
              <w:t> </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052" w:type="dxa"/>
            <w:gridSpan w:val="2"/>
            <w:tcBorders/>
            <w:shd w:fill="auto" w:val="clear"/>
            <w:vAlign w:val="center"/>
          </w:tcPr>
          <w:p>
            <w:pPr>
              <w:pStyle w:val="TableContents"/>
              <w:spacing w:before="0" w:after="0"/>
              <w:ind w:left="0" w:right="0" w:hanging="0"/>
              <w:jc w:val="left"/>
              <w:rPr/>
            </w:pPr>
            <w:r>
              <w:rPr/>
              <w:t> </w:t>
            </w:r>
          </w:p>
        </w:tc>
        <w:tc>
          <w:tcPr>
            <w:tcW w:w="411" w:type="dxa"/>
            <w:tcBorders/>
            <w:shd w:fill="auto" w:val="clear"/>
            <w:vAlign w:val="center"/>
          </w:tcPr>
          <w:p>
            <w:pPr>
              <w:pStyle w:val="TableContents"/>
              <w:spacing w:before="0" w:after="0"/>
              <w:ind w:left="0" w:right="0" w:hanging="0"/>
              <w:jc w:val="left"/>
              <w:rPr/>
            </w:pPr>
            <w:r>
              <w:rPr/>
              <w:t> </w:t>
            </w:r>
          </w:p>
        </w:tc>
      </w:tr>
      <w:tr>
        <w:trPr/>
        <w:tc>
          <w:tcPr>
            <w:tcW w:w="667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Balance, beginning of period</w:t>
            </w:r>
          </w:p>
        </w:tc>
        <w:tc>
          <w:tcPr>
            <w:tcW w:w="21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84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376,715</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21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84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409,979</w:t>
            </w:r>
          </w:p>
        </w:tc>
        <w:tc>
          <w:tcPr>
            <w:tcW w:w="411" w:type="dxa"/>
            <w:tcBorders/>
            <w:shd w:fill="auto" w:val="clear"/>
            <w:vAlign w:val="center"/>
          </w:tcPr>
          <w:p>
            <w:pPr>
              <w:pStyle w:val="TableContents"/>
              <w:spacing w:before="0" w:after="0"/>
              <w:ind w:left="0" w:right="0" w:firstLine="200"/>
              <w:jc w:val="left"/>
              <w:rPr/>
            </w:pPr>
            <w:r>
              <w:rPr/>
              <w:t> </w:t>
            </w:r>
          </w:p>
        </w:tc>
      </w:tr>
      <w:tr>
        <w:trPr/>
        <w:tc>
          <w:tcPr>
            <w:tcW w:w="6676" w:type="dxa"/>
            <w:tcBorders/>
            <w:shd w:fill="auto" w:val="clear"/>
            <w:vAlign w:val="center"/>
          </w:tcPr>
          <w:p>
            <w:pPr>
              <w:pStyle w:val="TableContents"/>
              <w:spacing w:before="0" w:after="0"/>
              <w:ind w:left="200" w:right="0" w:hanging="0"/>
              <w:jc w:val="left"/>
              <w:rPr>
                <w:rFonts w:ascii="Times New Roman;serif" w:hAnsi="Times New Roman;serif"/>
                <w:b w:val="false"/>
                <w:sz w:val="20"/>
              </w:rPr>
            </w:pPr>
            <w:r>
              <w:rPr>
                <w:rFonts w:ascii="Times New Roman;serif" w:hAnsi="Times New Roman;serif"/>
                <w:b w:val="false"/>
                <w:sz w:val="20"/>
              </w:rPr>
              <w:t>Average carrying value of repurchased and retired common shares</w:t>
            </w:r>
          </w:p>
        </w:tc>
        <w:tc>
          <w:tcPr>
            <w:tcW w:w="211" w:type="dxa"/>
            <w:tcBorders/>
            <w:shd w:fill="auto" w:val="clear"/>
            <w:vAlign w:val="center"/>
          </w:tcPr>
          <w:p>
            <w:pPr>
              <w:pStyle w:val="TableContents"/>
              <w:spacing w:before="0" w:after="0"/>
              <w:ind w:left="0" w:right="0" w:hanging="0"/>
              <w:jc w:val="left"/>
              <w:rPr/>
            </w:pPr>
            <w:r>
              <w:rPr/>
              <w:t> </w:t>
            </w:r>
          </w:p>
        </w:tc>
        <w:tc>
          <w:tcPr>
            <w:tcW w:w="84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109</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84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(3,662</w:t>
            </w:r>
          </w:p>
        </w:tc>
        <w:tc>
          <w:tcPr>
            <w:tcW w:w="411" w:type="dxa"/>
            <w:tcBorders/>
            <w:shd w:fill="auto" w:val="clear"/>
            <w:vAlign w:val="center"/>
          </w:tcPr>
          <w:p>
            <w:pPr>
              <w:pStyle w:val="TableContents"/>
              <w:spacing w:before="0" w:after="0"/>
              <w:ind w:left="0" w:right="0" w:firstLine="200"/>
              <w:jc w:val="left"/>
              <w:rPr>
                <w:rFonts w:ascii="Times New Roman;serif" w:hAnsi="Times New Roman;serif"/>
                <w:b w:val="false"/>
                <w:sz w:val="20"/>
              </w:rPr>
            </w:pPr>
            <w:r>
              <w:rPr>
                <w:rFonts w:ascii="Times New Roman;serif" w:hAnsi="Times New Roman;serif"/>
                <w:b w:val="false"/>
                <w:sz w:val="20"/>
              </w:rPr>
              <w:t>)</w:t>
            </w:r>
          </w:p>
        </w:tc>
      </w:tr>
      <w:tr>
        <w:trPr/>
        <w:tc>
          <w:tcPr>
            <w:tcW w:w="6676" w:type="dxa"/>
            <w:tcBorders/>
            <w:shd w:fill="auto" w:val="clear"/>
            <w:vAlign w:val="center"/>
          </w:tcPr>
          <w:p>
            <w:pPr>
              <w:pStyle w:val="TableContents"/>
              <w:spacing w:before="0" w:after="0"/>
              <w:ind w:left="200" w:right="0" w:hanging="0"/>
              <w:jc w:val="left"/>
              <w:rPr>
                <w:rFonts w:ascii="Times New Roman;serif" w:hAnsi="Times New Roman;serif"/>
                <w:b w:val="false"/>
                <w:sz w:val="20"/>
              </w:rPr>
            </w:pPr>
            <w:r>
              <w:rPr>
                <w:rFonts w:ascii="Times New Roman;serif" w:hAnsi="Times New Roman;serif"/>
                <w:b w:val="false"/>
                <w:sz w:val="20"/>
              </w:rPr>
              <w:t>Restricted share units vested, net of shares withheld for employee tax obligations</w:t>
            </w:r>
          </w:p>
        </w:tc>
        <w:tc>
          <w:tcPr>
            <w:tcW w:w="211" w:type="dxa"/>
            <w:tcBorders/>
            <w:shd w:fill="auto" w:val="clear"/>
            <w:vAlign w:val="center"/>
          </w:tcPr>
          <w:p>
            <w:pPr>
              <w:pStyle w:val="TableContents"/>
              <w:spacing w:before="0" w:after="0"/>
              <w:ind w:left="0" w:right="0" w:hanging="0"/>
              <w:jc w:val="left"/>
              <w:rPr/>
            </w:pPr>
            <w:r>
              <w:rPr/>
              <w:t> </w:t>
            </w:r>
          </w:p>
        </w:tc>
        <w:tc>
          <w:tcPr>
            <w:tcW w:w="84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12,676</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84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9,045</w:t>
            </w:r>
          </w:p>
        </w:tc>
        <w:tc>
          <w:tcPr>
            <w:tcW w:w="411" w:type="dxa"/>
            <w:tcBorders/>
            <w:shd w:fill="auto" w:val="clear"/>
            <w:vAlign w:val="center"/>
          </w:tcPr>
          <w:p>
            <w:pPr>
              <w:pStyle w:val="TableContents"/>
              <w:spacing w:before="0" w:after="0"/>
              <w:ind w:left="0" w:right="0" w:hanging="0"/>
              <w:jc w:val="left"/>
              <w:rPr/>
            </w:pPr>
            <w:r>
              <w:rPr/>
              <w:t> </w:t>
            </w:r>
          </w:p>
        </w:tc>
      </w:tr>
      <w:tr>
        <w:trPr/>
        <w:tc>
          <w:tcPr>
            <w:tcW w:w="667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Balance, end of period</w:t>
            </w:r>
          </w:p>
        </w:tc>
        <w:tc>
          <w:tcPr>
            <w:tcW w:w="211" w:type="dxa"/>
            <w:tcBorders>
              <w:top w:val="single" w:sz="4" w:space="0" w:color="000000"/>
              <w:bottom w:val="single" w:sz="4" w:space="0" w:color="000000"/>
            </w:tcBorders>
            <w:shd w:fill="auto" w:val="clear"/>
            <w:tcMar>
              <w:left w:w="0" w:type="dxa"/>
              <w:right w:w="0" w:type="dxa"/>
            </w:tcMar>
            <w:vAlign w:val="center"/>
          </w:tcPr>
          <w:p>
            <w:pPr>
              <w:pStyle w:val="TableContents"/>
              <w:spacing w:before="0" w:after="0"/>
              <w:ind w:left="0" w:right="0" w:hanging="0"/>
              <w:jc w:val="left"/>
              <w:rPr/>
            </w:pPr>
            <w:r>
              <w:rPr/>
              <w:t> </w:t>
            </w:r>
          </w:p>
        </w:tc>
        <w:tc>
          <w:tcPr>
            <w:tcW w:w="841" w:type="dxa"/>
            <w:tcBorders>
              <w:top w:val="single" w:sz="4" w:space="0" w:color="000000"/>
              <w:bottom w:val="single" w:sz="4" w:space="0" w:color="000000"/>
            </w:tcBorders>
            <w:shd w:fill="auto" w:val="clear"/>
            <w:tcMar>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389,500</w:t>
            </w:r>
          </w:p>
        </w:tc>
        <w:tc>
          <w:tcPr>
            <w:tcW w:w="166" w:type="dxa"/>
            <w:tcBorders>
              <w:top w:val="single" w:sz="4" w:space="0" w:color="000000"/>
              <w:bottom w:val="single" w:sz="4" w:space="0" w:color="000000"/>
            </w:tcBorders>
            <w:shd w:fill="auto" w:val="clear"/>
            <w:tcMar>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top w:val="single" w:sz="4" w:space="0" w:color="000000"/>
              <w:bottom w:val="single" w:sz="4" w:space="0" w:color="000000"/>
            </w:tcBorders>
            <w:shd w:fill="auto" w:val="clear"/>
            <w:tcMar>
              <w:left w:w="0" w:type="dxa"/>
              <w:right w:w="0" w:type="dxa"/>
            </w:tcMar>
            <w:vAlign w:val="center"/>
          </w:tcPr>
          <w:p>
            <w:pPr>
              <w:pStyle w:val="TableContents"/>
              <w:spacing w:before="0" w:after="0"/>
              <w:ind w:left="0" w:right="0" w:hanging="0"/>
              <w:jc w:val="left"/>
              <w:rPr/>
            </w:pPr>
            <w:r>
              <w:rPr/>
              <w:t> </w:t>
            </w:r>
          </w:p>
        </w:tc>
        <w:tc>
          <w:tcPr>
            <w:tcW w:w="841" w:type="dxa"/>
            <w:tcBorders>
              <w:top w:val="single" w:sz="4" w:space="0" w:color="000000"/>
              <w:bottom w:val="single" w:sz="4" w:space="0" w:color="000000"/>
            </w:tcBorders>
            <w:shd w:fill="auto" w:val="clear"/>
            <w:tcMar>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415,362</w:t>
            </w:r>
          </w:p>
        </w:tc>
        <w:tc>
          <w:tcPr>
            <w:tcW w:w="411" w:type="dxa"/>
            <w:tcBorders>
              <w:top w:val="single" w:sz="4" w:space="0" w:color="000000"/>
              <w:bottom w:val="single" w:sz="4" w:space="0" w:color="000000"/>
            </w:tcBorders>
            <w:shd w:fill="auto" w:val="clear"/>
            <w:tcMar>
              <w:left w:w="0" w:type="dxa"/>
              <w:right w:w="0" w:type="dxa"/>
            </w:tcMar>
            <w:vAlign w:val="center"/>
          </w:tcPr>
          <w:p>
            <w:pPr>
              <w:pStyle w:val="TableContents"/>
              <w:spacing w:before="0" w:after="0"/>
              <w:ind w:left="0" w:right="0" w:hanging="0"/>
              <w:jc w:val="left"/>
              <w:rPr/>
            </w:pPr>
            <w:r>
              <w:rPr/>
              <w:t> </w:t>
            </w:r>
          </w:p>
        </w:tc>
      </w:tr>
      <w:tr>
        <w:trPr/>
        <w:tc>
          <w:tcPr>
            <w:tcW w:w="6676" w:type="dxa"/>
            <w:tcBorders/>
            <w:shd w:fill="auto" w:val="clear"/>
            <w:vAlign w:val="center"/>
          </w:tcPr>
          <w:p>
            <w:pPr>
              <w:pStyle w:val="TableContents"/>
              <w:spacing w:before="0" w:after="0"/>
              <w:ind w:left="0" w:right="0" w:hanging="0"/>
              <w:jc w:val="left"/>
              <w:rPr>
                <w:rFonts w:ascii="Times New Roman;serif" w:hAnsi="Times New Roman;serif"/>
                <w:b/>
                <w:sz w:val="20"/>
              </w:rPr>
            </w:pPr>
            <w:r>
              <w:rPr>
                <w:rFonts w:ascii="Times New Roman;serif" w:hAnsi="Times New Roman;serif"/>
                <w:b/>
                <w:sz w:val="20"/>
              </w:rPr>
              <w:t>Adjustments to other equity:</w:t>
            </w:r>
          </w:p>
        </w:tc>
        <w:tc>
          <w:tcPr>
            <w:tcW w:w="1052" w:type="dxa"/>
            <w:gridSpan w:val="2"/>
            <w:tcBorders/>
            <w:shd w:fill="auto" w:val="clear"/>
            <w:vAlign w:val="center"/>
          </w:tcPr>
          <w:p>
            <w:pPr>
              <w:pStyle w:val="TableContents"/>
              <w:spacing w:before="0" w:after="0"/>
              <w:ind w:left="0" w:right="0" w:hanging="0"/>
              <w:jc w:val="left"/>
              <w:rPr/>
            </w:pPr>
            <w:r>
              <w:rPr/>
              <w:t> </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052" w:type="dxa"/>
            <w:gridSpan w:val="2"/>
            <w:tcBorders/>
            <w:shd w:fill="auto" w:val="clear"/>
            <w:vAlign w:val="center"/>
          </w:tcPr>
          <w:p>
            <w:pPr>
              <w:pStyle w:val="TableContents"/>
              <w:spacing w:before="0" w:after="0"/>
              <w:ind w:left="0" w:right="0" w:hanging="0"/>
              <w:jc w:val="left"/>
              <w:rPr/>
            </w:pPr>
            <w:r>
              <w:rPr/>
              <w:t> </w:t>
            </w:r>
          </w:p>
        </w:tc>
        <w:tc>
          <w:tcPr>
            <w:tcW w:w="411" w:type="dxa"/>
            <w:tcBorders/>
            <w:shd w:fill="auto" w:val="clear"/>
            <w:vAlign w:val="center"/>
          </w:tcPr>
          <w:p>
            <w:pPr>
              <w:pStyle w:val="TableContents"/>
              <w:spacing w:before="0" w:after="0"/>
              <w:ind w:left="0" w:right="0" w:hanging="0"/>
              <w:jc w:val="left"/>
              <w:rPr/>
            </w:pPr>
            <w:r>
              <w:rPr/>
              <w:t> </w:t>
            </w:r>
          </w:p>
        </w:tc>
      </w:tr>
      <w:tr>
        <w:trPr/>
        <w:tc>
          <w:tcPr>
            <w:tcW w:w="667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Balance, beginning of period</w:t>
            </w:r>
          </w:p>
        </w:tc>
        <w:tc>
          <w:tcPr>
            <w:tcW w:w="211" w:type="dxa"/>
            <w:tcBorders/>
            <w:shd w:fill="auto" w:val="clear"/>
            <w:vAlign w:val="center"/>
          </w:tcPr>
          <w:p>
            <w:pPr>
              <w:pStyle w:val="TableContents"/>
              <w:spacing w:before="0" w:after="0"/>
              <w:ind w:left="0" w:right="0" w:hanging="0"/>
              <w:jc w:val="left"/>
              <w:rPr/>
            </w:pPr>
            <w:r>
              <w:rPr/>
              <w:t> </w:t>
            </w:r>
          </w:p>
        </w:tc>
        <w:tc>
          <w:tcPr>
            <w:tcW w:w="84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185,678</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84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174,620</w:t>
            </w:r>
          </w:p>
        </w:tc>
        <w:tc>
          <w:tcPr>
            <w:tcW w:w="411" w:type="dxa"/>
            <w:tcBorders/>
            <w:shd w:fill="auto" w:val="clear"/>
            <w:vAlign w:val="center"/>
          </w:tcPr>
          <w:p>
            <w:pPr>
              <w:pStyle w:val="TableContents"/>
              <w:spacing w:before="0" w:after="0"/>
              <w:ind w:left="0" w:right="0" w:firstLine="200"/>
              <w:jc w:val="left"/>
              <w:rPr/>
            </w:pPr>
            <w:r>
              <w:rPr/>
              <w:t> </w:t>
            </w:r>
          </w:p>
        </w:tc>
      </w:tr>
      <w:tr>
        <w:trPr/>
        <w:tc>
          <w:tcPr>
            <w:tcW w:w="6676" w:type="dxa"/>
            <w:tcBorders/>
            <w:shd w:fill="auto" w:val="clear"/>
            <w:vAlign w:val="center"/>
          </w:tcPr>
          <w:p>
            <w:pPr>
              <w:pStyle w:val="TableContents"/>
              <w:spacing w:before="0" w:after="0"/>
              <w:ind w:left="200" w:right="0" w:hanging="0"/>
              <w:jc w:val="left"/>
              <w:rPr>
                <w:rFonts w:ascii="Times New Roman;serif" w:hAnsi="Times New Roman;serif"/>
                <w:b w:val="false"/>
                <w:sz w:val="20"/>
              </w:rPr>
            </w:pPr>
            <w:r>
              <w:rPr>
                <w:rFonts w:ascii="Times New Roman;serif" w:hAnsi="Times New Roman;serif"/>
                <w:b w:val="false"/>
                <w:sz w:val="20"/>
              </w:rPr>
              <w:t>Amortization of share-based payment expense - stock options</w:t>
            </w:r>
          </w:p>
        </w:tc>
        <w:tc>
          <w:tcPr>
            <w:tcW w:w="211" w:type="dxa"/>
            <w:tcBorders/>
            <w:shd w:fill="auto" w:val="clear"/>
            <w:vAlign w:val="center"/>
          </w:tcPr>
          <w:p>
            <w:pPr>
              <w:pStyle w:val="TableContents"/>
              <w:spacing w:before="0" w:after="0"/>
              <w:ind w:left="0" w:right="0" w:hanging="0"/>
              <w:jc w:val="left"/>
              <w:rPr/>
            </w:pPr>
            <w:r>
              <w:rPr/>
              <w:t> </w:t>
            </w:r>
          </w:p>
        </w:tc>
        <w:tc>
          <w:tcPr>
            <w:tcW w:w="84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91</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84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231</w:t>
            </w:r>
          </w:p>
        </w:tc>
        <w:tc>
          <w:tcPr>
            <w:tcW w:w="411" w:type="dxa"/>
            <w:tcBorders/>
            <w:shd w:fill="auto" w:val="clear"/>
            <w:vAlign w:val="center"/>
          </w:tcPr>
          <w:p>
            <w:pPr>
              <w:pStyle w:val="TableContents"/>
              <w:spacing w:before="0" w:after="0"/>
              <w:ind w:left="0" w:right="0" w:firstLine="200"/>
              <w:jc w:val="left"/>
              <w:rPr/>
            </w:pPr>
            <w:r>
              <w:rPr/>
              <w:t> </w:t>
            </w:r>
          </w:p>
        </w:tc>
      </w:tr>
      <w:tr>
        <w:trPr/>
        <w:tc>
          <w:tcPr>
            <w:tcW w:w="6676" w:type="dxa"/>
            <w:tcBorders/>
            <w:shd w:fill="auto" w:val="clear"/>
            <w:vAlign w:val="center"/>
          </w:tcPr>
          <w:p>
            <w:pPr>
              <w:pStyle w:val="TableContents"/>
              <w:spacing w:before="0" w:after="0"/>
              <w:ind w:left="200" w:right="0" w:hanging="0"/>
              <w:jc w:val="left"/>
              <w:rPr>
                <w:rFonts w:ascii="Times New Roman;serif" w:hAnsi="Times New Roman;serif"/>
                <w:b w:val="false"/>
                <w:sz w:val="20"/>
              </w:rPr>
            </w:pPr>
            <w:r>
              <w:rPr>
                <w:rFonts w:ascii="Times New Roman;serif" w:hAnsi="Times New Roman;serif"/>
                <w:b w:val="false"/>
                <w:sz w:val="20"/>
              </w:rPr>
              <w:t>Amortization of share-based payment expense - restricted share units</w:t>
            </w:r>
          </w:p>
        </w:tc>
        <w:tc>
          <w:tcPr>
            <w:tcW w:w="211" w:type="dxa"/>
            <w:tcBorders/>
            <w:shd w:fill="auto" w:val="clear"/>
            <w:vAlign w:val="center"/>
          </w:tcPr>
          <w:p>
            <w:pPr>
              <w:pStyle w:val="TableContents"/>
              <w:spacing w:before="0" w:after="0"/>
              <w:ind w:left="0" w:right="0" w:hanging="0"/>
              <w:jc w:val="left"/>
              <w:rPr/>
            </w:pPr>
            <w:r>
              <w:rPr/>
              <w:t> </w:t>
            </w:r>
          </w:p>
        </w:tc>
        <w:tc>
          <w:tcPr>
            <w:tcW w:w="84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3,314</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84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4,350</w:t>
            </w:r>
          </w:p>
        </w:tc>
        <w:tc>
          <w:tcPr>
            <w:tcW w:w="411" w:type="dxa"/>
            <w:tcBorders/>
            <w:shd w:fill="auto" w:val="clear"/>
            <w:vAlign w:val="center"/>
          </w:tcPr>
          <w:p>
            <w:pPr>
              <w:pStyle w:val="TableContents"/>
              <w:spacing w:before="0" w:after="0"/>
              <w:ind w:left="0" w:right="0" w:firstLine="200"/>
              <w:jc w:val="left"/>
              <w:rPr/>
            </w:pPr>
            <w:r>
              <w:rPr/>
              <w:t> </w:t>
            </w:r>
          </w:p>
        </w:tc>
      </w:tr>
      <w:tr>
        <w:trPr/>
        <w:tc>
          <w:tcPr>
            <w:tcW w:w="6676" w:type="dxa"/>
            <w:tcBorders/>
            <w:shd w:fill="auto" w:val="clear"/>
            <w:vAlign w:val="center"/>
          </w:tcPr>
          <w:p>
            <w:pPr>
              <w:pStyle w:val="TableContents"/>
              <w:spacing w:before="0" w:after="0"/>
              <w:ind w:left="200" w:right="0" w:hanging="0"/>
              <w:jc w:val="left"/>
              <w:rPr>
                <w:rFonts w:ascii="Times New Roman;serif" w:hAnsi="Times New Roman;serif"/>
                <w:b w:val="false"/>
                <w:sz w:val="20"/>
              </w:rPr>
            </w:pPr>
            <w:r>
              <w:rPr>
                <w:rFonts w:ascii="Times New Roman;serif" w:hAnsi="Times New Roman;serif"/>
                <w:b w:val="false"/>
                <w:sz w:val="20"/>
              </w:rPr>
              <w:t>Amortization of share-based payment expense - performance stock units</w:t>
            </w:r>
          </w:p>
        </w:tc>
        <w:tc>
          <w:tcPr>
            <w:tcW w:w="211" w:type="dxa"/>
            <w:tcBorders/>
            <w:shd w:fill="auto" w:val="clear"/>
            <w:vAlign w:val="center"/>
          </w:tcPr>
          <w:p>
            <w:pPr>
              <w:pStyle w:val="TableContents"/>
              <w:spacing w:before="0" w:after="0"/>
              <w:ind w:left="0" w:right="0" w:hanging="0"/>
              <w:jc w:val="left"/>
              <w:rPr/>
            </w:pPr>
            <w:r>
              <w:rPr/>
              <w:t> </w:t>
            </w:r>
          </w:p>
        </w:tc>
        <w:tc>
          <w:tcPr>
            <w:tcW w:w="84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1,021</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84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1,854</w:t>
            </w:r>
          </w:p>
        </w:tc>
        <w:tc>
          <w:tcPr>
            <w:tcW w:w="411" w:type="dxa"/>
            <w:tcBorders/>
            <w:shd w:fill="auto" w:val="clear"/>
            <w:vAlign w:val="center"/>
          </w:tcPr>
          <w:p>
            <w:pPr>
              <w:pStyle w:val="TableContents"/>
              <w:spacing w:before="0" w:after="0"/>
              <w:ind w:left="0" w:right="0" w:firstLine="200"/>
              <w:jc w:val="left"/>
              <w:rPr/>
            </w:pPr>
            <w:r>
              <w:rPr/>
              <w:t> </w:t>
            </w:r>
          </w:p>
        </w:tc>
      </w:tr>
      <w:tr>
        <w:trPr/>
        <w:tc>
          <w:tcPr>
            <w:tcW w:w="6676" w:type="dxa"/>
            <w:tcBorders/>
            <w:shd w:fill="auto" w:val="clear"/>
            <w:vAlign w:val="center"/>
          </w:tcPr>
          <w:p>
            <w:pPr>
              <w:pStyle w:val="TableContents"/>
              <w:spacing w:before="0" w:after="0"/>
              <w:ind w:left="200" w:right="0" w:hanging="0"/>
              <w:jc w:val="left"/>
              <w:rPr>
                <w:rFonts w:ascii="Times New Roman;serif" w:hAnsi="Times New Roman;serif"/>
                <w:b w:val="false"/>
                <w:sz w:val="20"/>
              </w:rPr>
            </w:pPr>
            <w:r>
              <w:rPr>
                <w:rFonts w:ascii="Times New Roman;serif" w:hAnsi="Times New Roman;serif"/>
                <w:b w:val="false"/>
                <w:sz w:val="20"/>
              </w:rPr>
              <w:t>Restricted share units vested</w:t>
            </w:r>
          </w:p>
        </w:tc>
        <w:tc>
          <w:tcPr>
            <w:tcW w:w="211" w:type="dxa"/>
            <w:tcBorders/>
            <w:shd w:fill="auto" w:val="clear"/>
            <w:vAlign w:val="center"/>
          </w:tcPr>
          <w:p>
            <w:pPr>
              <w:pStyle w:val="TableContents"/>
              <w:spacing w:before="0" w:after="0"/>
              <w:ind w:left="0" w:right="0" w:hanging="0"/>
              <w:jc w:val="left"/>
              <w:rPr/>
            </w:pPr>
            <w:r>
              <w:rPr/>
              <w:t> </w:t>
            </w:r>
          </w:p>
        </w:tc>
        <w:tc>
          <w:tcPr>
            <w:tcW w:w="84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(19,233</w:t>
            </w:r>
          </w:p>
        </w:tc>
        <w:tc>
          <w:tcPr>
            <w:tcW w:w="16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84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(12,600</w:t>
            </w:r>
          </w:p>
        </w:tc>
        <w:tc>
          <w:tcPr>
            <w:tcW w:w="411" w:type="dxa"/>
            <w:tcBorders/>
            <w:shd w:fill="auto" w:val="clear"/>
            <w:vAlign w:val="center"/>
          </w:tcPr>
          <w:p>
            <w:pPr>
              <w:pStyle w:val="TableContents"/>
              <w:spacing w:before="0" w:after="0"/>
              <w:ind w:left="0" w:right="0" w:firstLine="200"/>
              <w:jc w:val="left"/>
              <w:rPr>
                <w:rFonts w:ascii="Times New Roman;serif" w:hAnsi="Times New Roman;serif"/>
                <w:b w:val="false"/>
                <w:sz w:val="20"/>
              </w:rPr>
            </w:pPr>
            <w:r>
              <w:rPr>
                <w:rFonts w:ascii="Times New Roman;serif" w:hAnsi="Times New Roman;serif"/>
                <w:b w:val="false"/>
                <w:sz w:val="20"/>
              </w:rPr>
              <w:t>)</w:t>
            </w:r>
          </w:p>
        </w:tc>
      </w:tr>
      <w:tr>
        <w:trPr/>
        <w:tc>
          <w:tcPr>
            <w:tcW w:w="6676" w:type="dxa"/>
            <w:tcBorders/>
            <w:shd w:fill="auto" w:val="clear"/>
            <w:vAlign w:val="center"/>
          </w:tcPr>
          <w:p>
            <w:pPr>
              <w:pStyle w:val="TableContents"/>
              <w:spacing w:before="0" w:after="0"/>
              <w:ind w:left="200" w:right="0" w:hanging="0"/>
              <w:jc w:val="left"/>
              <w:rPr>
                <w:rFonts w:ascii="Times New Roman;serif" w:hAnsi="Times New Roman;serif"/>
                <w:b w:val="false"/>
                <w:sz w:val="20"/>
              </w:rPr>
            </w:pPr>
            <w:r>
              <w:rPr>
                <w:rFonts w:ascii="Times New Roman;serif" w:hAnsi="Times New Roman;serif"/>
                <w:b w:val="false"/>
                <w:sz w:val="20"/>
              </w:rPr>
              <w:t>Change in ownership interest related to IMAX China common share repurchases</w:t>
            </w:r>
          </w:p>
        </w:tc>
        <w:tc>
          <w:tcPr>
            <w:tcW w:w="211" w:type="dxa"/>
            <w:tcBorders/>
            <w:shd w:fill="auto" w:val="clear"/>
            <w:vAlign w:val="center"/>
          </w:tcPr>
          <w:p>
            <w:pPr>
              <w:pStyle w:val="TableContents"/>
              <w:spacing w:before="0" w:after="0"/>
              <w:ind w:left="0" w:right="0" w:hanging="0"/>
              <w:jc w:val="left"/>
              <w:rPr/>
            </w:pPr>
            <w:r>
              <w:rPr/>
              <w:t> </w:t>
            </w:r>
          </w:p>
        </w:tc>
        <w:tc>
          <w:tcPr>
            <w:tcW w:w="841" w:type="dxa"/>
            <w:tcBorders/>
            <w:shd w:fill="auto" w:val="clear"/>
            <w:vAlign w:val="center"/>
          </w:tcPr>
          <w:p>
            <w:pPr>
              <w:pStyle w:val="TableContents"/>
              <w:spacing w:before="0" w:after="0"/>
              <w:ind w:left="0" w:right="0" w:hanging="0"/>
              <w:jc w:val="right"/>
              <w:rPr/>
            </w:pPr>
            <w:r>
              <w:rPr/>
              <w:t>—</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84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(543</w:t>
            </w:r>
          </w:p>
        </w:tc>
        <w:tc>
          <w:tcPr>
            <w:tcW w:w="41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667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Balance, end of period</w:t>
            </w:r>
          </w:p>
        </w:tc>
        <w:tc>
          <w:tcPr>
            <w:tcW w:w="211" w:type="dxa"/>
            <w:tcBorders>
              <w:top w:val="single" w:sz="4" w:space="0" w:color="000000"/>
              <w:bottom w:val="single" w:sz="4" w:space="0" w:color="000000"/>
            </w:tcBorders>
            <w:shd w:fill="auto" w:val="clear"/>
            <w:tcMar>
              <w:left w:w="0" w:type="dxa"/>
              <w:right w:w="0" w:type="dxa"/>
            </w:tcMar>
            <w:vAlign w:val="center"/>
          </w:tcPr>
          <w:p>
            <w:pPr>
              <w:pStyle w:val="TableContents"/>
              <w:spacing w:before="0" w:after="0"/>
              <w:ind w:left="0" w:right="0" w:hanging="0"/>
              <w:jc w:val="left"/>
              <w:rPr/>
            </w:pPr>
            <w:r>
              <w:rPr/>
              <w:t> </w:t>
            </w:r>
          </w:p>
        </w:tc>
        <w:tc>
          <w:tcPr>
            <w:tcW w:w="841" w:type="dxa"/>
            <w:tcBorders>
              <w:top w:val="single" w:sz="4" w:space="0" w:color="000000"/>
              <w:bottom w:val="single" w:sz="4" w:space="0" w:color="000000"/>
            </w:tcBorders>
            <w:shd w:fill="auto" w:val="clear"/>
            <w:tcMar>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170,871</w:t>
            </w:r>
          </w:p>
        </w:tc>
        <w:tc>
          <w:tcPr>
            <w:tcW w:w="166" w:type="dxa"/>
            <w:tcBorders>
              <w:top w:val="single" w:sz="4" w:space="0" w:color="000000"/>
              <w:bottom w:val="single" w:sz="4" w:space="0" w:color="000000"/>
            </w:tcBorders>
            <w:shd w:fill="auto" w:val="clear"/>
            <w:tcMar>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top w:val="single" w:sz="4" w:space="0" w:color="000000"/>
              <w:bottom w:val="single" w:sz="4" w:space="0" w:color="000000"/>
            </w:tcBorders>
            <w:shd w:fill="auto" w:val="clear"/>
            <w:tcMar>
              <w:left w:w="0" w:type="dxa"/>
              <w:right w:w="0" w:type="dxa"/>
            </w:tcMar>
            <w:vAlign w:val="center"/>
          </w:tcPr>
          <w:p>
            <w:pPr>
              <w:pStyle w:val="TableContents"/>
              <w:spacing w:before="0" w:after="0"/>
              <w:ind w:left="0" w:right="0" w:hanging="0"/>
              <w:jc w:val="left"/>
              <w:rPr/>
            </w:pPr>
            <w:r>
              <w:rPr/>
              <w:t> </w:t>
            </w:r>
          </w:p>
        </w:tc>
        <w:tc>
          <w:tcPr>
            <w:tcW w:w="841" w:type="dxa"/>
            <w:tcBorders>
              <w:top w:val="single" w:sz="4" w:space="0" w:color="000000"/>
              <w:bottom w:val="single" w:sz="4" w:space="0" w:color="000000"/>
            </w:tcBorders>
            <w:shd w:fill="auto" w:val="clear"/>
            <w:tcMar>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167,912</w:t>
            </w:r>
          </w:p>
        </w:tc>
        <w:tc>
          <w:tcPr>
            <w:tcW w:w="411" w:type="dxa"/>
            <w:tcBorders>
              <w:top w:val="single" w:sz="4" w:space="0" w:color="000000"/>
              <w:bottom w:val="single" w:sz="4" w:space="0" w:color="000000"/>
            </w:tcBorders>
            <w:shd w:fill="auto" w:val="clear"/>
            <w:tcMar>
              <w:left w:w="0" w:type="dxa"/>
              <w:right w:w="0" w:type="dxa"/>
            </w:tcMar>
            <w:vAlign w:val="center"/>
          </w:tcPr>
          <w:p>
            <w:pPr>
              <w:pStyle w:val="TableContents"/>
              <w:spacing w:before="0" w:after="0"/>
              <w:ind w:left="0" w:right="0" w:hanging="0"/>
              <w:jc w:val="left"/>
              <w:rPr/>
            </w:pPr>
            <w:r>
              <w:rPr/>
              <w:t> </w:t>
            </w:r>
          </w:p>
        </w:tc>
      </w:tr>
      <w:tr>
        <w:trPr/>
        <w:tc>
          <w:tcPr>
            <w:tcW w:w="6676" w:type="dxa"/>
            <w:tcBorders/>
            <w:shd w:fill="auto" w:val="clear"/>
            <w:vAlign w:val="center"/>
          </w:tcPr>
          <w:p>
            <w:pPr>
              <w:pStyle w:val="TableContents"/>
              <w:spacing w:before="0" w:after="0"/>
              <w:ind w:left="0" w:right="0" w:hanging="0"/>
              <w:jc w:val="left"/>
              <w:rPr>
                <w:rFonts w:ascii="Times New Roman;serif" w:hAnsi="Times New Roman;serif"/>
                <w:b/>
                <w:sz w:val="20"/>
              </w:rPr>
            </w:pPr>
            <w:r>
              <w:rPr>
                <w:rFonts w:ascii="Times New Roman;serif" w:hAnsi="Times New Roman;serif"/>
                <w:b/>
                <w:sz w:val="20"/>
              </w:rPr>
              <w:t>Adjustments to statutory surplus reserve:</w:t>
            </w:r>
          </w:p>
        </w:tc>
        <w:tc>
          <w:tcPr>
            <w:tcW w:w="1052" w:type="dxa"/>
            <w:gridSpan w:val="2"/>
            <w:tcBorders/>
            <w:shd w:fill="auto" w:val="clear"/>
            <w:vAlign w:val="center"/>
          </w:tcPr>
          <w:p>
            <w:pPr>
              <w:pStyle w:val="TableContents"/>
              <w:spacing w:before="0" w:after="0"/>
              <w:ind w:left="0" w:right="0" w:hanging="0"/>
              <w:jc w:val="left"/>
              <w:rPr/>
            </w:pPr>
            <w:r>
              <w:rPr/>
              <w:t> </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052" w:type="dxa"/>
            <w:gridSpan w:val="2"/>
            <w:tcBorders/>
            <w:shd w:fill="auto" w:val="clear"/>
            <w:vAlign w:val="center"/>
          </w:tcPr>
          <w:p>
            <w:pPr>
              <w:pStyle w:val="TableContents"/>
              <w:spacing w:before="0" w:after="0"/>
              <w:ind w:left="0" w:right="0" w:hanging="0"/>
              <w:jc w:val="center"/>
              <w:rPr/>
            </w:pPr>
            <w:r>
              <w:rPr/>
              <w:t> </w:t>
            </w:r>
          </w:p>
        </w:tc>
        <w:tc>
          <w:tcPr>
            <w:tcW w:w="411" w:type="dxa"/>
            <w:tcBorders/>
            <w:shd w:fill="auto" w:val="clear"/>
            <w:vAlign w:val="center"/>
          </w:tcPr>
          <w:p>
            <w:pPr>
              <w:pStyle w:val="TableContents"/>
              <w:spacing w:before="0" w:after="0"/>
              <w:ind w:left="0" w:right="0" w:hanging="0"/>
              <w:jc w:val="center"/>
              <w:rPr/>
            </w:pPr>
            <w:r>
              <w:rPr/>
              <w:t> </w:t>
            </w:r>
          </w:p>
        </w:tc>
      </w:tr>
      <w:tr>
        <w:trPr/>
        <w:tc>
          <w:tcPr>
            <w:tcW w:w="667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Balance, beginning of period</w:t>
            </w:r>
          </w:p>
        </w:tc>
        <w:tc>
          <w:tcPr>
            <w:tcW w:w="211" w:type="dxa"/>
            <w:tcBorders/>
            <w:shd w:fill="auto" w:val="clear"/>
            <w:vAlign w:val="center"/>
          </w:tcPr>
          <w:p>
            <w:pPr>
              <w:pStyle w:val="TableContents"/>
              <w:spacing w:before="0" w:after="0"/>
              <w:ind w:left="0" w:right="0" w:hanging="0"/>
              <w:jc w:val="left"/>
              <w:rPr/>
            </w:pPr>
            <w:r>
              <w:rPr/>
              <w:t> </w:t>
            </w:r>
          </w:p>
        </w:tc>
        <w:tc>
          <w:tcPr>
            <w:tcW w:w="84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3,932</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84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3,932</w:t>
            </w:r>
          </w:p>
        </w:tc>
        <w:tc>
          <w:tcPr>
            <w:tcW w:w="411" w:type="dxa"/>
            <w:tcBorders/>
            <w:shd w:fill="auto" w:val="clear"/>
            <w:vAlign w:val="center"/>
          </w:tcPr>
          <w:p>
            <w:pPr>
              <w:pStyle w:val="TableContents"/>
              <w:spacing w:before="0" w:after="0"/>
              <w:ind w:left="0" w:right="0" w:hanging="0"/>
              <w:jc w:val="left"/>
              <w:rPr/>
            </w:pPr>
            <w:r>
              <w:rPr/>
              <w:t> </w:t>
            </w:r>
          </w:p>
        </w:tc>
      </w:tr>
      <w:tr>
        <w:trPr/>
        <w:tc>
          <w:tcPr>
            <w:tcW w:w="667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Balance, end of period</w:t>
            </w:r>
          </w:p>
        </w:tc>
        <w:tc>
          <w:tcPr>
            <w:tcW w:w="211" w:type="dxa"/>
            <w:tcBorders>
              <w:top w:val="single" w:sz="4" w:space="0" w:color="000000"/>
              <w:bottom w:val="single" w:sz="4" w:space="0" w:color="000000"/>
            </w:tcBorders>
            <w:shd w:fill="auto" w:val="clear"/>
            <w:tcMar>
              <w:left w:w="0" w:type="dxa"/>
              <w:right w:w="0" w:type="dxa"/>
            </w:tcMar>
            <w:vAlign w:val="center"/>
          </w:tcPr>
          <w:p>
            <w:pPr>
              <w:pStyle w:val="TableContents"/>
              <w:spacing w:before="0" w:after="0"/>
              <w:ind w:left="0" w:right="0" w:hanging="0"/>
              <w:jc w:val="left"/>
              <w:rPr/>
            </w:pPr>
            <w:r>
              <w:rPr/>
              <w:t> </w:t>
            </w:r>
          </w:p>
        </w:tc>
        <w:tc>
          <w:tcPr>
            <w:tcW w:w="841" w:type="dxa"/>
            <w:tcBorders>
              <w:top w:val="single" w:sz="4" w:space="0" w:color="000000"/>
              <w:bottom w:val="single" w:sz="4" w:space="0" w:color="000000"/>
            </w:tcBorders>
            <w:shd w:fill="auto" w:val="clear"/>
            <w:tcMar>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3,932</w:t>
            </w:r>
          </w:p>
        </w:tc>
        <w:tc>
          <w:tcPr>
            <w:tcW w:w="166" w:type="dxa"/>
            <w:tcBorders>
              <w:top w:val="single" w:sz="4" w:space="0" w:color="000000"/>
              <w:bottom w:val="single" w:sz="4" w:space="0" w:color="000000"/>
            </w:tcBorders>
            <w:shd w:fill="auto" w:val="clear"/>
            <w:tcMar>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top w:val="single" w:sz="4" w:space="0" w:color="000000"/>
              <w:bottom w:val="single" w:sz="4" w:space="0" w:color="000000"/>
            </w:tcBorders>
            <w:shd w:fill="auto" w:val="clear"/>
            <w:tcMar>
              <w:left w:w="0" w:type="dxa"/>
              <w:right w:w="0" w:type="dxa"/>
            </w:tcMar>
            <w:vAlign w:val="center"/>
          </w:tcPr>
          <w:p>
            <w:pPr>
              <w:pStyle w:val="TableContents"/>
              <w:spacing w:before="0" w:after="0"/>
              <w:ind w:left="0" w:right="0" w:hanging="0"/>
              <w:jc w:val="left"/>
              <w:rPr/>
            </w:pPr>
            <w:r>
              <w:rPr/>
              <w:t> </w:t>
            </w:r>
          </w:p>
        </w:tc>
        <w:tc>
          <w:tcPr>
            <w:tcW w:w="841" w:type="dxa"/>
            <w:tcBorders>
              <w:top w:val="single" w:sz="4" w:space="0" w:color="000000"/>
              <w:bottom w:val="single" w:sz="4" w:space="0" w:color="000000"/>
            </w:tcBorders>
            <w:shd w:fill="auto" w:val="clear"/>
            <w:tcMar>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3,932</w:t>
            </w:r>
          </w:p>
        </w:tc>
        <w:tc>
          <w:tcPr>
            <w:tcW w:w="411" w:type="dxa"/>
            <w:tcBorders>
              <w:top w:val="single" w:sz="4" w:space="0" w:color="000000"/>
              <w:bottom w:val="single" w:sz="4" w:space="0" w:color="000000"/>
            </w:tcBorders>
            <w:shd w:fill="auto" w:val="clear"/>
            <w:tcMar>
              <w:left w:w="0" w:type="dxa"/>
              <w:right w:w="0" w:type="dxa"/>
            </w:tcMar>
            <w:vAlign w:val="center"/>
          </w:tcPr>
          <w:p>
            <w:pPr>
              <w:pStyle w:val="TableContents"/>
              <w:spacing w:before="0" w:after="0"/>
              <w:ind w:left="0" w:right="0" w:hanging="0"/>
              <w:jc w:val="left"/>
              <w:rPr/>
            </w:pPr>
            <w:r>
              <w:rPr/>
              <w:t> </w:t>
            </w:r>
          </w:p>
        </w:tc>
      </w:tr>
      <w:tr>
        <w:trPr/>
        <w:tc>
          <w:tcPr>
            <w:tcW w:w="6676" w:type="dxa"/>
            <w:tcBorders/>
            <w:shd w:fill="auto" w:val="clear"/>
            <w:vAlign w:val="center"/>
          </w:tcPr>
          <w:p>
            <w:pPr>
              <w:pStyle w:val="TableContents"/>
              <w:spacing w:before="0" w:after="0"/>
              <w:ind w:left="0" w:right="0" w:hanging="0"/>
              <w:jc w:val="left"/>
              <w:rPr>
                <w:rFonts w:ascii="Times New Roman;serif" w:hAnsi="Times New Roman;serif"/>
                <w:b/>
                <w:sz w:val="20"/>
              </w:rPr>
            </w:pPr>
            <w:r>
              <w:rPr>
                <w:rFonts w:ascii="Times New Roman;serif" w:hAnsi="Times New Roman;serif"/>
                <w:b/>
                <w:sz w:val="20"/>
              </w:rPr>
              <w:t>Adjustments to accumulated deficit:</w:t>
            </w:r>
          </w:p>
        </w:tc>
        <w:tc>
          <w:tcPr>
            <w:tcW w:w="1052" w:type="dxa"/>
            <w:gridSpan w:val="2"/>
            <w:tcBorders/>
            <w:shd w:fill="auto" w:val="clear"/>
            <w:vAlign w:val="center"/>
          </w:tcPr>
          <w:p>
            <w:pPr>
              <w:pStyle w:val="TableContents"/>
              <w:spacing w:before="0" w:after="0"/>
              <w:ind w:left="0" w:right="0" w:hanging="0"/>
              <w:jc w:val="left"/>
              <w:rPr/>
            </w:pPr>
            <w:r>
              <w:rPr/>
              <w:t> </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052" w:type="dxa"/>
            <w:gridSpan w:val="2"/>
            <w:tcBorders/>
            <w:shd w:fill="auto" w:val="clear"/>
            <w:vAlign w:val="center"/>
          </w:tcPr>
          <w:p>
            <w:pPr>
              <w:pStyle w:val="TableContents"/>
              <w:spacing w:before="0" w:after="0"/>
              <w:ind w:left="0" w:right="0" w:hanging="0"/>
              <w:jc w:val="center"/>
              <w:rPr/>
            </w:pPr>
            <w:r>
              <w:rPr/>
              <w:t> </w:t>
            </w:r>
          </w:p>
        </w:tc>
        <w:tc>
          <w:tcPr>
            <w:tcW w:w="411" w:type="dxa"/>
            <w:tcBorders/>
            <w:shd w:fill="auto" w:val="clear"/>
            <w:vAlign w:val="center"/>
          </w:tcPr>
          <w:p>
            <w:pPr>
              <w:pStyle w:val="TableContents"/>
              <w:spacing w:before="0" w:after="0"/>
              <w:ind w:left="0" w:right="0" w:hanging="0"/>
              <w:jc w:val="center"/>
              <w:rPr/>
            </w:pPr>
            <w:r>
              <w:rPr/>
              <w:t> </w:t>
            </w:r>
          </w:p>
        </w:tc>
      </w:tr>
      <w:tr>
        <w:trPr/>
        <w:tc>
          <w:tcPr>
            <w:tcW w:w="667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Balance, beginning of period</w:t>
            </w:r>
          </w:p>
        </w:tc>
        <w:tc>
          <w:tcPr>
            <w:tcW w:w="211" w:type="dxa"/>
            <w:tcBorders/>
            <w:shd w:fill="auto" w:val="clear"/>
            <w:vAlign w:val="center"/>
          </w:tcPr>
          <w:p>
            <w:pPr>
              <w:pStyle w:val="TableContents"/>
              <w:spacing w:before="0" w:after="0"/>
              <w:ind w:left="0" w:right="0" w:hanging="0"/>
              <w:jc w:val="left"/>
              <w:rPr/>
            </w:pPr>
            <w:r>
              <w:rPr/>
              <w:t> </w:t>
            </w:r>
          </w:p>
        </w:tc>
        <w:tc>
          <w:tcPr>
            <w:tcW w:w="84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(293,124</w:t>
            </w:r>
          </w:p>
        </w:tc>
        <w:tc>
          <w:tcPr>
            <w:tcW w:w="16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shd w:fill="auto" w:val="clear"/>
            <w:vAlign w:val="center"/>
          </w:tcPr>
          <w:p>
            <w:pPr>
              <w:pStyle w:val="TableContents"/>
              <w:spacing w:before="0" w:after="0"/>
              <w:ind w:left="0" w:right="0" w:hanging="0"/>
              <w:jc w:val="center"/>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84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(234,975</w:t>
            </w:r>
          </w:p>
        </w:tc>
        <w:tc>
          <w:tcPr>
            <w:tcW w:w="411" w:type="dxa"/>
            <w:tcBorders/>
            <w:shd w:fill="auto" w:val="clear"/>
            <w:vAlign w:val="center"/>
          </w:tcPr>
          <w:p>
            <w:pPr>
              <w:pStyle w:val="TableContents"/>
              <w:spacing w:before="0" w:after="0"/>
              <w:ind w:left="0" w:right="0" w:firstLine="200"/>
              <w:jc w:val="left"/>
              <w:rPr>
                <w:rFonts w:ascii="Times New Roman;serif" w:hAnsi="Times New Roman;serif"/>
                <w:b w:val="false"/>
                <w:sz w:val="20"/>
              </w:rPr>
            </w:pPr>
            <w:r>
              <w:rPr>
                <w:rFonts w:ascii="Times New Roman;serif" w:hAnsi="Times New Roman;serif"/>
                <w:b w:val="false"/>
                <w:sz w:val="20"/>
              </w:rPr>
              <w:t>)</w:t>
            </w:r>
          </w:p>
        </w:tc>
      </w:tr>
      <w:tr>
        <w:trPr/>
        <w:tc>
          <w:tcPr>
            <w:tcW w:w="6676" w:type="dxa"/>
            <w:tcBorders/>
            <w:shd w:fill="auto" w:val="clear"/>
            <w:vAlign w:val="center"/>
          </w:tcPr>
          <w:p>
            <w:pPr>
              <w:pStyle w:val="TableContents"/>
              <w:spacing w:before="0" w:after="0"/>
              <w:ind w:left="200" w:right="0" w:hanging="0"/>
              <w:jc w:val="left"/>
              <w:rPr>
                <w:rFonts w:ascii="Times New Roman;serif" w:hAnsi="Times New Roman;serif"/>
                <w:b w:val="false"/>
                <w:sz w:val="20"/>
              </w:rPr>
            </w:pPr>
            <w:r>
              <w:rPr>
                <w:rFonts w:ascii="Times New Roman;serif" w:hAnsi="Times New Roman;serif"/>
                <w:b w:val="false"/>
                <w:sz w:val="20"/>
              </w:rPr>
              <w:t>Net income (loss) attributable to common shareholders</w:t>
            </w:r>
          </w:p>
        </w:tc>
        <w:tc>
          <w:tcPr>
            <w:tcW w:w="211" w:type="dxa"/>
            <w:tcBorders/>
            <w:shd w:fill="auto" w:val="clear"/>
            <w:vAlign w:val="center"/>
          </w:tcPr>
          <w:p>
            <w:pPr>
              <w:pStyle w:val="TableContents"/>
              <w:spacing w:before="0" w:after="0"/>
              <w:ind w:left="0" w:right="0" w:hanging="0"/>
              <w:jc w:val="left"/>
              <w:rPr/>
            </w:pPr>
            <w:r>
              <w:rPr/>
              <w:t> </w:t>
            </w:r>
          </w:p>
        </w:tc>
        <w:tc>
          <w:tcPr>
            <w:tcW w:w="84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2,454</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84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(13,609</w:t>
            </w:r>
          </w:p>
        </w:tc>
        <w:tc>
          <w:tcPr>
            <w:tcW w:w="411" w:type="dxa"/>
            <w:tcBorders/>
            <w:shd w:fill="auto" w:val="clear"/>
            <w:vAlign w:val="center"/>
          </w:tcPr>
          <w:p>
            <w:pPr>
              <w:pStyle w:val="TableContents"/>
              <w:spacing w:before="0" w:after="0"/>
              <w:ind w:left="0" w:right="0" w:firstLine="200"/>
              <w:jc w:val="left"/>
              <w:rPr>
                <w:rFonts w:ascii="Times New Roman;serif" w:hAnsi="Times New Roman;serif"/>
                <w:b w:val="false"/>
                <w:sz w:val="20"/>
              </w:rPr>
            </w:pPr>
            <w:r>
              <w:rPr>
                <w:rFonts w:ascii="Times New Roman;serif" w:hAnsi="Times New Roman;serif"/>
                <w:b w:val="false"/>
                <w:sz w:val="20"/>
              </w:rPr>
              <w:t>)</w:t>
            </w:r>
          </w:p>
        </w:tc>
      </w:tr>
      <w:tr>
        <w:trPr/>
        <w:tc>
          <w:tcPr>
            <w:tcW w:w="6676" w:type="dxa"/>
            <w:tcBorders/>
            <w:shd w:fill="auto" w:val="clear"/>
            <w:vAlign w:val="center"/>
          </w:tcPr>
          <w:p>
            <w:pPr>
              <w:pStyle w:val="TableContents"/>
              <w:spacing w:before="0" w:after="0"/>
              <w:ind w:left="200" w:right="0" w:hanging="0"/>
              <w:jc w:val="left"/>
              <w:rPr>
                <w:rFonts w:ascii="Times New Roman;serif" w:hAnsi="Times New Roman;serif"/>
                <w:b w:val="false"/>
                <w:sz w:val="20"/>
              </w:rPr>
            </w:pPr>
            <w:r>
              <w:rPr>
                <w:rFonts w:ascii="Times New Roman;serif" w:hAnsi="Times New Roman;serif"/>
                <w:b w:val="false"/>
                <w:sz w:val="20"/>
              </w:rPr>
              <w:t>Common shares repurchased and retired</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84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(1,739</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84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(2,610</w:t>
            </w:r>
          </w:p>
        </w:tc>
        <w:tc>
          <w:tcPr>
            <w:tcW w:w="4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667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Balance, end of period</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84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(292,409</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84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(251,194</w:t>
            </w:r>
          </w:p>
        </w:tc>
        <w:tc>
          <w:tcPr>
            <w:tcW w:w="4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6676" w:type="dxa"/>
            <w:tcBorders/>
            <w:shd w:fill="auto" w:val="clear"/>
            <w:vAlign w:val="center"/>
          </w:tcPr>
          <w:p>
            <w:pPr>
              <w:pStyle w:val="TableContents"/>
              <w:spacing w:before="0" w:after="0"/>
              <w:ind w:left="0" w:right="0" w:hanging="0"/>
              <w:jc w:val="left"/>
              <w:rPr>
                <w:rFonts w:ascii="Times New Roman;serif" w:hAnsi="Times New Roman;serif"/>
                <w:b/>
                <w:sz w:val="20"/>
              </w:rPr>
            </w:pPr>
            <w:r>
              <w:rPr>
                <w:rFonts w:ascii="Times New Roman;serif" w:hAnsi="Times New Roman;serif"/>
                <w:b/>
                <w:sz w:val="20"/>
              </w:rPr>
              <w:t>Adjustments to accumulated other comprehensive (loss) income:</w:t>
            </w:r>
          </w:p>
        </w:tc>
        <w:tc>
          <w:tcPr>
            <w:tcW w:w="1052" w:type="dxa"/>
            <w:gridSpan w:val="2"/>
            <w:tcBorders/>
            <w:shd w:fill="auto" w:val="clear"/>
            <w:vAlign w:val="center"/>
          </w:tcPr>
          <w:p>
            <w:pPr>
              <w:pStyle w:val="TableContents"/>
              <w:spacing w:before="0" w:after="0"/>
              <w:ind w:left="0" w:right="0" w:hanging="0"/>
              <w:jc w:val="left"/>
              <w:rPr/>
            </w:pPr>
            <w:r>
              <w:rPr/>
              <w:t> </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052" w:type="dxa"/>
            <w:gridSpan w:val="2"/>
            <w:tcBorders/>
            <w:shd w:fill="auto" w:val="clear"/>
            <w:vAlign w:val="center"/>
          </w:tcPr>
          <w:p>
            <w:pPr>
              <w:pStyle w:val="TableContents"/>
              <w:spacing w:before="0" w:after="0"/>
              <w:ind w:left="0" w:right="0" w:hanging="0"/>
              <w:jc w:val="left"/>
              <w:rPr/>
            </w:pPr>
            <w:r>
              <w:rPr/>
              <w:t> </w:t>
            </w:r>
          </w:p>
        </w:tc>
        <w:tc>
          <w:tcPr>
            <w:tcW w:w="411" w:type="dxa"/>
            <w:tcBorders/>
            <w:shd w:fill="auto" w:val="clear"/>
            <w:vAlign w:val="center"/>
          </w:tcPr>
          <w:p>
            <w:pPr>
              <w:pStyle w:val="TableContents"/>
              <w:spacing w:before="0" w:after="0"/>
              <w:ind w:left="0" w:right="0" w:hanging="0"/>
              <w:jc w:val="left"/>
              <w:rPr/>
            </w:pPr>
            <w:r>
              <w:rPr/>
              <w:t> </w:t>
            </w:r>
          </w:p>
        </w:tc>
      </w:tr>
      <w:tr>
        <w:trPr/>
        <w:tc>
          <w:tcPr>
            <w:tcW w:w="667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Balance, beginning of period</w:t>
            </w:r>
          </w:p>
        </w:tc>
        <w:tc>
          <w:tcPr>
            <w:tcW w:w="211" w:type="dxa"/>
            <w:tcBorders/>
            <w:shd w:fill="auto" w:val="clear"/>
            <w:vAlign w:val="center"/>
          </w:tcPr>
          <w:p>
            <w:pPr>
              <w:pStyle w:val="TableContents"/>
              <w:spacing w:before="0" w:after="0"/>
              <w:ind w:left="0" w:right="0" w:hanging="0"/>
              <w:jc w:val="left"/>
              <w:rPr/>
            </w:pPr>
            <w:r>
              <w:rPr/>
              <w:t> </w:t>
            </w:r>
          </w:p>
        </w:tc>
        <w:tc>
          <w:tcPr>
            <w:tcW w:w="84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(9,846</w:t>
            </w:r>
          </w:p>
        </w:tc>
        <w:tc>
          <w:tcPr>
            <w:tcW w:w="16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84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2,527</w:t>
            </w:r>
          </w:p>
        </w:tc>
        <w:tc>
          <w:tcPr>
            <w:tcW w:w="411" w:type="dxa"/>
            <w:tcBorders/>
            <w:shd w:fill="auto" w:val="clear"/>
            <w:vAlign w:val="center"/>
          </w:tcPr>
          <w:p>
            <w:pPr>
              <w:pStyle w:val="TableContents"/>
              <w:spacing w:before="0" w:after="0"/>
              <w:ind w:left="0" w:right="0" w:firstLine="200"/>
              <w:jc w:val="left"/>
              <w:rPr/>
            </w:pPr>
            <w:r>
              <w:rPr/>
              <w:t> </w:t>
            </w:r>
          </w:p>
        </w:tc>
      </w:tr>
      <w:tr>
        <w:trPr/>
        <w:tc>
          <w:tcPr>
            <w:tcW w:w="6676" w:type="dxa"/>
            <w:tcBorders/>
            <w:shd w:fill="auto" w:val="clear"/>
            <w:vAlign w:val="center"/>
          </w:tcPr>
          <w:p>
            <w:pPr>
              <w:pStyle w:val="TableContents"/>
              <w:spacing w:before="0" w:after="0"/>
              <w:ind w:left="200" w:right="0" w:hanging="0"/>
              <w:jc w:val="left"/>
              <w:rPr>
                <w:rFonts w:ascii="Times New Roman;serif" w:hAnsi="Times New Roman;serif"/>
                <w:b w:val="false"/>
                <w:sz w:val="20"/>
              </w:rPr>
            </w:pPr>
            <w:r>
              <w:rPr>
                <w:rFonts w:ascii="Times New Roman;serif" w:hAnsi="Times New Roman;serif"/>
                <w:b w:val="false"/>
                <w:sz w:val="20"/>
              </w:rPr>
              <w:t>Other comprehensive income, net of tax</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84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1,970</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84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701</w:t>
            </w:r>
          </w:p>
        </w:tc>
        <w:tc>
          <w:tcPr>
            <w:tcW w:w="4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r>
        <w:trPr/>
        <w:tc>
          <w:tcPr>
            <w:tcW w:w="667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Balance, end of period</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84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(7,876</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84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3,228</w:t>
            </w:r>
          </w:p>
        </w:tc>
        <w:tc>
          <w:tcPr>
            <w:tcW w:w="4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r>
        <w:trPr/>
        <w:tc>
          <w:tcPr>
            <w:tcW w:w="6676" w:type="dxa"/>
            <w:tcBorders/>
            <w:shd w:fill="auto" w:val="clear"/>
            <w:vAlign w:val="center"/>
          </w:tcPr>
          <w:p>
            <w:pPr>
              <w:pStyle w:val="TableContents"/>
              <w:spacing w:before="0" w:after="0"/>
              <w:ind w:left="0" w:right="0" w:hanging="0"/>
              <w:jc w:val="left"/>
              <w:rPr>
                <w:rFonts w:ascii="Times New Roman;serif" w:hAnsi="Times New Roman;serif"/>
                <w:b/>
                <w:sz w:val="20"/>
              </w:rPr>
            </w:pPr>
            <w:r>
              <w:rPr>
                <w:rFonts w:ascii="Times New Roman;serif" w:hAnsi="Times New Roman;serif"/>
                <w:b/>
                <w:sz w:val="20"/>
              </w:rPr>
              <w:t>Adjustments to non-controlling interests:</w:t>
            </w:r>
          </w:p>
        </w:tc>
        <w:tc>
          <w:tcPr>
            <w:tcW w:w="1052" w:type="dxa"/>
            <w:gridSpan w:val="2"/>
            <w:tcBorders/>
            <w:shd w:fill="auto" w:val="clear"/>
            <w:vAlign w:val="center"/>
          </w:tcPr>
          <w:p>
            <w:pPr>
              <w:pStyle w:val="TableContents"/>
              <w:spacing w:before="0" w:after="0"/>
              <w:ind w:left="0" w:right="0" w:hanging="0"/>
              <w:jc w:val="left"/>
              <w:rPr/>
            </w:pPr>
            <w:r>
              <w:rPr/>
              <w:t> </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052" w:type="dxa"/>
            <w:gridSpan w:val="2"/>
            <w:tcBorders/>
            <w:shd w:fill="auto" w:val="clear"/>
            <w:vAlign w:val="center"/>
          </w:tcPr>
          <w:p>
            <w:pPr>
              <w:pStyle w:val="TableContents"/>
              <w:spacing w:before="0" w:after="0"/>
              <w:ind w:left="0" w:right="0" w:hanging="0"/>
              <w:jc w:val="left"/>
              <w:rPr/>
            </w:pPr>
            <w:r>
              <w:rPr/>
              <w:t> </w:t>
            </w:r>
          </w:p>
        </w:tc>
        <w:tc>
          <w:tcPr>
            <w:tcW w:w="411" w:type="dxa"/>
            <w:tcBorders/>
            <w:shd w:fill="auto" w:val="clear"/>
            <w:vAlign w:val="center"/>
          </w:tcPr>
          <w:p>
            <w:pPr>
              <w:pStyle w:val="TableContents"/>
              <w:spacing w:before="0" w:after="0"/>
              <w:ind w:left="0" w:right="0" w:hanging="0"/>
              <w:jc w:val="left"/>
              <w:rPr/>
            </w:pPr>
            <w:r>
              <w:rPr/>
              <w:t> </w:t>
            </w:r>
          </w:p>
        </w:tc>
      </w:tr>
      <w:tr>
        <w:trPr/>
        <w:tc>
          <w:tcPr>
            <w:tcW w:w="667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Balance, beginning of period</w:t>
            </w:r>
          </w:p>
        </w:tc>
        <w:tc>
          <w:tcPr>
            <w:tcW w:w="211" w:type="dxa"/>
            <w:tcBorders/>
            <w:shd w:fill="auto" w:val="clear"/>
            <w:vAlign w:val="center"/>
          </w:tcPr>
          <w:p>
            <w:pPr>
              <w:pStyle w:val="TableContents"/>
              <w:spacing w:before="0" w:after="0"/>
              <w:ind w:left="0" w:right="0" w:hanging="0"/>
              <w:jc w:val="left"/>
              <w:rPr/>
            </w:pPr>
            <w:r>
              <w:rPr/>
              <w:t> </w:t>
            </w:r>
          </w:p>
        </w:tc>
        <w:tc>
          <w:tcPr>
            <w:tcW w:w="84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65,691</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84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73,531</w:t>
            </w:r>
          </w:p>
        </w:tc>
        <w:tc>
          <w:tcPr>
            <w:tcW w:w="411" w:type="dxa"/>
            <w:tcBorders/>
            <w:shd w:fill="auto" w:val="clear"/>
            <w:vAlign w:val="center"/>
          </w:tcPr>
          <w:p>
            <w:pPr>
              <w:pStyle w:val="TableContents"/>
              <w:spacing w:before="0" w:after="0"/>
              <w:ind w:left="0" w:right="0" w:firstLine="200"/>
              <w:jc w:val="left"/>
              <w:rPr/>
            </w:pPr>
            <w:r>
              <w:rPr/>
              <w:t> </w:t>
            </w:r>
          </w:p>
        </w:tc>
      </w:tr>
      <w:tr>
        <w:trPr/>
        <w:tc>
          <w:tcPr>
            <w:tcW w:w="6676" w:type="dxa"/>
            <w:tcBorders/>
            <w:shd w:fill="auto" w:val="clear"/>
            <w:vAlign w:val="center"/>
          </w:tcPr>
          <w:p>
            <w:pPr>
              <w:pStyle w:val="TableContents"/>
              <w:spacing w:before="0" w:after="0"/>
              <w:ind w:left="200" w:right="0" w:hanging="0"/>
              <w:jc w:val="left"/>
              <w:rPr>
                <w:rFonts w:ascii="Times New Roman;serif" w:hAnsi="Times New Roman;serif"/>
                <w:b w:val="false"/>
                <w:sz w:val="20"/>
              </w:rPr>
            </w:pPr>
            <w:r>
              <w:rPr>
                <w:rFonts w:ascii="Times New Roman;serif" w:hAnsi="Times New Roman;serif"/>
                <w:b w:val="false"/>
                <w:sz w:val="20"/>
              </w:rPr>
              <w:t>Net income attributable to non-controlling interests</w:t>
            </w:r>
          </w:p>
        </w:tc>
        <w:tc>
          <w:tcPr>
            <w:tcW w:w="211" w:type="dxa"/>
            <w:tcBorders/>
            <w:shd w:fill="auto" w:val="clear"/>
            <w:vAlign w:val="center"/>
          </w:tcPr>
          <w:p>
            <w:pPr>
              <w:pStyle w:val="TableContents"/>
              <w:spacing w:before="0" w:after="0"/>
              <w:ind w:left="0" w:right="0" w:hanging="0"/>
              <w:jc w:val="left"/>
              <w:rPr/>
            </w:pPr>
            <w:r>
              <w:rPr/>
              <w:t> </w:t>
            </w:r>
          </w:p>
        </w:tc>
        <w:tc>
          <w:tcPr>
            <w:tcW w:w="84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2,660</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84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1,656</w:t>
            </w:r>
          </w:p>
        </w:tc>
        <w:tc>
          <w:tcPr>
            <w:tcW w:w="411" w:type="dxa"/>
            <w:tcBorders/>
            <w:shd w:fill="auto" w:val="clear"/>
            <w:vAlign w:val="center"/>
          </w:tcPr>
          <w:p>
            <w:pPr>
              <w:pStyle w:val="TableContents"/>
              <w:spacing w:before="0" w:after="0"/>
              <w:ind w:left="0" w:right="0" w:firstLine="200"/>
              <w:jc w:val="left"/>
              <w:rPr/>
            </w:pPr>
            <w:r>
              <w:rPr/>
              <w:t> </w:t>
            </w:r>
          </w:p>
        </w:tc>
      </w:tr>
      <w:tr>
        <w:trPr/>
        <w:tc>
          <w:tcPr>
            <w:tcW w:w="6676" w:type="dxa"/>
            <w:tcBorders/>
            <w:shd w:fill="auto" w:val="clear"/>
            <w:vAlign w:val="center"/>
          </w:tcPr>
          <w:p>
            <w:pPr>
              <w:pStyle w:val="TableContents"/>
              <w:spacing w:before="0" w:after="0"/>
              <w:ind w:left="200" w:right="0" w:hanging="0"/>
              <w:jc w:val="left"/>
              <w:rPr>
                <w:rFonts w:ascii="Times New Roman;serif" w:hAnsi="Times New Roman;serif"/>
                <w:b w:val="false"/>
                <w:sz w:val="20"/>
              </w:rPr>
            </w:pPr>
            <w:r>
              <w:rPr>
                <w:rFonts w:ascii="Times New Roman;serif" w:hAnsi="Times New Roman;serif"/>
                <w:b w:val="false"/>
                <w:sz w:val="20"/>
              </w:rPr>
              <w:t>Other comprehensive income, net of tax</w:t>
            </w:r>
          </w:p>
        </w:tc>
        <w:tc>
          <w:tcPr>
            <w:tcW w:w="211" w:type="dxa"/>
            <w:tcBorders/>
            <w:shd w:fill="auto" w:val="clear"/>
            <w:vAlign w:val="center"/>
          </w:tcPr>
          <w:p>
            <w:pPr>
              <w:pStyle w:val="TableContents"/>
              <w:spacing w:before="0" w:after="0"/>
              <w:ind w:left="0" w:right="0" w:hanging="0"/>
              <w:jc w:val="left"/>
              <w:rPr/>
            </w:pPr>
            <w:r>
              <w:rPr/>
              <w:t> </w:t>
            </w:r>
          </w:p>
        </w:tc>
        <w:tc>
          <w:tcPr>
            <w:tcW w:w="84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689</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84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167</w:t>
            </w:r>
          </w:p>
        </w:tc>
        <w:tc>
          <w:tcPr>
            <w:tcW w:w="411" w:type="dxa"/>
            <w:tcBorders/>
            <w:shd w:fill="auto" w:val="clear"/>
            <w:vAlign w:val="center"/>
          </w:tcPr>
          <w:p>
            <w:pPr>
              <w:pStyle w:val="TableContents"/>
              <w:spacing w:before="0" w:after="0"/>
              <w:ind w:left="0" w:right="0" w:firstLine="200"/>
              <w:jc w:val="left"/>
              <w:rPr/>
            </w:pPr>
            <w:r>
              <w:rPr/>
              <w:t> </w:t>
            </w:r>
          </w:p>
        </w:tc>
      </w:tr>
      <w:tr>
        <w:trPr/>
        <w:tc>
          <w:tcPr>
            <w:tcW w:w="6676" w:type="dxa"/>
            <w:tcBorders/>
            <w:shd w:fill="auto" w:val="clear"/>
            <w:vAlign w:val="center"/>
          </w:tcPr>
          <w:p>
            <w:pPr>
              <w:pStyle w:val="TableContents"/>
              <w:spacing w:before="0" w:after="0"/>
              <w:ind w:left="200" w:right="0" w:hanging="0"/>
              <w:jc w:val="left"/>
              <w:rPr>
                <w:rFonts w:ascii="Times New Roman;serif" w:hAnsi="Times New Roman;serif"/>
                <w:b w:val="false"/>
                <w:sz w:val="20"/>
              </w:rPr>
            </w:pPr>
            <w:r>
              <w:rPr>
                <w:rFonts w:ascii="Times New Roman;serif" w:hAnsi="Times New Roman;serif"/>
                <w:b w:val="false"/>
                <w:sz w:val="20"/>
              </w:rPr>
              <w:t>Share-based compensation attributable to non-controlling interests</w:t>
            </w:r>
          </w:p>
        </w:tc>
        <w:tc>
          <w:tcPr>
            <w:tcW w:w="211" w:type="dxa"/>
            <w:tcBorders/>
            <w:shd w:fill="auto" w:val="clear"/>
            <w:vAlign w:val="center"/>
          </w:tcPr>
          <w:p>
            <w:pPr>
              <w:pStyle w:val="TableContents"/>
              <w:spacing w:before="0" w:after="0"/>
              <w:ind w:left="0" w:right="0" w:hanging="0"/>
              <w:jc w:val="left"/>
              <w:rPr/>
            </w:pPr>
            <w:r>
              <w:rPr/>
              <w:t> </w:t>
            </w:r>
          </w:p>
        </w:tc>
        <w:tc>
          <w:tcPr>
            <w:tcW w:w="84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50</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84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28</w:t>
            </w:r>
          </w:p>
        </w:tc>
        <w:tc>
          <w:tcPr>
            <w:tcW w:w="411" w:type="dxa"/>
            <w:tcBorders/>
            <w:shd w:fill="auto" w:val="clear"/>
            <w:vAlign w:val="center"/>
          </w:tcPr>
          <w:p>
            <w:pPr>
              <w:pStyle w:val="TableContents"/>
              <w:spacing w:before="0" w:after="0"/>
              <w:ind w:left="0" w:right="0" w:firstLine="200"/>
              <w:jc w:val="left"/>
              <w:rPr/>
            </w:pPr>
            <w:r>
              <w:rPr/>
              <w:t> </w:t>
            </w:r>
          </w:p>
        </w:tc>
      </w:tr>
      <w:tr>
        <w:trPr/>
        <w:tc>
          <w:tcPr>
            <w:tcW w:w="6676" w:type="dxa"/>
            <w:tcBorders/>
            <w:shd w:fill="auto" w:val="clear"/>
            <w:vAlign w:val="center"/>
          </w:tcPr>
          <w:p>
            <w:pPr>
              <w:pStyle w:val="TableContents"/>
              <w:spacing w:before="0" w:after="0"/>
              <w:ind w:left="200" w:right="0" w:hanging="0"/>
              <w:jc w:val="left"/>
              <w:rPr>
                <w:rFonts w:ascii="Times New Roman;serif" w:hAnsi="Times New Roman;serif"/>
                <w:b w:val="false"/>
                <w:sz w:val="20"/>
              </w:rPr>
            </w:pPr>
            <w:r>
              <w:rPr>
                <w:rFonts w:ascii="Times New Roman;serif" w:hAnsi="Times New Roman;serif"/>
                <w:b w:val="false"/>
                <w:sz w:val="20"/>
              </w:rPr>
              <w:t>Change in ownership interest related to IMAX China common share repurchases</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84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pPr>
            <w:r>
              <w:rPr/>
              <w:t>—</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84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(1,301</w:t>
            </w:r>
          </w:p>
        </w:tc>
        <w:tc>
          <w:tcPr>
            <w:tcW w:w="4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667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Balance, end of period</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84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69,090</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84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74,081</w:t>
            </w:r>
          </w:p>
        </w:tc>
        <w:tc>
          <w:tcPr>
            <w:tcW w:w="4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r>
        <w:trPr/>
        <w:tc>
          <w:tcPr>
            <w:tcW w:w="6676" w:type="dxa"/>
            <w:tcBorders/>
            <w:shd w:fill="auto" w:val="clear"/>
            <w:vAlign w:val="center"/>
          </w:tcPr>
          <w:p>
            <w:pPr>
              <w:pStyle w:val="TableContents"/>
              <w:spacing w:before="0" w:after="0"/>
              <w:ind w:left="0" w:right="0" w:hanging="0"/>
              <w:jc w:val="left"/>
              <w:rPr>
                <w:rFonts w:ascii="Times New Roman;serif" w:hAnsi="Times New Roman;serif"/>
                <w:b/>
                <w:sz w:val="20"/>
              </w:rPr>
            </w:pPr>
            <w:r>
              <w:rPr>
                <w:rFonts w:ascii="Times New Roman;serif" w:hAnsi="Times New Roman;serif"/>
                <w:b/>
                <w:sz w:val="20"/>
              </w:rPr>
              <w:t>Total Shareholders' Equity</w:t>
            </w:r>
          </w:p>
        </w:tc>
        <w:tc>
          <w:tcPr>
            <w:tcW w:w="21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sz w:val="20"/>
              </w:rPr>
            </w:pPr>
            <w:r>
              <w:rPr>
                <w:rFonts w:ascii="Times New Roman;serif" w:hAnsi="Times New Roman;serif"/>
                <w:b/>
                <w:sz w:val="20"/>
              </w:rPr>
              <w:t>$</w:t>
            </w:r>
          </w:p>
        </w:tc>
        <w:tc>
          <w:tcPr>
            <w:tcW w:w="84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sz w:val="20"/>
              </w:rPr>
            </w:pPr>
            <w:r>
              <w:rPr>
                <w:rFonts w:ascii="Times New Roman;serif" w:hAnsi="Times New Roman;serif"/>
                <w:b/>
                <w:sz w:val="20"/>
              </w:rPr>
              <w:t>333,108</w:t>
            </w:r>
          </w:p>
        </w:tc>
        <w:tc>
          <w:tcPr>
            <w:tcW w:w="16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sz w:val="20"/>
              </w:rPr>
            </w:pPr>
            <w:r>
              <w:rPr>
                <w:rFonts w:ascii="Times New Roman;serif" w:hAnsi="Times New Roman;serif"/>
                <w:b/>
                <w:sz w:val="20"/>
              </w:rPr>
              <w:t>$</w:t>
            </w:r>
          </w:p>
        </w:tc>
        <w:tc>
          <w:tcPr>
            <w:tcW w:w="84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sz w:val="20"/>
              </w:rPr>
            </w:pPr>
            <w:r>
              <w:rPr>
                <w:rFonts w:ascii="Times New Roman;serif" w:hAnsi="Times New Roman;serif"/>
                <w:b/>
                <w:sz w:val="20"/>
              </w:rPr>
              <w:t>413,321</w:t>
            </w:r>
          </w:p>
        </w:tc>
        <w:tc>
          <w:tcPr>
            <w:tcW w:w="41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bl>
    <w:p>
      <w:pPr>
        <w:pStyle w:val="TextBody"/>
        <w:spacing w:before="0" w:after="0"/>
        <w:jc w:val="center"/>
        <w:rPr/>
      </w:pPr>
      <w:r>
        <w:rPr/>
        <w:t> </w:t>
      </w:r>
    </w:p>
    <w:p>
      <w:pPr>
        <w:pStyle w:val="TextBody"/>
        <w:spacing w:before="0" w:after="0"/>
        <w:jc w:val="center"/>
        <w:rPr>
          <w:rFonts w:ascii="Times New Roman;serif" w:hAnsi="Times New Roman;serif"/>
          <w:b w:val="false"/>
          <w:i/>
          <w:sz w:val="20"/>
        </w:rPr>
      </w:pPr>
      <w:r>
        <w:rPr>
          <w:rFonts w:ascii="Times New Roman;serif" w:hAnsi="Times New Roman;serif"/>
          <w:b w:val="false"/>
          <w:i/>
          <w:sz w:val="20"/>
        </w:rPr>
        <w:t>(See the accompanying notes, which are an integral part of these Condensed Consolidated Financial Statements.)</w:t>
      </w:r>
    </w:p>
    <w:p>
      <w:pPr>
        <w:pStyle w:val="TextBody"/>
        <w:spacing w:before="240" w:after="0"/>
        <w:jc w:val="center"/>
        <w:rPr>
          <w:rFonts w:ascii="Times New Roman;serif" w:hAnsi="Times New Roman;serif"/>
          <w:b w:val="false"/>
          <w:sz w:val="20"/>
        </w:rPr>
      </w:pPr>
      <w:r>
        <w:rPr>
          <w:rFonts w:ascii="Times New Roman;serif" w:hAnsi="Times New Roman;serif"/>
          <w:b w:val="false"/>
          <w:sz w:val="20"/>
        </w:rPr>
        <w:t>8</w:t>
      </w:r>
    </w:p>
    <w:p>
      <w:pPr>
        <w:pStyle w:val="HorizontalLine"/>
        <w:rPr/>
      </w:pPr>
      <w:r>
        <w:rPr/>
      </w:r>
    </w:p>
    <w:p>
      <w:pPr>
        <w:pStyle w:val="TextBody"/>
        <w:spacing w:before="0" w:after="0"/>
        <w:jc w:val="left"/>
        <w:rPr/>
      </w:pPr>
      <w:r>
        <w:rPr/>
        <w:t> </w:t>
      </w:r>
    </w:p>
    <w:p>
      <w:pPr>
        <w:pStyle w:val="TextBody"/>
        <w:spacing w:before="0" w:after="0"/>
        <w:jc w:val="center"/>
        <w:rPr>
          <w:rFonts w:ascii="Times New Roman;serif" w:hAnsi="Times New Roman;serif"/>
          <w:b/>
          <w:sz w:val="20"/>
        </w:rPr>
      </w:pPr>
      <w:r>
        <w:rPr>
          <w:rFonts w:ascii="Times New Roman;serif" w:hAnsi="Times New Roman;serif"/>
          <w:b/>
          <w:sz w:val="20"/>
        </w:rPr>
        <w:t>IMAX CORPORATION</w:t>
      </w:r>
    </w:p>
    <w:p>
      <w:pPr>
        <w:pStyle w:val="TextBody"/>
        <w:spacing w:before="0" w:after="0"/>
        <w:jc w:val="center"/>
        <w:rPr>
          <w:rFonts w:ascii="Times New Roman;serif" w:hAnsi="Times New Roman;serif"/>
          <w:b/>
          <w:sz w:val="20"/>
        </w:rPr>
      </w:pPr>
      <w:bookmarkStart w:id="11" w:name="notes_to_condensed_consolidated_financia"/>
      <w:bookmarkEnd w:id="11"/>
      <w:r>
        <w:rPr>
          <w:rFonts w:ascii="Times New Roman;serif" w:hAnsi="Times New Roman;serif"/>
          <w:b/>
          <w:sz w:val="20"/>
        </w:rPr>
        <w:t>NOTES TO CONDENSED CONSOLIDATED FINANCIAL STATEMENTS</w:t>
      </w:r>
    </w:p>
    <w:p>
      <w:pPr>
        <w:pStyle w:val="TextBody"/>
        <w:spacing w:before="0" w:after="0"/>
        <w:jc w:val="center"/>
        <w:rPr>
          <w:rFonts w:ascii="Times New Roman;serif" w:hAnsi="Times New Roman;serif"/>
          <w:b w:val="false"/>
          <w:i/>
          <w:sz w:val="20"/>
        </w:rPr>
      </w:pPr>
      <w:r>
        <w:rPr>
          <w:rFonts w:ascii="Times New Roman;serif" w:hAnsi="Times New Roman;serif"/>
          <w:b w:val="false"/>
          <w:i/>
          <w:sz w:val="20"/>
        </w:rPr>
        <w:t>(Tabular amounts in thousands of U.S. Dollars, unless otherwise stated)</w:t>
      </w:r>
    </w:p>
    <w:p>
      <w:pPr>
        <w:pStyle w:val="TextBody"/>
        <w:spacing w:before="0" w:after="0"/>
        <w:jc w:val="center"/>
        <w:rPr>
          <w:rFonts w:ascii="Times New Roman" w:hAnsi="Times New Roman"/>
          <w:sz w:val="20"/>
        </w:rPr>
      </w:pPr>
      <w:r>
        <w:rPr>
          <w:rFonts w:ascii="Times New Roman;serif" w:hAnsi="Times New Roman;serif"/>
          <w:b w:val="false"/>
          <w:i/>
          <w:sz w:val="20"/>
        </w:rPr>
        <w:t>(Unaudited</w:t>
      </w:r>
      <w:r>
        <w:rPr>
          <w:rFonts w:ascii="Times New Roman;serif" w:hAnsi="Times New Roman;serif"/>
          <w:b/>
          <w:i/>
          <w:sz w:val="20"/>
        </w:rPr>
        <w:t>)</w:t>
      </w:r>
    </w:p>
    <w:p>
      <w:pPr>
        <w:pStyle w:val="TextBody"/>
        <w:spacing w:before="0" w:after="0"/>
        <w:jc w:val="both"/>
        <w:rPr>
          <w:rFonts w:ascii="Times New Roman;serif" w:hAnsi="Times New Roman;serif"/>
          <w:b/>
          <w:sz w:val="20"/>
        </w:rPr>
      </w:pPr>
      <w:r>
        <w:rPr>
          <w:rFonts w:ascii="Times New Roman;serif" w:hAnsi="Times New Roman;serif"/>
          <w:b/>
          <w:sz w:val="20"/>
        </w:rPr>
        <w:t>1. Basis of Presentation</w:t>
      </w:r>
    </w:p>
    <w:p>
      <w:pPr>
        <w:pStyle w:val="TextBody"/>
        <w:spacing w:before="200" w:after="0"/>
        <w:jc w:val="both"/>
        <w:rPr>
          <w:rFonts w:ascii="Times New Roman;serif" w:hAnsi="Times New Roman;serif"/>
          <w:b w:val="false"/>
          <w:i/>
          <w:sz w:val="20"/>
        </w:rPr>
      </w:pPr>
      <w:r>
        <w:rPr>
          <w:rFonts w:ascii="Times New Roman;serif" w:hAnsi="Times New Roman;serif"/>
          <w:b w:val="false"/>
          <w:i/>
          <w:sz w:val="20"/>
        </w:rPr>
        <w:t>Accounting Principles</w:t>
      </w:r>
    </w:p>
    <w:p>
      <w:pPr>
        <w:pStyle w:val="TextBody"/>
        <w:spacing w:before="200" w:after="0"/>
        <w:jc w:val="both"/>
        <w:rPr>
          <w:rFonts w:ascii="Times New Roman;serif" w:hAnsi="Times New Roman;serif"/>
          <w:b w:val="false"/>
          <w:sz w:val="20"/>
        </w:rPr>
      </w:pPr>
      <w:r>
        <w:rPr>
          <w:rFonts w:ascii="Times New Roman;serif" w:hAnsi="Times New Roman;serif"/>
          <w:b w:val="false"/>
          <w:sz w:val="20"/>
        </w:rPr>
        <w:t>IMAX Corporation, together with its consolidated subsidiaries (the “Company” or “IMAX”), prepares its financial statements in accordance with United States Generally Accepted Accounting Principles (“U.S. GAAP”) and pursuant to the rules and regulations of the Securities and Exchange Commission. Certain information and footnote disclosures normally included in financial statements prepared in accordance with U.S. GAAP have been condensed or omitted from this report, as is permitted by such rules and regulations. In the Company’s opinion, the unaudited Condensed Consolidated Financial Statements reflect all adjustments of a normal recurring nature that are necessary for a fair statement of the results for the interim periods presented. The Condensed Consolidated Balance Sheet at December 31, 2022 was derived from the Company’s audited annual Consolidated Financial Statements, but does not contain all of the footnote disclosures included in the annual financial statements. The interim results presented in the Company’s Condensed Consolidated Statements of Operations are not necessarily indicative of results for a full year.</w:t>
      </w:r>
    </w:p>
    <w:p>
      <w:pPr>
        <w:pStyle w:val="TextBody"/>
        <w:spacing w:before="200" w:after="0"/>
        <w:jc w:val="both"/>
        <w:rPr>
          <w:rFonts w:ascii="Times New Roman;serif" w:hAnsi="Times New Roman;serif"/>
          <w:b w:val="false"/>
          <w:sz w:val="20"/>
        </w:rPr>
      </w:pPr>
      <w:r>
        <w:rPr>
          <w:rFonts w:ascii="Times New Roman;serif" w:hAnsi="Times New Roman;serif"/>
          <w:b w:val="false"/>
          <w:sz w:val="20"/>
        </w:rPr>
        <w:t>These Condensed Consolidated Financial Statements should be read in conjunction with the audited Consolidated Financial Statements included in the Company’s 2022 Annual Report on Form 10-K (the “2022 Form 10-K”), which should be consulted for a summary of the significant accounting policies utilized by the Company. The Condensed Consolidated Financial Statements are prepared following the same accounting policies disclosed in the 2022 Form 10-K.</w:t>
      </w:r>
    </w:p>
    <w:p>
      <w:pPr>
        <w:pStyle w:val="TextBody"/>
        <w:spacing w:before="200" w:after="0"/>
        <w:jc w:val="both"/>
        <w:rPr>
          <w:rFonts w:ascii="Times New Roman;serif" w:hAnsi="Times New Roman;serif"/>
          <w:b w:val="false"/>
          <w:sz w:val="20"/>
        </w:rPr>
      </w:pPr>
      <w:r>
        <w:rPr>
          <w:rFonts w:ascii="Times New Roman;serif" w:hAnsi="Times New Roman;serif"/>
          <w:b w:val="false"/>
          <w:sz w:val="20"/>
        </w:rPr>
        <w:t>As disclosed in Note 13 to the Condensed Consolidated Financial Statements, in the first quarter of 2023, the Company revised its reportable segments.</w:t>
      </w:r>
    </w:p>
    <w:p>
      <w:pPr>
        <w:pStyle w:val="TextBody"/>
        <w:spacing w:before="200" w:after="0"/>
        <w:jc w:val="both"/>
        <w:rPr>
          <w:rFonts w:ascii="Times New Roman" w:hAnsi="Times New Roman"/>
          <w:sz w:val="20"/>
        </w:rPr>
      </w:pPr>
      <w:r>
        <w:rPr>
          <w:rFonts w:ascii="Times New Roman;serif" w:hAnsi="Times New Roman;serif"/>
          <w:b w:val="false"/>
          <w:i/>
          <w:sz w:val="20"/>
        </w:rPr>
        <w:t>Principles of Consolidation</w:t>
      </w:r>
      <w:r>
        <w:rPr>
          <w:rFonts w:ascii="Times New Roman" w:hAnsi="Times New Roman"/>
          <w:sz w:val="20"/>
        </w:rPr>
        <w:t xml:space="preserve"> </w:t>
      </w:r>
    </w:p>
    <w:p>
      <w:pPr>
        <w:pStyle w:val="TextBody"/>
        <w:spacing w:before="200" w:after="0"/>
        <w:jc w:val="both"/>
        <w:rPr>
          <w:rFonts w:ascii="Times New Roman;serif" w:hAnsi="Times New Roman;serif"/>
          <w:b w:val="false"/>
          <w:sz w:val="20"/>
        </w:rPr>
      </w:pPr>
      <w:r>
        <w:rPr>
          <w:rFonts w:ascii="Times New Roman;serif" w:hAnsi="Times New Roman;serif"/>
          <w:b w:val="false"/>
          <w:sz w:val="20"/>
        </w:rPr>
        <w:t>These Condensed Consolidated Financial Statements include the accounts of the Company together with its consolidated subsidiaries, except for subsidiaries which have been identified as variable interest entities (“VIEs”) where the Company is not the primary beneficiary. All intercompany accounts and transactions have been eliminated. The Company has evaluated its various variable interests to determine whether they are VIEs as required by U.S. GAAP.</w:t>
      </w:r>
    </w:p>
    <w:p>
      <w:pPr>
        <w:pStyle w:val="TextBody"/>
        <w:spacing w:before="200" w:after="0"/>
        <w:jc w:val="both"/>
        <w:rPr>
          <w:rFonts w:ascii="Times New Roman" w:hAnsi="Times New Roman"/>
          <w:sz w:val="20"/>
        </w:rPr>
      </w:pPr>
      <w:r>
        <w:rPr>
          <w:rFonts w:ascii="Times New Roman;serif" w:hAnsi="Times New Roman;serif"/>
          <w:b w:val="false"/>
          <w:sz w:val="20"/>
        </w:rPr>
        <w:t>The Company has interests in ten</w:t>
      </w:r>
      <w:r>
        <w:rPr>
          <w:rFonts w:ascii="Times New Roman" w:hAnsi="Times New Roman"/>
          <w:sz w:val="20"/>
        </w:rPr>
        <w:t xml:space="preserve"> </w:t>
      </w:r>
      <w:r>
        <w:rPr>
          <w:rFonts w:ascii="Times New Roman;serif" w:hAnsi="Times New Roman;serif"/>
          <w:b w:val="false"/>
          <w:sz w:val="20"/>
        </w:rPr>
        <w:t>film production companies, which have been identified as VIEs. The Company is the primary beneficiary of and consolidates five</w:t>
      </w:r>
      <w:r>
        <w:rPr>
          <w:rFonts w:ascii="Times New Roman" w:hAnsi="Times New Roman"/>
          <w:sz w:val="20"/>
        </w:rPr>
        <w:t xml:space="preserve"> </w:t>
      </w:r>
      <w:r>
        <w:rPr>
          <w:rFonts w:ascii="Times New Roman;serif" w:hAnsi="Times New Roman;serif"/>
          <w:b w:val="false"/>
          <w:sz w:val="20"/>
        </w:rPr>
        <w:t>of these entities as it has the power to direct the activities that most significantly impact the economic performance of the VIE, and it has the obligation to absorb losses or the right to receive benefits from the respective VIE that could potentially be significant. The majority of the assets relating to these production companies are held by the IMAX Original Film Fund (the “Original Film Fund”) as described in Note 17(b). The Company does not consolidate the other five</w:t>
      </w:r>
      <w:r>
        <w:rPr>
          <w:rFonts w:ascii="Times New Roman" w:hAnsi="Times New Roman"/>
          <w:sz w:val="20"/>
        </w:rPr>
        <w:t xml:space="preserve"> </w:t>
      </w:r>
      <w:r>
        <w:rPr>
          <w:rFonts w:ascii="Times New Roman;serif" w:hAnsi="Times New Roman;serif"/>
          <w:b w:val="false"/>
          <w:sz w:val="20"/>
        </w:rPr>
        <w:t>film production companies because it does not have the power to direct their activities and it does not have the obligation to absorb the majority of the expected losses or the right to receive expected residual returns. The Company uses the equity method of accounting for these entities, which are not material to the Company’s Condensed Consolidated Financial Statements. A loss in the value of an equity method investment that is other than temporary is recognized as a charge in the Condensed Consolidated Statement of Operations.</w:t>
      </w:r>
    </w:p>
    <w:p>
      <w:pPr>
        <w:pStyle w:val="TextBody"/>
        <w:spacing w:before="200" w:after="0"/>
        <w:jc w:val="both"/>
        <w:rPr>
          <w:rFonts w:ascii="Times New Roman;serif" w:hAnsi="Times New Roman;serif"/>
          <w:b w:val="false"/>
          <w:sz w:val="20"/>
        </w:rPr>
      </w:pPr>
      <w:r>
        <w:rPr>
          <w:rFonts w:ascii="Times New Roman;serif" w:hAnsi="Times New Roman;serif"/>
          <w:b w:val="false"/>
          <w:sz w:val="20"/>
        </w:rPr>
        <w:t>As of March 31, 2023 and December 31, 2022, total assets and liabilities of the Company’s consolidated VIEs are as follows:</w:t>
      </w:r>
    </w:p>
    <w:p>
      <w:pPr>
        <w:pStyle w:val="TextBody"/>
        <w:spacing w:before="0" w:after="0"/>
        <w:jc w:val="both"/>
        <w:rPr/>
      </w:pPr>
      <w:r>
        <w:rPr/>
        <w:t> </w:t>
      </w:r>
    </w:p>
    <w:tbl>
      <w:tblPr>
        <w:tblW w:w="5000" w:type="dxa"/>
        <w:jc w:val="left"/>
        <w:tblInd w:w="0" w:type="dxa"/>
        <w:tblCellMar>
          <w:top w:w="28" w:type="dxa"/>
          <w:left w:w="28" w:type="dxa"/>
          <w:bottom w:w="28" w:type="dxa"/>
          <w:right w:w="28" w:type="dxa"/>
        </w:tblCellMar>
      </w:tblPr>
      <w:tblGrid>
        <w:gridCol w:w="2221"/>
        <w:gridCol w:w="146"/>
        <w:gridCol w:w="230"/>
        <w:gridCol w:w="625"/>
        <w:gridCol w:w="146"/>
        <w:gridCol w:w="146"/>
        <w:gridCol w:w="294"/>
        <w:gridCol w:w="801"/>
        <w:gridCol w:w="391"/>
      </w:tblGrid>
      <w:tr>
        <w:trPr/>
        <w:tc>
          <w:tcPr>
            <w:tcW w:w="2221"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30" w:type="dxa"/>
            <w:tcBorders/>
            <w:shd w:fill="auto" w:val="clear"/>
            <w:vAlign w:val="center"/>
          </w:tcPr>
          <w:p>
            <w:pPr>
              <w:pStyle w:val="TableContents"/>
              <w:spacing w:before="0" w:after="283"/>
              <w:rPr>
                <w:sz w:val="4"/>
                <w:szCs w:val="4"/>
              </w:rPr>
            </w:pPr>
            <w:r>
              <w:rPr>
                <w:sz w:val="4"/>
                <w:szCs w:val="4"/>
              </w:rPr>
            </w:r>
          </w:p>
        </w:tc>
        <w:tc>
          <w:tcPr>
            <w:tcW w:w="625"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94" w:type="dxa"/>
            <w:tcBorders/>
            <w:shd w:fill="auto" w:val="clear"/>
            <w:vAlign w:val="center"/>
          </w:tcPr>
          <w:p>
            <w:pPr>
              <w:pStyle w:val="TableContents"/>
              <w:spacing w:before="0" w:after="283"/>
              <w:rPr>
                <w:sz w:val="4"/>
                <w:szCs w:val="4"/>
              </w:rPr>
            </w:pPr>
            <w:r>
              <w:rPr>
                <w:sz w:val="4"/>
                <w:szCs w:val="4"/>
              </w:rPr>
            </w:r>
          </w:p>
        </w:tc>
        <w:tc>
          <w:tcPr>
            <w:tcW w:w="801" w:type="dxa"/>
            <w:tcBorders/>
            <w:shd w:fill="auto" w:val="clear"/>
            <w:vAlign w:val="center"/>
          </w:tcPr>
          <w:p>
            <w:pPr>
              <w:pStyle w:val="TableContents"/>
              <w:spacing w:before="0" w:after="283"/>
              <w:rPr>
                <w:sz w:val="4"/>
                <w:szCs w:val="4"/>
              </w:rPr>
            </w:pPr>
            <w:r>
              <w:rPr>
                <w:sz w:val="4"/>
                <w:szCs w:val="4"/>
              </w:rPr>
            </w:r>
          </w:p>
        </w:tc>
        <w:tc>
          <w:tcPr>
            <w:tcW w:w="391" w:type="dxa"/>
            <w:tcBorders/>
            <w:shd w:fill="auto" w:val="clear"/>
            <w:vAlign w:val="center"/>
          </w:tcPr>
          <w:p>
            <w:pPr>
              <w:pStyle w:val="TableContents"/>
              <w:spacing w:before="0" w:after="283"/>
              <w:rPr>
                <w:sz w:val="4"/>
                <w:szCs w:val="4"/>
              </w:rPr>
            </w:pPr>
            <w:r>
              <w:rPr>
                <w:sz w:val="4"/>
                <w:szCs w:val="4"/>
              </w:rPr>
            </w:r>
          </w:p>
        </w:tc>
      </w:tr>
      <w:tr>
        <w:trPr/>
        <w:tc>
          <w:tcPr>
            <w:tcW w:w="222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855" w:type="dxa"/>
            <w:gridSpan w:val="2"/>
            <w:tcBorders/>
            <w:shd w:fill="auto" w:val="cle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March 31,</w:t>
            </w:r>
          </w:p>
        </w:tc>
        <w:tc>
          <w:tcPr>
            <w:tcW w:w="146"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095" w:type="dxa"/>
            <w:gridSpan w:val="2"/>
            <w:tcBorders/>
            <w:shd w:fill="auto" w:val="cle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December 31,</w:t>
            </w:r>
          </w:p>
        </w:tc>
        <w:tc>
          <w:tcPr>
            <w:tcW w:w="391" w:type="dxa"/>
            <w:tcBorders/>
            <w:shd w:fill="auto" w:val="clear"/>
            <w:vAlign w:val="center"/>
          </w:tcPr>
          <w:p>
            <w:pPr>
              <w:pStyle w:val="TableContents"/>
              <w:spacing w:before="0" w:after="0"/>
              <w:ind w:left="0" w:right="0" w:hanging="0"/>
              <w:jc w:val="center"/>
              <w:rPr/>
            </w:pPr>
            <w:r>
              <w:rPr/>
              <w:t> </w:t>
            </w:r>
          </w:p>
        </w:tc>
      </w:tr>
      <w:tr>
        <w:trPr/>
        <w:tc>
          <w:tcPr>
            <w:tcW w:w="2221" w:type="dxa"/>
            <w:tcBorders/>
            <w:shd w:fill="auto" w:val="clear"/>
            <w:vAlign w:val="center"/>
          </w:tcPr>
          <w:p>
            <w:pPr>
              <w:pStyle w:val="TableContents"/>
              <w:spacing w:before="0" w:after="0"/>
              <w:ind w:left="0" w:right="0" w:hanging="0"/>
              <w:jc w:val="left"/>
              <w:rPr>
                <w:rFonts w:ascii="Times New Roman;serif" w:hAnsi="Times New Roman;serif"/>
                <w:b w:val="false"/>
                <w:i/>
                <w:sz w:val="16"/>
              </w:rPr>
            </w:pPr>
            <w:r>
              <w:rPr>
                <w:rFonts w:ascii="Times New Roman;serif" w:hAnsi="Times New Roman;serif"/>
                <w:b w:val="false"/>
                <w:i/>
                <w:sz w:val="16"/>
              </w:rPr>
              <w:t>(In thousands of U.S. Dollars)</w:t>
            </w:r>
          </w:p>
        </w:tc>
        <w:tc>
          <w:tcPr>
            <w:tcW w:w="146" w:type="dxa"/>
            <w:tcBorders/>
            <w:shd w:fill="auto" w:val="clear"/>
            <w:vAlign w:val="center"/>
          </w:tcPr>
          <w:p>
            <w:pPr>
              <w:pStyle w:val="TableContents"/>
              <w:spacing w:before="0" w:after="0"/>
              <w:ind w:left="0" w:right="0" w:hanging="0"/>
              <w:jc w:val="left"/>
              <w:rPr/>
            </w:pPr>
            <w:r>
              <w:rPr/>
              <w:t> </w:t>
            </w:r>
          </w:p>
        </w:tc>
        <w:tc>
          <w:tcPr>
            <w:tcW w:w="855"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2023</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095"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2022</w:t>
            </w:r>
          </w:p>
        </w:tc>
        <w:tc>
          <w:tcPr>
            <w:tcW w:w="3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firstLine="200"/>
              <w:jc w:val="center"/>
              <w:rPr/>
            </w:pPr>
            <w:r>
              <w:rPr/>
              <w:t> </w:t>
            </w:r>
          </w:p>
        </w:tc>
      </w:tr>
      <w:tr>
        <w:trPr/>
        <w:tc>
          <w:tcPr>
            <w:tcW w:w="2221" w:type="dxa"/>
            <w:tcBorders/>
            <w:shd w:fill="auto" w:val="clear"/>
            <w:vAlign w:val="center"/>
          </w:tcPr>
          <w:p>
            <w:pPr>
              <w:pStyle w:val="TableContents"/>
              <w:spacing w:before="0" w:after="0"/>
              <w:ind w:left="200" w:right="0" w:hanging="0"/>
              <w:jc w:val="left"/>
              <w:rPr>
                <w:rFonts w:ascii="Times New Roman;serif" w:hAnsi="Times New Roman;serif"/>
                <w:b w:val="false"/>
                <w:sz w:val="20"/>
              </w:rPr>
            </w:pPr>
            <w:r>
              <w:rPr>
                <w:rFonts w:ascii="Times New Roman;serif" w:hAnsi="Times New Roman;serif"/>
                <w:b w:val="false"/>
                <w:sz w:val="20"/>
              </w:rPr>
              <w:t>Total assets</w:t>
            </w:r>
          </w:p>
        </w:tc>
        <w:tc>
          <w:tcPr>
            <w:tcW w:w="146" w:type="dxa"/>
            <w:tcBorders/>
            <w:shd w:fill="auto" w:val="clear"/>
            <w:vAlign w:val="center"/>
          </w:tcPr>
          <w:p>
            <w:pPr>
              <w:pStyle w:val="TableContents"/>
              <w:spacing w:before="0" w:after="0"/>
              <w:ind w:left="0" w:right="0" w:hanging="0"/>
              <w:jc w:val="left"/>
              <w:rPr/>
            </w:pPr>
            <w:r>
              <w:rPr/>
              <w:t> </w:t>
            </w:r>
          </w:p>
        </w:tc>
        <w:tc>
          <w:tcPr>
            <w:tcW w:w="230"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25"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1,537</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294"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80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1,523</w:t>
            </w:r>
          </w:p>
        </w:tc>
        <w:tc>
          <w:tcPr>
            <w:tcW w:w="39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firstLine="200"/>
              <w:jc w:val="left"/>
              <w:rPr/>
            </w:pPr>
            <w:r>
              <w:rPr/>
              <w:t> </w:t>
            </w:r>
          </w:p>
        </w:tc>
      </w:tr>
      <w:tr>
        <w:trPr/>
        <w:tc>
          <w:tcPr>
            <w:tcW w:w="2221" w:type="dxa"/>
            <w:tcBorders/>
            <w:shd w:fill="auto" w:val="clear"/>
            <w:vAlign w:val="center"/>
          </w:tcPr>
          <w:p>
            <w:pPr>
              <w:pStyle w:val="TableContents"/>
              <w:spacing w:before="0" w:after="0"/>
              <w:ind w:left="200" w:right="0" w:hanging="0"/>
              <w:jc w:val="left"/>
              <w:rPr>
                <w:rFonts w:ascii="Times New Roman;serif" w:hAnsi="Times New Roman;serif"/>
                <w:b w:val="false"/>
                <w:sz w:val="20"/>
              </w:rPr>
            </w:pPr>
            <w:r>
              <w:rPr>
                <w:rFonts w:ascii="Times New Roman;serif" w:hAnsi="Times New Roman;serif"/>
                <w:b w:val="false"/>
                <w:sz w:val="20"/>
              </w:rPr>
              <w:t>Total liabilities</w:t>
            </w:r>
          </w:p>
        </w:tc>
        <w:tc>
          <w:tcPr>
            <w:tcW w:w="146" w:type="dxa"/>
            <w:tcBorders/>
            <w:shd w:fill="auto" w:val="clear"/>
            <w:vAlign w:val="center"/>
          </w:tcPr>
          <w:p>
            <w:pPr>
              <w:pStyle w:val="TableContents"/>
              <w:spacing w:before="0" w:after="0"/>
              <w:ind w:left="0" w:right="0" w:hanging="0"/>
              <w:jc w:val="left"/>
              <w:rPr/>
            </w:pPr>
            <w:r>
              <w:rPr/>
              <w:t> </w:t>
            </w:r>
          </w:p>
        </w:tc>
        <w:tc>
          <w:tcPr>
            <w:tcW w:w="230"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25"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248</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294"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80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248</w:t>
            </w:r>
          </w:p>
        </w:tc>
        <w:tc>
          <w:tcPr>
            <w:tcW w:w="39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bl>
    <w:p>
      <w:pPr>
        <w:pStyle w:val="TextBody"/>
        <w:spacing w:before="0" w:after="0"/>
        <w:jc w:val="left"/>
        <w:rPr/>
      </w:pPr>
      <w:r>
        <w:rPr/>
        <w:t> </w:t>
      </w:r>
    </w:p>
    <w:p>
      <w:pPr>
        <w:pStyle w:val="TextBody"/>
        <w:spacing w:before="240" w:after="0"/>
        <w:jc w:val="center"/>
        <w:rPr>
          <w:rFonts w:ascii="Times New Roman;serif" w:hAnsi="Times New Roman;serif"/>
          <w:b w:val="false"/>
          <w:sz w:val="20"/>
        </w:rPr>
      </w:pPr>
      <w:r>
        <w:rPr>
          <w:rFonts w:ascii="Times New Roman;serif" w:hAnsi="Times New Roman;serif"/>
          <w:b w:val="false"/>
          <w:sz w:val="20"/>
        </w:rPr>
        <w:t>9</w:t>
      </w:r>
    </w:p>
    <w:p>
      <w:pPr>
        <w:pStyle w:val="HorizontalLine"/>
        <w:rPr/>
      </w:pPr>
      <w:r>
        <w:rPr/>
      </w:r>
    </w:p>
    <w:p>
      <w:pPr>
        <w:pStyle w:val="TextBody"/>
        <w:spacing w:before="0" w:after="0"/>
        <w:jc w:val="left"/>
        <w:rPr/>
      </w:pPr>
      <w:r>
        <w:rPr/>
        <w:t> </w:t>
      </w:r>
    </w:p>
    <w:p>
      <w:pPr>
        <w:pStyle w:val="TextBody"/>
        <w:spacing w:before="200" w:after="0"/>
        <w:jc w:val="both"/>
        <w:rPr>
          <w:rFonts w:ascii="Times New Roman;serif" w:hAnsi="Times New Roman;serif"/>
          <w:b w:val="false"/>
          <w:i/>
          <w:sz w:val="20"/>
        </w:rPr>
      </w:pPr>
      <w:r>
        <w:rPr>
          <w:rFonts w:ascii="Times New Roman;serif" w:hAnsi="Times New Roman;serif"/>
          <w:b w:val="false"/>
          <w:i/>
          <w:sz w:val="20"/>
        </w:rPr>
        <w:t>Estimates and Assumptions</w:t>
      </w:r>
    </w:p>
    <w:p>
      <w:pPr>
        <w:pStyle w:val="TextBody"/>
        <w:spacing w:before="200" w:after="0"/>
        <w:jc w:val="both"/>
        <w:rPr>
          <w:rFonts w:ascii="Times New Roman" w:hAnsi="Times New Roman"/>
          <w:sz w:val="20"/>
        </w:rPr>
      </w:pPr>
      <w:r>
        <w:rPr>
          <w:rFonts w:ascii="Times New Roman;serif" w:hAnsi="Times New Roman;serif"/>
          <w:b w:val="false"/>
          <w:sz w:val="20"/>
        </w:rPr>
        <w:t>In preparing the Company’s Condensed Consolidated Financial Statements, management makes judgments in applying various accounting policies. The areas of policy judgment are consistent with those reported in Note 3(b) of the Company’s audited Consolidated Financial Statements included in its 2022 Form 10-K. Management also considers that its determination of operating and reporting segments represents an area of judgment, and has made this conclusion on the basis of what comprises the discrete financial information produced, but not provided to or used by its Chief Operating Decision Maker (“CODM”) to carry out this function. In addition, management makes assumptions about the Company’s future operating results and cash flows in deriving critical accounting estimates used in preparing the Condensed Consolidated Financial Statements. The significant estimates made by management include, but are not limited to: (i) the allocation of the transaction price in an IMAX System arrangement to distinct performance obligations; (ii) the amount of variable consideration to be earned on sales of IMAX Systems based on projections of future box office performance; (iii) expected credit losses on accounts receivable, financing receivables, and variable consideration receivables; (iv) provisions for the write-down of excess and obsolete inventory; (v) the fair values of the reporting units used in assessing the recoverability of goodwill; (vi) the cash flow projections used in testing the recoverability of long-lived assets such as the system equipment supporting joint revenue sharing arrangements; (vii) the economic lives of the system equipment supporting joint revenue sharing arrangements; (viii) the useful lives of intangible assets; (ix) the ultimate revenue forecasts used to test the recoverability of film assets; (x) the discount rates used to determine the present value of financing receivables and lease liabilities, as well as to determine the fair values of the Company’s reporting units for the purpose of assessing the recoverability of goodwill; (xi) pension plan assumptions; (xii) estimates related to the fair value and projected vesting of share-based payment awards; (xiii) the valuation of deferred income tax assets; and (xiv) reserves related to uncertain tax positions.</w:t>
      </w:r>
      <w:r>
        <w:rPr>
          <w:rFonts w:ascii="Times New Roman" w:hAnsi="Times New Roman"/>
          <w:sz w:val="20"/>
        </w:rPr>
        <w:t xml:space="preserve"> </w:t>
      </w:r>
    </w:p>
    <w:p>
      <w:pPr>
        <w:pStyle w:val="TextBody"/>
        <w:spacing w:before="200" w:after="0"/>
        <w:jc w:val="both"/>
        <w:rPr>
          <w:rFonts w:ascii="Times New Roman;serif" w:hAnsi="Times New Roman;serif"/>
          <w:b/>
          <w:sz w:val="20"/>
        </w:rPr>
      </w:pPr>
      <w:r>
        <w:rPr>
          <w:rFonts w:ascii="Times New Roman;serif" w:hAnsi="Times New Roman;serif"/>
          <w:b/>
          <w:sz w:val="20"/>
        </w:rPr>
        <w:t>2. Recently Issued Accounting Standards</w:t>
      </w:r>
    </w:p>
    <w:p>
      <w:pPr>
        <w:pStyle w:val="TextBody"/>
        <w:spacing w:before="200" w:after="200"/>
        <w:jc w:val="both"/>
        <w:rPr>
          <w:rFonts w:ascii="Times New Roman;serif" w:hAnsi="Times New Roman;serif"/>
          <w:b/>
          <w:i/>
          <w:sz w:val="20"/>
        </w:rPr>
      </w:pPr>
      <w:r>
        <w:rPr>
          <w:rFonts w:ascii="Times New Roman;serif" w:hAnsi="Times New Roman;serif"/>
          <w:b/>
          <w:i/>
          <w:sz w:val="20"/>
        </w:rPr>
        <w:t>Adoption of New Accounting Policies</w:t>
      </w:r>
    </w:p>
    <w:p>
      <w:pPr>
        <w:pStyle w:val="TextBody"/>
        <w:spacing w:before="200" w:after="0"/>
        <w:jc w:val="both"/>
        <w:rPr>
          <w:rFonts w:ascii="Times New Roman" w:hAnsi="Times New Roman"/>
          <w:sz w:val="20"/>
        </w:rPr>
      </w:pPr>
      <w:r>
        <w:rPr>
          <w:rFonts w:ascii="Times New Roman;serif" w:hAnsi="Times New Roman;serif"/>
          <w:b w:val="false"/>
          <w:sz w:val="20"/>
        </w:rPr>
        <w:t>In March 2022, the FASB issued ASU No. 2022-02, “2022-02: Financial Instruments — Credit Losses (Topic 326): Troubled Debt Restructurings and Vintage Disclosures” (“ASU 2022-02”). ASU 2022-02 amends and eliminates the accounting guidance for Troubled Debt Restructurings by creditors, while enhancing disclosure requirements for certain loan refinancings and restructurings by creditors when a borrower is experiencing financial difficulty and requires for public business entities, to disclose current-period gross write offs by year of origination for financing receivables and net investments in leases. ASU 2022-02 is effective for fiscal years beginning after December 15, 2022, including interim periods within those fiscal years. Early adoption is permitted. The Company adopted</w:t>
      </w:r>
      <w:r>
        <w:rPr>
          <w:rFonts w:ascii="Times New Roman" w:hAnsi="Times New Roman"/>
          <w:sz w:val="20"/>
        </w:rPr>
        <w:t xml:space="preserve"> </w:t>
      </w:r>
      <w:r>
        <w:rPr>
          <w:rFonts w:ascii="Times New Roman;serif" w:hAnsi="Times New Roman;serif"/>
          <w:b w:val="false"/>
          <w:sz w:val="20"/>
        </w:rPr>
        <w:t>ASU 2022-02 for the period ended March 31, 2023.</w:t>
      </w:r>
      <w:r>
        <w:rPr>
          <w:rFonts w:ascii="Times New Roman" w:hAnsi="Times New Roman"/>
          <w:sz w:val="20"/>
        </w:rPr>
        <w:t xml:space="preserve"> </w:t>
      </w:r>
      <w:r>
        <w:rPr>
          <w:rFonts w:ascii="Times New Roman;serif" w:hAnsi="Times New Roman;serif"/>
          <w:b w:val="false"/>
          <w:sz w:val="20"/>
        </w:rPr>
        <w:t>The adoption of ASU 2022-02 did not have a material impact on the Company's Condensed Consolidated Financial Statements.</w:t>
      </w:r>
    </w:p>
    <w:p>
      <w:pPr>
        <w:pStyle w:val="TextBody"/>
        <w:spacing w:before="200" w:after="0"/>
        <w:jc w:val="both"/>
        <w:rPr>
          <w:rFonts w:ascii="Times New Roman" w:hAnsi="Times New Roman"/>
          <w:sz w:val="20"/>
        </w:rPr>
      </w:pPr>
      <w:r>
        <w:rPr>
          <w:rFonts w:ascii="Times New Roman;serif" w:hAnsi="Times New Roman;serif"/>
          <w:b w:val="false"/>
          <w:sz w:val="20"/>
        </w:rPr>
        <w:t>In September 2022, the FASB issued ASU No. 2022-04, “2022-04: Liabilities — Supplier Finance Programs (Subtopic 405-50): Disclosure of Supplier Finance Program Obligations” (“ASU 2022-04”). ASU 2022-04 requires that a buyer in a supplier finance program disclose sufficient information about the program to allow a user of financial statements to understand the program's nature, activity during the period, changes from period to period, and potential magnitude. ASU 2022-04 is effective for fiscal years beginning after December 15, 2022, including interim periods within those fiscal years. Early adoption is permitted. The Company adopted</w:t>
      </w:r>
      <w:r>
        <w:rPr>
          <w:rFonts w:ascii="Times New Roman" w:hAnsi="Times New Roman"/>
          <w:sz w:val="20"/>
        </w:rPr>
        <w:t xml:space="preserve"> </w:t>
      </w:r>
      <w:r>
        <w:rPr>
          <w:rFonts w:ascii="Times New Roman;serif" w:hAnsi="Times New Roman;serif"/>
          <w:b w:val="false"/>
          <w:sz w:val="20"/>
        </w:rPr>
        <w:t>ASU 2022-04 for the period ended March 31, 2023. The adoption of ASU 2022-04 did not have a material impact on the Company's Condensed Consolidated Financial Statements.</w:t>
      </w:r>
    </w:p>
    <w:p>
      <w:pPr>
        <w:pStyle w:val="TextBody"/>
        <w:spacing w:before="200" w:after="0"/>
        <w:jc w:val="both"/>
        <w:rPr>
          <w:rFonts w:ascii="Times New Roman;serif" w:hAnsi="Times New Roman;serif"/>
          <w:b/>
          <w:i/>
          <w:sz w:val="20"/>
        </w:rPr>
      </w:pPr>
      <w:r>
        <w:rPr>
          <w:rFonts w:ascii="Times New Roman;serif" w:hAnsi="Times New Roman;serif"/>
          <w:b/>
          <w:i/>
          <w:sz w:val="20"/>
        </w:rPr>
        <w:t>Recently Issued FASB Accounting Standard Codification Updates Not Yet Adopted</w:t>
      </w:r>
    </w:p>
    <w:p>
      <w:pPr>
        <w:pStyle w:val="TextBody"/>
        <w:spacing w:before="200" w:after="0"/>
        <w:jc w:val="both"/>
        <w:rPr>
          <w:rFonts w:ascii="Times New Roman;serif" w:hAnsi="Times New Roman;serif"/>
          <w:b w:val="false"/>
          <w:sz w:val="20"/>
        </w:rPr>
      </w:pPr>
      <w:r>
        <w:rPr>
          <w:rFonts w:ascii="Times New Roman;serif" w:hAnsi="Times New Roman;serif"/>
          <w:b w:val="false"/>
          <w:sz w:val="20"/>
        </w:rPr>
        <w:t>The Company considers the applicability and impact of all FASB ASUs that are recently issued, but not yet effective. ASUs that are not noted above were assessed and determined to be not applicable or not significant to the Company’s Condensed Consolidated Financial Statements for the period ended March 31, 2023.</w:t>
      </w:r>
    </w:p>
    <w:p>
      <w:pPr>
        <w:pStyle w:val="TextBody"/>
        <w:spacing w:before="200" w:after="0"/>
        <w:jc w:val="both"/>
        <w:rPr>
          <w:rFonts w:ascii="Times New Roman;serif" w:hAnsi="Times New Roman;serif"/>
          <w:b/>
          <w:sz w:val="20"/>
        </w:rPr>
      </w:pPr>
      <w:r>
        <w:rPr>
          <w:rFonts w:ascii="Times New Roman;serif" w:hAnsi="Times New Roman;serif"/>
          <w:b/>
          <w:sz w:val="20"/>
        </w:rPr>
        <w:t>3. Receivables</w:t>
      </w:r>
    </w:p>
    <w:p>
      <w:pPr>
        <w:pStyle w:val="TextBody"/>
        <w:spacing w:before="200" w:after="160"/>
        <w:jc w:val="both"/>
        <w:rPr>
          <w:rFonts w:ascii="Times New Roman" w:hAnsi="Times New Roman"/>
          <w:sz w:val="20"/>
        </w:rPr>
      </w:pPr>
      <w:r>
        <w:rPr>
          <w:rFonts w:ascii="Times New Roman;serif" w:hAnsi="Times New Roman;serif"/>
          <w:b w:val="false"/>
          <w:sz w:val="20"/>
        </w:rPr>
        <w:t>The</w:t>
      </w:r>
      <w:r>
        <w:rPr>
          <w:rFonts w:ascii="Times New Roman" w:hAnsi="Times New Roman"/>
          <w:sz w:val="20"/>
        </w:rPr>
        <w:t xml:space="preserve"> </w:t>
      </w:r>
      <w:r>
        <w:rPr>
          <w:rFonts w:ascii="Times New Roman;serif" w:hAnsi="Times New Roman;serif"/>
          <w:b w:val="false"/>
          <w:sz w:val="20"/>
        </w:rPr>
        <w:t>ability of the Company to collect its receivables is principally dependent on the viability and solvency of individual theater operators which is significantly influenced by consumer behavior and general economic conditions. Theater operators, or other customers, may experience financial difficulties that could result in them being unable to fulfill their payment obligations to the Company.</w:t>
      </w:r>
    </w:p>
    <w:p>
      <w:pPr>
        <w:pStyle w:val="TextBody"/>
        <w:spacing w:before="240" w:after="0"/>
        <w:jc w:val="center"/>
        <w:rPr>
          <w:rFonts w:ascii="Times New Roman;serif" w:hAnsi="Times New Roman;serif"/>
          <w:b w:val="false"/>
          <w:sz w:val="20"/>
        </w:rPr>
      </w:pPr>
      <w:r>
        <w:rPr>
          <w:rFonts w:ascii="Times New Roman;serif" w:hAnsi="Times New Roman;serif"/>
          <w:b w:val="false"/>
          <w:sz w:val="20"/>
        </w:rPr>
        <w:t>10</w:t>
      </w:r>
    </w:p>
    <w:p>
      <w:pPr>
        <w:pStyle w:val="HorizontalLine"/>
        <w:rPr/>
      </w:pPr>
      <w:r>
        <w:rPr/>
      </w:r>
    </w:p>
    <w:p>
      <w:pPr>
        <w:pStyle w:val="TextBody"/>
        <w:spacing w:before="0" w:after="0"/>
        <w:jc w:val="left"/>
        <w:rPr/>
      </w:pPr>
      <w:r>
        <w:rPr/>
        <w:t> </w:t>
      </w:r>
    </w:p>
    <w:p>
      <w:pPr>
        <w:pStyle w:val="TextBody"/>
        <w:spacing w:before="200" w:after="160"/>
        <w:jc w:val="both"/>
        <w:rPr>
          <w:rFonts w:ascii="Times New Roman;serif" w:hAnsi="Times New Roman;serif"/>
          <w:b w:val="false"/>
          <w:sz w:val="20"/>
        </w:rPr>
      </w:pPr>
      <w:r>
        <w:rPr>
          <w:rFonts w:ascii="Times New Roman;serif" w:hAnsi="Times New Roman;serif"/>
          <w:b w:val="false"/>
          <w:sz w:val="20"/>
        </w:rPr>
        <w:t>In order to mitigate the credit risk associated with its receivables, management performs an initial credit evaluation prior to entering into an arrangement with a customer and then regularly monitors the credit quality of each customer through an analysis of collections history and aging. This monitoring process includes meetings on at least a monthly basis to identify credit concerns and potential changes in credit quality classification. A customer may improve their credit quality classification once a substantial payment is made on an overdue balance or when the customer has agreed to a payment plan and payments have commenced in accordance with that plan. Changes in credit quality classification are dependent upon management approval. The Company’s internal credit quality classifications for theater operators are as follows:</w:t>
      </w:r>
    </w:p>
    <w:p>
      <w:pPr>
        <w:pStyle w:val="TextBody"/>
        <w:spacing w:before="200" w:after="0"/>
        <w:jc w:val="both"/>
        <w:rPr/>
      </w:pPr>
      <w:r>
        <w:rPr/>
        <w:t>•</w:t>
      </w:r>
    </w:p>
    <w:p>
      <w:pPr>
        <w:pStyle w:val="TextBody"/>
        <w:spacing w:before="200" w:after="0"/>
        <w:jc w:val="both"/>
        <w:rPr>
          <w:rFonts w:ascii="Times New Roman;serif" w:hAnsi="Times New Roman;serif"/>
          <w:b w:val="false"/>
          <w:sz w:val="20"/>
        </w:rPr>
      </w:pPr>
      <w:r>
        <w:rPr>
          <w:rFonts w:ascii="Times New Roman;serif" w:hAnsi="Times New Roman;serif"/>
          <w:b w:val="false"/>
          <w:sz w:val="20"/>
        </w:rPr>
        <w:t>Good Standing — The theater operator continues to be in good standing as payments and reporting are received on a regular basis.</w:t>
      </w:r>
    </w:p>
    <w:p>
      <w:pPr>
        <w:pStyle w:val="TextBody"/>
        <w:spacing w:before="200" w:after="0"/>
        <w:jc w:val="both"/>
        <w:rPr/>
      </w:pPr>
      <w:r>
        <w:rPr/>
        <w:t>•</w:t>
      </w:r>
    </w:p>
    <w:p>
      <w:pPr>
        <w:pStyle w:val="TextBody"/>
        <w:spacing w:before="200" w:after="0"/>
        <w:jc w:val="both"/>
        <w:rPr>
          <w:rFonts w:ascii="Times New Roman;serif" w:hAnsi="Times New Roman;serif"/>
          <w:b w:val="false"/>
          <w:sz w:val="20"/>
        </w:rPr>
      </w:pPr>
      <w:r>
        <w:rPr>
          <w:rFonts w:ascii="Times New Roman;serif" w:hAnsi="Times New Roman;serif"/>
          <w:b w:val="false"/>
          <w:sz w:val="20"/>
        </w:rPr>
        <w:t>Credit Watch — The theater operator has demonstrated a delay in payments, but continues to be in active communication with the Company. Theater operators placed on Credit Watch are subject to enhanced monitoring. In addition, depending on the size of the outstanding balance, length of time in arrears, and other factors, future transactions may need to be approved by management. These receivables are in better condition than those in the Pre-Approved Transactions Only category, but are not in as good condition as the receivables in the Good Standing category.</w:t>
      </w:r>
    </w:p>
    <w:p>
      <w:pPr>
        <w:pStyle w:val="TextBody"/>
        <w:spacing w:before="200" w:after="0"/>
        <w:jc w:val="both"/>
        <w:rPr/>
      </w:pPr>
      <w:r>
        <w:rPr/>
        <w:t>•</w:t>
      </w:r>
    </w:p>
    <w:p>
      <w:pPr>
        <w:pStyle w:val="TextBody"/>
        <w:spacing w:before="200" w:after="0"/>
        <w:jc w:val="both"/>
        <w:rPr>
          <w:rFonts w:ascii="Times New Roman;serif" w:hAnsi="Times New Roman;serif"/>
          <w:b w:val="false"/>
          <w:sz w:val="20"/>
        </w:rPr>
      </w:pPr>
      <w:r>
        <w:rPr>
          <w:rFonts w:ascii="Times New Roman;serif" w:hAnsi="Times New Roman;serif"/>
          <w:b w:val="false"/>
          <w:sz w:val="20"/>
        </w:rPr>
        <w:t xml:space="preserve">Pre-Approved Transactions Only — The theater operator has demonstrated a delay in payments with little or no communication with the Company. All services and shipments to the theater operator must be reviewed and approved by management. These receivables are in better condition than those in the All Transactions Suspended category, but are not in as good condition as the receivables in the Credit Watch category. In certain situations, a theater operator may be placed on nonaccrual status and all revenue recognition related to the theater may be suspended, including the accretion of Finance Income for Financing Receivables. </w:t>
      </w:r>
    </w:p>
    <w:p>
      <w:pPr>
        <w:pStyle w:val="TextBody"/>
        <w:spacing w:before="200" w:after="0"/>
        <w:jc w:val="both"/>
        <w:rPr/>
      </w:pPr>
      <w:r>
        <w:rPr/>
        <w:t>•</w:t>
      </w:r>
    </w:p>
    <w:p>
      <w:pPr>
        <w:pStyle w:val="TextBody"/>
        <w:spacing w:before="200" w:after="283"/>
        <w:jc w:val="both"/>
        <w:rPr>
          <w:rFonts w:ascii="Times New Roman;serif" w:hAnsi="Times New Roman;serif"/>
          <w:b w:val="false"/>
          <w:sz w:val="20"/>
        </w:rPr>
      </w:pPr>
      <w:r>
        <w:rPr>
          <w:rFonts w:ascii="Times New Roman;serif" w:hAnsi="Times New Roman;serif"/>
          <w:b w:val="false"/>
          <w:sz w:val="20"/>
        </w:rPr>
        <w:t>All Transactions Suspended — The theater operator is severely delinquent, non-responsive or not negotiating in good faith with the Company. Once a theater operator is classified within the All Transactions Suspended category, the theater is placed on nonaccrual status and all revenue recognitions related to the theater are suspended, including the accretion of Finance Income for Financing Receivables.</w:t>
      </w:r>
    </w:p>
    <w:p>
      <w:pPr>
        <w:pStyle w:val="TextBody"/>
        <w:spacing w:before="200" w:after="160"/>
        <w:jc w:val="both"/>
        <w:rPr>
          <w:rFonts w:ascii="Times New Roman;serif" w:hAnsi="Times New Roman;serif"/>
          <w:b w:val="false"/>
          <w:sz w:val="20"/>
        </w:rPr>
      </w:pPr>
      <w:r>
        <w:rPr>
          <w:rFonts w:ascii="Times New Roman;serif" w:hAnsi="Times New Roman;serif"/>
          <w:b w:val="false"/>
          <w:sz w:val="20"/>
        </w:rPr>
        <w:t>During the period when the accretion of Finance Income is suspended for Financing Receivables, any payments received from a customer are applied against the outstanding balance owed. If payments are sufficient to cover any unreserved receivables, a reversal of the provision is recorded to the extent of the residual cash received. Once the collectability issues are resolved and the customer has returned to being in good standing, the Company will resume recognition of Finance Income.</w:t>
      </w:r>
    </w:p>
    <w:p>
      <w:pPr>
        <w:pStyle w:val="TextBody"/>
        <w:spacing w:before="200" w:after="160"/>
        <w:jc w:val="both"/>
        <w:rPr>
          <w:rFonts w:ascii="Times New Roman" w:hAnsi="Times New Roman"/>
          <w:sz w:val="20"/>
        </w:rPr>
      </w:pPr>
      <w:r>
        <w:rPr>
          <w:rFonts w:ascii="Times New Roman;serif" w:hAnsi="Times New Roman;serif"/>
          <w:b w:val="false"/>
          <w:sz w:val="20"/>
        </w:rPr>
        <w:t>When a customer’s aging exceeds 90 days, the Company’s policy is to perform an enhanced review to assess collectability of the theater’s past due accounts. The over 90 days past due category may be an indicator of potential impairment as up to 90 days outstanding is considered to be a reasonable time to resolve any issues.</w:t>
      </w:r>
      <w:r>
        <w:rPr>
          <w:rFonts w:ascii="Times New Roman" w:hAnsi="Times New Roman"/>
          <w:sz w:val="20"/>
        </w:rPr>
        <w:t xml:space="preserve"> </w:t>
      </w:r>
    </w:p>
    <w:p>
      <w:pPr>
        <w:pStyle w:val="TextBody"/>
        <w:spacing w:before="200" w:after="160"/>
        <w:jc w:val="both"/>
        <w:rPr>
          <w:rFonts w:ascii="Times New Roman;serif" w:hAnsi="Times New Roman;serif"/>
          <w:b w:val="false"/>
          <w:sz w:val="20"/>
        </w:rPr>
      </w:pPr>
      <w:r>
        <w:rPr>
          <w:rFonts w:ascii="Times New Roman;serif" w:hAnsi="Times New Roman;serif"/>
          <w:b w:val="false"/>
          <w:sz w:val="20"/>
        </w:rPr>
        <w:t>The Company develops an estimate of expected credit losses by class of receivable and customer type through a calculation that utilizes historical loss rates, which are then adjusted for specific receivables that are judged to have a higher-than-normal risk profile after considering management’s internal credit quality classifications. Additional credit loss provisions are also recorded taking into account macro-economic and industry risk factors. The write-off of any billed receivable balance requires the approval of management.</w:t>
      </w:r>
    </w:p>
    <w:p>
      <w:pPr>
        <w:pStyle w:val="TextBody"/>
        <w:spacing w:before="200" w:after="0"/>
        <w:jc w:val="both"/>
        <w:rPr>
          <w:rFonts w:ascii="Times New Roman" w:hAnsi="Times New Roman"/>
          <w:sz w:val="20"/>
        </w:rPr>
      </w:pPr>
      <w:r>
        <w:rPr>
          <w:rFonts w:ascii="Times New Roman;serif" w:hAnsi="Times New Roman;serif"/>
          <w:b w:val="false"/>
          <w:sz w:val="20"/>
        </w:rPr>
        <w:t>Commencing in March 2022, in response to numerous sanctions imposed by the United States, Canada and the European Union on companies transacting in Russia and Belarus resulting from ongoing conflict between Russia and Ukraine, the Company suspended its operations in Russia and Belarus. In the first quarter of 2022, the Company recorded provisions for potential credit losses against substantially all of its receivables in Russia due to uncertainties associated with the ongoing conflict and resulting sanctions. These receivables relate to existing sale agreements as the Company is not party to any joint revenue sharing arrangements in these countries. In addition, beginning in the first quarter of 2022, exhibitors in Russia, Ukraine, and Belarus were placed on nonaccrual status for maintenance revenue and finance income. As of March 31, 2023, all IMAX Systems in Ukraine have reopened. The Company continues to closely monitor the evolving impacts of this conflict (including the sanctions imposed by the United States, Canada and the European Union) and its effects on the global economy and the Company.</w:t>
      </w:r>
      <w:r>
        <w:rPr>
          <w:rFonts w:ascii="Times New Roman" w:hAnsi="Times New Roman"/>
          <w:sz w:val="20"/>
        </w:rPr>
        <w:t xml:space="preserve"> </w:t>
      </w:r>
    </w:p>
    <w:p>
      <w:pPr>
        <w:pStyle w:val="TextBody"/>
        <w:spacing w:before="240" w:after="0"/>
        <w:jc w:val="center"/>
        <w:rPr>
          <w:rFonts w:ascii="Times New Roman;serif" w:hAnsi="Times New Roman;serif"/>
          <w:b w:val="false"/>
          <w:sz w:val="20"/>
        </w:rPr>
      </w:pPr>
      <w:r>
        <w:rPr>
          <w:rFonts w:ascii="Times New Roman;serif" w:hAnsi="Times New Roman;serif"/>
          <w:b w:val="false"/>
          <w:sz w:val="20"/>
        </w:rPr>
        <w:t>11</w:t>
      </w:r>
    </w:p>
    <w:p>
      <w:pPr>
        <w:pStyle w:val="HorizontalLine"/>
        <w:rPr/>
      </w:pPr>
      <w:r>
        <w:rPr/>
      </w:r>
    </w:p>
    <w:p>
      <w:pPr>
        <w:pStyle w:val="TextBody"/>
        <w:spacing w:before="0" w:after="0"/>
        <w:jc w:val="left"/>
        <w:rPr/>
      </w:pPr>
      <w:r>
        <w:rPr/>
        <w:t> </w:t>
      </w:r>
    </w:p>
    <w:p>
      <w:pPr>
        <w:pStyle w:val="TextBody"/>
        <w:spacing w:before="200" w:after="0"/>
        <w:jc w:val="both"/>
        <w:rPr>
          <w:rFonts w:ascii="Times New Roman" w:hAnsi="Times New Roman"/>
          <w:sz w:val="20"/>
        </w:rPr>
      </w:pPr>
      <w:r>
        <w:rPr>
          <w:rFonts w:ascii="Times New Roman;serif" w:hAnsi="Times New Roman;serif"/>
          <w:b w:val="false"/>
          <w:sz w:val="20"/>
        </w:rPr>
        <w:t>On September 7, 2022, Cineworld, the parent company of Regal, and certain of its subsidiaries and Regal CineMedia Holdings, LLC, filed petitions for reorganization under Chapter 11 of the United States Bankruptcy Code in the Southern District of Texas. The Company had an unsecured pre-petition claim of $11.4</w:t>
      </w:r>
      <w:r>
        <w:rPr>
          <w:rFonts w:ascii="Times New Roman" w:hAnsi="Times New Roman"/>
          <w:sz w:val="20"/>
        </w:rPr>
        <w:t xml:space="preserve"> </w:t>
      </w:r>
      <w:r>
        <w:rPr>
          <w:rFonts w:ascii="Times New Roman;serif" w:hAnsi="Times New Roman;serif"/>
          <w:b w:val="false"/>
          <w:sz w:val="20"/>
        </w:rPr>
        <w:t>million related to receivables from the entities included in the reorganization proceedings. On October 21, 2022, the Company was ratified by the bankruptcy court as a critical vendor of Cineworld, allowing the Company to collect pre-petition amounts owed to it by Cineworld, and requiring Cineworld to stay current on the Company’s post-petition receivables. On November 8, 2022, IMAX Corporation entered into a trade agreement with Cineworld (the “Trade Agreement”), pursuant to which Cineworld affirmed its pre-petition obligations to the Company and its post-petition obligations to the Company during the Chapter 11 proceedings, the amount of the receivables owed to the Company and agreed to a payment plan under which all amounts due will be settled over the period from November 9, 2022 to April 12, 2023. As of April 17, 2023, the Company had received all of the payments due from Cineworld in accordance with the terms of the Trade Agreement with respect to the pre-petition obligations. Based on its evaluation of its contracts with Cineworld, its assessment of the reorganization and its discussions with Cineworld to date, the Company has determined that no additional provision for expected credit losses is required. The Company also does not expect to see a material impact on its IMAX network with Cineworld resulting from this reorganization. There can, however, be no guarantees as to the ultimate outcome of a Chapter 11 proceeding.</w:t>
      </w:r>
    </w:p>
    <w:p>
      <w:pPr>
        <w:pStyle w:val="TextBody"/>
        <w:spacing w:before="200" w:after="160"/>
        <w:jc w:val="both"/>
        <w:rPr>
          <w:rFonts w:ascii="Times New Roman;serif" w:hAnsi="Times New Roman;serif"/>
          <w:b w:val="false"/>
          <w:sz w:val="20"/>
        </w:rPr>
      </w:pPr>
      <w:r>
        <w:rPr>
          <w:rFonts w:ascii="Times New Roman;serif" w:hAnsi="Times New Roman;serif"/>
          <w:b w:val="false"/>
          <w:sz w:val="20"/>
        </w:rPr>
        <w:t>Management’s judgments regarding expected credit losses are based on the facts available to management and involve estimates about the future. As a result, the Company’s judgments and associated estimates of credit losses may ultimately prove, with the benefit of hindsight, to be incorrect. The impacts of inflation, and rising interest rates may impact future credit losses. The Company will continue to monitor economic trends and conditions and portfolio performance and adjust its allowance for credit loss accordingly.</w:t>
      </w:r>
    </w:p>
    <w:p>
      <w:pPr>
        <w:pStyle w:val="TextBody"/>
        <w:spacing w:before="0" w:after="0"/>
        <w:jc w:val="left"/>
        <w:rPr>
          <w:rFonts w:ascii="Times New Roman;serif" w:hAnsi="Times New Roman;serif"/>
          <w:b w:val="false"/>
          <w:i/>
          <w:sz w:val="20"/>
        </w:rPr>
      </w:pPr>
      <w:r>
        <w:rPr>
          <w:rFonts w:ascii="Times New Roman;serif" w:hAnsi="Times New Roman;serif"/>
          <w:b w:val="false"/>
          <w:i/>
          <w:sz w:val="20"/>
        </w:rPr>
        <w:t>Accounts Receivable</w:t>
      </w:r>
    </w:p>
    <w:p>
      <w:pPr>
        <w:pStyle w:val="TextBody"/>
        <w:spacing w:before="200" w:after="160"/>
        <w:jc w:val="both"/>
        <w:rPr>
          <w:rFonts w:ascii="Times New Roman" w:hAnsi="Times New Roman"/>
          <w:sz w:val="20"/>
        </w:rPr>
      </w:pPr>
      <w:r>
        <w:rPr>
          <w:rFonts w:ascii="Times New Roman;serif" w:hAnsi="Times New Roman;serif"/>
          <w:b w:val="false"/>
          <w:sz w:val="20"/>
        </w:rPr>
        <w:t>Accounts receivable principally includes amounts currently due to the Company under IMAX System sale and sales-type lease arrangements, contingent fees owed by theater operators as a result of box office performance, and fees for maintenance services. Accounts receivable also includes amounts due to the Company from movie studios and other content creators principally for digitally remastering films into IMAX formats, as well as for film distribution and post-production services.</w:t>
      </w:r>
      <w:r>
        <w:rPr>
          <w:rFonts w:ascii="Times New Roman" w:hAnsi="Times New Roman"/>
          <w:sz w:val="20"/>
        </w:rPr>
        <w:t xml:space="preserve"> </w:t>
      </w:r>
    </w:p>
    <w:p>
      <w:pPr>
        <w:pStyle w:val="TextBody"/>
        <w:spacing w:before="200" w:after="200"/>
        <w:jc w:val="both"/>
        <w:rPr>
          <w:rFonts w:ascii="Times New Roman;serif" w:hAnsi="Times New Roman;serif"/>
          <w:b w:val="false"/>
          <w:sz w:val="20"/>
        </w:rPr>
      </w:pPr>
      <w:r>
        <w:rPr>
          <w:rFonts w:ascii="Times New Roman;serif" w:hAnsi="Times New Roman;serif"/>
          <w:b w:val="false"/>
          <w:sz w:val="20"/>
        </w:rPr>
        <w:t>The following tables summarize the activity in the allowance for credit losses related to Accounts Receivable for the three months ended March 31, 2023 and 2022:</w:t>
      </w:r>
    </w:p>
    <w:tbl>
      <w:tblPr>
        <w:tblW w:w="7836" w:type="dxa"/>
        <w:jc w:val="left"/>
        <w:tblInd w:w="0" w:type="dxa"/>
        <w:tblCellMar>
          <w:top w:w="28" w:type="dxa"/>
          <w:left w:w="28" w:type="dxa"/>
          <w:bottom w:w="28" w:type="dxa"/>
          <w:right w:w="28" w:type="dxa"/>
        </w:tblCellMar>
      </w:tblPr>
      <w:tblGrid>
        <w:gridCol w:w="3271"/>
        <w:gridCol w:w="211"/>
        <w:gridCol w:w="676"/>
        <w:gridCol w:w="166"/>
        <w:gridCol w:w="146"/>
        <w:gridCol w:w="211"/>
        <w:gridCol w:w="571"/>
        <w:gridCol w:w="166"/>
        <w:gridCol w:w="146"/>
        <w:gridCol w:w="211"/>
        <w:gridCol w:w="571"/>
        <w:gridCol w:w="146"/>
        <w:gridCol w:w="146"/>
        <w:gridCol w:w="211"/>
        <w:gridCol w:w="676"/>
        <w:gridCol w:w="311"/>
      </w:tblGrid>
      <w:tr>
        <w:trPr/>
        <w:tc>
          <w:tcPr>
            <w:tcW w:w="3271"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676" w:type="dxa"/>
            <w:tcBorders/>
            <w:shd w:fill="auto" w:val="clear"/>
            <w:vAlign w:val="center"/>
          </w:tcPr>
          <w:p>
            <w:pPr>
              <w:pStyle w:val="TableContents"/>
              <w:spacing w:before="0" w:after="283"/>
              <w:rPr>
                <w:sz w:val="4"/>
                <w:szCs w:val="4"/>
              </w:rPr>
            </w:pPr>
            <w:r>
              <w:rPr>
                <w:sz w:val="4"/>
                <w:szCs w:val="4"/>
              </w:rPr>
            </w:r>
          </w:p>
        </w:tc>
        <w:tc>
          <w:tcPr>
            <w:tcW w:w="16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571" w:type="dxa"/>
            <w:tcBorders/>
            <w:shd w:fill="auto" w:val="clear"/>
            <w:vAlign w:val="center"/>
          </w:tcPr>
          <w:p>
            <w:pPr>
              <w:pStyle w:val="TableContents"/>
              <w:spacing w:before="0" w:after="283"/>
              <w:rPr>
                <w:sz w:val="4"/>
                <w:szCs w:val="4"/>
              </w:rPr>
            </w:pPr>
            <w:r>
              <w:rPr>
                <w:sz w:val="4"/>
                <w:szCs w:val="4"/>
              </w:rPr>
            </w:r>
          </w:p>
        </w:tc>
        <w:tc>
          <w:tcPr>
            <w:tcW w:w="16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571"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676" w:type="dxa"/>
            <w:tcBorders/>
            <w:shd w:fill="auto" w:val="clear"/>
            <w:vAlign w:val="center"/>
          </w:tcPr>
          <w:p>
            <w:pPr>
              <w:pStyle w:val="TableContents"/>
              <w:spacing w:before="0" w:after="283"/>
              <w:rPr>
                <w:sz w:val="4"/>
                <w:szCs w:val="4"/>
              </w:rPr>
            </w:pPr>
            <w:r>
              <w:rPr>
                <w:sz w:val="4"/>
                <w:szCs w:val="4"/>
              </w:rPr>
            </w:r>
          </w:p>
        </w:tc>
        <w:tc>
          <w:tcPr>
            <w:tcW w:w="311" w:type="dxa"/>
            <w:tcBorders/>
            <w:shd w:fill="auto" w:val="clear"/>
            <w:vAlign w:val="center"/>
          </w:tcPr>
          <w:p>
            <w:pPr>
              <w:pStyle w:val="TableContents"/>
              <w:spacing w:before="0" w:after="283"/>
              <w:rPr>
                <w:sz w:val="4"/>
                <w:szCs w:val="4"/>
              </w:rPr>
            </w:pPr>
            <w:r>
              <w:rPr>
                <w:sz w:val="4"/>
                <w:szCs w:val="4"/>
              </w:rPr>
            </w:r>
          </w:p>
        </w:tc>
      </w:tr>
      <w:tr>
        <w:trPr/>
        <w:tc>
          <w:tcPr>
            <w:tcW w:w="3271" w:type="dxa"/>
            <w:tcBorders/>
            <w:shd w:fill="auto" w:val="clear"/>
            <w:vAlign w:val="center"/>
          </w:tcPr>
          <w:p>
            <w:pPr>
              <w:pStyle w:val="TableContents"/>
              <w:spacing w:before="0" w:after="0"/>
              <w:ind w:left="0" w:right="0" w:hanging="0"/>
              <w:jc w:val="left"/>
              <w:rPr/>
            </w:pPr>
            <w:r>
              <w:rPr/>
              <w:t> </w:t>
            </w:r>
          </w:p>
        </w:tc>
        <w:tc>
          <w:tcPr>
            <w:tcW w:w="4254" w:type="dxa"/>
            <w:gridSpan w:val="14"/>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Three Months Ended March 31, 2023</w:t>
            </w:r>
          </w:p>
        </w:tc>
        <w:tc>
          <w:tcPr>
            <w:tcW w:w="3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3271" w:type="dxa"/>
            <w:tcBorders/>
            <w:shd w:fill="auto" w:val="clear"/>
            <w:vAlign w:val="center"/>
          </w:tcPr>
          <w:p>
            <w:pPr>
              <w:pStyle w:val="TableContents"/>
              <w:spacing w:before="0" w:after="0"/>
              <w:ind w:left="0" w:right="0" w:hanging="0"/>
              <w:jc w:val="left"/>
              <w:rPr>
                <w:rFonts w:ascii="Times New Roman;serif" w:hAnsi="Times New Roman;serif"/>
                <w:b w:val="false"/>
                <w:i/>
                <w:sz w:val="16"/>
              </w:rPr>
            </w:pPr>
            <w:r>
              <w:rPr>
                <w:rFonts w:ascii="Times New Roman;serif" w:hAnsi="Times New Roman;serif"/>
                <w:b w:val="false"/>
                <w:i/>
                <w:sz w:val="16"/>
              </w:rPr>
              <w:t>(In thousands of U.S. Dollars)</w:t>
            </w:r>
          </w:p>
        </w:tc>
        <w:tc>
          <w:tcPr>
            <w:tcW w:w="887"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Theater</w:t>
              <w:br/>
              <w:t>Operators</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782"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Studios</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782"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Other</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887"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Total</w:t>
            </w:r>
          </w:p>
        </w:tc>
        <w:tc>
          <w:tcPr>
            <w:tcW w:w="3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327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Beginning balance</w:t>
            </w:r>
          </w:p>
        </w:tc>
        <w:tc>
          <w:tcPr>
            <w:tcW w:w="21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7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11,144</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57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1,699</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57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1,276</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7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14,119</w:t>
            </w:r>
          </w:p>
        </w:tc>
        <w:tc>
          <w:tcPr>
            <w:tcW w:w="311" w:type="dxa"/>
            <w:tcBorders/>
            <w:shd w:fill="auto" w:val="clear"/>
            <w:vAlign w:val="center"/>
          </w:tcPr>
          <w:p>
            <w:pPr>
              <w:pStyle w:val="TableContents"/>
              <w:spacing w:before="0" w:after="0"/>
              <w:ind w:left="0" w:right="0" w:firstLine="100"/>
              <w:jc w:val="left"/>
              <w:rPr/>
            </w:pPr>
            <w:r>
              <w:rPr/>
              <w:t> </w:t>
            </w:r>
          </w:p>
        </w:tc>
      </w:tr>
      <w:tr>
        <w:trPr/>
        <w:tc>
          <w:tcPr>
            <w:tcW w:w="3271" w:type="dxa"/>
            <w:tcBorders/>
            <w:shd w:fill="auto" w:val="clear"/>
            <w:vAlign w:val="center"/>
          </w:tcPr>
          <w:p>
            <w:pPr>
              <w:pStyle w:val="TableContents"/>
              <w:spacing w:before="0" w:after="0"/>
              <w:ind w:left="100" w:right="0" w:hanging="0"/>
              <w:jc w:val="left"/>
              <w:rPr>
                <w:rFonts w:ascii="Times New Roman;serif" w:hAnsi="Times New Roman;serif"/>
                <w:b w:val="false"/>
                <w:sz w:val="20"/>
              </w:rPr>
            </w:pPr>
            <w:r>
              <w:rPr>
                <w:rFonts w:ascii="Times New Roman;serif" w:hAnsi="Times New Roman;serif"/>
                <w:b w:val="false"/>
                <w:sz w:val="20"/>
              </w:rPr>
              <w:t>Current period (reversal) provision, net</w:t>
            </w:r>
          </w:p>
        </w:tc>
        <w:tc>
          <w:tcPr>
            <w:tcW w:w="211" w:type="dxa"/>
            <w:tcBorders/>
            <w:shd w:fill="auto" w:val="clear"/>
            <w:vAlign w:val="center"/>
          </w:tcPr>
          <w:p>
            <w:pPr>
              <w:pStyle w:val="TableContents"/>
              <w:spacing w:before="0" w:after="0"/>
              <w:ind w:left="0" w:right="0" w:hanging="0"/>
              <w:jc w:val="left"/>
              <w:rPr/>
            </w:pPr>
            <w:r>
              <w:rPr/>
              <w:t> </w:t>
            </w:r>
          </w:p>
        </w:tc>
        <w:tc>
          <w:tcPr>
            <w:tcW w:w="67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(265</w:t>
            </w:r>
          </w:p>
        </w:tc>
        <w:tc>
          <w:tcPr>
            <w:tcW w:w="16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57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57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21</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67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(241</w:t>
            </w:r>
          </w:p>
        </w:tc>
        <w:tc>
          <w:tcPr>
            <w:tcW w:w="311" w:type="dxa"/>
            <w:tcBorders/>
            <w:shd w:fill="auto" w:val="clear"/>
            <w:vAlign w:val="center"/>
          </w:tcPr>
          <w:p>
            <w:pPr>
              <w:pStyle w:val="TableContents"/>
              <w:spacing w:before="0" w:after="0"/>
              <w:ind w:left="0" w:right="0" w:firstLine="100"/>
              <w:jc w:val="left"/>
              <w:rPr>
                <w:rFonts w:ascii="Times New Roman;serif" w:hAnsi="Times New Roman;serif"/>
                <w:b w:val="false"/>
                <w:sz w:val="20"/>
              </w:rPr>
            </w:pPr>
            <w:r>
              <w:rPr>
                <w:rFonts w:ascii="Times New Roman;serif" w:hAnsi="Times New Roman;serif"/>
                <w:b w:val="false"/>
                <w:sz w:val="20"/>
              </w:rPr>
              <w:t>)</w:t>
            </w:r>
          </w:p>
        </w:tc>
      </w:tr>
      <w:tr>
        <w:trPr/>
        <w:tc>
          <w:tcPr>
            <w:tcW w:w="3271" w:type="dxa"/>
            <w:tcBorders/>
            <w:shd w:fill="auto" w:val="clear"/>
            <w:vAlign w:val="center"/>
          </w:tcPr>
          <w:p>
            <w:pPr>
              <w:pStyle w:val="TableContents"/>
              <w:spacing w:before="0" w:after="0"/>
              <w:ind w:left="100" w:right="0" w:hanging="0"/>
              <w:jc w:val="left"/>
              <w:rPr>
                <w:rFonts w:ascii="Times New Roman;serif" w:hAnsi="Times New Roman;serif"/>
                <w:b w:val="false"/>
                <w:sz w:val="20"/>
              </w:rPr>
            </w:pPr>
            <w:r>
              <w:rPr>
                <w:rFonts w:ascii="Times New Roman;serif" w:hAnsi="Times New Roman;serif"/>
                <w:b w:val="false"/>
                <w:sz w:val="20"/>
              </w:rPr>
              <w:t>Write-offs</w:t>
            </w:r>
          </w:p>
        </w:tc>
        <w:tc>
          <w:tcPr>
            <w:tcW w:w="211" w:type="dxa"/>
            <w:tcBorders/>
            <w:shd w:fill="auto" w:val="clear"/>
            <w:vAlign w:val="center"/>
          </w:tcPr>
          <w:p>
            <w:pPr>
              <w:pStyle w:val="TableContents"/>
              <w:spacing w:before="0" w:after="0"/>
              <w:ind w:left="0" w:right="0" w:hanging="0"/>
              <w:jc w:val="left"/>
              <w:rPr/>
            </w:pPr>
            <w:r>
              <w:rPr/>
              <w:t> </w:t>
            </w:r>
          </w:p>
        </w:tc>
        <w:tc>
          <w:tcPr>
            <w:tcW w:w="67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(115</w:t>
            </w:r>
          </w:p>
        </w:tc>
        <w:tc>
          <w:tcPr>
            <w:tcW w:w="16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571" w:type="dxa"/>
            <w:tcBorders/>
            <w:shd w:fill="auto" w:val="clear"/>
            <w:vAlign w:val="center"/>
          </w:tcPr>
          <w:p>
            <w:pPr>
              <w:pStyle w:val="TableContents"/>
              <w:spacing w:before="0" w:after="0"/>
              <w:ind w:left="0" w:right="0" w:hanging="0"/>
              <w:jc w:val="right"/>
              <w:rPr/>
            </w:pPr>
            <w:r>
              <w:rPr/>
              <w:t>—</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571"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67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(115</w:t>
            </w:r>
          </w:p>
        </w:tc>
        <w:tc>
          <w:tcPr>
            <w:tcW w:w="311" w:type="dxa"/>
            <w:tcBorders/>
            <w:shd w:fill="auto" w:val="clear"/>
            <w:vAlign w:val="center"/>
          </w:tcPr>
          <w:p>
            <w:pPr>
              <w:pStyle w:val="TableContents"/>
              <w:spacing w:before="0" w:after="0"/>
              <w:ind w:left="0" w:right="0" w:firstLine="100"/>
              <w:jc w:val="left"/>
              <w:rPr>
                <w:rFonts w:ascii="Times New Roman;serif" w:hAnsi="Times New Roman;serif"/>
                <w:b w:val="false"/>
                <w:sz w:val="20"/>
              </w:rPr>
            </w:pPr>
            <w:r>
              <w:rPr>
                <w:rFonts w:ascii="Times New Roman;serif" w:hAnsi="Times New Roman;serif"/>
                <w:b w:val="false"/>
                <w:sz w:val="20"/>
              </w:rPr>
              <w:t>)</w:t>
            </w:r>
          </w:p>
        </w:tc>
      </w:tr>
      <w:tr>
        <w:trPr/>
        <w:tc>
          <w:tcPr>
            <w:tcW w:w="3271" w:type="dxa"/>
            <w:tcBorders/>
            <w:shd w:fill="auto" w:val="clear"/>
            <w:vAlign w:val="center"/>
          </w:tcPr>
          <w:p>
            <w:pPr>
              <w:pStyle w:val="TableContents"/>
              <w:spacing w:before="0" w:after="0"/>
              <w:ind w:left="100" w:right="0" w:hanging="0"/>
              <w:jc w:val="left"/>
              <w:rPr>
                <w:rFonts w:ascii="Times New Roman;serif" w:hAnsi="Times New Roman;serif"/>
                <w:b w:val="false"/>
                <w:sz w:val="20"/>
              </w:rPr>
            </w:pPr>
            <w:r>
              <w:rPr>
                <w:rFonts w:ascii="Times New Roman;serif" w:hAnsi="Times New Roman;serif"/>
                <w:b w:val="false"/>
                <w:sz w:val="20"/>
              </w:rPr>
              <w:t>Foreign exchange</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67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60</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57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5</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57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pPr>
            <w:r>
              <w:rPr/>
              <w:t>—</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67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65</w:t>
            </w:r>
          </w:p>
        </w:tc>
        <w:tc>
          <w:tcPr>
            <w:tcW w:w="3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r>
        <w:trPr/>
        <w:tc>
          <w:tcPr>
            <w:tcW w:w="327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Ending balance</w:t>
            </w:r>
          </w:p>
        </w:tc>
        <w:tc>
          <w:tcPr>
            <w:tcW w:w="21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7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10,824</w:t>
            </w:r>
          </w:p>
        </w:tc>
        <w:tc>
          <w:tcPr>
            <w:tcW w:w="16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57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1,707</w:t>
            </w:r>
          </w:p>
        </w:tc>
        <w:tc>
          <w:tcPr>
            <w:tcW w:w="16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57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1,297</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7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13,828</w:t>
            </w:r>
          </w:p>
        </w:tc>
        <w:tc>
          <w:tcPr>
            <w:tcW w:w="31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r>
        <w:trPr/>
        <w:tc>
          <w:tcPr>
            <w:tcW w:w="3271" w:type="dxa"/>
            <w:tcBorders/>
            <w:shd w:fill="auto" w:val="clear"/>
            <w:vAlign w:val="center"/>
          </w:tcPr>
          <w:p>
            <w:pPr>
              <w:pStyle w:val="TableContents"/>
              <w:spacing w:before="0" w:after="0"/>
              <w:ind w:left="0" w:right="0" w:hanging="0"/>
              <w:jc w:val="left"/>
              <w:rPr/>
            </w:pPr>
            <w:r>
              <w:rPr/>
              <w:t> </w:t>
            </w:r>
          </w:p>
        </w:tc>
        <w:tc>
          <w:tcPr>
            <w:tcW w:w="887" w:type="dxa"/>
            <w:gridSpan w:val="2"/>
            <w:tcBorders/>
            <w:shd w:fill="auto" w:val="clear"/>
            <w:vAlign w:val="center"/>
          </w:tcPr>
          <w:p>
            <w:pPr>
              <w:pStyle w:val="TableContents"/>
              <w:spacing w:before="0" w:after="0"/>
              <w:ind w:left="0" w:right="0" w:hanging="0"/>
              <w:jc w:val="left"/>
              <w:rPr/>
            </w:pPr>
            <w:r>
              <w:rPr/>
              <w:t> </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782" w:type="dxa"/>
            <w:gridSpan w:val="2"/>
            <w:tcBorders/>
            <w:shd w:fill="auto" w:val="clear"/>
            <w:vAlign w:val="center"/>
          </w:tcPr>
          <w:p>
            <w:pPr>
              <w:pStyle w:val="TableContents"/>
              <w:spacing w:before="0" w:after="0"/>
              <w:ind w:left="0" w:right="0" w:hanging="0"/>
              <w:jc w:val="left"/>
              <w:rPr/>
            </w:pPr>
            <w:r>
              <w:rPr/>
              <w:t> </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782" w:type="dxa"/>
            <w:gridSpan w:val="2"/>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887" w:type="dxa"/>
            <w:gridSpan w:val="2"/>
            <w:tcBorders/>
            <w:shd w:fill="auto" w:val="clear"/>
            <w:vAlign w:val="center"/>
          </w:tcPr>
          <w:p>
            <w:pPr>
              <w:pStyle w:val="TableContents"/>
              <w:spacing w:before="0" w:after="0"/>
              <w:ind w:left="0" w:right="0" w:hanging="0"/>
              <w:jc w:val="left"/>
              <w:rPr/>
            </w:pPr>
            <w:r>
              <w:rPr/>
              <w:t> </w:t>
            </w:r>
          </w:p>
        </w:tc>
        <w:tc>
          <w:tcPr>
            <w:tcW w:w="311" w:type="dxa"/>
            <w:tcBorders/>
            <w:shd w:fill="auto" w:val="clear"/>
            <w:vAlign w:val="center"/>
          </w:tcPr>
          <w:p>
            <w:pPr>
              <w:pStyle w:val="TableContents"/>
              <w:spacing w:before="0" w:after="0"/>
              <w:ind w:left="0" w:right="0" w:hanging="0"/>
              <w:jc w:val="left"/>
              <w:rPr/>
            </w:pPr>
            <w:r>
              <w:rPr/>
              <w:t> </w:t>
            </w:r>
          </w:p>
        </w:tc>
      </w:tr>
      <w:tr>
        <w:trPr/>
        <w:tc>
          <w:tcPr>
            <w:tcW w:w="3271" w:type="dxa"/>
            <w:tcBorders/>
            <w:shd w:fill="auto" w:val="clear"/>
            <w:vAlign w:val="center"/>
          </w:tcPr>
          <w:p>
            <w:pPr>
              <w:pStyle w:val="TableContents"/>
              <w:spacing w:before="0" w:after="0"/>
              <w:ind w:left="0" w:right="0" w:hanging="0"/>
              <w:jc w:val="left"/>
              <w:rPr/>
            </w:pPr>
            <w:r>
              <w:rPr/>
              <w:t> </w:t>
            </w:r>
          </w:p>
        </w:tc>
        <w:tc>
          <w:tcPr>
            <w:tcW w:w="4254" w:type="dxa"/>
            <w:gridSpan w:val="14"/>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Three Months Ended March 31, 2022</w:t>
            </w:r>
          </w:p>
        </w:tc>
        <w:tc>
          <w:tcPr>
            <w:tcW w:w="3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3271" w:type="dxa"/>
            <w:tcBorders/>
            <w:shd w:fill="auto" w:val="clear"/>
            <w:vAlign w:val="center"/>
          </w:tcPr>
          <w:p>
            <w:pPr>
              <w:pStyle w:val="TableContents"/>
              <w:spacing w:before="0" w:after="0"/>
              <w:ind w:left="0" w:right="0" w:hanging="0"/>
              <w:jc w:val="left"/>
              <w:rPr>
                <w:rFonts w:ascii="Times New Roman;serif" w:hAnsi="Times New Roman;serif"/>
                <w:b w:val="false"/>
                <w:i/>
                <w:sz w:val="16"/>
              </w:rPr>
            </w:pPr>
            <w:r>
              <w:rPr>
                <w:rFonts w:ascii="Times New Roman;serif" w:hAnsi="Times New Roman;serif"/>
                <w:b w:val="false"/>
                <w:i/>
                <w:sz w:val="16"/>
              </w:rPr>
              <w:t>(In thousands of U.S. Dollars)</w:t>
            </w:r>
          </w:p>
        </w:tc>
        <w:tc>
          <w:tcPr>
            <w:tcW w:w="887"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Theater</w:t>
              <w:br/>
              <w:t>Operators</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782"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Studios</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782"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Other</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887"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Total</w:t>
            </w:r>
          </w:p>
        </w:tc>
        <w:tc>
          <w:tcPr>
            <w:tcW w:w="3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327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Beginning balance</w:t>
            </w:r>
          </w:p>
        </w:tc>
        <w:tc>
          <w:tcPr>
            <w:tcW w:w="21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7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8,867</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57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1,994</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57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1,085</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7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11,946</w:t>
            </w:r>
          </w:p>
        </w:tc>
        <w:tc>
          <w:tcPr>
            <w:tcW w:w="311" w:type="dxa"/>
            <w:tcBorders/>
            <w:shd w:fill="auto" w:val="clear"/>
            <w:vAlign w:val="center"/>
          </w:tcPr>
          <w:p>
            <w:pPr>
              <w:pStyle w:val="TableContents"/>
              <w:spacing w:before="0" w:after="0"/>
              <w:ind w:left="0" w:right="0" w:firstLine="100"/>
              <w:jc w:val="left"/>
              <w:rPr/>
            </w:pPr>
            <w:r>
              <w:rPr/>
              <w:t> </w:t>
            </w:r>
          </w:p>
        </w:tc>
      </w:tr>
      <w:tr>
        <w:trPr/>
        <w:tc>
          <w:tcPr>
            <w:tcW w:w="3271" w:type="dxa"/>
            <w:tcBorders/>
            <w:shd w:fill="auto" w:val="clear"/>
            <w:vAlign w:val="center"/>
          </w:tcPr>
          <w:p>
            <w:pPr>
              <w:pStyle w:val="TableContents"/>
              <w:spacing w:before="0" w:after="0"/>
              <w:ind w:left="100" w:right="0" w:hanging="0"/>
              <w:jc w:val="left"/>
              <w:rPr>
                <w:rFonts w:ascii="Times New Roman;serif" w:hAnsi="Times New Roman;serif"/>
                <w:b w:val="false"/>
                <w:sz w:val="20"/>
              </w:rPr>
            </w:pPr>
            <w:r>
              <w:rPr>
                <w:rFonts w:ascii="Times New Roman;serif" w:hAnsi="Times New Roman;serif"/>
                <w:b w:val="false"/>
                <w:sz w:val="20"/>
              </w:rPr>
              <w:t>Current period provision, net</w:t>
            </w:r>
          </w:p>
        </w:tc>
        <w:tc>
          <w:tcPr>
            <w:tcW w:w="211" w:type="dxa"/>
            <w:tcBorders/>
            <w:shd w:fill="auto" w:val="clear"/>
            <w:vAlign w:val="center"/>
          </w:tcPr>
          <w:p>
            <w:pPr>
              <w:pStyle w:val="TableContents"/>
              <w:spacing w:before="0" w:after="0"/>
              <w:ind w:left="0" w:right="0" w:hanging="0"/>
              <w:jc w:val="left"/>
              <w:rPr/>
            </w:pPr>
            <w:r>
              <w:rPr/>
              <w:t> </w:t>
            </w:r>
          </w:p>
        </w:tc>
        <w:tc>
          <w:tcPr>
            <w:tcW w:w="67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1,981</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57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57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273</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67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2,257</w:t>
            </w:r>
          </w:p>
        </w:tc>
        <w:tc>
          <w:tcPr>
            <w:tcW w:w="311" w:type="dxa"/>
            <w:tcBorders/>
            <w:shd w:fill="auto" w:val="clear"/>
            <w:vAlign w:val="center"/>
          </w:tcPr>
          <w:p>
            <w:pPr>
              <w:pStyle w:val="TableContents"/>
              <w:spacing w:before="0" w:after="0"/>
              <w:ind w:left="0" w:right="0" w:firstLine="100"/>
              <w:jc w:val="left"/>
              <w:rPr/>
            </w:pPr>
            <w:r>
              <w:rPr/>
              <w:t> </w:t>
            </w:r>
          </w:p>
        </w:tc>
      </w:tr>
      <w:tr>
        <w:trPr/>
        <w:tc>
          <w:tcPr>
            <w:tcW w:w="3271" w:type="dxa"/>
            <w:tcBorders/>
            <w:shd w:fill="auto" w:val="clear"/>
            <w:vAlign w:val="center"/>
          </w:tcPr>
          <w:p>
            <w:pPr>
              <w:pStyle w:val="TableContents"/>
              <w:spacing w:before="0" w:after="0"/>
              <w:ind w:left="100" w:right="0" w:hanging="0"/>
              <w:jc w:val="left"/>
              <w:rPr>
                <w:rFonts w:ascii="Times New Roman;serif" w:hAnsi="Times New Roman;serif"/>
                <w:b w:val="false"/>
                <w:sz w:val="20"/>
              </w:rPr>
            </w:pPr>
            <w:r>
              <w:rPr>
                <w:rFonts w:ascii="Times New Roman;serif" w:hAnsi="Times New Roman;serif"/>
                <w:b w:val="false"/>
                <w:sz w:val="20"/>
              </w:rPr>
              <w:t>Write-offs</w:t>
            </w:r>
          </w:p>
        </w:tc>
        <w:tc>
          <w:tcPr>
            <w:tcW w:w="211" w:type="dxa"/>
            <w:tcBorders/>
            <w:shd w:fill="auto" w:val="clear"/>
            <w:vAlign w:val="center"/>
          </w:tcPr>
          <w:p>
            <w:pPr>
              <w:pStyle w:val="TableContents"/>
              <w:spacing w:before="0" w:after="0"/>
              <w:ind w:left="0" w:right="0" w:hanging="0"/>
              <w:jc w:val="left"/>
              <w:rPr/>
            </w:pPr>
            <w:r>
              <w:rPr/>
              <w:t> </w:t>
            </w:r>
          </w:p>
        </w:tc>
        <w:tc>
          <w:tcPr>
            <w:tcW w:w="676" w:type="dxa"/>
            <w:tcBorders/>
            <w:shd w:fill="auto" w:val="clear"/>
            <w:vAlign w:val="center"/>
          </w:tcPr>
          <w:p>
            <w:pPr>
              <w:pStyle w:val="TableContents"/>
              <w:spacing w:before="0" w:after="0"/>
              <w:ind w:left="0" w:right="0" w:hanging="0"/>
              <w:jc w:val="right"/>
              <w:rPr/>
            </w:pPr>
            <w:r>
              <w:rPr/>
              <w:t>—</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571" w:type="dxa"/>
            <w:tcBorders/>
            <w:shd w:fill="auto" w:val="clear"/>
            <w:vAlign w:val="center"/>
          </w:tcPr>
          <w:p>
            <w:pPr>
              <w:pStyle w:val="TableContents"/>
              <w:spacing w:before="0" w:after="0"/>
              <w:ind w:left="0" w:right="0" w:hanging="0"/>
              <w:jc w:val="right"/>
              <w:rPr/>
            </w:pPr>
            <w:r>
              <w:rPr/>
              <w:t>—</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571"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676" w:type="dxa"/>
            <w:tcBorders/>
            <w:shd w:fill="auto" w:val="clear"/>
            <w:vAlign w:val="center"/>
          </w:tcPr>
          <w:p>
            <w:pPr>
              <w:pStyle w:val="TableContents"/>
              <w:spacing w:before="0" w:after="0"/>
              <w:ind w:left="0" w:right="0" w:hanging="0"/>
              <w:jc w:val="right"/>
              <w:rPr/>
            </w:pPr>
            <w:r>
              <w:rPr/>
              <w:t>—</w:t>
            </w:r>
          </w:p>
        </w:tc>
        <w:tc>
          <w:tcPr>
            <w:tcW w:w="311" w:type="dxa"/>
            <w:tcBorders/>
            <w:shd w:fill="auto" w:val="clear"/>
            <w:vAlign w:val="center"/>
          </w:tcPr>
          <w:p>
            <w:pPr>
              <w:pStyle w:val="TableContents"/>
              <w:spacing w:before="0" w:after="0"/>
              <w:ind w:left="0" w:right="0" w:firstLine="100"/>
              <w:jc w:val="left"/>
              <w:rPr/>
            </w:pPr>
            <w:r>
              <w:rPr/>
              <w:t> </w:t>
            </w:r>
          </w:p>
        </w:tc>
      </w:tr>
      <w:tr>
        <w:trPr/>
        <w:tc>
          <w:tcPr>
            <w:tcW w:w="3271" w:type="dxa"/>
            <w:tcBorders/>
            <w:shd w:fill="auto" w:val="clear"/>
            <w:vAlign w:val="center"/>
          </w:tcPr>
          <w:p>
            <w:pPr>
              <w:pStyle w:val="TableContents"/>
              <w:spacing w:before="0" w:after="0"/>
              <w:ind w:left="100" w:right="0" w:hanging="0"/>
              <w:jc w:val="left"/>
              <w:rPr>
                <w:rFonts w:ascii="Times New Roman;serif" w:hAnsi="Times New Roman;serif"/>
                <w:b w:val="false"/>
                <w:sz w:val="20"/>
              </w:rPr>
            </w:pPr>
            <w:r>
              <w:rPr>
                <w:rFonts w:ascii="Times New Roman;serif" w:hAnsi="Times New Roman;serif"/>
                <w:b w:val="false"/>
                <w:sz w:val="20"/>
              </w:rPr>
              <w:t>Foreign exchange</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67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(17</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57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57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pPr>
            <w:r>
              <w:rPr/>
              <w:t>—</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67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(19</w:t>
            </w:r>
          </w:p>
        </w:tc>
        <w:tc>
          <w:tcPr>
            <w:tcW w:w="3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327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Ending balance</w:t>
            </w:r>
          </w:p>
        </w:tc>
        <w:tc>
          <w:tcPr>
            <w:tcW w:w="21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7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10,831</w:t>
            </w:r>
          </w:p>
        </w:tc>
        <w:tc>
          <w:tcPr>
            <w:tcW w:w="16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57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1,995</w:t>
            </w:r>
          </w:p>
        </w:tc>
        <w:tc>
          <w:tcPr>
            <w:tcW w:w="16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57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1,358</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7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14,184</w:t>
            </w:r>
          </w:p>
        </w:tc>
        <w:tc>
          <w:tcPr>
            <w:tcW w:w="31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bl>
    <w:p>
      <w:pPr>
        <w:pStyle w:val="TextBody"/>
        <w:spacing w:before="200" w:after="0"/>
        <w:jc w:val="both"/>
        <w:rPr>
          <w:rFonts w:ascii="Times New Roman" w:hAnsi="Times New Roman"/>
          <w:sz w:val="20"/>
        </w:rPr>
      </w:pPr>
      <w:r>
        <w:rPr>
          <w:rFonts w:ascii="Times New Roman;serif" w:hAnsi="Times New Roman;serif"/>
          <w:b w:val="false"/>
          <w:sz w:val="20"/>
        </w:rPr>
        <w:t>For the three months ended March 31, 2023, the Company’s allowance for current expected credit losses related to Accounts Receivable decreased by $0.4</w:t>
      </w:r>
      <w:r>
        <w:rPr>
          <w:rFonts w:ascii="Times New Roman" w:hAnsi="Times New Roman"/>
          <w:sz w:val="20"/>
        </w:rPr>
        <w:t xml:space="preserve"> </w:t>
      </w:r>
      <w:r>
        <w:rPr>
          <w:rFonts w:ascii="Times New Roman;serif" w:hAnsi="Times New Roman;serif"/>
          <w:b w:val="false"/>
          <w:sz w:val="20"/>
        </w:rPr>
        <w:t>million.</w:t>
      </w:r>
    </w:p>
    <w:p>
      <w:pPr>
        <w:pStyle w:val="TextBody"/>
        <w:spacing w:before="200" w:after="0"/>
        <w:jc w:val="both"/>
        <w:rPr>
          <w:rFonts w:ascii="Times New Roman" w:hAnsi="Times New Roman"/>
          <w:sz w:val="20"/>
        </w:rPr>
      </w:pPr>
      <w:r>
        <w:rPr>
          <w:rFonts w:ascii="Times New Roman;serif" w:hAnsi="Times New Roman;serif"/>
          <w:b w:val="false"/>
          <w:sz w:val="20"/>
        </w:rPr>
        <w:t>For the three months ended March 31, 2022, the Company’s allowance for current expected credit losses related to Accounts Receivable increased by $2.2</w:t>
      </w:r>
      <w:r>
        <w:rPr>
          <w:rFonts w:ascii="Times New Roman" w:hAnsi="Times New Roman"/>
          <w:sz w:val="20"/>
        </w:rPr>
        <w:t xml:space="preserve"> </w:t>
      </w:r>
      <w:r>
        <w:rPr>
          <w:rFonts w:ascii="Times New Roman;serif" w:hAnsi="Times New Roman;serif"/>
          <w:b w:val="false"/>
          <w:sz w:val="20"/>
        </w:rPr>
        <w:t>million, principally due to reserves established against its receivables in Russia due to uncertainties associated with the ongoing Russia-Ukraine conflict, partially offset by the reversal of provisions associated with the COVID-19 pandemic.</w:t>
      </w:r>
    </w:p>
    <w:p>
      <w:pPr>
        <w:pStyle w:val="TextBody"/>
        <w:spacing w:before="240" w:after="0"/>
        <w:jc w:val="center"/>
        <w:rPr>
          <w:rFonts w:ascii="Times New Roman;serif" w:hAnsi="Times New Roman;serif"/>
          <w:b w:val="false"/>
          <w:sz w:val="20"/>
        </w:rPr>
      </w:pPr>
      <w:r>
        <w:rPr>
          <w:rFonts w:ascii="Times New Roman;serif" w:hAnsi="Times New Roman;serif"/>
          <w:b w:val="false"/>
          <w:sz w:val="20"/>
        </w:rPr>
        <w:t>12</w:t>
      </w:r>
    </w:p>
    <w:p>
      <w:pPr>
        <w:pStyle w:val="HorizontalLine"/>
        <w:rPr/>
      </w:pPr>
      <w:r>
        <w:rPr/>
      </w:r>
    </w:p>
    <w:p>
      <w:pPr>
        <w:pStyle w:val="TextBody"/>
        <w:spacing w:before="0" w:after="0"/>
        <w:jc w:val="left"/>
        <w:rPr/>
      </w:pPr>
      <w:r>
        <w:rPr/>
        <w:t> </w:t>
      </w:r>
    </w:p>
    <w:p>
      <w:pPr>
        <w:pStyle w:val="TextBody"/>
        <w:spacing w:before="200" w:after="0"/>
        <w:jc w:val="both"/>
        <w:rPr>
          <w:rFonts w:ascii="Times New Roman;serif" w:hAnsi="Times New Roman;serif"/>
          <w:b w:val="false"/>
          <w:i/>
          <w:sz w:val="20"/>
        </w:rPr>
      </w:pPr>
      <w:r>
        <w:rPr>
          <w:rFonts w:ascii="Times New Roman;serif" w:hAnsi="Times New Roman;serif"/>
          <w:b w:val="false"/>
          <w:i/>
          <w:sz w:val="20"/>
        </w:rPr>
        <w:t>Financing Receivables</w:t>
      </w:r>
    </w:p>
    <w:p>
      <w:pPr>
        <w:pStyle w:val="TextBody"/>
        <w:spacing w:before="200" w:after="200"/>
        <w:jc w:val="both"/>
        <w:rPr>
          <w:rFonts w:ascii="Times New Roman;serif" w:hAnsi="Times New Roman;serif"/>
          <w:b w:val="false"/>
          <w:sz w:val="20"/>
        </w:rPr>
      </w:pPr>
      <w:r>
        <w:rPr>
          <w:rFonts w:ascii="Times New Roman;serif" w:hAnsi="Times New Roman;serif"/>
          <w:b w:val="false"/>
          <w:sz w:val="20"/>
        </w:rPr>
        <w:t>Financing receivables are due from theater operators and consist of the Company’s net investment in sales-type leases and receivables associated with financed sales of IMAX Systems. As of March 31, 2023 and December 31, 2022, financing receivables consist of the following:</w:t>
      </w:r>
    </w:p>
    <w:tbl>
      <w:tblPr>
        <w:tblW w:w="7906" w:type="dxa"/>
        <w:jc w:val="left"/>
        <w:tblInd w:w="0" w:type="dxa"/>
        <w:tblCellMar>
          <w:top w:w="28" w:type="dxa"/>
          <w:left w:w="28" w:type="dxa"/>
          <w:bottom w:w="28" w:type="dxa"/>
          <w:right w:w="28" w:type="dxa"/>
        </w:tblCellMar>
      </w:tblPr>
      <w:tblGrid>
        <w:gridCol w:w="5296"/>
        <w:gridCol w:w="211"/>
        <w:gridCol w:w="781"/>
        <w:gridCol w:w="166"/>
        <w:gridCol w:w="146"/>
        <w:gridCol w:w="233"/>
        <w:gridCol w:w="862"/>
        <w:gridCol w:w="211"/>
      </w:tblGrid>
      <w:tr>
        <w:trPr/>
        <w:tc>
          <w:tcPr>
            <w:tcW w:w="5296"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81" w:type="dxa"/>
            <w:tcBorders/>
            <w:shd w:fill="auto" w:val="clear"/>
            <w:vAlign w:val="center"/>
          </w:tcPr>
          <w:p>
            <w:pPr>
              <w:pStyle w:val="TableContents"/>
              <w:spacing w:before="0" w:after="283"/>
              <w:rPr>
                <w:sz w:val="4"/>
                <w:szCs w:val="4"/>
              </w:rPr>
            </w:pPr>
            <w:r>
              <w:rPr>
                <w:sz w:val="4"/>
                <w:szCs w:val="4"/>
              </w:rPr>
            </w:r>
          </w:p>
        </w:tc>
        <w:tc>
          <w:tcPr>
            <w:tcW w:w="16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33" w:type="dxa"/>
            <w:tcBorders/>
            <w:shd w:fill="auto" w:val="clear"/>
            <w:vAlign w:val="center"/>
          </w:tcPr>
          <w:p>
            <w:pPr>
              <w:pStyle w:val="TableContents"/>
              <w:spacing w:before="0" w:after="283"/>
              <w:rPr>
                <w:sz w:val="4"/>
                <w:szCs w:val="4"/>
              </w:rPr>
            </w:pPr>
            <w:r>
              <w:rPr>
                <w:sz w:val="4"/>
                <w:szCs w:val="4"/>
              </w:rPr>
            </w:r>
          </w:p>
        </w:tc>
        <w:tc>
          <w:tcPr>
            <w:tcW w:w="862"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r>
      <w:tr>
        <w:trPr/>
        <w:tc>
          <w:tcPr>
            <w:tcW w:w="5296" w:type="dxa"/>
            <w:tcBorders/>
            <w:shd w:fill="auto" w:val="clear"/>
            <w:vAlign w:val="center"/>
          </w:tcPr>
          <w:p>
            <w:pPr>
              <w:pStyle w:val="TableContents"/>
              <w:spacing w:before="0" w:after="0"/>
              <w:ind w:left="0" w:right="0" w:hanging="0"/>
              <w:jc w:val="left"/>
              <w:rPr/>
            </w:pPr>
            <w:r>
              <w:rPr/>
              <w:t> </w:t>
            </w:r>
          </w:p>
        </w:tc>
        <w:tc>
          <w:tcPr>
            <w:tcW w:w="992" w:type="dxa"/>
            <w:gridSpan w:val="2"/>
            <w:tcBorders/>
            <w:shd w:fill="auto" w:val="cle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March 31,</w:t>
            </w:r>
          </w:p>
        </w:tc>
        <w:tc>
          <w:tcPr>
            <w:tcW w:w="166"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095" w:type="dxa"/>
            <w:gridSpan w:val="2"/>
            <w:tcBorders/>
            <w:shd w:fill="auto" w:val="cle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December 31,</w:t>
            </w:r>
          </w:p>
        </w:tc>
        <w:tc>
          <w:tcPr>
            <w:tcW w:w="211" w:type="dxa"/>
            <w:tcBorders/>
            <w:shd w:fill="auto" w:val="clear"/>
            <w:vAlign w:val="center"/>
          </w:tcPr>
          <w:p>
            <w:pPr>
              <w:pStyle w:val="TableContents"/>
              <w:spacing w:before="0" w:after="0"/>
              <w:ind w:left="0" w:right="0" w:hanging="0"/>
              <w:jc w:val="center"/>
              <w:rPr/>
            </w:pPr>
            <w:r>
              <w:rPr/>
              <w:t> </w:t>
            </w:r>
          </w:p>
        </w:tc>
      </w:tr>
      <w:tr>
        <w:trPr/>
        <w:tc>
          <w:tcPr>
            <w:tcW w:w="5296" w:type="dxa"/>
            <w:tcBorders/>
            <w:shd w:fill="auto" w:val="clear"/>
            <w:vAlign w:val="center"/>
          </w:tcPr>
          <w:p>
            <w:pPr>
              <w:pStyle w:val="TableContents"/>
              <w:spacing w:before="0" w:after="0"/>
              <w:ind w:left="0" w:right="0" w:hanging="0"/>
              <w:jc w:val="left"/>
              <w:rPr>
                <w:rFonts w:ascii="Times New Roman;serif" w:hAnsi="Times New Roman;serif"/>
                <w:b w:val="false"/>
                <w:i/>
                <w:sz w:val="16"/>
              </w:rPr>
            </w:pPr>
            <w:r>
              <w:rPr>
                <w:rFonts w:ascii="Times New Roman;serif" w:hAnsi="Times New Roman;serif"/>
                <w:b w:val="false"/>
                <w:i/>
                <w:sz w:val="16"/>
              </w:rPr>
              <w:t>(In thousands of U.S. Dollars)</w:t>
            </w:r>
          </w:p>
        </w:tc>
        <w:tc>
          <w:tcPr>
            <w:tcW w:w="992"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2023</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095"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2022</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5296" w:type="dxa"/>
            <w:tcBorders/>
            <w:shd w:fill="auto" w:val="clear"/>
            <w:vAlign w:val="center"/>
          </w:tcPr>
          <w:p>
            <w:pPr>
              <w:pStyle w:val="TableContents"/>
              <w:spacing w:before="0" w:after="0"/>
              <w:ind w:left="0" w:right="0" w:hanging="0"/>
              <w:jc w:val="left"/>
              <w:rPr>
                <w:rFonts w:ascii="Times New Roman;serif" w:hAnsi="Times New Roman;serif"/>
                <w:b/>
                <w:sz w:val="20"/>
              </w:rPr>
            </w:pPr>
            <w:r>
              <w:rPr>
                <w:rFonts w:ascii="Times New Roman;serif" w:hAnsi="Times New Roman;serif"/>
                <w:b/>
                <w:sz w:val="20"/>
              </w:rPr>
              <w:t>Net investment in leases</w:t>
            </w:r>
          </w:p>
        </w:tc>
        <w:tc>
          <w:tcPr>
            <w:tcW w:w="992" w:type="dxa"/>
            <w:gridSpan w:val="2"/>
            <w:tcBorders/>
            <w:shd w:fill="auto" w:val="clear"/>
            <w:vAlign w:val="center"/>
          </w:tcPr>
          <w:p>
            <w:pPr>
              <w:pStyle w:val="TableContents"/>
              <w:spacing w:before="0" w:after="0"/>
              <w:ind w:left="0" w:right="0" w:hanging="0"/>
              <w:jc w:val="right"/>
              <w:rPr/>
            </w:pPr>
            <w:r>
              <w:rPr/>
              <w:t> </w:t>
            </w:r>
          </w:p>
        </w:tc>
        <w:tc>
          <w:tcPr>
            <w:tcW w:w="16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both"/>
              <w:rPr/>
            </w:pPr>
            <w:r>
              <w:rPr/>
              <w:t> </w:t>
            </w:r>
          </w:p>
        </w:tc>
        <w:tc>
          <w:tcPr>
            <w:tcW w:w="1095" w:type="dxa"/>
            <w:gridSpan w:val="2"/>
            <w:tcBorders/>
            <w:shd w:fill="auto" w:val="clear"/>
            <w:vAlign w:val="center"/>
          </w:tcPr>
          <w:p>
            <w:pPr>
              <w:pStyle w:val="TableContents"/>
              <w:spacing w:before="0" w:after="0"/>
              <w:ind w:left="0" w:right="0" w:hanging="0"/>
              <w:jc w:val="right"/>
              <w:rPr/>
            </w:pPr>
            <w:r>
              <w:rPr/>
              <w:t> </w:t>
            </w:r>
          </w:p>
        </w:tc>
        <w:tc>
          <w:tcPr>
            <w:tcW w:w="211" w:type="dxa"/>
            <w:tcBorders/>
            <w:shd w:fill="auto" w:val="clear"/>
            <w:vAlign w:val="center"/>
          </w:tcPr>
          <w:p>
            <w:pPr>
              <w:pStyle w:val="TableContents"/>
              <w:spacing w:before="0" w:after="0"/>
              <w:ind w:left="0" w:right="0" w:hanging="0"/>
              <w:jc w:val="right"/>
              <w:rPr/>
            </w:pPr>
            <w:r>
              <w:rPr/>
              <w:t> </w:t>
            </w:r>
          </w:p>
        </w:tc>
      </w:tr>
      <w:tr>
        <w:trPr/>
        <w:tc>
          <w:tcPr>
            <w:tcW w:w="529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Gross minimum payments due under sales-type leases</w:t>
            </w:r>
          </w:p>
        </w:tc>
        <w:tc>
          <w:tcPr>
            <w:tcW w:w="21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8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32,097</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both"/>
              <w:rPr/>
            </w:pPr>
            <w:r>
              <w:rPr/>
              <w:t> </w:t>
            </w:r>
          </w:p>
        </w:tc>
        <w:tc>
          <w:tcPr>
            <w:tcW w:w="233"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862"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29,727</w:t>
            </w:r>
          </w:p>
        </w:tc>
        <w:tc>
          <w:tcPr>
            <w:tcW w:w="211" w:type="dxa"/>
            <w:tcBorders/>
            <w:shd w:fill="auto" w:val="clear"/>
            <w:vAlign w:val="center"/>
          </w:tcPr>
          <w:p>
            <w:pPr>
              <w:pStyle w:val="TableContents"/>
              <w:spacing w:before="0" w:after="0"/>
              <w:ind w:left="0" w:right="0" w:hanging="0"/>
              <w:jc w:val="left"/>
              <w:rPr/>
            </w:pPr>
            <w:r>
              <w:rPr/>
              <w:t> </w:t>
            </w:r>
          </w:p>
        </w:tc>
      </w:tr>
      <w:tr>
        <w:trPr/>
        <w:tc>
          <w:tcPr>
            <w:tcW w:w="529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Unearned finance income</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78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(557</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shd w:fill="auto" w:val="clear"/>
            <w:vAlign w:val="center"/>
          </w:tcPr>
          <w:p>
            <w:pPr>
              <w:pStyle w:val="TableContents"/>
              <w:spacing w:before="0" w:after="0"/>
              <w:ind w:left="0" w:right="0" w:hanging="0"/>
              <w:jc w:val="both"/>
              <w:rPr/>
            </w:pPr>
            <w:r>
              <w:rPr/>
              <w:t> </w:t>
            </w:r>
          </w:p>
        </w:tc>
        <w:tc>
          <w:tcPr>
            <w:tcW w:w="233"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862"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(619</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529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Present value of minimum payments due under sales-type leases</w:t>
            </w:r>
          </w:p>
        </w:tc>
        <w:tc>
          <w:tcPr>
            <w:tcW w:w="211" w:type="dxa"/>
            <w:tcBorders/>
            <w:shd w:fill="auto" w:val="clear"/>
            <w:vAlign w:val="center"/>
          </w:tcPr>
          <w:p>
            <w:pPr>
              <w:pStyle w:val="TableContents"/>
              <w:spacing w:before="0" w:after="0"/>
              <w:ind w:left="0" w:right="0" w:hanging="0"/>
              <w:jc w:val="left"/>
              <w:rPr/>
            </w:pPr>
            <w:r>
              <w:rPr/>
              <w:t> </w:t>
            </w:r>
          </w:p>
        </w:tc>
        <w:tc>
          <w:tcPr>
            <w:tcW w:w="78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31,540</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both"/>
              <w:rPr/>
            </w:pPr>
            <w:r>
              <w:rPr/>
              <w:t> </w:t>
            </w:r>
          </w:p>
        </w:tc>
        <w:tc>
          <w:tcPr>
            <w:tcW w:w="233" w:type="dxa"/>
            <w:tcBorders/>
            <w:shd w:fill="auto" w:val="clear"/>
            <w:vAlign w:val="center"/>
          </w:tcPr>
          <w:p>
            <w:pPr>
              <w:pStyle w:val="TableContents"/>
              <w:spacing w:before="0" w:after="0"/>
              <w:ind w:left="0" w:right="0" w:hanging="0"/>
              <w:jc w:val="left"/>
              <w:rPr/>
            </w:pPr>
            <w:r>
              <w:rPr/>
              <w:t> </w:t>
            </w:r>
          </w:p>
        </w:tc>
        <w:tc>
          <w:tcPr>
            <w:tcW w:w="862"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29,108</w:t>
            </w:r>
          </w:p>
        </w:tc>
        <w:tc>
          <w:tcPr>
            <w:tcW w:w="211" w:type="dxa"/>
            <w:tcBorders/>
            <w:shd w:fill="auto" w:val="clear"/>
            <w:vAlign w:val="center"/>
          </w:tcPr>
          <w:p>
            <w:pPr>
              <w:pStyle w:val="TableContents"/>
              <w:spacing w:before="0" w:after="0"/>
              <w:ind w:left="0" w:right="0" w:hanging="0"/>
              <w:jc w:val="left"/>
              <w:rPr/>
            </w:pPr>
            <w:r>
              <w:rPr/>
              <w:t> </w:t>
            </w:r>
          </w:p>
        </w:tc>
      </w:tr>
      <w:tr>
        <w:trPr/>
        <w:tc>
          <w:tcPr>
            <w:tcW w:w="529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Allowance for credit losses</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78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(778</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shd w:fill="auto" w:val="clear"/>
            <w:vAlign w:val="center"/>
          </w:tcPr>
          <w:p>
            <w:pPr>
              <w:pStyle w:val="TableContents"/>
              <w:spacing w:before="0" w:after="0"/>
              <w:ind w:left="0" w:right="0" w:hanging="0"/>
              <w:jc w:val="both"/>
              <w:rPr/>
            </w:pPr>
            <w:r>
              <w:rPr/>
              <w:t> </w:t>
            </w:r>
          </w:p>
        </w:tc>
        <w:tc>
          <w:tcPr>
            <w:tcW w:w="233"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862"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(776</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529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Net investment in leases</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78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30,762</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both"/>
              <w:rPr/>
            </w:pPr>
            <w:r>
              <w:rPr/>
              <w:t> </w:t>
            </w:r>
          </w:p>
        </w:tc>
        <w:tc>
          <w:tcPr>
            <w:tcW w:w="233"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862"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28,332</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r>
        <w:trPr/>
        <w:tc>
          <w:tcPr>
            <w:tcW w:w="5296" w:type="dxa"/>
            <w:tcBorders/>
            <w:shd w:fill="auto" w:val="clear"/>
            <w:vAlign w:val="center"/>
          </w:tcPr>
          <w:p>
            <w:pPr>
              <w:pStyle w:val="TableContents"/>
              <w:spacing w:before="0" w:after="0"/>
              <w:ind w:left="0" w:right="0" w:hanging="0"/>
              <w:jc w:val="left"/>
              <w:rPr>
                <w:rFonts w:ascii="Times New Roman;serif" w:hAnsi="Times New Roman;serif"/>
                <w:b/>
                <w:sz w:val="20"/>
              </w:rPr>
            </w:pPr>
            <w:r>
              <w:rPr>
                <w:rFonts w:ascii="Times New Roman;serif" w:hAnsi="Times New Roman;serif"/>
                <w:b/>
                <w:sz w:val="20"/>
              </w:rPr>
              <w:t>Financed sales receivables</w:t>
            </w:r>
          </w:p>
        </w:tc>
        <w:tc>
          <w:tcPr>
            <w:tcW w:w="992" w:type="dxa"/>
            <w:gridSpan w:val="2"/>
            <w:tcBorders/>
            <w:shd w:fill="auto" w:val="clear"/>
            <w:vAlign w:val="center"/>
          </w:tcPr>
          <w:p>
            <w:pPr>
              <w:pStyle w:val="TableContents"/>
              <w:spacing w:before="0" w:after="0"/>
              <w:ind w:left="0" w:right="0" w:hanging="0"/>
              <w:jc w:val="right"/>
              <w:rPr/>
            </w:pPr>
            <w:r>
              <w:rPr/>
              <w:t> </w:t>
            </w:r>
          </w:p>
        </w:tc>
        <w:tc>
          <w:tcPr>
            <w:tcW w:w="16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both"/>
              <w:rPr/>
            </w:pPr>
            <w:r>
              <w:rPr/>
              <w:t> </w:t>
            </w:r>
          </w:p>
        </w:tc>
        <w:tc>
          <w:tcPr>
            <w:tcW w:w="1095" w:type="dxa"/>
            <w:gridSpan w:val="2"/>
            <w:tcBorders/>
            <w:shd w:fill="auto" w:val="clear"/>
            <w:vAlign w:val="center"/>
          </w:tcPr>
          <w:p>
            <w:pPr>
              <w:pStyle w:val="TableContents"/>
              <w:spacing w:before="0" w:after="0"/>
              <w:ind w:left="0" w:right="0" w:hanging="0"/>
              <w:jc w:val="right"/>
              <w:rPr/>
            </w:pPr>
            <w:r>
              <w:rPr/>
              <w:t> </w:t>
            </w:r>
          </w:p>
        </w:tc>
        <w:tc>
          <w:tcPr>
            <w:tcW w:w="211" w:type="dxa"/>
            <w:tcBorders/>
            <w:shd w:fill="auto" w:val="clear"/>
            <w:vAlign w:val="center"/>
          </w:tcPr>
          <w:p>
            <w:pPr>
              <w:pStyle w:val="TableContents"/>
              <w:spacing w:before="0" w:after="0"/>
              <w:ind w:left="0" w:right="0" w:hanging="0"/>
              <w:jc w:val="right"/>
              <w:rPr/>
            </w:pPr>
            <w:r>
              <w:rPr/>
              <w:t> </w:t>
            </w:r>
          </w:p>
        </w:tc>
      </w:tr>
      <w:tr>
        <w:trPr/>
        <w:tc>
          <w:tcPr>
            <w:tcW w:w="529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Gross minimum payments due under financed sales</w:t>
            </w:r>
          </w:p>
        </w:tc>
        <w:tc>
          <w:tcPr>
            <w:tcW w:w="211" w:type="dxa"/>
            <w:tcBorders/>
            <w:shd w:fill="auto" w:val="clear"/>
            <w:vAlign w:val="center"/>
          </w:tcPr>
          <w:p>
            <w:pPr>
              <w:pStyle w:val="TableContents"/>
              <w:spacing w:before="0" w:after="0"/>
              <w:ind w:left="0" w:right="0" w:hanging="0"/>
              <w:jc w:val="left"/>
              <w:rPr/>
            </w:pPr>
            <w:r>
              <w:rPr/>
              <w:t> </w:t>
            </w:r>
          </w:p>
        </w:tc>
        <w:tc>
          <w:tcPr>
            <w:tcW w:w="78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141,119</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both"/>
              <w:rPr/>
            </w:pPr>
            <w:r>
              <w:rPr/>
              <w:t> </w:t>
            </w:r>
          </w:p>
        </w:tc>
        <w:tc>
          <w:tcPr>
            <w:tcW w:w="233" w:type="dxa"/>
            <w:tcBorders/>
            <w:shd w:fill="auto" w:val="clear"/>
            <w:vAlign w:val="center"/>
          </w:tcPr>
          <w:p>
            <w:pPr>
              <w:pStyle w:val="TableContents"/>
              <w:spacing w:before="0" w:after="0"/>
              <w:ind w:left="0" w:right="0" w:hanging="0"/>
              <w:jc w:val="left"/>
              <w:rPr/>
            </w:pPr>
            <w:r>
              <w:rPr/>
              <w:t> </w:t>
            </w:r>
          </w:p>
        </w:tc>
        <w:tc>
          <w:tcPr>
            <w:tcW w:w="862"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141,337</w:t>
            </w:r>
          </w:p>
        </w:tc>
        <w:tc>
          <w:tcPr>
            <w:tcW w:w="211" w:type="dxa"/>
            <w:tcBorders/>
            <w:shd w:fill="auto" w:val="clear"/>
            <w:vAlign w:val="center"/>
          </w:tcPr>
          <w:p>
            <w:pPr>
              <w:pStyle w:val="TableContents"/>
              <w:spacing w:before="0" w:after="0"/>
              <w:ind w:left="0" w:right="0" w:hanging="0"/>
              <w:jc w:val="left"/>
              <w:rPr/>
            </w:pPr>
            <w:r>
              <w:rPr/>
              <w:t> </w:t>
            </w:r>
          </w:p>
        </w:tc>
      </w:tr>
      <w:tr>
        <w:trPr/>
        <w:tc>
          <w:tcPr>
            <w:tcW w:w="529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Unearned finance income</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78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(29,161</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shd w:fill="auto" w:val="clear"/>
            <w:vAlign w:val="center"/>
          </w:tcPr>
          <w:p>
            <w:pPr>
              <w:pStyle w:val="TableContents"/>
              <w:spacing w:before="0" w:after="0"/>
              <w:ind w:left="0" w:right="0" w:hanging="0"/>
              <w:jc w:val="both"/>
              <w:rPr/>
            </w:pPr>
            <w:r>
              <w:rPr/>
              <w:t> </w:t>
            </w:r>
          </w:p>
        </w:tc>
        <w:tc>
          <w:tcPr>
            <w:tcW w:w="233"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862"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(29,340</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529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Present value of minimum payments due under financed sales</w:t>
            </w:r>
          </w:p>
        </w:tc>
        <w:tc>
          <w:tcPr>
            <w:tcW w:w="211" w:type="dxa"/>
            <w:tcBorders/>
            <w:shd w:fill="auto" w:val="clear"/>
            <w:vAlign w:val="center"/>
          </w:tcPr>
          <w:p>
            <w:pPr>
              <w:pStyle w:val="TableContents"/>
              <w:spacing w:before="0" w:after="0"/>
              <w:ind w:left="0" w:right="0" w:hanging="0"/>
              <w:jc w:val="left"/>
              <w:rPr/>
            </w:pPr>
            <w:r>
              <w:rPr/>
              <w:t> </w:t>
            </w:r>
          </w:p>
        </w:tc>
        <w:tc>
          <w:tcPr>
            <w:tcW w:w="78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111,958</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both"/>
              <w:rPr/>
            </w:pPr>
            <w:r>
              <w:rPr/>
              <w:t> </w:t>
            </w:r>
          </w:p>
        </w:tc>
        <w:tc>
          <w:tcPr>
            <w:tcW w:w="233" w:type="dxa"/>
            <w:tcBorders/>
            <w:shd w:fill="auto" w:val="clear"/>
            <w:vAlign w:val="center"/>
          </w:tcPr>
          <w:p>
            <w:pPr>
              <w:pStyle w:val="TableContents"/>
              <w:spacing w:before="0" w:after="0"/>
              <w:ind w:left="0" w:right="0" w:hanging="0"/>
              <w:jc w:val="left"/>
              <w:rPr/>
            </w:pPr>
            <w:r>
              <w:rPr/>
              <w:t> </w:t>
            </w:r>
          </w:p>
        </w:tc>
        <w:tc>
          <w:tcPr>
            <w:tcW w:w="862"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111,997</w:t>
            </w:r>
          </w:p>
        </w:tc>
        <w:tc>
          <w:tcPr>
            <w:tcW w:w="211" w:type="dxa"/>
            <w:tcBorders/>
            <w:shd w:fill="auto" w:val="clear"/>
            <w:vAlign w:val="center"/>
          </w:tcPr>
          <w:p>
            <w:pPr>
              <w:pStyle w:val="TableContents"/>
              <w:spacing w:before="0" w:after="0"/>
              <w:ind w:left="0" w:right="0" w:hanging="0"/>
              <w:jc w:val="left"/>
              <w:rPr/>
            </w:pPr>
            <w:r>
              <w:rPr/>
              <w:t> </w:t>
            </w:r>
          </w:p>
        </w:tc>
      </w:tr>
      <w:tr>
        <w:trPr/>
        <w:tc>
          <w:tcPr>
            <w:tcW w:w="529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Allowance for credit losses</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78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(11,533</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shd w:fill="auto" w:val="clear"/>
            <w:vAlign w:val="center"/>
          </w:tcPr>
          <w:p>
            <w:pPr>
              <w:pStyle w:val="TableContents"/>
              <w:spacing w:before="0" w:after="0"/>
              <w:ind w:left="0" w:right="0" w:hanging="0"/>
              <w:jc w:val="both"/>
              <w:rPr/>
            </w:pPr>
            <w:r>
              <w:rPr/>
              <w:t> </w:t>
            </w:r>
          </w:p>
        </w:tc>
        <w:tc>
          <w:tcPr>
            <w:tcW w:w="233"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862"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(10,945</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529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Net financed sales receivables</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78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100,425</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both"/>
              <w:rPr/>
            </w:pPr>
            <w:r>
              <w:rPr/>
              <w:t> </w:t>
            </w:r>
          </w:p>
        </w:tc>
        <w:tc>
          <w:tcPr>
            <w:tcW w:w="233"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862"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101,052</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r>
        <w:trPr/>
        <w:tc>
          <w:tcPr>
            <w:tcW w:w="529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Total financing receivables</w:t>
            </w:r>
          </w:p>
        </w:tc>
        <w:tc>
          <w:tcPr>
            <w:tcW w:w="21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8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131,187</w:t>
            </w:r>
          </w:p>
        </w:tc>
        <w:tc>
          <w:tcPr>
            <w:tcW w:w="16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both"/>
              <w:rPr/>
            </w:pPr>
            <w:r>
              <w:rPr/>
              <w:t> </w:t>
            </w:r>
          </w:p>
        </w:tc>
        <w:tc>
          <w:tcPr>
            <w:tcW w:w="233"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862"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129,384</w:t>
            </w:r>
          </w:p>
        </w:tc>
        <w:tc>
          <w:tcPr>
            <w:tcW w:w="21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r>
        <w:trPr/>
        <w:tc>
          <w:tcPr>
            <w:tcW w:w="5296" w:type="dxa"/>
            <w:tcBorders/>
            <w:shd w:fill="auto" w:val="clear"/>
            <w:vAlign w:val="center"/>
          </w:tcPr>
          <w:p>
            <w:pPr>
              <w:pStyle w:val="TableContents"/>
              <w:spacing w:before="0" w:after="0"/>
              <w:ind w:left="0" w:right="0" w:hanging="0"/>
              <w:jc w:val="left"/>
              <w:rPr/>
            </w:pPr>
            <w:r>
              <w:rPr/>
              <w:t> </w:t>
            </w:r>
          </w:p>
        </w:tc>
        <w:tc>
          <w:tcPr>
            <w:tcW w:w="992" w:type="dxa"/>
            <w:gridSpan w:val="2"/>
            <w:tcBorders/>
            <w:shd w:fill="auto" w:val="clear"/>
            <w:vAlign w:val="center"/>
          </w:tcPr>
          <w:p>
            <w:pPr>
              <w:pStyle w:val="TableContents"/>
              <w:spacing w:before="0" w:after="0"/>
              <w:ind w:left="0" w:right="0" w:hanging="0"/>
              <w:jc w:val="right"/>
              <w:rPr/>
            </w:pPr>
            <w:r>
              <w:rPr/>
              <w:t> </w:t>
            </w:r>
          </w:p>
        </w:tc>
        <w:tc>
          <w:tcPr>
            <w:tcW w:w="16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both"/>
              <w:rPr/>
            </w:pPr>
            <w:r>
              <w:rPr/>
              <w:t> </w:t>
            </w:r>
          </w:p>
        </w:tc>
        <w:tc>
          <w:tcPr>
            <w:tcW w:w="1095" w:type="dxa"/>
            <w:gridSpan w:val="2"/>
            <w:tcBorders/>
            <w:shd w:fill="auto" w:val="clear"/>
            <w:vAlign w:val="center"/>
          </w:tcPr>
          <w:p>
            <w:pPr>
              <w:pStyle w:val="TableContents"/>
              <w:spacing w:before="0" w:after="0"/>
              <w:ind w:left="0" w:right="0" w:hanging="0"/>
              <w:jc w:val="right"/>
              <w:rPr/>
            </w:pPr>
            <w:r>
              <w:rPr/>
              <w:t> </w:t>
            </w:r>
          </w:p>
        </w:tc>
        <w:tc>
          <w:tcPr>
            <w:tcW w:w="211" w:type="dxa"/>
            <w:tcBorders/>
            <w:shd w:fill="auto" w:val="clear"/>
            <w:vAlign w:val="center"/>
          </w:tcPr>
          <w:p>
            <w:pPr>
              <w:pStyle w:val="TableContents"/>
              <w:spacing w:before="0" w:after="0"/>
              <w:ind w:left="0" w:right="0" w:hanging="0"/>
              <w:jc w:val="right"/>
              <w:rPr/>
            </w:pPr>
            <w:r>
              <w:rPr/>
              <w:t> </w:t>
            </w:r>
          </w:p>
        </w:tc>
      </w:tr>
      <w:tr>
        <w:trPr/>
        <w:tc>
          <w:tcPr>
            <w:tcW w:w="529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Net financed sales receivables due within one year</w:t>
            </w:r>
          </w:p>
        </w:tc>
        <w:tc>
          <w:tcPr>
            <w:tcW w:w="21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8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33,721</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both"/>
              <w:rPr/>
            </w:pPr>
            <w:r>
              <w:rPr/>
              <w:t> </w:t>
            </w:r>
          </w:p>
        </w:tc>
        <w:tc>
          <w:tcPr>
            <w:tcW w:w="233"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862"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32,366</w:t>
            </w:r>
          </w:p>
        </w:tc>
        <w:tc>
          <w:tcPr>
            <w:tcW w:w="211" w:type="dxa"/>
            <w:tcBorders/>
            <w:shd w:fill="auto" w:val="clear"/>
            <w:vAlign w:val="center"/>
          </w:tcPr>
          <w:p>
            <w:pPr>
              <w:pStyle w:val="TableContents"/>
              <w:spacing w:before="0" w:after="0"/>
              <w:ind w:left="0" w:right="0" w:hanging="0"/>
              <w:jc w:val="left"/>
              <w:rPr/>
            </w:pPr>
            <w:r>
              <w:rPr/>
              <w:t> </w:t>
            </w:r>
          </w:p>
        </w:tc>
      </w:tr>
      <w:tr>
        <w:trPr/>
        <w:tc>
          <w:tcPr>
            <w:tcW w:w="529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Net financed sales receivables due after one year</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78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66,704</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both"/>
              <w:rPr/>
            </w:pPr>
            <w:r>
              <w:rPr/>
              <w:t> </w:t>
            </w:r>
          </w:p>
        </w:tc>
        <w:tc>
          <w:tcPr>
            <w:tcW w:w="233"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862"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68,686</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r>
        <w:trPr/>
        <w:tc>
          <w:tcPr>
            <w:tcW w:w="529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Total financed sales receivables</w:t>
            </w:r>
          </w:p>
        </w:tc>
        <w:tc>
          <w:tcPr>
            <w:tcW w:w="21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8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100,425</w:t>
            </w:r>
          </w:p>
        </w:tc>
        <w:tc>
          <w:tcPr>
            <w:tcW w:w="16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both"/>
              <w:rPr/>
            </w:pPr>
            <w:r>
              <w:rPr/>
              <w:t> </w:t>
            </w:r>
          </w:p>
        </w:tc>
        <w:tc>
          <w:tcPr>
            <w:tcW w:w="233"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862"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101,052</w:t>
            </w:r>
          </w:p>
        </w:tc>
        <w:tc>
          <w:tcPr>
            <w:tcW w:w="21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bl>
    <w:p>
      <w:pPr>
        <w:pStyle w:val="TextBody"/>
        <w:spacing w:before="200" w:after="200"/>
        <w:jc w:val="both"/>
        <w:rPr>
          <w:rFonts w:ascii="Times New Roman;serif" w:hAnsi="Times New Roman;serif"/>
          <w:b w:val="false"/>
          <w:sz w:val="20"/>
        </w:rPr>
      </w:pPr>
      <w:r>
        <w:rPr>
          <w:rFonts w:ascii="Times New Roman;serif" w:hAnsi="Times New Roman;serif"/>
          <w:b w:val="false"/>
          <w:sz w:val="20"/>
        </w:rPr>
        <w:t>As of March 31, 2023 and December 31, 2022, the weighted-average remaining lease term and weighted-average interest rate associated with the Company’s sales-type lease arrangements and financed sale receivables, as applicable, are as follows:</w:t>
      </w:r>
    </w:p>
    <w:tbl>
      <w:tblPr>
        <w:tblW w:w="6944" w:type="dxa"/>
        <w:jc w:val="left"/>
        <w:tblInd w:w="0" w:type="dxa"/>
        <w:tblCellMar>
          <w:top w:w="28" w:type="dxa"/>
          <w:left w:w="28" w:type="dxa"/>
          <w:bottom w:w="28" w:type="dxa"/>
          <w:right w:w="28" w:type="dxa"/>
        </w:tblCellMar>
      </w:tblPr>
      <w:tblGrid>
        <w:gridCol w:w="4145"/>
        <w:gridCol w:w="220"/>
        <w:gridCol w:w="245"/>
        <w:gridCol w:w="610"/>
        <w:gridCol w:w="146"/>
        <w:gridCol w:w="146"/>
        <w:gridCol w:w="146"/>
        <w:gridCol w:w="314"/>
        <w:gridCol w:w="781"/>
        <w:gridCol w:w="191"/>
      </w:tblGrid>
      <w:tr>
        <w:trPr/>
        <w:tc>
          <w:tcPr>
            <w:tcW w:w="4145" w:type="dxa"/>
            <w:tcBorders/>
            <w:shd w:fill="auto" w:val="clear"/>
            <w:vAlign w:val="center"/>
          </w:tcPr>
          <w:p>
            <w:pPr>
              <w:pStyle w:val="TableContents"/>
              <w:spacing w:before="0" w:after="283"/>
              <w:rPr>
                <w:sz w:val="4"/>
                <w:szCs w:val="4"/>
              </w:rPr>
            </w:pPr>
            <w:r>
              <w:rPr>
                <w:sz w:val="4"/>
                <w:szCs w:val="4"/>
              </w:rPr>
            </w:r>
          </w:p>
        </w:tc>
        <w:tc>
          <w:tcPr>
            <w:tcW w:w="220" w:type="dxa"/>
            <w:tcBorders/>
            <w:shd w:fill="auto" w:val="clear"/>
            <w:vAlign w:val="center"/>
          </w:tcPr>
          <w:p>
            <w:pPr>
              <w:pStyle w:val="TableContents"/>
              <w:spacing w:before="0" w:after="283"/>
              <w:rPr>
                <w:sz w:val="4"/>
                <w:szCs w:val="4"/>
              </w:rPr>
            </w:pPr>
            <w:r>
              <w:rPr>
                <w:sz w:val="4"/>
                <w:szCs w:val="4"/>
              </w:rPr>
            </w:r>
          </w:p>
        </w:tc>
        <w:tc>
          <w:tcPr>
            <w:tcW w:w="245" w:type="dxa"/>
            <w:tcBorders/>
            <w:shd w:fill="auto" w:val="clear"/>
            <w:vAlign w:val="center"/>
          </w:tcPr>
          <w:p>
            <w:pPr>
              <w:pStyle w:val="TableContents"/>
              <w:spacing w:before="0" w:after="283"/>
              <w:rPr>
                <w:sz w:val="4"/>
                <w:szCs w:val="4"/>
              </w:rPr>
            </w:pPr>
            <w:r>
              <w:rPr>
                <w:sz w:val="4"/>
                <w:szCs w:val="4"/>
              </w:rPr>
            </w:r>
          </w:p>
        </w:tc>
        <w:tc>
          <w:tcPr>
            <w:tcW w:w="610"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314" w:type="dxa"/>
            <w:tcBorders/>
            <w:shd w:fill="auto" w:val="clear"/>
            <w:vAlign w:val="center"/>
          </w:tcPr>
          <w:p>
            <w:pPr>
              <w:pStyle w:val="TableContents"/>
              <w:spacing w:before="0" w:after="283"/>
              <w:rPr>
                <w:sz w:val="4"/>
                <w:szCs w:val="4"/>
              </w:rPr>
            </w:pPr>
            <w:r>
              <w:rPr>
                <w:sz w:val="4"/>
                <w:szCs w:val="4"/>
              </w:rPr>
            </w:r>
          </w:p>
        </w:tc>
        <w:tc>
          <w:tcPr>
            <w:tcW w:w="781" w:type="dxa"/>
            <w:tcBorders/>
            <w:shd w:fill="auto" w:val="clear"/>
            <w:vAlign w:val="center"/>
          </w:tcPr>
          <w:p>
            <w:pPr>
              <w:pStyle w:val="TableContents"/>
              <w:spacing w:before="0" w:after="283"/>
              <w:rPr>
                <w:sz w:val="4"/>
                <w:szCs w:val="4"/>
              </w:rPr>
            </w:pPr>
            <w:r>
              <w:rPr>
                <w:sz w:val="4"/>
                <w:szCs w:val="4"/>
              </w:rPr>
            </w:r>
          </w:p>
        </w:tc>
        <w:tc>
          <w:tcPr>
            <w:tcW w:w="191" w:type="dxa"/>
            <w:tcBorders/>
            <w:shd w:fill="auto" w:val="clear"/>
            <w:vAlign w:val="center"/>
          </w:tcPr>
          <w:p>
            <w:pPr>
              <w:pStyle w:val="TableContents"/>
              <w:spacing w:before="0" w:after="283"/>
              <w:rPr>
                <w:sz w:val="4"/>
                <w:szCs w:val="4"/>
              </w:rPr>
            </w:pPr>
            <w:r>
              <w:rPr>
                <w:sz w:val="4"/>
                <w:szCs w:val="4"/>
              </w:rPr>
            </w:r>
          </w:p>
        </w:tc>
      </w:tr>
      <w:tr>
        <w:trPr/>
        <w:tc>
          <w:tcPr>
            <w:tcW w:w="4145" w:type="dxa"/>
            <w:tcBorders/>
            <w:shd w:fill="auto" w:val="clear"/>
            <w:vAlign w:val="center"/>
          </w:tcPr>
          <w:p>
            <w:pPr>
              <w:pStyle w:val="TableContents"/>
              <w:spacing w:before="0" w:after="0"/>
              <w:ind w:left="0" w:right="0" w:hanging="0"/>
              <w:jc w:val="left"/>
              <w:rPr/>
            </w:pPr>
            <w:r>
              <w:rPr/>
              <w:t> </w:t>
            </w:r>
          </w:p>
        </w:tc>
        <w:tc>
          <w:tcPr>
            <w:tcW w:w="220" w:type="dxa"/>
            <w:tcBorders/>
            <w:shd w:fill="auto" w:val="clear"/>
            <w:vAlign w:val="center"/>
          </w:tcPr>
          <w:p>
            <w:pPr>
              <w:pStyle w:val="TableContents"/>
              <w:spacing w:before="0" w:after="0"/>
              <w:ind w:left="0" w:right="0" w:hanging="0"/>
              <w:jc w:val="left"/>
              <w:rPr/>
            </w:pPr>
            <w:r>
              <w:rPr/>
              <w:t> </w:t>
            </w:r>
          </w:p>
        </w:tc>
        <w:tc>
          <w:tcPr>
            <w:tcW w:w="855" w:type="dxa"/>
            <w:gridSpan w:val="2"/>
            <w:tcBorders/>
            <w:shd w:fill="auto" w:val="cle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March 31,</w:t>
            </w:r>
          </w:p>
        </w:tc>
        <w:tc>
          <w:tcPr>
            <w:tcW w:w="146"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095" w:type="dxa"/>
            <w:gridSpan w:val="2"/>
            <w:tcBorders/>
            <w:shd w:fill="auto" w:val="cle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December 31,</w:t>
            </w:r>
          </w:p>
        </w:tc>
        <w:tc>
          <w:tcPr>
            <w:tcW w:w="191" w:type="dxa"/>
            <w:tcBorders/>
            <w:shd w:fill="auto" w:val="clear"/>
            <w:vAlign w:val="center"/>
          </w:tcPr>
          <w:p>
            <w:pPr>
              <w:pStyle w:val="TableContents"/>
              <w:spacing w:before="0" w:after="0"/>
              <w:ind w:left="0" w:right="0" w:hanging="0"/>
              <w:jc w:val="center"/>
              <w:rPr/>
            </w:pPr>
            <w:r>
              <w:rPr/>
              <w:t> </w:t>
            </w:r>
          </w:p>
        </w:tc>
      </w:tr>
      <w:tr>
        <w:trPr/>
        <w:tc>
          <w:tcPr>
            <w:tcW w:w="4145" w:type="dxa"/>
            <w:tcBorders/>
            <w:shd w:fill="auto" w:val="clear"/>
            <w:vAlign w:val="center"/>
          </w:tcPr>
          <w:p>
            <w:pPr>
              <w:pStyle w:val="TableContents"/>
              <w:spacing w:before="0" w:after="0"/>
              <w:ind w:left="0" w:right="0" w:hanging="0"/>
              <w:jc w:val="left"/>
              <w:rPr/>
            </w:pPr>
            <w:r>
              <w:rPr/>
              <w:t> </w:t>
            </w:r>
          </w:p>
        </w:tc>
        <w:tc>
          <w:tcPr>
            <w:tcW w:w="220" w:type="dxa"/>
            <w:tcBorders/>
            <w:shd w:fill="auto" w:val="clear"/>
            <w:vAlign w:val="center"/>
          </w:tcPr>
          <w:p>
            <w:pPr>
              <w:pStyle w:val="TableContents"/>
              <w:spacing w:before="0" w:after="0"/>
              <w:ind w:left="0" w:right="0" w:hanging="0"/>
              <w:jc w:val="left"/>
              <w:rPr/>
            </w:pPr>
            <w:r>
              <w:rPr/>
              <w:t> </w:t>
            </w:r>
          </w:p>
        </w:tc>
        <w:tc>
          <w:tcPr>
            <w:tcW w:w="855"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2023</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1095"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2022</w:t>
            </w:r>
          </w:p>
        </w:tc>
        <w:tc>
          <w:tcPr>
            <w:tcW w:w="1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4365" w:type="dxa"/>
            <w:gridSpan w:val="2"/>
            <w:tcBorders/>
            <w:shd w:fill="auto" w:val="clear"/>
            <w:vAlign w:val="center"/>
          </w:tcPr>
          <w:p>
            <w:pPr>
              <w:pStyle w:val="TableContents"/>
              <w:spacing w:before="0" w:after="0"/>
              <w:ind w:left="0" w:right="0" w:hanging="0"/>
              <w:jc w:val="left"/>
              <w:rPr>
                <w:rFonts w:ascii="Times New Roman;serif" w:hAnsi="Times New Roman;serif"/>
                <w:b/>
                <w:sz w:val="20"/>
              </w:rPr>
            </w:pPr>
            <w:r>
              <w:rPr>
                <w:rFonts w:ascii="Times New Roman;serif" w:hAnsi="Times New Roman;serif"/>
                <w:b/>
                <w:sz w:val="20"/>
              </w:rPr>
              <w:t>Weighted-average remaining lease term (in years)</w:t>
            </w:r>
          </w:p>
        </w:tc>
        <w:tc>
          <w:tcPr>
            <w:tcW w:w="855" w:type="dxa"/>
            <w:gridSpan w:val="2"/>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095" w:type="dxa"/>
            <w:gridSpan w:val="2"/>
            <w:tcBorders/>
            <w:shd w:fill="auto" w:val="clear"/>
            <w:vAlign w:val="center"/>
          </w:tcPr>
          <w:p>
            <w:pPr>
              <w:pStyle w:val="TableContents"/>
              <w:spacing w:before="0" w:after="0"/>
              <w:ind w:left="0" w:right="0" w:hanging="0"/>
              <w:jc w:val="right"/>
              <w:rPr/>
            </w:pPr>
            <w:r>
              <w:rPr/>
              <w:t> </w:t>
            </w:r>
          </w:p>
        </w:tc>
        <w:tc>
          <w:tcPr>
            <w:tcW w:w="191" w:type="dxa"/>
            <w:tcBorders/>
            <w:shd w:fill="auto" w:val="clear"/>
            <w:vAlign w:val="center"/>
          </w:tcPr>
          <w:p>
            <w:pPr>
              <w:pStyle w:val="TableContents"/>
              <w:spacing w:before="0" w:after="0"/>
              <w:ind w:left="0" w:right="0" w:hanging="0"/>
              <w:jc w:val="right"/>
              <w:rPr/>
            </w:pPr>
            <w:r>
              <w:rPr/>
              <w:t> </w:t>
            </w:r>
          </w:p>
        </w:tc>
      </w:tr>
      <w:tr>
        <w:trPr/>
        <w:tc>
          <w:tcPr>
            <w:tcW w:w="4145"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Sales-type lease arrangements</w:t>
            </w:r>
          </w:p>
        </w:tc>
        <w:tc>
          <w:tcPr>
            <w:tcW w:w="220" w:type="dxa"/>
            <w:tcBorders/>
            <w:shd w:fill="auto" w:val="clear"/>
            <w:vAlign w:val="center"/>
          </w:tcPr>
          <w:p>
            <w:pPr>
              <w:pStyle w:val="TableContents"/>
              <w:spacing w:before="0" w:after="0"/>
              <w:ind w:left="0" w:right="0" w:hanging="0"/>
              <w:jc w:val="left"/>
              <w:rPr/>
            </w:pPr>
            <w:r>
              <w:rPr/>
              <w:t> </w:t>
            </w:r>
          </w:p>
        </w:tc>
        <w:tc>
          <w:tcPr>
            <w:tcW w:w="245"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610"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8.9</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314"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78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9.0</w:t>
            </w:r>
          </w:p>
        </w:tc>
        <w:tc>
          <w:tcPr>
            <w:tcW w:w="19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r>
        <w:trPr/>
        <w:tc>
          <w:tcPr>
            <w:tcW w:w="4145" w:type="dxa"/>
            <w:tcBorders/>
            <w:shd w:fill="auto" w:val="clear"/>
            <w:vAlign w:val="center"/>
          </w:tcPr>
          <w:p>
            <w:pPr>
              <w:pStyle w:val="TableContents"/>
              <w:spacing w:before="0" w:after="0"/>
              <w:ind w:left="0" w:right="0" w:hanging="0"/>
              <w:jc w:val="left"/>
              <w:rPr>
                <w:rFonts w:ascii="Times New Roman;serif" w:hAnsi="Times New Roman;serif"/>
                <w:b/>
                <w:sz w:val="20"/>
              </w:rPr>
            </w:pPr>
            <w:r>
              <w:rPr>
                <w:rFonts w:ascii="Times New Roman;serif" w:hAnsi="Times New Roman;serif"/>
                <w:b/>
                <w:sz w:val="20"/>
              </w:rPr>
              <w:t>Weighted-average interest rate</w:t>
            </w:r>
          </w:p>
        </w:tc>
        <w:tc>
          <w:tcPr>
            <w:tcW w:w="220" w:type="dxa"/>
            <w:tcBorders/>
            <w:shd w:fill="auto" w:val="clear"/>
            <w:vAlign w:val="center"/>
          </w:tcPr>
          <w:p>
            <w:pPr>
              <w:pStyle w:val="TableContents"/>
              <w:spacing w:before="0" w:after="0"/>
              <w:ind w:left="0" w:right="0" w:hanging="0"/>
              <w:jc w:val="left"/>
              <w:rPr/>
            </w:pPr>
            <w:r>
              <w:rPr/>
              <w:t> </w:t>
            </w:r>
          </w:p>
        </w:tc>
        <w:tc>
          <w:tcPr>
            <w:tcW w:w="855" w:type="dxa"/>
            <w:gridSpan w:val="2"/>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095" w:type="dxa"/>
            <w:gridSpan w:val="2"/>
            <w:tcBorders/>
            <w:shd w:fill="auto" w:val="clear"/>
            <w:vAlign w:val="center"/>
          </w:tcPr>
          <w:p>
            <w:pPr>
              <w:pStyle w:val="TableContents"/>
              <w:spacing w:before="0" w:after="0"/>
              <w:ind w:left="0" w:right="0" w:hanging="0"/>
              <w:jc w:val="right"/>
              <w:rPr/>
            </w:pPr>
            <w:r>
              <w:rPr/>
              <w:t> </w:t>
            </w:r>
          </w:p>
        </w:tc>
        <w:tc>
          <w:tcPr>
            <w:tcW w:w="191" w:type="dxa"/>
            <w:tcBorders/>
            <w:shd w:fill="auto" w:val="clear"/>
            <w:vAlign w:val="center"/>
          </w:tcPr>
          <w:p>
            <w:pPr>
              <w:pStyle w:val="TableContents"/>
              <w:spacing w:before="0" w:after="0"/>
              <w:ind w:left="0" w:right="0" w:hanging="0"/>
              <w:jc w:val="right"/>
              <w:rPr/>
            </w:pPr>
            <w:r>
              <w:rPr/>
              <w:t> </w:t>
            </w:r>
          </w:p>
        </w:tc>
      </w:tr>
      <w:tr>
        <w:trPr/>
        <w:tc>
          <w:tcPr>
            <w:tcW w:w="4145"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Sales-type lease arrangements</w:t>
            </w:r>
          </w:p>
        </w:tc>
        <w:tc>
          <w:tcPr>
            <w:tcW w:w="220" w:type="dxa"/>
            <w:tcBorders/>
            <w:shd w:fill="auto" w:val="clear"/>
            <w:vAlign w:val="center"/>
          </w:tcPr>
          <w:p>
            <w:pPr>
              <w:pStyle w:val="TableContents"/>
              <w:spacing w:before="0" w:after="0"/>
              <w:ind w:left="0" w:right="0" w:hanging="0"/>
              <w:jc w:val="left"/>
              <w:rPr/>
            </w:pPr>
            <w:r>
              <w:rPr/>
              <w:t> </w:t>
            </w:r>
          </w:p>
        </w:tc>
        <w:tc>
          <w:tcPr>
            <w:tcW w:w="855" w:type="dxa"/>
            <w:gridSpan w:val="2"/>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8.25%</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095" w:type="dxa"/>
            <w:gridSpan w:val="2"/>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8.23%</w:t>
            </w:r>
          </w:p>
        </w:tc>
        <w:tc>
          <w:tcPr>
            <w:tcW w:w="19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pPr>
            <w:r>
              <w:rPr/>
              <w:t> </w:t>
            </w:r>
          </w:p>
        </w:tc>
      </w:tr>
      <w:tr>
        <w:trPr/>
        <w:tc>
          <w:tcPr>
            <w:tcW w:w="4145"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Financed sales receivables</w:t>
            </w:r>
          </w:p>
        </w:tc>
        <w:tc>
          <w:tcPr>
            <w:tcW w:w="220" w:type="dxa"/>
            <w:tcBorders/>
            <w:shd w:fill="auto" w:val="clear"/>
            <w:vAlign w:val="center"/>
          </w:tcPr>
          <w:p>
            <w:pPr>
              <w:pStyle w:val="TableContents"/>
              <w:spacing w:before="0" w:after="0"/>
              <w:ind w:left="0" w:right="0" w:hanging="0"/>
              <w:jc w:val="left"/>
              <w:rPr/>
            </w:pPr>
            <w:r>
              <w:rPr/>
              <w:t> </w:t>
            </w:r>
          </w:p>
        </w:tc>
        <w:tc>
          <w:tcPr>
            <w:tcW w:w="855" w:type="dxa"/>
            <w:gridSpan w:val="2"/>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8.85%</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095" w:type="dxa"/>
            <w:gridSpan w:val="2"/>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8.79%</w:t>
            </w:r>
          </w:p>
        </w:tc>
        <w:tc>
          <w:tcPr>
            <w:tcW w:w="19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pPr>
            <w:r>
              <w:rPr/>
              <w:t> </w:t>
            </w:r>
          </w:p>
        </w:tc>
      </w:tr>
    </w:tbl>
    <w:p>
      <w:pPr>
        <w:pStyle w:val="TextBody"/>
        <w:spacing w:before="0" w:after="0"/>
        <w:jc w:val="left"/>
        <w:rPr/>
      </w:pPr>
      <w:r>
        <w:rPr/>
        <w:t> </w:t>
      </w:r>
    </w:p>
    <w:p>
      <w:pPr>
        <w:pStyle w:val="TextBody"/>
        <w:spacing w:before="240" w:after="0"/>
        <w:jc w:val="center"/>
        <w:rPr>
          <w:rFonts w:ascii="Times New Roman;serif" w:hAnsi="Times New Roman;serif"/>
          <w:b w:val="false"/>
          <w:sz w:val="20"/>
        </w:rPr>
      </w:pPr>
      <w:r>
        <w:rPr>
          <w:rFonts w:ascii="Times New Roman;serif" w:hAnsi="Times New Roman;serif"/>
          <w:b w:val="false"/>
          <w:sz w:val="20"/>
        </w:rPr>
        <w:t>13</w:t>
      </w:r>
    </w:p>
    <w:p>
      <w:pPr>
        <w:pStyle w:val="HorizontalLine"/>
        <w:rPr/>
      </w:pPr>
      <w:r>
        <w:rPr/>
      </w:r>
    </w:p>
    <w:p>
      <w:pPr>
        <w:pStyle w:val="TextBody"/>
        <w:spacing w:before="0" w:after="0"/>
        <w:jc w:val="left"/>
        <w:rPr/>
      </w:pPr>
      <w:r>
        <w:rPr/>
        <w:t> </w:t>
      </w:r>
    </w:p>
    <w:p>
      <w:pPr>
        <w:pStyle w:val="TextBody"/>
        <w:spacing w:before="200" w:after="200"/>
        <w:jc w:val="both"/>
        <w:rPr>
          <w:rFonts w:ascii="Times New Roman;serif" w:hAnsi="Times New Roman;serif"/>
          <w:b w:val="false"/>
          <w:sz w:val="20"/>
        </w:rPr>
      </w:pPr>
      <w:r>
        <w:rPr>
          <w:rFonts w:ascii="Times New Roman;serif" w:hAnsi="Times New Roman;serif"/>
          <w:b w:val="false"/>
          <w:sz w:val="20"/>
        </w:rPr>
        <w:t>The tables below provide information on the Company’s net investment in leases by credit quality indicator as of March 31, 2023 and December 31, 2022. The amounts disclosed for each credit quality classification are determined on a customer-by-customer basis and include both billed and unbilled amounts.</w:t>
      </w:r>
    </w:p>
    <w:tbl>
      <w:tblPr>
        <w:tblW w:w="10205" w:type="dxa"/>
        <w:jc w:val="left"/>
        <w:tblInd w:w="0" w:type="dxa"/>
        <w:tblCellMar>
          <w:top w:w="28" w:type="dxa"/>
          <w:left w:w="28" w:type="dxa"/>
          <w:bottom w:w="28" w:type="dxa"/>
          <w:right w:w="28" w:type="dxa"/>
        </w:tblCellMar>
      </w:tblPr>
      <w:tblGrid>
        <w:gridCol w:w="2373"/>
        <w:gridCol w:w="211"/>
        <w:gridCol w:w="571"/>
        <w:gridCol w:w="146"/>
        <w:gridCol w:w="146"/>
        <w:gridCol w:w="211"/>
        <w:gridCol w:w="676"/>
        <w:gridCol w:w="146"/>
        <w:gridCol w:w="146"/>
        <w:gridCol w:w="211"/>
        <w:gridCol w:w="676"/>
        <w:gridCol w:w="146"/>
        <w:gridCol w:w="146"/>
        <w:gridCol w:w="211"/>
        <w:gridCol w:w="571"/>
        <w:gridCol w:w="146"/>
        <w:gridCol w:w="146"/>
        <w:gridCol w:w="211"/>
        <w:gridCol w:w="571"/>
        <w:gridCol w:w="146"/>
        <w:gridCol w:w="146"/>
        <w:gridCol w:w="211"/>
        <w:gridCol w:w="571"/>
        <w:gridCol w:w="146"/>
        <w:gridCol w:w="146"/>
        <w:gridCol w:w="211"/>
        <w:gridCol w:w="676"/>
        <w:gridCol w:w="291"/>
      </w:tblGrid>
      <w:tr>
        <w:trPr/>
        <w:tc>
          <w:tcPr>
            <w:tcW w:w="2373"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571"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67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67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571"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571"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571"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676" w:type="dxa"/>
            <w:tcBorders/>
            <w:shd w:fill="auto" w:val="clear"/>
            <w:vAlign w:val="center"/>
          </w:tcPr>
          <w:p>
            <w:pPr>
              <w:pStyle w:val="TableContents"/>
              <w:spacing w:before="0" w:after="283"/>
              <w:rPr>
                <w:sz w:val="4"/>
                <w:szCs w:val="4"/>
              </w:rPr>
            </w:pPr>
            <w:r>
              <w:rPr>
                <w:sz w:val="4"/>
                <w:szCs w:val="4"/>
              </w:rPr>
            </w:r>
          </w:p>
        </w:tc>
        <w:tc>
          <w:tcPr>
            <w:tcW w:w="291" w:type="dxa"/>
            <w:tcBorders/>
            <w:shd w:fill="auto" w:val="clear"/>
            <w:vAlign w:val="center"/>
          </w:tcPr>
          <w:p>
            <w:pPr>
              <w:pStyle w:val="TableContents"/>
              <w:spacing w:before="0" w:after="283"/>
              <w:rPr>
                <w:sz w:val="4"/>
                <w:szCs w:val="4"/>
              </w:rPr>
            </w:pPr>
            <w:r>
              <w:rPr>
                <w:sz w:val="4"/>
                <w:szCs w:val="4"/>
              </w:rPr>
            </w:r>
          </w:p>
        </w:tc>
      </w:tr>
      <w:tr>
        <w:trPr/>
        <w:tc>
          <w:tcPr>
            <w:tcW w:w="2373" w:type="dxa"/>
            <w:tcBorders/>
            <w:shd w:fill="auto" w:val="clear"/>
            <w:vAlign w:val="center"/>
          </w:tcPr>
          <w:p>
            <w:pPr>
              <w:pStyle w:val="TableContents"/>
              <w:spacing w:before="0" w:after="0"/>
              <w:ind w:left="0" w:right="0" w:hanging="0"/>
              <w:jc w:val="left"/>
              <w:rPr>
                <w:rFonts w:ascii="Times New Roman;serif" w:hAnsi="Times New Roman;serif"/>
                <w:b w:val="false"/>
                <w:i/>
                <w:sz w:val="16"/>
              </w:rPr>
            </w:pPr>
            <w:r>
              <w:rPr>
                <w:rFonts w:ascii="Times New Roman;serif" w:hAnsi="Times New Roman;serif"/>
                <w:b w:val="false"/>
                <w:i/>
                <w:sz w:val="16"/>
              </w:rPr>
              <w:t>(In thousands of U.S. Dollars)</w:t>
            </w:r>
          </w:p>
        </w:tc>
        <w:tc>
          <w:tcPr>
            <w:tcW w:w="6362" w:type="dxa"/>
            <w:gridSpan w:val="2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By Origination Year</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887" w:type="dxa"/>
            <w:gridSpan w:val="2"/>
            <w:tcBorders/>
            <w:shd w:fill="auto" w:val="clear"/>
            <w:vAlign w:val="center"/>
          </w:tcPr>
          <w:p>
            <w:pPr>
              <w:pStyle w:val="TableContents"/>
              <w:spacing w:before="0" w:after="0"/>
              <w:ind w:left="0" w:right="0" w:hanging="0"/>
              <w:jc w:val="left"/>
              <w:rPr/>
            </w:pPr>
            <w:r>
              <w:rPr/>
              <w:t> </w:t>
            </w:r>
          </w:p>
        </w:tc>
        <w:tc>
          <w:tcPr>
            <w:tcW w:w="291" w:type="dxa"/>
            <w:tcBorders/>
            <w:shd w:fill="auto" w:val="clear"/>
            <w:vAlign w:val="center"/>
          </w:tcPr>
          <w:p>
            <w:pPr>
              <w:pStyle w:val="TableContents"/>
              <w:spacing w:before="0" w:after="0"/>
              <w:ind w:left="0" w:right="0" w:hanging="0"/>
              <w:jc w:val="left"/>
              <w:rPr/>
            </w:pPr>
            <w:r>
              <w:rPr/>
              <w:t> </w:t>
            </w:r>
          </w:p>
        </w:tc>
      </w:tr>
      <w:tr>
        <w:trPr/>
        <w:tc>
          <w:tcPr>
            <w:tcW w:w="2373"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sz w:val="16"/>
              </w:rPr>
            </w:pPr>
            <w:r>
              <w:rPr>
                <w:rFonts w:ascii="Times New Roman;serif" w:hAnsi="Times New Roman;serif"/>
                <w:b/>
                <w:sz w:val="16"/>
              </w:rPr>
              <w:t>As of March 31, 2023</w:t>
            </w:r>
          </w:p>
        </w:tc>
        <w:tc>
          <w:tcPr>
            <w:tcW w:w="782"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2023</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887"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2022</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887"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2021</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782"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2020</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782"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2019</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782"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Prior</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887"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Total</w:t>
            </w:r>
          </w:p>
        </w:tc>
        <w:tc>
          <w:tcPr>
            <w:tcW w:w="2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2373" w:type="dxa"/>
            <w:tcBorders/>
            <w:shd w:fill="auto" w:val="clear"/>
            <w:vAlign w:val="center"/>
          </w:tcPr>
          <w:p>
            <w:pPr>
              <w:pStyle w:val="TableContents"/>
              <w:spacing w:before="0" w:after="0"/>
              <w:ind w:left="0" w:right="0" w:hanging="0"/>
              <w:jc w:val="left"/>
              <w:rPr>
                <w:rFonts w:ascii="Times New Roman;serif" w:hAnsi="Times New Roman;serif"/>
                <w:b/>
                <w:sz w:val="20"/>
              </w:rPr>
            </w:pPr>
            <w:r>
              <w:rPr>
                <w:rFonts w:ascii="Times New Roman;serif" w:hAnsi="Times New Roman;serif"/>
                <w:b/>
                <w:sz w:val="20"/>
              </w:rPr>
              <w:t>Net investment in leases:</w:t>
            </w:r>
          </w:p>
        </w:tc>
        <w:tc>
          <w:tcPr>
            <w:tcW w:w="782" w:type="dxa"/>
            <w:gridSpan w:val="2"/>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887" w:type="dxa"/>
            <w:gridSpan w:val="2"/>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887" w:type="dxa"/>
            <w:gridSpan w:val="2"/>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782" w:type="dxa"/>
            <w:gridSpan w:val="2"/>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782" w:type="dxa"/>
            <w:gridSpan w:val="2"/>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782" w:type="dxa"/>
            <w:gridSpan w:val="2"/>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887" w:type="dxa"/>
            <w:gridSpan w:val="2"/>
            <w:tcBorders/>
            <w:shd w:fill="auto" w:val="clear"/>
            <w:vAlign w:val="center"/>
          </w:tcPr>
          <w:p>
            <w:pPr>
              <w:pStyle w:val="TableContents"/>
              <w:spacing w:before="0" w:after="0"/>
              <w:ind w:left="0" w:right="0" w:hanging="0"/>
              <w:jc w:val="right"/>
              <w:rPr/>
            </w:pPr>
            <w:r>
              <w:rPr/>
              <w:t> </w:t>
            </w:r>
          </w:p>
        </w:tc>
        <w:tc>
          <w:tcPr>
            <w:tcW w:w="291" w:type="dxa"/>
            <w:tcBorders/>
            <w:shd w:fill="auto" w:val="clear"/>
            <w:vAlign w:val="center"/>
          </w:tcPr>
          <w:p>
            <w:pPr>
              <w:pStyle w:val="TableContents"/>
              <w:spacing w:before="0" w:after="0"/>
              <w:ind w:left="0" w:right="0" w:hanging="0"/>
              <w:jc w:val="right"/>
              <w:rPr/>
            </w:pPr>
            <w:r>
              <w:rPr/>
              <w:t> </w:t>
            </w:r>
          </w:p>
        </w:tc>
      </w:tr>
      <w:tr>
        <w:trPr/>
        <w:tc>
          <w:tcPr>
            <w:tcW w:w="2373"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Credit quality classification:</w:t>
            </w:r>
          </w:p>
        </w:tc>
        <w:tc>
          <w:tcPr>
            <w:tcW w:w="782" w:type="dxa"/>
            <w:gridSpan w:val="2"/>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887" w:type="dxa"/>
            <w:gridSpan w:val="2"/>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887" w:type="dxa"/>
            <w:gridSpan w:val="2"/>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782" w:type="dxa"/>
            <w:gridSpan w:val="2"/>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782" w:type="dxa"/>
            <w:gridSpan w:val="2"/>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782" w:type="dxa"/>
            <w:gridSpan w:val="2"/>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887" w:type="dxa"/>
            <w:gridSpan w:val="2"/>
            <w:tcBorders/>
            <w:shd w:fill="auto" w:val="clear"/>
            <w:vAlign w:val="center"/>
          </w:tcPr>
          <w:p>
            <w:pPr>
              <w:pStyle w:val="TableContents"/>
              <w:spacing w:before="0" w:after="0"/>
              <w:ind w:left="0" w:right="0" w:hanging="0"/>
              <w:jc w:val="right"/>
              <w:rPr/>
            </w:pPr>
            <w:r>
              <w:rPr/>
              <w:t> </w:t>
            </w:r>
          </w:p>
        </w:tc>
        <w:tc>
          <w:tcPr>
            <w:tcW w:w="291" w:type="dxa"/>
            <w:tcBorders/>
            <w:shd w:fill="auto" w:val="clear"/>
            <w:vAlign w:val="center"/>
          </w:tcPr>
          <w:p>
            <w:pPr>
              <w:pStyle w:val="TableContents"/>
              <w:spacing w:before="0" w:after="0"/>
              <w:ind w:left="0" w:right="0" w:firstLine="100"/>
              <w:jc w:val="right"/>
              <w:rPr/>
            </w:pPr>
            <w:r>
              <w:rPr/>
              <w:t> </w:t>
            </w:r>
          </w:p>
        </w:tc>
      </w:tr>
      <w:tr>
        <w:trPr/>
        <w:tc>
          <w:tcPr>
            <w:tcW w:w="2373" w:type="dxa"/>
            <w:tcBorders/>
            <w:shd w:fill="auto" w:val="clear"/>
            <w:vAlign w:val="center"/>
          </w:tcPr>
          <w:p>
            <w:pPr>
              <w:pStyle w:val="TableContents"/>
              <w:spacing w:before="0" w:after="0"/>
              <w:ind w:left="100" w:right="0" w:hanging="0"/>
              <w:jc w:val="left"/>
              <w:rPr>
                <w:rFonts w:ascii="Times New Roman;serif" w:hAnsi="Times New Roman;serif"/>
                <w:b w:val="false"/>
                <w:sz w:val="20"/>
              </w:rPr>
            </w:pPr>
            <w:r>
              <w:rPr>
                <w:rFonts w:ascii="Times New Roman;serif" w:hAnsi="Times New Roman;serif"/>
                <w:b w:val="false"/>
                <w:sz w:val="20"/>
              </w:rPr>
              <w:t>In good standing</w:t>
            </w:r>
          </w:p>
        </w:tc>
        <w:tc>
          <w:tcPr>
            <w:tcW w:w="21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57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2,200</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7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4,141</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7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7,017</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57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2,544</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57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2,020</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57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1,020</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7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18,942</w:t>
            </w:r>
          </w:p>
        </w:tc>
        <w:tc>
          <w:tcPr>
            <w:tcW w:w="291" w:type="dxa"/>
            <w:tcBorders/>
            <w:shd w:fill="auto" w:val="clear"/>
            <w:vAlign w:val="center"/>
          </w:tcPr>
          <w:p>
            <w:pPr>
              <w:pStyle w:val="TableContents"/>
              <w:spacing w:before="0" w:after="0"/>
              <w:ind w:left="0" w:right="0" w:firstLine="100"/>
              <w:jc w:val="left"/>
              <w:rPr/>
            </w:pPr>
            <w:r>
              <w:rPr/>
              <w:t> </w:t>
            </w:r>
          </w:p>
        </w:tc>
      </w:tr>
      <w:tr>
        <w:trPr/>
        <w:tc>
          <w:tcPr>
            <w:tcW w:w="2373" w:type="dxa"/>
            <w:tcBorders/>
            <w:shd w:fill="auto" w:val="clear"/>
            <w:vAlign w:val="center"/>
          </w:tcPr>
          <w:p>
            <w:pPr>
              <w:pStyle w:val="TableContents"/>
              <w:spacing w:before="0" w:after="0"/>
              <w:ind w:left="100" w:right="0" w:hanging="0"/>
              <w:jc w:val="left"/>
              <w:rPr>
                <w:rFonts w:ascii="Times New Roman;serif" w:hAnsi="Times New Roman;serif"/>
                <w:b w:val="false"/>
                <w:sz w:val="20"/>
              </w:rPr>
            </w:pPr>
            <w:r>
              <w:rPr>
                <w:rFonts w:ascii="Times New Roman;serif" w:hAnsi="Times New Roman;serif"/>
                <w:b w:val="false"/>
                <w:sz w:val="20"/>
              </w:rPr>
              <w:t>Credit Watch</w:t>
            </w:r>
          </w:p>
        </w:tc>
        <w:tc>
          <w:tcPr>
            <w:tcW w:w="211" w:type="dxa"/>
            <w:tcBorders/>
            <w:shd w:fill="auto" w:val="clear"/>
            <w:vAlign w:val="center"/>
          </w:tcPr>
          <w:p>
            <w:pPr>
              <w:pStyle w:val="TableContents"/>
              <w:spacing w:before="0" w:after="0"/>
              <w:ind w:left="0" w:right="0" w:hanging="0"/>
              <w:jc w:val="left"/>
              <w:rPr/>
            </w:pPr>
            <w:r>
              <w:rPr/>
              <w:t> </w:t>
            </w:r>
          </w:p>
        </w:tc>
        <w:tc>
          <w:tcPr>
            <w:tcW w:w="571"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676"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676"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571"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571"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571"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676" w:type="dxa"/>
            <w:tcBorders/>
            <w:shd w:fill="auto" w:val="clear"/>
            <w:vAlign w:val="center"/>
          </w:tcPr>
          <w:p>
            <w:pPr>
              <w:pStyle w:val="TableContents"/>
              <w:spacing w:before="0" w:after="0"/>
              <w:ind w:left="0" w:right="0" w:hanging="0"/>
              <w:jc w:val="right"/>
              <w:rPr/>
            </w:pPr>
            <w:r>
              <w:rPr/>
              <w:t>—</w:t>
            </w:r>
          </w:p>
        </w:tc>
        <w:tc>
          <w:tcPr>
            <w:tcW w:w="291" w:type="dxa"/>
            <w:tcBorders/>
            <w:shd w:fill="auto" w:val="clear"/>
            <w:vAlign w:val="center"/>
          </w:tcPr>
          <w:p>
            <w:pPr>
              <w:pStyle w:val="TableContents"/>
              <w:spacing w:before="0" w:after="0"/>
              <w:ind w:left="0" w:right="0" w:firstLine="100"/>
              <w:jc w:val="left"/>
              <w:rPr/>
            </w:pPr>
            <w:r>
              <w:rPr/>
              <w:t> </w:t>
            </w:r>
          </w:p>
        </w:tc>
      </w:tr>
      <w:tr>
        <w:trPr/>
        <w:tc>
          <w:tcPr>
            <w:tcW w:w="2373" w:type="dxa"/>
            <w:tcBorders/>
            <w:shd w:fill="auto" w:val="clear"/>
            <w:vAlign w:val="center"/>
          </w:tcPr>
          <w:p>
            <w:pPr>
              <w:pStyle w:val="TableContents"/>
              <w:spacing w:before="0" w:after="0"/>
              <w:ind w:left="100" w:right="0" w:hanging="0"/>
              <w:jc w:val="left"/>
              <w:rPr>
                <w:rFonts w:ascii="Times New Roman;serif" w:hAnsi="Times New Roman;serif"/>
                <w:b w:val="false"/>
                <w:sz w:val="20"/>
              </w:rPr>
            </w:pPr>
            <w:r>
              <w:rPr>
                <w:rFonts w:ascii="Times New Roman;serif" w:hAnsi="Times New Roman;serif"/>
                <w:b w:val="false"/>
                <w:sz w:val="20"/>
              </w:rPr>
              <w:t>Pre-approved transactions</w:t>
            </w:r>
          </w:p>
        </w:tc>
        <w:tc>
          <w:tcPr>
            <w:tcW w:w="211" w:type="dxa"/>
            <w:tcBorders/>
            <w:shd w:fill="auto" w:val="clear"/>
            <w:vAlign w:val="center"/>
          </w:tcPr>
          <w:p>
            <w:pPr>
              <w:pStyle w:val="TableContents"/>
              <w:spacing w:before="0" w:after="0"/>
              <w:ind w:left="0" w:right="0" w:hanging="0"/>
              <w:jc w:val="left"/>
              <w:rPr/>
            </w:pPr>
            <w:r>
              <w:rPr/>
              <w:t> </w:t>
            </w:r>
          </w:p>
        </w:tc>
        <w:tc>
          <w:tcPr>
            <w:tcW w:w="571"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676"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67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3,112</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57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1,179</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57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5,423</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57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2,483</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67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12,197</w:t>
            </w:r>
          </w:p>
        </w:tc>
        <w:tc>
          <w:tcPr>
            <w:tcW w:w="291" w:type="dxa"/>
            <w:tcBorders/>
            <w:shd w:fill="auto" w:val="clear"/>
            <w:vAlign w:val="center"/>
          </w:tcPr>
          <w:p>
            <w:pPr>
              <w:pStyle w:val="TableContents"/>
              <w:spacing w:before="0" w:after="0"/>
              <w:ind w:left="0" w:right="0" w:firstLine="100"/>
              <w:jc w:val="left"/>
              <w:rPr/>
            </w:pPr>
            <w:r>
              <w:rPr/>
              <w:t> </w:t>
            </w:r>
          </w:p>
        </w:tc>
      </w:tr>
      <w:tr>
        <w:trPr/>
        <w:tc>
          <w:tcPr>
            <w:tcW w:w="2373" w:type="dxa"/>
            <w:tcBorders/>
            <w:shd w:fill="auto" w:val="clear"/>
            <w:vAlign w:val="center"/>
          </w:tcPr>
          <w:p>
            <w:pPr>
              <w:pStyle w:val="TableContents"/>
              <w:spacing w:before="0" w:after="0"/>
              <w:ind w:left="100" w:right="0" w:hanging="0"/>
              <w:jc w:val="left"/>
              <w:rPr>
                <w:rFonts w:ascii="Times New Roman;serif" w:hAnsi="Times New Roman;serif"/>
                <w:b w:val="false"/>
                <w:sz w:val="20"/>
              </w:rPr>
            </w:pPr>
            <w:r>
              <w:rPr>
                <w:rFonts w:ascii="Times New Roman;serif" w:hAnsi="Times New Roman;serif"/>
                <w:b w:val="false"/>
                <w:sz w:val="20"/>
              </w:rPr>
              <w:t>Transactions suspended</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57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pPr>
            <w:r>
              <w:rPr/>
              <w:t>—</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67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pPr>
            <w:r>
              <w:rPr/>
              <w:t>—</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67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pPr>
            <w:r>
              <w:rPr/>
              <w:t>—</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57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pPr>
            <w:r>
              <w:rPr/>
              <w:t>—</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57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pPr>
            <w:r>
              <w:rPr/>
              <w:t>—</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57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401</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67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401</w:t>
            </w:r>
          </w:p>
        </w:tc>
        <w:tc>
          <w:tcPr>
            <w:tcW w:w="2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r>
        <w:trPr/>
        <w:tc>
          <w:tcPr>
            <w:tcW w:w="2373" w:type="dxa"/>
            <w:tcBorders/>
            <w:shd w:fill="auto" w:val="clear"/>
            <w:vAlign w:val="center"/>
          </w:tcPr>
          <w:p>
            <w:pPr>
              <w:pStyle w:val="TableContents"/>
              <w:spacing w:before="0" w:after="0"/>
              <w:ind w:left="0" w:right="0" w:hanging="0"/>
              <w:jc w:val="left"/>
              <w:rPr>
                <w:rFonts w:ascii="Times New Roman;serif" w:hAnsi="Times New Roman;serif"/>
                <w:b/>
                <w:sz w:val="20"/>
              </w:rPr>
            </w:pPr>
            <w:r>
              <w:rPr>
                <w:rFonts w:ascii="Times New Roman;serif" w:hAnsi="Times New Roman;serif"/>
                <w:b/>
                <w:sz w:val="20"/>
              </w:rPr>
              <w:t>Total net investment in leases</w:t>
            </w:r>
          </w:p>
        </w:tc>
        <w:tc>
          <w:tcPr>
            <w:tcW w:w="21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57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2,200</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7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4,141</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7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10,129</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57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3,723</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57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7,443</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57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3,904</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7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31,540</w:t>
            </w:r>
          </w:p>
        </w:tc>
        <w:tc>
          <w:tcPr>
            <w:tcW w:w="29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r>
        <w:trPr/>
        <w:tc>
          <w:tcPr>
            <w:tcW w:w="2373" w:type="dxa"/>
            <w:tcBorders/>
            <w:shd w:fill="auto" w:val="clear"/>
            <w:vAlign w:val="center"/>
          </w:tcPr>
          <w:p>
            <w:pPr>
              <w:pStyle w:val="TableContents"/>
              <w:spacing w:before="0" w:after="0"/>
              <w:ind w:left="0" w:right="0" w:hanging="0"/>
              <w:jc w:val="left"/>
              <w:rPr/>
            </w:pPr>
            <w:r>
              <w:rPr/>
              <w:t> </w:t>
            </w:r>
          </w:p>
        </w:tc>
        <w:tc>
          <w:tcPr>
            <w:tcW w:w="782" w:type="dxa"/>
            <w:gridSpan w:val="2"/>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887" w:type="dxa"/>
            <w:gridSpan w:val="2"/>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887" w:type="dxa"/>
            <w:gridSpan w:val="2"/>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782" w:type="dxa"/>
            <w:gridSpan w:val="2"/>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782" w:type="dxa"/>
            <w:gridSpan w:val="2"/>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782" w:type="dxa"/>
            <w:gridSpan w:val="2"/>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887" w:type="dxa"/>
            <w:gridSpan w:val="2"/>
            <w:tcBorders/>
            <w:shd w:fill="auto" w:val="clear"/>
            <w:vAlign w:val="center"/>
          </w:tcPr>
          <w:p>
            <w:pPr>
              <w:pStyle w:val="TableContents"/>
              <w:spacing w:before="0" w:after="0"/>
              <w:ind w:left="0" w:right="0" w:hanging="0"/>
              <w:jc w:val="left"/>
              <w:rPr/>
            </w:pPr>
            <w:r>
              <w:rPr/>
              <w:t> </w:t>
            </w:r>
          </w:p>
        </w:tc>
        <w:tc>
          <w:tcPr>
            <w:tcW w:w="291" w:type="dxa"/>
            <w:tcBorders/>
            <w:shd w:fill="auto" w:val="clear"/>
            <w:vAlign w:val="center"/>
          </w:tcPr>
          <w:p>
            <w:pPr>
              <w:pStyle w:val="TableContents"/>
              <w:spacing w:before="0" w:after="0"/>
              <w:ind w:left="0" w:right="0" w:hanging="0"/>
              <w:jc w:val="left"/>
              <w:rPr/>
            </w:pPr>
            <w:r>
              <w:rPr/>
              <w:t> </w:t>
            </w:r>
          </w:p>
        </w:tc>
      </w:tr>
      <w:tr>
        <w:trPr/>
        <w:tc>
          <w:tcPr>
            <w:tcW w:w="2373" w:type="dxa"/>
            <w:tcBorders/>
            <w:shd w:fill="auto" w:val="clear"/>
            <w:vAlign w:val="center"/>
          </w:tcPr>
          <w:p>
            <w:pPr>
              <w:pStyle w:val="TableContents"/>
              <w:spacing w:before="0" w:after="0"/>
              <w:ind w:left="0" w:right="0" w:hanging="0"/>
              <w:jc w:val="left"/>
              <w:rPr>
                <w:rFonts w:ascii="Times New Roman;serif" w:hAnsi="Times New Roman;serif"/>
                <w:b w:val="false"/>
                <w:i/>
                <w:sz w:val="16"/>
              </w:rPr>
            </w:pPr>
            <w:r>
              <w:rPr>
                <w:rFonts w:ascii="Times New Roman;serif" w:hAnsi="Times New Roman;serif"/>
                <w:b w:val="false"/>
                <w:i/>
                <w:sz w:val="16"/>
              </w:rPr>
              <w:t>(In thousands of U.S. Dollars)</w:t>
            </w:r>
          </w:p>
        </w:tc>
        <w:tc>
          <w:tcPr>
            <w:tcW w:w="6362" w:type="dxa"/>
            <w:gridSpan w:val="2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By Origination Year</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887" w:type="dxa"/>
            <w:gridSpan w:val="2"/>
            <w:tcBorders/>
            <w:shd w:fill="auto" w:val="clear"/>
            <w:vAlign w:val="center"/>
          </w:tcPr>
          <w:p>
            <w:pPr>
              <w:pStyle w:val="TableContents"/>
              <w:spacing w:before="0" w:after="0"/>
              <w:ind w:left="0" w:right="0" w:hanging="0"/>
              <w:jc w:val="left"/>
              <w:rPr/>
            </w:pPr>
            <w:r>
              <w:rPr/>
              <w:t> </w:t>
            </w:r>
          </w:p>
        </w:tc>
        <w:tc>
          <w:tcPr>
            <w:tcW w:w="291" w:type="dxa"/>
            <w:tcBorders/>
            <w:shd w:fill="auto" w:val="clear"/>
            <w:vAlign w:val="center"/>
          </w:tcPr>
          <w:p>
            <w:pPr>
              <w:pStyle w:val="TableContents"/>
              <w:spacing w:before="0" w:after="0"/>
              <w:ind w:left="0" w:right="0" w:hanging="0"/>
              <w:jc w:val="left"/>
              <w:rPr/>
            </w:pPr>
            <w:r>
              <w:rPr/>
              <w:t> </w:t>
            </w:r>
          </w:p>
        </w:tc>
      </w:tr>
      <w:tr>
        <w:trPr/>
        <w:tc>
          <w:tcPr>
            <w:tcW w:w="2373"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sz w:val="16"/>
              </w:rPr>
            </w:pPr>
            <w:r>
              <w:rPr>
                <w:rFonts w:ascii="Times New Roman;serif" w:hAnsi="Times New Roman;serif"/>
                <w:b/>
                <w:sz w:val="16"/>
              </w:rPr>
              <w:t>As of December 31, 2022</w:t>
            </w:r>
          </w:p>
        </w:tc>
        <w:tc>
          <w:tcPr>
            <w:tcW w:w="782"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2022</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887"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2021</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887"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2020</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782"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2019</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782"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2018</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782"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Prior</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887"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Total</w:t>
            </w:r>
          </w:p>
        </w:tc>
        <w:tc>
          <w:tcPr>
            <w:tcW w:w="2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2373" w:type="dxa"/>
            <w:tcBorders/>
            <w:shd w:fill="auto" w:val="clear"/>
            <w:vAlign w:val="center"/>
          </w:tcPr>
          <w:p>
            <w:pPr>
              <w:pStyle w:val="TableContents"/>
              <w:spacing w:before="0" w:after="0"/>
              <w:ind w:left="0" w:right="0" w:hanging="0"/>
              <w:jc w:val="left"/>
              <w:rPr>
                <w:rFonts w:ascii="Times New Roman;serif" w:hAnsi="Times New Roman;serif"/>
                <w:b/>
                <w:sz w:val="20"/>
              </w:rPr>
            </w:pPr>
            <w:r>
              <w:rPr>
                <w:rFonts w:ascii="Times New Roman;serif" w:hAnsi="Times New Roman;serif"/>
                <w:b/>
                <w:sz w:val="20"/>
              </w:rPr>
              <w:t>Net investment in leases:</w:t>
            </w:r>
          </w:p>
        </w:tc>
        <w:tc>
          <w:tcPr>
            <w:tcW w:w="782" w:type="dxa"/>
            <w:gridSpan w:val="2"/>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887" w:type="dxa"/>
            <w:gridSpan w:val="2"/>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887" w:type="dxa"/>
            <w:gridSpan w:val="2"/>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782" w:type="dxa"/>
            <w:gridSpan w:val="2"/>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782" w:type="dxa"/>
            <w:gridSpan w:val="2"/>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782" w:type="dxa"/>
            <w:gridSpan w:val="2"/>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887" w:type="dxa"/>
            <w:gridSpan w:val="2"/>
            <w:tcBorders/>
            <w:shd w:fill="auto" w:val="clear"/>
            <w:vAlign w:val="center"/>
          </w:tcPr>
          <w:p>
            <w:pPr>
              <w:pStyle w:val="TableContents"/>
              <w:spacing w:before="0" w:after="0"/>
              <w:ind w:left="0" w:right="0" w:hanging="0"/>
              <w:jc w:val="right"/>
              <w:rPr/>
            </w:pPr>
            <w:r>
              <w:rPr/>
              <w:t> </w:t>
            </w:r>
          </w:p>
        </w:tc>
        <w:tc>
          <w:tcPr>
            <w:tcW w:w="291" w:type="dxa"/>
            <w:tcBorders/>
            <w:shd w:fill="auto" w:val="clear"/>
            <w:vAlign w:val="center"/>
          </w:tcPr>
          <w:p>
            <w:pPr>
              <w:pStyle w:val="TableContents"/>
              <w:spacing w:before="0" w:after="0"/>
              <w:ind w:left="0" w:right="0" w:hanging="0"/>
              <w:jc w:val="right"/>
              <w:rPr/>
            </w:pPr>
            <w:r>
              <w:rPr/>
              <w:t> </w:t>
            </w:r>
          </w:p>
        </w:tc>
      </w:tr>
      <w:tr>
        <w:trPr/>
        <w:tc>
          <w:tcPr>
            <w:tcW w:w="2373"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Credit quality classification:</w:t>
            </w:r>
          </w:p>
        </w:tc>
        <w:tc>
          <w:tcPr>
            <w:tcW w:w="782" w:type="dxa"/>
            <w:gridSpan w:val="2"/>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887" w:type="dxa"/>
            <w:gridSpan w:val="2"/>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887" w:type="dxa"/>
            <w:gridSpan w:val="2"/>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782" w:type="dxa"/>
            <w:gridSpan w:val="2"/>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782" w:type="dxa"/>
            <w:gridSpan w:val="2"/>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782" w:type="dxa"/>
            <w:gridSpan w:val="2"/>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887" w:type="dxa"/>
            <w:gridSpan w:val="2"/>
            <w:tcBorders/>
            <w:shd w:fill="auto" w:val="clear"/>
            <w:vAlign w:val="center"/>
          </w:tcPr>
          <w:p>
            <w:pPr>
              <w:pStyle w:val="TableContents"/>
              <w:spacing w:before="0" w:after="0"/>
              <w:ind w:left="0" w:right="0" w:hanging="0"/>
              <w:jc w:val="right"/>
              <w:rPr/>
            </w:pPr>
            <w:r>
              <w:rPr/>
              <w:t> </w:t>
            </w:r>
          </w:p>
        </w:tc>
        <w:tc>
          <w:tcPr>
            <w:tcW w:w="291" w:type="dxa"/>
            <w:tcBorders/>
            <w:shd w:fill="auto" w:val="clear"/>
            <w:vAlign w:val="center"/>
          </w:tcPr>
          <w:p>
            <w:pPr>
              <w:pStyle w:val="TableContents"/>
              <w:spacing w:before="0" w:after="0"/>
              <w:ind w:left="0" w:right="0" w:firstLine="100"/>
              <w:jc w:val="right"/>
              <w:rPr/>
            </w:pPr>
            <w:r>
              <w:rPr/>
              <w:t> </w:t>
            </w:r>
          </w:p>
        </w:tc>
      </w:tr>
      <w:tr>
        <w:trPr/>
        <w:tc>
          <w:tcPr>
            <w:tcW w:w="2373" w:type="dxa"/>
            <w:tcBorders/>
            <w:shd w:fill="auto" w:val="clear"/>
            <w:vAlign w:val="center"/>
          </w:tcPr>
          <w:p>
            <w:pPr>
              <w:pStyle w:val="TableContents"/>
              <w:spacing w:before="0" w:after="0"/>
              <w:ind w:left="100" w:right="0" w:hanging="0"/>
              <w:jc w:val="left"/>
              <w:rPr>
                <w:rFonts w:ascii="Times New Roman;serif" w:hAnsi="Times New Roman;serif"/>
                <w:b w:val="false"/>
                <w:sz w:val="20"/>
              </w:rPr>
            </w:pPr>
            <w:r>
              <w:rPr>
                <w:rFonts w:ascii="Times New Roman;serif" w:hAnsi="Times New Roman;serif"/>
                <w:b w:val="false"/>
                <w:sz w:val="20"/>
              </w:rPr>
              <w:t>In good standing</w:t>
            </w:r>
          </w:p>
        </w:tc>
        <w:tc>
          <w:tcPr>
            <w:tcW w:w="21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57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4,148</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7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6,969</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7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2,494</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57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1,977</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571"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57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1,016</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7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16,604</w:t>
            </w:r>
          </w:p>
        </w:tc>
        <w:tc>
          <w:tcPr>
            <w:tcW w:w="291" w:type="dxa"/>
            <w:tcBorders/>
            <w:shd w:fill="auto" w:val="clear"/>
            <w:vAlign w:val="center"/>
          </w:tcPr>
          <w:p>
            <w:pPr>
              <w:pStyle w:val="TableContents"/>
              <w:spacing w:before="0" w:after="0"/>
              <w:ind w:left="0" w:right="0" w:firstLine="100"/>
              <w:jc w:val="left"/>
              <w:rPr/>
            </w:pPr>
            <w:r>
              <w:rPr/>
              <w:t> </w:t>
            </w:r>
          </w:p>
        </w:tc>
      </w:tr>
      <w:tr>
        <w:trPr/>
        <w:tc>
          <w:tcPr>
            <w:tcW w:w="2373" w:type="dxa"/>
            <w:tcBorders/>
            <w:shd w:fill="auto" w:val="clear"/>
            <w:vAlign w:val="center"/>
          </w:tcPr>
          <w:p>
            <w:pPr>
              <w:pStyle w:val="TableContents"/>
              <w:spacing w:before="0" w:after="0"/>
              <w:ind w:left="100" w:right="0" w:hanging="0"/>
              <w:jc w:val="left"/>
              <w:rPr>
                <w:rFonts w:ascii="Times New Roman;serif" w:hAnsi="Times New Roman;serif"/>
                <w:b w:val="false"/>
                <w:sz w:val="20"/>
              </w:rPr>
            </w:pPr>
            <w:r>
              <w:rPr>
                <w:rFonts w:ascii="Times New Roman;serif" w:hAnsi="Times New Roman;serif"/>
                <w:b w:val="false"/>
                <w:sz w:val="20"/>
              </w:rPr>
              <w:t>Credit Watch</w:t>
            </w:r>
          </w:p>
        </w:tc>
        <w:tc>
          <w:tcPr>
            <w:tcW w:w="211" w:type="dxa"/>
            <w:tcBorders/>
            <w:shd w:fill="auto" w:val="clear"/>
            <w:vAlign w:val="center"/>
          </w:tcPr>
          <w:p>
            <w:pPr>
              <w:pStyle w:val="TableContents"/>
              <w:spacing w:before="0" w:after="0"/>
              <w:ind w:left="0" w:right="0" w:hanging="0"/>
              <w:jc w:val="left"/>
              <w:rPr/>
            </w:pPr>
            <w:r>
              <w:rPr/>
              <w:t> </w:t>
            </w:r>
          </w:p>
        </w:tc>
        <w:tc>
          <w:tcPr>
            <w:tcW w:w="571"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676"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676"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571"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571"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571"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676" w:type="dxa"/>
            <w:tcBorders/>
            <w:shd w:fill="auto" w:val="clear"/>
            <w:vAlign w:val="center"/>
          </w:tcPr>
          <w:p>
            <w:pPr>
              <w:pStyle w:val="TableContents"/>
              <w:spacing w:before="0" w:after="0"/>
              <w:ind w:left="0" w:right="0" w:hanging="0"/>
              <w:jc w:val="right"/>
              <w:rPr/>
            </w:pPr>
            <w:r>
              <w:rPr/>
              <w:t>—</w:t>
            </w:r>
          </w:p>
        </w:tc>
        <w:tc>
          <w:tcPr>
            <w:tcW w:w="291" w:type="dxa"/>
            <w:tcBorders/>
            <w:shd w:fill="auto" w:val="clear"/>
            <w:vAlign w:val="center"/>
          </w:tcPr>
          <w:p>
            <w:pPr>
              <w:pStyle w:val="TableContents"/>
              <w:spacing w:before="0" w:after="0"/>
              <w:ind w:left="0" w:right="0" w:firstLine="100"/>
              <w:jc w:val="left"/>
              <w:rPr/>
            </w:pPr>
            <w:r>
              <w:rPr/>
              <w:t> </w:t>
            </w:r>
          </w:p>
        </w:tc>
      </w:tr>
      <w:tr>
        <w:trPr/>
        <w:tc>
          <w:tcPr>
            <w:tcW w:w="2373" w:type="dxa"/>
            <w:tcBorders/>
            <w:shd w:fill="auto" w:val="clear"/>
            <w:vAlign w:val="center"/>
          </w:tcPr>
          <w:p>
            <w:pPr>
              <w:pStyle w:val="TableContents"/>
              <w:spacing w:before="0" w:after="0"/>
              <w:ind w:left="100" w:right="0" w:hanging="0"/>
              <w:jc w:val="left"/>
              <w:rPr>
                <w:rFonts w:ascii="Times New Roman;serif" w:hAnsi="Times New Roman;serif"/>
                <w:b w:val="false"/>
                <w:sz w:val="20"/>
              </w:rPr>
            </w:pPr>
            <w:r>
              <w:rPr>
                <w:rFonts w:ascii="Times New Roman;serif" w:hAnsi="Times New Roman;serif"/>
                <w:b w:val="false"/>
                <w:sz w:val="20"/>
              </w:rPr>
              <w:t>Pre-approved transactions</w:t>
            </w:r>
          </w:p>
        </w:tc>
        <w:tc>
          <w:tcPr>
            <w:tcW w:w="211" w:type="dxa"/>
            <w:tcBorders/>
            <w:shd w:fill="auto" w:val="clear"/>
            <w:vAlign w:val="center"/>
          </w:tcPr>
          <w:p>
            <w:pPr>
              <w:pStyle w:val="TableContents"/>
              <w:spacing w:before="0" w:after="0"/>
              <w:ind w:left="0" w:right="0" w:hanging="0"/>
              <w:jc w:val="left"/>
              <w:rPr/>
            </w:pPr>
            <w:r>
              <w:rPr/>
              <w:t> </w:t>
            </w:r>
          </w:p>
        </w:tc>
        <w:tc>
          <w:tcPr>
            <w:tcW w:w="571"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67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3,089</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67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1,162</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57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5,401</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57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2,451</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571"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67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12,103</w:t>
            </w:r>
          </w:p>
        </w:tc>
        <w:tc>
          <w:tcPr>
            <w:tcW w:w="291" w:type="dxa"/>
            <w:tcBorders/>
            <w:shd w:fill="auto" w:val="clear"/>
            <w:vAlign w:val="center"/>
          </w:tcPr>
          <w:p>
            <w:pPr>
              <w:pStyle w:val="TableContents"/>
              <w:spacing w:before="0" w:after="0"/>
              <w:ind w:left="0" w:right="0" w:firstLine="100"/>
              <w:jc w:val="left"/>
              <w:rPr/>
            </w:pPr>
            <w:r>
              <w:rPr/>
              <w:t> </w:t>
            </w:r>
          </w:p>
        </w:tc>
      </w:tr>
      <w:tr>
        <w:trPr/>
        <w:tc>
          <w:tcPr>
            <w:tcW w:w="2373" w:type="dxa"/>
            <w:tcBorders/>
            <w:shd w:fill="auto" w:val="clear"/>
            <w:vAlign w:val="center"/>
          </w:tcPr>
          <w:p>
            <w:pPr>
              <w:pStyle w:val="TableContents"/>
              <w:spacing w:before="0" w:after="0"/>
              <w:ind w:left="100" w:right="0" w:hanging="0"/>
              <w:jc w:val="left"/>
              <w:rPr>
                <w:rFonts w:ascii="Times New Roman;serif" w:hAnsi="Times New Roman;serif"/>
                <w:b w:val="false"/>
                <w:sz w:val="20"/>
              </w:rPr>
            </w:pPr>
            <w:r>
              <w:rPr>
                <w:rFonts w:ascii="Times New Roman;serif" w:hAnsi="Times New Roman;serif"/>
                <w:b w:val="false"/>
                <w:sz w:val="20"/>
              </w:rPr>
              <w:t>Transactions suspended</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57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pPr>
            <w:r>
              <w:rPr/>
              <w:t>—</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67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pPr>
            <w:r>
              <w:rPr/>
              <w:t>—</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67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pPr>
            <w:r>
              <w:rPr/>
              <w:t>—</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57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pPr>
            <w:r>
              <w:rPr/>
              <w:t>—</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57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pPr>
            <w:r>
              <w:rPr/>
              <w:t>—</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57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401</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67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401</w:t>
            </w:r>
          </w:p>
        </w:tc>
        <w:tc>
          <w:tcPr>
            <w:tcW w:w="2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r>
        <w:trPr/>
        <w:tc>
          <w:tcPr>
            <w:tcW w:w="2373" w:type="dxa"/>
            <w:tcBorders/>
            <w:shd w:fill="auto" w:val="clear"/>
            <w:vAlign w:val="center"/>
          </w:tcPr>
          <w:p>
            <w:pPr>
              <w:pStyle w:val="TableContents"/>
              <w:spacing w:before="0" w:after="0"/>
              <w:ind w:left="0" w:right="0" w:hanging="0"/>
              <w:jc w:val="left"/>
              <w:rPr>
                <w:rFonts w:ascii="Times New Roman;serif" w:hAnsi="Times New Roman;serif"/>
                <w:b/>
                <w:sz w:val="20"/>
              </w:rPr>
            </w:pPr>
            <w:r>
              <w:rPr>
                <w:rFonts w:ascii="Times New Roman;serif" w:hAnsi="Times New Roman;serif"/>
                <w:b/>
                <w:sz w:val="20"/>
              </w:rPr>
              <w:t>Total net investment in leases</w:t>
            </w:r>
          </w:p>
        </w:tc>
        <w:tc>
          <w:tcPr>
            <w:tcW w:w="21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57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4,148</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7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10,058</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7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3,656</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57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7,378</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57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2,451</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57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1,417</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7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29,108</w:t>
            </w:r>
          </w:p>
        </w:tc>
        <w:tc>
          <w:tcPr>
            <w:tcW w:w="29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bl>
    <w:p>
      <w:pPr>
        <w:pStyle w:val="TextBody"/>
        <w:spacing w:before="200" w:after="200"/>
        <w:jc w:val="both"/>
        <w:rPr>
          <w:rFonts w:ascii="Times New Roman;serif" w:hAnsi="Times New Roman;serif"/>
          <w:b w:val="false"/>
          <w:sz w:val="20"/>
        </w:rPr>
      </w:pPr>
      <w:r>
        <w:rPr>
          <w:rFonts w:ascii="Times New Roman;serif" w:hAnsi="Times New Roman;serif"/>
          <w:b w:val="false"/>
          <w:sz w:val="20"/>
        </w:rPr>
        <w:t>The tables below provide information on the Company’s financed sale receivables by credit quality indicator as of March 31, 2023 and December 31, 2022. The amounts disclosed for each credit quality classification are determined on a customer-by-customer basis and include both billed and unbilled amounts.</w:t>
      </w:r>
    </w:p>
    <w:tbl>
      <w:tblPr>
        <w:tblW w:w="10205" w:type="dxa"/>
        <w:jc w:val="left"/>
        <w:tblInd w:w="0" w:type="dxa"/>
        <w:tblCellMar>
          <w:top w:w="28" w:type="dxa"/>
          <w:left w:w="28" w:type="dxa"/>
          <w:bottom w:w="28" w:type="dxa"/>
          <w:right w:w="28" w:type="dxa"/>
        </w:tblCellMar>
      </w:tblPr>
      <w:tblGrid>
        <w:gridCol w:w="1848"/>
        <w:gridCol w:w="211"/>
        <w:gridCol w:w="676"/>
        <w:gridCol w:w="146"/>
        <w:gridCol w:w="146"/>
        <w:gridCol w:w="211"/>
        <w:gridCol w:w="676"/>
        <w:gridCol w:w="146"/>
        <w:gridCol w:w="146"/>
        <w:gridCol w:w="211"/>
        <w:gridCol w:w="676"/>
        <w:gridCol w:w="146"/>
        <w:gridCol w:w="146"/>
        <w:gridCol w:w="211"/>
        <w:gridCol w:w="676"/>
        <w:gridCol w:w="146"/>
        <w:gridCol w:w="146"/>
        <w:gridCol w:w="211"/>
        <w:gridCol w:w="676"/>
        <w:gridCol w:w="146"/>
        <w:gridCol w:w="146"/>
        <w:gridCol w:w="211"/>
        <w:gridCol w:w="676"/>
        <w:gridCol w:w="146"/>
        <w:gridCol w:w="146"/>
        <w:gridCol w:w="211"/>
        <w:gridCol w:w="781"/>
        <w:gridCol w:w="291"/>
      </w:tblGrid>
      <w:tr>
        <w:trPr/>
        <w:tc>
          <w:tcPr>
            <w:tcW w:w="1848"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67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67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67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67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67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67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81" w:type="dxa"/>
            <w:tcBorders/>
            <w:shd w:fill="auto" w:val="clear"/>
            <w:vAlign w:val="center"/>
          </w:tcPr>
          <w:p>
            <w:pPr>
              <w:pStyle w:val="TableContents"/>
              <w:spacing w:before="0" w:after="283"/>
              <w:rPr>
                <w:sz w:val="4"/>
                <w:szCs w:val="4"/>
              </w:rPr>
            </w:pPr>
            <w:r>
              <w:rPr>
                <w:sz w:val="4"/>
                <w:szCs w:val="4"/>
              </w:rPr>
            </w:r>
          </w:p>
        </w:tc>
        <w:tc>
          <w:tcPr>
            <w:tcW w:w="291" w:type="dxa"/>
            <w:tcBorders/>
            <w:shd w:fill="auto" w:val="clear"/>
            <w:vAlign w:val="center"/>
          </w:tcPr>
          <w:p>
            <w:pPr>
              <w:pStyle w:val="TableContents"/>
              <w:spacing w:before="0" w:after="283"/>
              <w:rPr>
                <w:sz w:val="4"/>
                <w:szCs w:val="4"/>
              </w:rPr>
            </w:pPr>
            <w:r>
              <w:rPr>
                <w:sz w:val="4"/>
                <w:szCs w:val="4"/>
              </w:rPr>
            </w:r>
          </w:p>
        </w:tc>
      </w:tr>
      <w:tr>
        <w:trPr/>
        <w:tc>
          <w:tcPr>
            <w:tcW w:w="1848" w:type="dxa"/>
            <w:tcBorders/>
            <w:shd w:fill="auto" w:val="clear"/>
            <w:vAlign w:val="center"/>
          </w:tcPr>
          <w:p>
            <w:pPr>
              <w:pStyle w:val="TableContents"/>
              <w:spacing w:before="0" w:after="0"/>
              <w:ind w:left="0" w:right="0" w:hanging="0"/>
              <w:jc w:val="left"/>
              <w:rPr>
                <w:rFonts w:ascii="Times New Roman;serif" w:hAnsi="Times New Roman;serif"/>
                <w:b w:val="false"/>
                <w:i/>
                <w:sz w:val="16"/>
              </w:rPr>
            </w:pPr>
            <w:r>
              <w:rPr>
                <w:rFonts w:ascii="Times New Roman;serif" w:hAnsi="Times New Roman;serif"/>
                <w:b w:val="false"/>
                <w:i/>
                <w:sz w:val="16"/>
              </w:rPr>
              <w:t>(In thousands of U.S. Dollars)</w:t>
            </w:r>
          </w:p>
        </w:tc>
        <w:tc>
          <w:tcPr>
            <w:tcW w:w="6782" w:type="dxa"/>
            <w:gridSpan w:val="2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By Origination Year</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992" w:type="dxa"/>
            <w:gridSpan w:val="2"/>
            <w:tcBorders/>
            <w:shd w:fill="auto" w:val="clear"/>
            <w:vAlign w:val="center"/>
          </w:tcPr>
          <w:p>
            <w:pPr>
              <w:pStyle w:val="TableContents"/>
              <w:spacing w:before="0" w:after="0"/>
              <w:ind w:left="0" w:right="0" w:hanging="0"/>
              <w:jc w:val="left"/>
              <w:rPr/>
            </w:pPr>
            <w:r>
              <w:rPr/>
              <w:t> </w:t>
            </w:r>
          </w:p>
        </w:tc>
        <w:tc>
          <w:tcPr>
            <w:tcW w:w="291" w:type="dxa"/>
            <w:tcBorders/>
            <w:shd w:fill="auto" w:val="clear"/>
            <w:vAlign w:val="center"/>
          </w:tcPr>
          <w:p>
            <w:pPr>
              <w:pStyle w:val="TableContents"/>
              <w:spacing w:before="0" w:after="0"/>
              <w:ind w:left="0" w:right="0" w:hanging="0"/>
              <w:jc w:val="left"/>
              <w:rPr/>
            </w:pPr>
            <w:r>
              <w:rPr/>
              <w:t> </w:t>
            </w:r>
          </w:p>
        </w:tc>
      </w:tr>
      <w:tr>
        <w:trPr/>
        <w:tc>
          <w:tcPr>
            <w:tcW w:w="1848"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sz w:val="16"/>
              </w:rPr>
            </w:pPr>
            <w:r>
              <w:rPr>
                <w:rFonts w:ascii="Times New Roman;serif" w:hAnsi="Times New Roman;serif"/>
                <w:b/>
                <w:sz w:val="16"/>
              </w:rPr>
              <w:t>As of March 31, 2023</w:t>
            </w:r>
          </w:p>
        </w:tc>
        <w:tc>
          <w:tcPr>
            <w:tcW w:w="887"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2023</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887"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2022</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887"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2021</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887"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2020</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887"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2019</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887"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Prior</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992"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Total</w:t>
            </w:r>
          </w:p>
        </w:tc>
        <w:tc>
          <w:tcPr>
            <w:tcW w:w="2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1848" w:type="dxa"/>
            <w:tcBorders/>
            <w:shd w:fill="auto" w:val="clear"/>
            <w:vAlign w:val="center"/>
          </w:tcPr>
          <w:p>
            <w:pPr>
              <w:pStyle w:val="TableContents"/>
              <w:spacing w:before="0" w:after="0"/>
              <w:ind w:left="0" w:right="0" w:hanging="0"/>
              <w:jc w:val="left"/>
              <w:rPr>
                <w:rFonts w:ascii="Times New Roman;serif" w:hAnsi="Times New Roman;serif"/>
                <w:b/>
                <w:sz w:val="20"/>
              </w:rPr>
            </w:pPr>
            <w:r>
              <w:rPr>
                <w:rFonts w:ascii="Times New Roman;serif" w:hAnsi="Times New Roman;serif"/>
                <w:b/>
                <w:sz w:val="20"/>
              </w:rPr>
              <w:t>Financed sales receivables:</w:t>
            </w:r>
          </w:p>
        </w:tc>
        <w:tc>
          <w:tcPr>
            <w:tcW w:w="887" w:type="dxa"/>
            <w:gridSpan w:val="2"/>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887" w:type="dxa"/>
            <w:gridSpan w:val="2"/>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887" w:type="dxa"/>
            <w:gridSpan w:val="2"/>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887" w:type="dxa"/>
            <w:gridSpan w:val="2"/>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887" w:type="dxa"/>
            <w:gridSpan w:val="2"/>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887" w:type="dxa"/>
            <w:gridSpan w:val="2"/>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992" w:type="dxa"/>
            <w:gridSpan w:val="2"/>
            <w:tcBorders/>
            <w:shd w:fill="auto" w:val="clear"/>
            <w:vAlign w:val="center"/>
          </w:tcPr>
          <w:p>
            <w:pPr>
              <w:pStyle w:val="TableContents"/>
              <w:spacing w:before="0" w:after="0"/>
              <w:ind w:left="0" w:right="0" w:hanging="0"/>
              <w:jc w:val="right"/>
              <w:rPr/>
            </w:pPr>
            <w:r>
              <w:rPr/>
              <w:t> </w:t>
            </w:r>
          </w:p>
        </w:tc>
        <w:tc>
          <w:tcPr>
            <w:tcW w:w="291" w:type="dxa"/>
            <w:tcBorders/>
            <w:shd w:fill="auto" w:val="clear"/>
            <w:vAlign w:val="center"/>
          </w:tcPr>
          <w:p>
            <w:pPr>
              <w:pStyle w:val="TableContents"/>
              <w:spacing w:before="0" w:after="0"/>
              <w:ind w:left="0" w:right="0" w:hanging="0"/>
              <w:jc w:val="right"/>
              <w:rPr/>
            </w:pPr>
            <w:r>
              <w:rPr/>
              <w:t> </w:t>
            </w:r>
          </w:p>
        </w:tc>
      </w:tr>
      <w:tr>
        <w:trPr/>
        <w:tc>
          <w:tcPr>
            <w:tcW w:w="1848"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Credit quality classification:</w:t>
            </w:r>
          </w:p>
        </w:tc>
        <w:tc>
          <w:tcPr>
            <w:tcW w:w="887" w:type="dxa"/>
            <w:gridSpan w:val="2"/>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887" w:type="dxa"/>
            <w:gridSpan w:val="2"/>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887" w:type="dxa"/>
            <w:gridSpan w:val="2"/>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887" w:type="dxa"/>
            <w:gridSpan w:val="2"/>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887" w:type="dxa"/>
            <w:gridSpan w:val="2"/>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887" w:type="dxa"/>
            <w:gridSpan w:val="2"/>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992" w:type="dxa"/>
            <w:gridSpan w:val="2"/>
            <w:tcBorders/>
            <w:shd w:fill="auto" w:val="clear"/>
            <w:vAlign w:val="center"/>
          </w:tcPr>
          <w:p>
            <w:pPr>
              <w:pStyle w:val="TableContents"/>
              <w:spacing w:before="0" w:after="0"/>
              <w:ind w:left="0" w:right="0" w:hanging="0"/>
              <w:jc w:val="right"/>
              <w:rPr/>
            </w:pPr>
            <w:r>
              <w:rPr/>
              <w:t> </w:t>
            </w:r>
          </w:p>
        </w:tc>
        <w:tc>
          <w:tcPr>
            <w:tcW w:w="291" w:type="dxa"/>
            <w:tcBorders/>
            <w:shd w:fill="auto" w:val="clear"/>
            <w:vAlign w:val="center"/>
          </w:tcPr>
          <w:p>
            <w:pPr>
              <w:pStyle w:val="TableContents"/>
              <w:spacing w:before="0" w:after="0"/>
              <w:ind w:left="0" w:right="0" w:firstLine="100"/>
              <w:jc w:val="right"/>
              <w:rPr/>
            </w:pPr>
            <w:r>
              <w:rPr/>
              <w:t> </w:t>
            </w:r>
          </w:p>
        </w:tc>
      </w:tr>
      <w:tr>
        <w:trPr/>
        <w:tc>
          <w:tcPr>
            <w:tcW w:w="1848" w:type="dxa"/>
            <w:tcBorders/>
            <w:shd w:fill="auto" w:val="clear"/>
            <w:vAlign w:val="center"/>
          </w:tcPr>
          <w:p>
            <w:pPr>
              <w:pStyle w:val="TableContents"/>
              <w:spacing w:before="0" w:after="0"/>
              <w:ind w:left="100" w:right="0" w:hanging="0"/>
              <w:jc w:val="left"/>
              <w:rPr>
                <w:rFonts w:ascii="Times New Roman;serif" w:hAnsi="Times New Roman;serif"/>
                <w:b w:val="false"/>
                <w:sz w:val="20"/>
              </w:rPr>
            </w:pPr>
            <w:r>
              <w:rPr>
                <w:rFonts w:ascii="Times New Roman;serif" w:hAnsi="Times New Roman;serif"/>
                <w:b w:val="false"/>
                <w:sz w:val="20"/>
              </w:rPr>
              <w:t>In good standing</w:t>
            </w:r>
          </w:p>
        </w:tc>
        <w:tc>
          <w:tcPr>
            <w:tcW w:w="21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7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2,163</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7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9,830</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7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8,617</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7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6,381</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7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8,149</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7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45,647</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8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80,787</w:t>
            </w:r>
          </w:p>
        </w:tc>
        <w:tc>
          <w:tcPr>
            <w:tcW w:w="291" w:type="dxa"/>
            <w:tcBorders/>
            <w:shd w:fill="auto" w:val="clear"/>
            <w:vAlign w:val="center"/>
          </w:tcPr>
          <w:p>
            <w:pPr>
              <w:pStyle w:val="TableContents"/>
              <w:spacing w:before="0" w:after="0"/>
              <w:ind w:left="0" w:right="0" w:firstLine="100"/>
              <w:jc w:val="left"/>
              <w:rPr/>
            </w:pPr>
            <w:r>
              <w:rPr/>
              <w:t> </w:t>
            </w:r>
          </w:p>
        </w:tc>
      </w:tr>
      <w:tr>
        <w:trPr/>
        <w:tc>
          <w:tcPr>
            <w:tcW w:w="1848" w:type="dxa"/>
            <w:tcBorders/>
            <w:shd w:fill="auto" w:val="clear"/>
            <w:vAlign w:val="center"/>
          </w:tcPr>
          <w:p>
            <w:pPr>
              <w:pStyle w:val="TableContents"/>
              <w:spacing w:before="0" w:after="0"/>
              <w:ind w:left="100" w:right="0" w:hanging="0"/>
              <w:jc w:val="left"/>
              <w:rPr>
                <w:rFonts w:ascii="Times New Roman;serif" w:hAnsi="Times New Roman;serif"/>
                <w:b w:val="false"/>
                <w:sz w:val="20"/>
              </w:rPr>
            </w:pPr>
            <w:r>
              <w:rPr>
                <w:rFonts w:ascii="Times New Roman;serif" w:hAnsi="Times New Roman;serif"/>
                <w:b w:val="false"/>
                <w:sz w:val="20"/>
              </w:rPr>
              <w:t>Credit Watch</w:t>
            </w:r>
          </w:p>
        </w:tc>
        <w:tc>
          <w:tcPr>
            <w:tcW w:w="211" w:type="dxa"/>
            <w:tcBorders/>
            <w:shd w:fill="auto" w:val="clear"/>
            <w:vAlign w:val="center"/>
          </w:tcPr>
          <w:p>
            <w:pPr>
              <w:pStyle w:val="TableContents"/>
              <w:spacing w:before="0" w:after="0"/>
              <w:ind w:left="0" w:right="0" w:hanging="0"/>
              <w:jc w:val="left"/>
              <w:rPr/>
            </w:pPr>
            <w:r>
              <w:rPr/>
              <w:t> </w:t>
            </w:r>
          </w:p>
        </w:tc>
        <w:tc>
          <w:tcPr>
            <w:tcW w:w="676"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67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676"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676"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676"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67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943</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78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944</w:t>
            </w:r>
          </w:p>
        </w:tc>
        <w:tc>
          <w:tcPr>
            <w:tcW w:w="291" w:type="dxa"/>
            <w:tcBorders/>
            <w:shd w:fill="auto" w:val="clear"/>
            <w:vAlign w:val="center"/>
          </w:tcPr>
          <w:p>
            <w:pPr>
              <w:pStyle w:val="TableContents"/>
              <w:spacing w:before="0" w:after="0"/>
              <w:ind w:left="0" w:right="0" w:firstLine="100"/>
              <w:jc w:val="left"/>
              <w:rPr/>
            </w:pPr>
            <w:r>
              <w:rPr/>
              <w:t> </w:t>
            </w:r>
          </w:p>
        </w:tc>
      </w:tr>
      <w:tr>
        <w:trPr/>
        <w:tc>
          <w:tcPr>
            <w:tcW w:w="1848" w:type="dxa"/>
            <w:tcBorders/>
            <w:shd w:fill="auto" w:val="clear"/>
            <w:vAlign w:val="center"/>
          </w:tcPr>
          <w:p>
            <w:pPr>
              <w:pStyle w:val="TableContents"/>
              <w:spacing w:before="0" w:after="0"/>
              <w:ind w:left="100" w:right="0" w:hanging="0"/>
              <w:jc w:val="left"/>
              <w:rPr>
                <w:rFonts w:ascii="Times New Roman;serif" w:hAnsi="Times New Roman;serif"/>
                <w:b w:val="false"/>
                <w:sz w:val="20"/>
              </w:rPr>
            </w:pPr>
            <w:r>
              <w:rPr>
                <w:rFonts w:ascii="Times New Roman;serif" w:hAnsi="Times New Roman;serif"/>
                <w:b w:val="false"/>
                <w:sz w:val="20"/>
              </w:rPr>
              <w:t>Pre-approved transactions</w:t>
            </w:r>
          </w:p>
        </w:tc>
        <w:tc>
          <w:tcPr>
            <w:tcW w:w="211" w:type="dxa"/>
            <w:tcBorders/>
            <w:shd w:fill="auto" w:val="clear"/>
            <w:vAlign w:val="center"/>
          </w:tcPr>
          <w:p>
            <w:pPr>
              <w:pStyle w:val="TableContents"/>
              <w:spacing w:before="0" w:after="0"/>
              <w:ind w:left="0" w:right="0" w:hanging="0"/>
              <w:jc w:val="left"/>
              <w:rPr/>
            </w:pPr>
            <w:r>
              <w:rPr/>
              <w:t> </w:t>
            </w:r>
          </w:p>
        </w:tc>
        <w:tc>
          <w:tcPr>
            <w:tcW w:w="676"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676"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67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2,377</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67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1,162</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67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1,590</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67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13,220</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78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18,349</w:t>
            </w:r>
          </w:p>
        </w:tc>
        <w:tc>
          <w:tcPr>
            <w:tcW w:w="291" w:type="dxa"/>
            <w:tcBorders/>
            <w:shd w:fill="auto" w:val="clear"/>
            <w:vAlign w:val="center"/>
          </w:tcPr>
          <w:p>
            <w:pPr>
              <w:pStyle w:val="TableContents"/>
              <w:spacing w:before="0" w:after="0"/>
              <w:ind w:left="0" w:right="0" w:firstLine="100"/>
              <w:jc w:val="left"/>
              <w:rPr/>
            </w:pPr>
            <w:r>
              <w:rPr/>
              <w:t> </w:t>
            </w:r>
          </w:p>
        </w:tc>
      </w:tr>
      <w:tr>
        <w:trPr/>
        <w:tc>
          <w:tcPr>
            <w:tcW w:w="1848" w:type="dxa"/>
            <w:tcBorders/>
            <w:shd w:fill="auto" w:val="clear"/>
            <w:vAlign w:val="center"/>
          </w:tcPr>
          <w:p>
            <w:pPr>
              <w:pStyle w:val="TableContents"/>
              <w:spacing w:before="0" w:after="0"/>
              <w:ind w:left="100" w:right="0" w:hanging="0"/>
              <w:jc w:val="left"/>
              <w:rPr>
                <w:rFonts w:ascii="Times New Roman;serif" w:hAnsi="Times New Roman;serif"/>
                <w:b w:val="false"/>
                <w:sz w:val="20"/>
              </w:rPr>
            </w:pPr>
            <w:r>
              <w:rPr>
                <w:rFonts w:ascii="Times New Roman;serif" w:hAnsi="Times New Roman;serif"/>
                <w:b w:val="false"/>
                <w:sz w:val="20"/>
              </w:rPr>
              <w:t>Transactions suspended</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67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pPr>
            <w:r>
              <w:rPr/>
              <w:t>—</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67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272</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67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795</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67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142</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67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1,256</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67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9,413</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78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11,878</w:t>
            </w:r>
          </w:p>
        </w:tc>
        <w:tc>
          <w:tcPr>
            <w:tcW w:w="2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r>
        <w:trPr/>
        <w:tc>
          <w:tcPr>
            <w:tcW w:w="1848" w:type="dxa"/>
            <w:tcBorders/>
            <w:shd w:fill="auto" w:val="clear"/>
            <w:vAlign w:val="center"/>
          </w:tcPr>
          <w:p>
            <w:pPr>
              <w:pStyle w:val="TableContents"/>
              <w:spacing w:before="0" w:after="0"/>
              <w:ind w:left="0" w:right="0" w:hanging="0"/>
              <w:jc w:val="left"/>
              <w:rPr>
                <w:rFonts w:ascii="Times New Roman;serif" w:hAnsi="Times New Roman;serif"/>
                <w:b/>
                <w:sz w:val="20"/>
              </w:rPr>
            </w:pPr>
            <w:r>
              <w:rPr>
                <w:rFonts w:ascii="Times New Roman;serif" w:hAnsi="Times New Roman;serif"/>
                <w:b/>
                <w:sz w:val="20"/>
              </w:rPr>
              <w:t>Total financed sales receivables</w:t>
            </w:r>
          </w:p>
        </w:tc>
        <w:tc>
          <w:tcPr>
            <w:tcW w:w="21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7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2,163</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7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10,103</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7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11,789</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7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7,685</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7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10,995</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7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69,223</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8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111,958</w:t>
            </w:r>
          </w:p>
        </w:tc>
        <w:tc>
          <w:tcPr>
            <w:tcW w:w="29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r>
        <w:trPr/>
        <w:tc>
          <w:tcPr>
            <w:tcW w:w="1848" w:type="dxa"/>
            <w:tcBorders/>
            <w:shd w:fill="auto" w:val="clear"/>
            <w:vAlign w:val="center"/>
          </w:tcPr>
          <w:p>
            <w:pPr>
              <w:pStyle w:val="TableContents"/>
              <w:spacing w:before="0" w:after="0"/>
              <w:ind w:left="0" w:right="0" w:hanging="0"/>
              <w:jc w:val="left"/>
              <w:rPr/>
            </w:pPr>
            <w:r>
              <w:rPr/>
              <w:t> </w:t>
            </w:r>
          </w:p>
        </w:tc>
        <w:tc>
          <w:tcPr>
            <w:tcW w:w="887" w:type="dxa"/>
            <w:gridSpan w:val="2"/>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887" w:type="dxa"/>
            <w:gridSpan w:val="2"/>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887" w:type="dxa"/>
            <w:gridSpan w:val="2"/>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887" w:type="dxa"/>
            <w:gridSpan w:val="2"/>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887" w:type="dxa"/>
            <w:gridSpan w:val="2"/>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887" w:type="dxa"/>
            <w:gridSpan w:val="2"/>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992" w:type="dxa"/>
            <w:gridSpan w:val="2"/>
            <w:tcBorders/>
            <w:shd w:fill="auto" w:val="clear"/>
            <w:vAlign w:val="center"/>
          </w:tcPr>
          <w:p>
            <w:pPr>
              <w:pStyle w:val="TableContents"/>
              <w:spacing w:before="0" w:after="0"/>
              <w:ind w:left="0" w:right="0" w:hanging="0"/>
              <w:jc w:val="left"/>
              <w:rPr/>
            </w:pPr>
            <w:r>
              <w:rPr/>
              <w:t> </w:t>
            </w:r>
          </w:p>
        </w:tc>
        <w:tc>
          <w:tcPr>
            <w:tcW w:w="291" w:type="dxa"/>
            <w:tcBorders/>
            <w:shd w:fill="auto" w:val="clear"/>
            <w:vAlign w:val="center"/>
          </w:tcPr>
          <w:p>
            <w:pPr>
              <w:pStyle w:val="TableContents"/>
              <w:spacing w:before="0" w:after="0"/>
              <w:ind w:left="0" w:right="0" w:hanging="0"/>
              <w:jc w:val="left"/>
              <w:rPr/>
            </w:pPr>
            <w:r>
              <w:rPr/>
              <w:t> </w:t>
            </w:r>
          </w:p>
        </w:tc>
      </w:tr>
      <w:tr>
        <w:trPr/>
        <w:tc>
          <w:tcPr>
            <w:tcW w:w="1848" w:type="dxa"/>
            <w:tcBorders/>
            <w:shd w:fill="auto" w:val="clear"/>
            <w:vAlign w:val="center"/>
          </w:tcPr>
          <w:p>
            <w:pPr>
              <w:pStyle w:val="TableContents"/>
              <w:spacing w:before="0" w:after="0"/>
              <w:ind w:left="0" w:right="0" w:hanging="0"/>
              <w:jc w:val="left"/>
              <w:rPr>
                <w:rFonts w:ascii="Times New Roman;serif" w:hAnsi="Times New Roman;serif"/>
                <w:b w:val="false"/>
                <w:i/>
                <w:sz w:val="16"/>
              </w:rPr>
            </w:pPr>
            <w:r>
              <w:rPr>
                <w:rFonts w:ascii="Times New Roman;serif" w:hAnsi="Times New Roman;serif"/>
                <w:b w:val="false"/>
                <w:i/>
                <w:sz w:val="16"/>
              </w:rPr>
              <w:t>(In thousands of U.S. Dollars)</w:t>
            </w:r>
          </w:p>
        </w:tc>
        <w:tc>
          <w:tcPr>
            <w:tcW w:w="6782" w:type="dxa"/>
            <w:gridSpan w:val="2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By Origination Year</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992" w:type="dxa"/>
            <w:gridSpan w:val="2"/>
            <w:tcBorders/>
            <w:shd w:fill="auto" w:val="clear"/>
            <w:vAlign w:val="center"/>
          </w:tcPr>
          <w:p>
            <w:pPr>
              <w:pStyle w:val="TableContents"/>
              <w:spacing w:before="0" w:after="0"/>
              <w:ind w:left="0" w:right="0" w:hanging="0"/>
              <w:jc w:val="left"/>
              <w:rPr/>
            </w:pPr>
            <w:r>
              <w:rPr/>
              <w:t> </w:t>
            </w:r>
          </w:p>
        </w:tc>
        <w:tc>
          <w:tcPr>
            <w:tcW w:w="291" w:type="dxa"/>
            <w:tcBorders/>
            <w:shd w:fill="auto" w:val="clear"/>
            <w:vAlign w:val="center"/>
          </w:tcPr>
          <w:p>
            <w:pPr>
              <w:pStyle w:val="TableContents"/>
              <w:spacing w:before="0" w:after="0"/>
              <w:ind w:left="0" w:right="0" w:hanging="0"/>
              <w:jc w:val="left"/>
              <w:rPr/>
            </w:pPr>
            <w:r>
              <w:rPr/>
              <w:t> </w:t>
            </w:r>
          </w:p>
        </w:tc>
      </w:tr>
      <w:tr>
        <w:trPr/>
        <w:tc>
          <w:tcPr>
            <w:tcW w:w="1848"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sz w:val="16"/>
              </w:rPr>
            </w:pPr>
            <w:r>
              <w:rPr>
                <w:rFonts w:ascii="Times New Roman;serif" w:hAnsi="Times New Roman;serif"/>
                <w:b/>
                <w:sz w:val="16"/>
              </w:rPr>
              <w:t>As of December 31, 2022</w:t>
            </w:r>
          </w:p>
        </w:tc>
        <w:tc>
          <w:tcPr>
            <w:tcW w:w="887"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2022</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887"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2021</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887"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2020</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887"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2019</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887"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2018</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887"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Prior</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992"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Total</w:t>
            </w:r>
          </w:p>
        </w:tc>
        <w:tc>
          <w:tcPr>
            <w:tcW w:w="2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1848" w:type="dxa"/>
            <w:tcBorders/>
            <w:shd w:fill="auto" w:val="clear"/>
            <w:vAlign w:val="center"/>
          </w:tcPr>
          <w:p>
            <w:pPr>
              <w:pStyle w:val="TableContents"/>
              <w:spacing w:before="0" w:after="0"/>
              <w:ind w:left="0" w:right="0" w:hanging="0"/>
              <w:jc w:val="left"/>
              <w:rPr>
                <w:rFonts w:ascii="Times New Roman;serif" w:hAnsi="Times New Roman;serif"/>
                <w:b/>
                <w:sz w:val="20"/>
              </w:rPr>
            </w:pPr>
            <w:r>
              <w:rPr>
                <w:rFonts w:ascii="Times New Roman;serif" w:hAnsi="Times New Roman;serif"/>
                <w:b/>
                <w:sz w:val="20"/>
              </w:rPr>
              <w:t>Financed sales receivables:</w:t>
            </w:r>
          </w:p>
        </w:tc>
        <w:tc>
          <w:tcPr>
            <w:tcW w:w="887" w:type="dxa"/>
            <w:gridSpan w:val="2"/>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887" w:type="dxa"/>
            <w:gridSpan w:val="2"/>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887" w:type="dxa"/>
            <w:gridSpan w:val="2"/>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887" w:type="dxa"/>
            <w:gridSpan w:val="2"/>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887" w:type="dxa"/>
            <w:gridSpan w:val="2"/>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887" w:type="dxa"/>
            <w:gridSpan w:val="2"/>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992" w:type="dxa"/>
            <w:gridSpan w:val="2"/>
            <w:tcBorders/>
            <w:shd w:fill="auto" w:val="clear"/>
            <w:vAlign w:val="center"/>
          </w:tcPr>
          <w:p>
            <w:pPr>
              <w:pStyle w:val="TableContents"/>
              <w:spacing w:before="0" w:after="0"/>
              <w:ind w:left="0" w:right="0" w:hanging="0"/>
              <w:jc w:val="right"/>
              <w:rPr/>
            </w:pPr>
            <w:r>
              <w:rPr/>
              <w:t> </w:t>
            </w:r>
          </w:p>
        </w:tc>
        <w:tc>
          <w:tcPr>
            <w:tcW w:w="291" w:type="dxa"/>
            <w:tcBorders/>
            <w:shd w:fill="auto" w:val="clear"/>
            <w:vAlign w:val="center"/>
          </w:tcPr>
          <w:p>
            <w:pPr>
              <w:pStyle w:val="TableContents"/>
              <w:spacing w:before="0" w:after="0"/>
              <w:ind w:left="0" w:right="0" w:hanging="0"/>
              <w:jc w:val="right"/>
              <w:rPr/>
            </w:pPr>
            <w:r>
              <w:rPr/>
              <w:t> </w:t>
            </w:r>
          </w:p>
        </w:tc>
      </w:tr>
      <w:tr>
        <w:trPr/>
        <w:tc>
          <w:tcPr>
            <w:tcW w:w="1848"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Credit quality classification:</w:t>
            </w:r>
          </w:p>
        </w:tc>
        <w:tc>
          <w:tcPr>
            <w:tcW w:w="887" w:type="dxa"/>
            <w:gridSpan w:val="2"/>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887" w:type="dxa"/>
            <w:gridSpan w:val="2"/>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887" w:type="dxa"/>
            <w:gridSpan w:val="2"/>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887" w:type="dxa"/>
            <w:gridSpan w:val="2"/>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887" w:type="dxa"/>
            <w:gridSpan w:val="2"/>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887" w:type="dxa"/>
            <w:gridSpan w:val="2"/>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992" w:type="dxa"/>
            <w:gridSpan w:val="2"/>
            <w:tcBorders/>
            <w:shd w:fill="auto" w:val="clear"/>
            <w:vAlign w:val="center"/>
          </w:tcPr>
          <w:p>
            <w:pPr>
              <w:pStyle w:val="TableContents"/>
              <w:spacing w:before="0" w:after="0"/>
              <w:ind w:left="0" w:right="0" w:hanging="0"/>
              <w:jc w:val="right"/>
              <w:rPr/>
            </w:pPr>
            <w:r>
              <w:rPr/>
              <w:t> </w:t>
            </w:r>
          </w:p>
        </w:tc>
        <w:tc>
          <w:tcPr>
            <w:tcW w:w="291" w:type="dxa"/>
            <w:tcBorders/>
            <w:shd w:fill="auto" w:val="clear"/>
            <w:vAlign w:val="center"/>
          </w:tcPr>
          <w:p>
            <w:pPr>
              <w:pStyle w:val="TableContents"/>
              <w:spacing w:before="0" w:after="0"/>
              <w:ind w:left="0" w:right="0" w:firstLine="100"/>
              <w:jc w:val="right"/>
              <w:rPr/>
            </w:pPr>
            <w:r>
              <w:rPr/>
              <w:t> </w:t>
            </w:r>
          </w:p>
        </w:tc>
      </w:tr>
      <w:tr>
        <w:trPr/>
        <w:tc>
          <w:tcPr>
            <w:tcW w:w="1848" w:type="dxa"/>
            <w:tcBorders/>
            <w:shd w:fill="auto" w:val="clear"/>
            <w:vAlign w:val="center"/>
          </w:tcPr>
          <w:p>
            <w:pPr>
              <w:pStyle w:val="TableContents"/>
              <w:spacing w:before="0" w:after="0"/>
              <w:ind w:left="100" w:right="0" w:hanging="0"/>
              <w:jc w:val="left"/>
              <w:rPr>
                <w:rFonts w:ascii="Times New Roman;serif" w:hAnsi="Times New Roman;serif"/>
                <w:b w:val="false"/>
                <w:sz w:val="20"/>
              </w:rPr>
            </w:pPr>
            <w:r>
              <w:rPr>
                <w:rFonts w:ascii="Times New Roman;serif" w:hAnsi="Times New Roman;serif"/>
                <w:b w:val="false"/>
                <w:sz w:val="20"/>
              </w:rPr>
              <w:t>In good standing</w:t>
            </w:r>
          </w:p>
        </w:tc>
        <w:tc>
          <w:tcPr>
            <w:tcW w:w="21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7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10,252</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7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8,643</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7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6,280</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7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8,541</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7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9,854</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7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39,912</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8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83,482</w:t>
            </w:r>
          </w:p>
        </w:tc>
        <w:tc>
          <w:tcPr>
            <w:tcW w:w="291" w:type="dxa"/>
            <w:tcBorders/>
            <w:shd w:fill="auto" w:val="clear"/>
            <w:vAlign w:val="center"/>
          </w:tcPr>
          <w:p>
            <w:pPr>
              <w:pStyle w:val="TableContents"/>
              <w:spacing w:before="0" w:after="0"/>
              <w:ind w:left="0" w:right="0" w:firstLine="100"/>
              <w:jc w:val="left"/>
              <w:rPr/>
            </w:pPr>
            <w:r>
              <w:rPr/>
              <w:t> </w:t>
            </w:r>
          </w:p>
        </w:tc>
      </w:tr>
      <w:tr>
        <w:trPr/>
        <w:tc>
          <w:tcPr>
            <w:tcW w:w="1848" w:type="dxa"/>
            <w:tcBorders/>
            <w:shd w:fill="auto" w:val="clear"/>
            <w:vAlign w:val="center"/>
          </w:tcPr>
          <w:p>
            <w:pPr>
              <w:pStyle w:val="TableContents"/>
              <w:spacing w:before="0" w:after="0"/>
              <w:ind w:left="100" w:right="0" w:hanging="0"/>
              <w:jc w:val="left"/>
              <w:rPr>
                <w:rFonts w:ascii="Times New Roman;serif" w:hAnsi="Times New Roman;serif"/>
                <w:b w:val="false"/>
                <w:sz w:val="20"/>
              </w:rPr>
            </w:pPr>
            <w:r>
              <w:rPr>
                <w:rFonts w:ascii="Times New Roman;serif" w:hAnsi="Times New Roman;serif"/>
                <w:b w:val="false"/>
                <w:sz w:val="20"/>
              </w:rPr>
              <w:t>Credit Watch</w:t>
            </w:r>
          </w:p>
        </w:tc>
        <w:tc>
          <w:tcPr>
            <w:tcW w:w="211" w:type="dxa"/>
            <w:tcBorders/>
            <w:shd w:fill="auto" w:val="clear"/>
            <w:vAlign w:val="center"/>
          </w:tcPr>
          <w:p>
            <w:pPr>
              <w:pStyle w:val="TableContents"/>
              <w:spacing w:before="0" w:after="0"/>
              <w:ind w:left="0" w:right="0" w:hanging="0"/>
              <w:jc w:val="left"/>
              <w:rPr/>
            </w:pPr>
            <w:r>
              <w:rPr/>
              <w:t> </w:t>
            </w:r>
          </w:p>
        </w:tc>
        <w:tc>
          <w:tcPr>
            <w:tcW w:w="676"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676"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676"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676"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676"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67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1,152</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78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1,152</w:t>
            </w:r>
          </w:p>
        </w:tc>
        <w:tc>
          <w:tcPr>
            <w:tcW w:w="291" w:type="dxa"/>
            <w:tcBorders/>
            <w:shd w:fill="auto" w:val="clear"/>
            <w:vAlign w:val="center"/>
          </w:tcPr>
          <w:p>
            <w:pPr>
              <w:pStyle w:val="TableContents"/>
              <w:spacing w:before="0" w:after="0"/>
              <w:ind w:left="0" w:right="0" w:firstLine="100"/>
              <w:jc w:val="left"/>
              <w:rPr/>
            </w:pPr>
            <w:r>
              <w:rPr/>
              <w:t> </w:t>
            </w:r>
          </w:p>
        </w:tc>
      </w:tr>
      <w:tr>
        <w:trPr/>
        <w:tc>
          <w:tcPr>
            <w:tcW w:w="1848" w:type="dxa"/>
            <w:tcBorders/>
            <w:shd w:fill="auto" w:val="clear"/>
            <w:vAlign w:val="center"/>
          </w:tcPr>
          <w:p>
            <w:pPr>
              <w:pStyle w:val="TableContents"/>
              <w:spacing w:before="0" w:after="0"/>
              <w:ind w:left="100" w:right="0" w:hanging="0"/>
              <w:jc w:val="left"/>
              <w:rPr>
                <w:rFonts w:ascii="Times New Roman;serif" w:hAnsi="Times New Roman;serif"/>
                <w:b w:val="false"/>
                <w:sz w:val="20"/>
              </w:rPr>
            </w:pPr>
            <w:r>
              <w:rPr>
                <w:rFonts w:ascii="Times New Roman;serif" w:hAnsi="Times New Roman;serif"/>
                <w:b w:val="false"/>
                <w:sz w:val="20"/>
              </w:rPr>
              <w:t>Pre-approved transactions</w:t>
            </w:r>
          </w:p>
        </w:tc>
        <w:tc>
          <w:tcPr>
            <w:tcW w:w="211" w:type="dxa"/>
            <w:tcBorders/>
            <w:shd w:fill="auto" w:val="clear"/>
            <w:vAlign w:val="center"/>
          </w:tcPr>
          <w:p>
            <w:pPr>
              <w:pStyle w:val="TableContents"/>
              <w:spacing w:before="0" w:after="0"/>
              <w:ind w:left="0" w:right="0" w:hanging="0"/>
              <w:jc w:val="left"/>
              <w:rPr/>
            </w:pPr>
            <w:r>
              <w:rPr/>
              <w:t> </w:t>
            </w:r>
          </w:p>
        </w:tc>
        <w:tc>
          <w:tcPr>
            <w:tcW w:w="676"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67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2,318</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67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1,399</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67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1,134</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67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1,449</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67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9,243</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78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15,543</w:t>
            </w:r>
          </w:p>
        </w:tc>
        <w:tc>
          <w:tcPr>
            <w:tcW w:w="291" w:type="dxa"/>
            <w:tcBorders/>
            <w:shd w:fill="auto" w:val="clear"/>
            <w:vAlign w:val="center"/>
          </w:tcPr>
          <w:p>
            <w:pPr>
              <w:pStyle w:val="TableContents"/>
              <w:spacing w:before="0" w:after="0"/>
              <w:ind w:left="0" w:right="0" w:firstLine="100"/>
              <w:jc w:val="left"/>
              <w:rPr/>
            </w:pPr>
            <w:r>
              <w:rPr/>
              <w:t> </w:t>
            </w:r>
          </w:p>
        </w:tc>
      </w:tr>
      <w:tr>
        <w:trPr/>
        <w:tc>
          <w:tcPr>
            <w:tcW w:w="1848" w:type="dxa"/>
            <w:tcBorders/>
            <w:shd w:fill="auto" w:val="clear"/>
            <w:vAlign w:val="center"/>
          </w:tcPr>
          <w:p>
            <w:pPr>
              <w:pStyle w:val="TableContents"/>
              <w:spacing w:before="0" w:after="0"/>
              <w:ind w:left="100" w:right="0" w:hanging="0"/>
              <w:jc w:val="left"/>
              <w:rPr>
                <w:rFonts w:ascii="Times New Roman;serif" w:hAnsi="Times New Roman;serif"/>
                <w:b w:val="false"/>
                <w:sz w:val="20"/>
              </w:rPr>
            </w:pPr>
            <w:r>
              <w:rPr>
                <w:rFonts w:ascii="Times New Roman;serif" w:hAnsi="Times New Roman;serif"/>
                <w:b w:val="false"/>
                <w:sz w:val="20"/>
              </w:rPr>
              <w:t>Transactions suspended</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67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272</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67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664</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67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142</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67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1,269</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67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1,197</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67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8,276</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78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11,820</w:t>
            </w:r>
          </w:p>
        </w:tc>
        <w:tc>
          <w:tcPr>
            <w:tcW w:w="2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r>
        <w:trPr/>
        <w:tc>
          <w:tcPr>
            <w:tcW w:w="1848" w:type="dxa"/>
            <w:tcBorders/>
            <w:shd w:fill="auto" w:val="clear"/>
            <w:vAlign w:val="center"/>
          </w:tcPr>
          <w:p>
            <w:pPr>
              <w:pStyle w:val="TableContents"/>
              <w:spacing w:before="0" w:after="0"/>
              <w:ind w:left="0" w:right="0" w:hanging="0"/>
              <w:jc w:val="left"/>
              <w:rPr>
                <w:rFonts w:ascii="Times New Roman;serif" w:hAnsi="Times New Roman;serif"/>
                <w:b/>
                <w:sz w:val="20"/>
              </w:rPr>
            </w:pPr>
            <w:r>
              <w:rPr>
                <w:rFonts w:ascii="Times New Roman;serif" w:hAnsi="Times New Roman;serif"/>
                <w:b/>
                <w:sz w:val="20"/>
              </w:rPr>
              <w:t>Total financed sales receivables</w:t>
            </w:r>
          </w:p>
        </w:tc>
        <w:tc>
          <w:tcPr>
            <w:tcW w:w="21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7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10,524</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7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11,625</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7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7,821</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7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10,944</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7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12,500</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7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58,583</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8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111,997</w:t>
            </w:r>
          </w:p>
        </w:tc>
        <w:tc>
          <w:tcPr>
            <w:tcW w:w="29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bl>
    <w:p>
      <w:pPr>
        <w:pStyle w:val="TextBody"/>
        <w:spacing w:before="0" w:after="0"/>
        <w:jc w:val="left"/>
        <w:rPr/>
      </w:pPr>
      <w:r>
        <w:rPr/>
        <w:t> </w:t>
      </w:r>
    </w:p>
    <w:p>
      <w:pPr>
        <w:pStyle w:val="TextBody"/>
        <w:spacing w:before="240" w:after="0"/>
        <w:jc w:val="center"/>
        <w:rPr>
          <w:rFonts w:ascii="Times New Roman;serif" w:hAnsi="Times New Roman;serif"/>
          <w:b w:val="false"/>
          <w:sz w:val="20"/>
        </w:rPr>
      </w:pPr>
      <w:r>
        <w:rPr>
          <w:rFonts w:ascii="Times New Roman;serif" w:hAnsi="Times New Roman;serif"/>
          <w:b w:val="false"/>
          <w:sz w:val="20"/>
        </w:rPr>
        <w:t>14</w:t>
      </w:r>
    </w:p>
    <w:p>
      <w:pPr>
        <w:pStyle w:val="HorizontalLine"/>
        <w:rPr/>
      </w:pPr>
      <w:r>
        <w:rPr/>
      </w:r>
    </w:p>
    <w:p>
      <w:pPr>
        <w:pStyle w:val="TextBody"/>
        <w:spacing w:before="0" w:after="0"/>
        <w:jc w:val="left"/>
        <w:rPr/>
      </w:pPr>
      <w:r>
        <w:rPr/>
        <w:t> </w:t>
      </w:r>
    </w:p>
    <w:p>
      <w:pPr>
        <w:pStyle w:val="TextBody"/>
        <w:spacing w:before="200" w:after="200"/>
        <w:jc w:val="both"/>
        <w:rPr>
          <w:rFonts w:ascii="Times New Roman;serif" w:hAnsi="Times New Roman;serif"/>
          <w:b w:val="false"/>
          <w:sz w:val="20"/>
        </w:rPr>
      </w:pPr>
      <w:r>
        <w:rPr>
          <w:rFonts w:ascii="Times New Roman;serif" w:hAnsi="Times New Roman;serif"/>
          <w:b w:val="false"/>
          <w:sz w:val="20"/>
        </w:rPr>
        <w:t>The following tables provide an aging analysis for the Company’s net investment in leases and financed sale receivables as of March 31, 2023 and December 31, 2022:</w:t>
      </w:r>
    </w:p>
    <w:tbl>
      <w:tblPr>
        <w:tblW w:w="10552" w:type="dxa"/>
        <w:jc w:val="left"/>
        <w:tblInd w:w="0" w:type="dxa"/>
        <w:tblCellMar>
          <w:top w:w="28" w:type="dxa"/>
          <w:left w:w="28" w:type="dxa"/>
          <w:bottom w:w="28" w:type="dxa"/>
          <w:right w:w="28" w:type="dxa"/>
        </w:tblCellMar>
      </w:tblPr>
      <w:tblGrid>
        <w:gridCol w:w="1036"/>
        <w:gridCol w:w="211"/>
        <w:gridCol w:w="571"/>
        <w:gridCol w:w="146"/>
        <w:gridCol w:w="146"/>
        <w:gridCol w:w="211"/>
        <w:gridCol w:w="571"/>
        <w:gridCol w:w="146"/>
        <w:gridCol w:w="146"/>
        <w:gridCol w:w="211"/>
        <w:gridCol w:w="676"/>
        <w:gridCol w:w="146"/>
        <w:gridCol w:w="146"/>
        <w:gridCol w:w="211"/>
        <w:gridCol w:w="676"/>
        <w:gridCol w:w="146"/>
        <w:gridCol w:w="146"/>
        <w:gridCol w:w="211"/>
        <w:gridCol w:w="781"/>
        <w:gridCol w:w="146"/>
        <w:gridCol w:w="146"/>
        <w:gridCol w:w="211"/>
        <w:gridCol w:w="781"/>
        <w:gridCol w:w="146"/>
        <w:gridCol w:w="146"/>
        <w:gridCol w:w="211"/>
        <w:gridCol w:w="736"/>
        <w:gridCol w:w="166"/>
        <w:gridCol w:w="146"/>
        <w:gridCol w:w="211"/>
        <w:gridCol w:w="781"/>
        <w:gridCol w:w="191"/>
      </w:tblGrid>
      <w:tr>
        <w:trPr/>
        <w:tc>
          <w:tcPr>
            <w:tcW w:w="1036"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571"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571"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67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67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81"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81"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36" w:type="dxa"/>
            <w:tcBorders/>
            <w:shd w:fill="auto" w:val="clear"/>
            <w:vAlign w:val="center"/>
          </w:tcPr>
          <w:p>
            <w:pPr>
              <w:pStyle w:val="TableContents"/>
              <w:spacing w:before="0" w:after="283"/>
              <w:rPr>
                <w:sz w:val="4"/>
                <w:szCs w:val="4"/>
              </w:rPr>
            </w:pPr>
            <w:r>
              <w:rPr>
                <w:sz w:val="4"/>
                <w:szCs w:val="4"/>
              </w:rPr>
            </w:r>
          </w:p>
        </w:tc>
        <w:tc>
          <w:tcPr>
            <w:tcW w:w="16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81" w:type="dxa"/>
            <w:tcBorders/>
            <w:shd w:fill="auto" w:val="clear"/>
            <w:vAlign w:val="center"/>
          </w:tcPr>
          <w:p>
            <w:pPr>
              <w:pStyle w:val="TableContents"/>
              <w:spacing w:before="0" w:after="283"/>
              <w:rPr>
                <w:sz w:val="4"/>
                <w:szCs w:val="4"/>
              </w:rPr>
            </w:pPr>
            <w:r>
              <w:rPr>
                <w:sz w:val="4"/>
                <w:szCs w:val="4"/>
              </w:rPr>
            </w:r>
          </w:p>
        </w:tc>
        <w:tc>
          <w:tcPr>
            <w:tcW w:w="191" w:type="dxa"/>
            <w:tcBorders/>
            <w:shd w:fill="auto" w:val="clear"/>
            <w:vAlign w:val="center"/>
          </w:tcPr>
          <w:p>
            <w:pPr>
              <w:pStyle w:val="TableContents"/>
              <w:spacing w:before="0" w:after="283"/>
              <w:rPr>
                <w:sz w:val="4"/>
                <w:szCs w:val="4"/>
              </w:rPr>
            </w:pPr>
            <w:r>
              <w:rPr>
                <w:sz w:val="4"/>
                <w:szCs w:val="4"/>
              </w:rPr>
            </w:r>
          </w:p>
        </w:tc>
      </w:tr>
      <w:tr>
        <w:trPr/>
        <w:tc>
          <w:tcPr>
            <w:tcW w:w="1036" w:type="dxa"/>
            <w:tcBorders/>
            <w:shd w:fill="auto" w:val="clear"/>
            <w:vAlign w:val="center"/>
          </w:tcPr>
          <w:p>
            <w:pPr>
              <w:pStyle w:val="TableContents"/>
              <w:spacing w:before="0" w:after="0"/>
              <w:ind w:left="0" w:right="0" w:hanging="0"/>
              <w:jc w:val="left"/>
              <w:rPr/>
            </w:pPr>
            <w:r>
              <w:rPr/>
              <w:t> </w:t>
            </w:r>
          </w:p>
        </w:tc>
        <w:tc>
          <w:tcPr>
            <w:tcW w:w="9325" w:type="dxa"/>
            <w:gridSpan w:val="30"/>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As of March 31, 2023</w:t>
            </w:r>
          </w:p>
        </w:tc>
        <w:tc>
          <w:tcPr>
            <w:tcW w:w="1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1036" w:type="dxa"/>
            <w:tcBorders/>
            <w:shd w:fill="auto" w:val="clear"/>
            <w:vAlign w:val="center"/>
          </w:tcPr>
          <w:p>
            <w:pPr>
              <w:pStyle w:val="TableContents"/>
              <w:spacing w:before="0" w:after="0"/>
              <w:ind w:left="0" w:right="0" w:hanging="0"/>
              <w:jc w:val="left"/>
              <w:rPr>
                <w:rFonts w:ascii="Times New Roman;serif" w:hAnsi="Times New Roman;serif"/>
                <w:b w:val="false"/>
                <w:i/>
                <w:sz w:val="16"/>
              </w:rPr>
            </w:pPr>
            <w:r>
              <w:rPr>
                <w:rFonts w:ascii="Times New Roman;serif" w:hAnsi="Times New Roman;serif"/>
                <w:b w:val="false"/>
                <w:i/>
                <w:sz w:val="16"/>
              </w:rPr>
              <w:t>(In thousands of U.S. Dollars)</w:t>
            </w:r>
          </w:p>
        </w:tc>
        <w:tc>
          <w:tcPr>
            <w:tcW w:w="782"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Accrued</w:t>
              <w:br/>
              <w:t>and</w:t>
              <w:br/>
              <w:t>Current</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782"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30-89</w:t>
              <w:br/>
              <w:t>Days</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887"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90+</w:t>
              <w:br/>
              <w:t>Days</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887"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Billed</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992"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Unbilled</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992"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Recorded</w:t>
              <w:br/>
              <w:t>Receivable</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947"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Allowance</w:t>
              <w:br/>
              <w:t>for Credit</w:t>
              <w:br/>
              <w:t>Losses</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992"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Net</w:t>
            </w:r>
          </w:p>
        </w:tc>
        <w:tc>
          <w:tcPr>
            <w:tcW w:w="1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103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Net investment in leases</w:t>
            </w:r>
          </w:p>
        </w:tc>
        <w:tc>
          <w:tcPr>
            <w:tcW w:w="21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57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235</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21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57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433</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21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7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2,892</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21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7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3,560</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21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8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27,980</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21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8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31,540</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21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3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(778</w:t>
            </w:r>
          </w:p>
        </w:tc>
        <w:tc>
          <w:tcPr>
            <w:tcW w:w="16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shd w:fill="auto" w:val="clear"/>
            <w:vAlign w:val="center"/>
          </w:tcPr>
          <w:p>
            <w:pPr>
              <w:pStyle w:val="TableContents"/>
              <w:spacing w:before="0" w:after="0"/>
              <w:ind w:left="0" w:right="0" w:hanging="0"/>
              <w:jc w:val="right"/>
              <w:rPr/>
            </w:pPr>
            <w:r>
              <w:rPr/>
              <w:t> </w:t>
            </w:r>
          </w:p>
        </w:tc>
        <w:tc>
          <w:tcPr>
            <w:tcW w:w="21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8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30,762</w:t>
            </w:r>
          </w:p>
        </w:tc>
        <w:tc>
          <w:tcPr>
            <w:tcW w:w="191" w:type="dxa"/>
            <w:tcBorders/>
            <w:shd w:fill="auto" w:val="clear"/>
            <w:vAlign w:val="center"/>
          </w:tcPr>
          <w:p>
            <w:pPr>
              <w:pStyle w:val="TableContents"/>
              <w:spacing w:before="0" w:after="0"/>
              <w:ind w:left="0" w:right="0" w:hanging="0"/>
              <w:jc w:val="left"/>
              <w:rPr/>
            </w:pPr>
            <w:r>
              <w:rPr/>
              <w:t> </w:t>
            </w:r>
          </w:p>
        </w:tc>
      </w:tr>
      <w:tr>
        <w:trPr/>
        <w:tc>
          <w:tcPr>
            <w:tcW w:w="103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Financed sales receivables</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57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1,352</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57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3,190</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67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13,131</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67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17,673</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78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94,285</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8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111,958</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73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(11,533</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shd w:fill="auto" w:val="clear"/>
            <w:vAlign w:val="center"/>
          </w:tcPr>
          <w:p>
            <w:pPr>
              <w:pStyle w:val="TableContents"/>
              <w:spacing w:before="0" w:after="0"/>
              <w:ind w:left="0" w:right="0" w:hanging="0"/>
              <w:jc w:val="righ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78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100,425</w:t>
            </w:r>
          </w:p>
        </w:tc>
        <w:tc>
          <w:tcPr>
            <w:tcW w:w="1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r>
        <w:trPr/>
        <w:tc>
          <w:tcPr>
            <w:tcW w:w="103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Total</w:t>
            </w:r>
          </w:p>
        </w:tc>
        <w:tc>
          <w:tcPr>
            <w:tcW w:w="21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57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1,587</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21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57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3,623</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21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7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16,023</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21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7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21,233</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21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8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122,265</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21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8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143,498</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21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3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(12,311</w:t>
            </w:r>
          </w:p>
        </w:tc>
        <w:tc>
          <w:tcPr>
            <w:tcW w:w="16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shd w:fill="auto" w:val="clear"/>
            <w:vAlign w:val="center"/>
          </w:tcPr>
          <w:p>
            <w:pPr>
              <w:pStyle w:val="TableContents"/>
              <w:spacing w:before="0" w:after="0"/>
              <w:ind w:left="0" w:right="0" w:hanging="0"/>
              <w:jc w:val="right"/>
              <w:rPr/>
            </w:pPr>
            <w:r>
              <w:rPr/>
              <w:t> </w:t>
            </w:r>
          </w:p>
        </w:tc>
        <w:tc>
          <w:tcPr>
            <w:tcW w:w="21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8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131,187</w:t>
            </w:r>
          </w:p>
        </w:tc>
        <w:tc>
          <w:tcPr>
            <w:tcW w:w="19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r>
        <w:trPr/>
        <w:tc>
          <w:tcPr>
            <w:tcW w:w="1036" w:type="dxa"/>
            <w:tcBorders/>
            <w:shd w:fill="auto" w:val="clear"/>
            <w:vAlign w:val="center"/>
          </w:tcPr>
          <w:p>
            <w:pPr>
              <w:pStyle w:val="TableContents"/>
              <w:spacing w:before="0" w:after="0"/>
              <w:ind w:left="0" w:right="0" w:hanging="0"/>
              <w:jc w:val="left"/>
              <w:rPr/>
            </w:pPr>
            <w:r>
              <w:rPr/>
              <w:t> </w:t>
            </w:r>
          </w:p>
        </w:tc>
        <w:tc>
          <w:tcPr>
            <w:tcW w:w="782" w:type="dxa"/>
            <w:gridSpan w:val="2"/>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782" w:type="dxa"/>
            <w:gridSpan w:val="2"/>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887" w:type="dxa"/>
            <w:gridSpan w:val="2"/>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887" w:type="dxa"/>
            <w:gridSpan w:val="2"/>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992" w:type="dxa"/>
            <w:gridSpan w:val="2"/>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992" w:type="dxa"/>
            <w:gridSpan w:val="2"/>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947" w:type="dxa"/>
            <w:gridSpan w:val="2"/>
            <w:tcBorders/>
            <w:shd w:fill="auto" w:val="clear"/>
            <w:vAlign w:val="center"/>
          </w:tcPr>
          <w:p>
            <w:pPr>
              <w:pStyle w:val="TableContents"/>
              <w:spacing w:before="0" w:after="0"/>
              <w:ind w:left="0" w:right="0" w:hanging="0"/>
              <w:jc w:val="left"/>
              <w:rPr/>
            </w:pPr>
            <w:r>
              <w:rPr/>
              <w:t> </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992" w:type="dxa"/>
            <w:gridSpan w:val="2"/>
            <w:tcBorders/>
            <w:shd w:fill="auto" w:val="clear"/>
            <w:vAlign w:val="center"/>
          </w:tcPr>
          <w:p>
            <w:pPr>
              <w:pStyle w:val="TableContents"/>
              <w:spacing w:before="0" w:after="0"/>
              <w:ind w:left="0" w:right="0" w:hanging="0"/>
              <w:jc w:val="left"/>
              <w:rPr/>
            </w:pPr>
            <w:r>
              <w:rPr/>
              <w:t> </w:t>
            </w:r>
          </w:p>
        </w:tc>
        <w:tc>
          <w:tcPr>
            <w:tcW w:w="191" w:type="dxa"/>
            <w:tcBorders/>
            <w:shd w:fill="auto" w:val="clear"/>
            <w:vAlign w:val="center"/>
          </w:tcPr>
          <w:p>
            <w:pPr>
              <w:pStyle w:val="TableContents"/>
              <w:spacing w:before="0" w:after="0"/>
              <w:ind w:left="0" w:right="0" w:hanging="0"/>
              <w:jc w:val="left"/>
              <w:rPr/>
            </w:pPr>
            <w:r>
              <w:rPr/>
              <w:t> </w:t>
            </w:r>
          </w:p>
        </w:tc>
      </w:tr>
      <w:tr>
        <w:trPr/>
        <w:tc>
          <w:tcPr>
            <w:tcW w:w="1036" w:type="dxa"/>
            <w:tcBorders/>
            <w:shd w:fill="auto" w:val="clear"/>
            <w:vAlign w:val="center"/>
          </w:tcPr>
          <w:p>
            <w:pPr>
              <w:pStyle w:val="TableContents"/>
              <w:spacing w:before="0" w:after="0"/>
              <w:ind w:left="0" w:right="0" w:hanging="0"/>
              <w:jc w:val="left"/>
              <w:rPr/>
            </w:pPr>
            <w:r>
              <w:rPr/>
              <w:t> </w:t>
            </w:r>
          </w:p>
        </w:tc>
        <w:tc>
          <w:tcPr>
            <w:tcW w:w="9325" w:type="dxa"/>
            <w:gridSpan w:val="30"/>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As of December 31, 2022</w:t>
            </w:r>
          </w:p>
        </w:tc>
        <w:tc>
          <w:tcPr>
            <w:tcW w:w="1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1036" w:type="dxa"/>
            <w:tcBorders/>
            <w:shd w:fill="auto" w:val="clear"/>
            <w:vAlign w:val="center"/>
          </w:tcPr>
          <w:p>
            <w:pPr>
              <w:pStyle w:val="TableContents"/>
              <w:spacing w:before="0" w:after="0"/>
              <w:ind w:left="0" w:right="0" w:hanging="0"/>
              <w:jc w:val="left"/>
              <w:rPr>
                <w:rFonts w:ascii="Times New Roman;serif" w:hAnsi="Times New Roman;serif"/>
                <w:b w:val="false"/>
                <w:i/>
                <w:sz w:val="16"/>
              </w:rPr>
            </w:pPr>
            <w:r>
              <w:rPr>
                <w:rFonts w:ascii="Times New Roman;serif" w:hAnsi="Times New Roman;serif"/>
                <w:b w:val="false"/>
                <w:i/>
                <w:sz w:val="16"/>
              </w:rPr>
              <w:t>(In thousands of U.S. Dollars)</w:t>
            </w:r>
          </w:p>
        </w:tc>
        <w:tc>
          <w:tcPr>
            <w:tcW w:w="782"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Accrued</w:t>
              <w:br/>
              <w:t>and</w:t>
              <w:br/>
              <w:t>Current</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782"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30-89</w:t>
              <w:br/>
              <w:t>Days</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887"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90+</w:t>
              <w:br/>
              <w:t>Days</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887"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Billed</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992"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Unbilled</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992"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Recorded</w:t>
              <w:br/>
              <w:t>Receivable</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947"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Allowance</w:t>
              <w:br/>
              <w:t>for Credit</w:t>
              <w:br/>
              <w:t>Losses</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992"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Net</w:t>
            </w:r>
          </w:p>
        </w:tc>
        <w:tc>
          <w:tcPr>
            <w:tcW w:w="1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103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Net investment in leases</w:t>
            </w:r>
          </w:p>
        </w:tc>
        <w:tc>
          <w:tcPr>
            <w:tcW w:w="21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57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237</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21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57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216</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21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7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2,593</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21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7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3,046</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21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8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26,062</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21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8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29,108</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21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3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(776</w:t>
            </w:r>
          </w:p>
        </w:tc>
        <w:tc>
          <w:tcPr>
            <w:tcW w:w="16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shd w:fill="auto" w:val="clear"/>
            <w:vAlign w:val="center"/>
          </w:tcPr>
          <w:p>
            <w:pPr>
              <w:pStyle w:val="TableContents"/>
              <w:spacing w:before="0" w:after="0"/>
              <w:ind w:left="0" w:right="0" w:hanging="0"/>
              <w:jc w:val="right"/>
              <w:rPr/>
            </w:pPr>
            <w:r>
              <w:rPr/>
              <w:t> </w:t>
            </w:r>
          </w:p>
        </w:tc>
        <w:tc>
          <w:tcPr>
            <w:tcW w:w="21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8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28,332</w:t>
            </w:r>
          </w:p>
        </w:tc>
        <w:tc>
          <w:tcPr>
            <w:tcW w:w="191" w:type="dxa"/>
            <w:tcBorders/>
            <w:shd w:fill="auto" w:val="clear"/>
            <w:vAlign w:val="center"/>
          </w:tcPr>
          <w:p>
            <w:pPr>
              <w:pStyle w:val="TableContents"/>
              <w:spacing w:before="0" w:after="0"/>
              <w:ind w:left="0" w:right="0" w:hanging="0"/>
              <w:jc w:val="left"/>
              <w:rPr/>
            </w:pPr>
            <w:r>
              <w:rPr/>
              <w:t> </w:t>
            </w:r>
          </w:p>
        </w:tc>
      </w:tr>
      <w:tr>
        <w:trPr/>
        <w:tc>
          <w:tcPr>
            <w:tcW w:w="103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Financed sales receivables</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57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2,269</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57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1,307</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67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12,793</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67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16,369</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78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95,628</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78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111,997</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73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(10,945</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shd w:fill="auto" w:val="clear"/>
            <w:vAlign w:val="center"/>
          </w:tcPr>
          <w:p>
            <w:pPr>
              <w:pStyle w:val="TableContents"/>
              <w:spacing w:before="0" w:after="0"/>
              <w:ind w:left="0" w:right="0" w:hanging="0"/>
              <w:jc w:val="righ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78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101,052</w:t>
            </w:r>
          </w:p>
        </w:tc>
        <w:tc>
          <w:tcPr>
            <w:tcW w:w="1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r>
        <w:trPr/>
        <w:tc>
          <w:tcPr>
            <w:tcW w:w="103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Total</w:t>
            </w:r>
          </w:p>
        </w:tc>
        <w:tc>
          <w:tcPr>
            <w:tcW w:w="21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57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2,506</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21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57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1,523</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21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7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15,386</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21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7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19,415</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21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8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121,690</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21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8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141,105</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21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3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(11,721</w:t>
            </w:r>
          </w:p>
        </w:tc>
        <w:tc>
          <w:tcPr>
            <w:tcW w:w="16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shd w:fill="auto" w:val="clear"/>
            <w:vAlign w:val="center"/>
          </w:tcPr>
          <w:p>
            <w:pPr>
              <w:pStyle w:val="TableContents"/>
              <w:spacing w:before="0" w:after="0"/>
              <w:ind w:left="0" w:right="0" w:hanging="0"/>
              <w:jc w:val="right"/>
              <w:rPr/>
            </w:pPr>
            <w:r>
              <w:rPr/>
              <w:t> </w:t>
            </w:r>
          </w:p>
        </w:tc>
        <w:tc>
          <w:tcPr>
            <w:tcW w:w="21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8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129,384</w:t>
            </w:r>
          </w:p>
        </w:tc>
        <w:tc>
          <w:tcPr>
            <w:tcW w:w="19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bl>
    <w:p>
      <w:pPr>
        <w:pStyle w:val="TextBody"/>
        <w:spacing w:before="200" w:after="0"/>
        <w:jc w:val="both"/>
        <w:rPr>
          <w:rFonts w:ascii="Times New Roman;serif" w:hAnsi="Times New Roman;serif"/>
          <w:b w:val="false"/>
          <w:sz w:val="20"/>
        </w:rPr>
      </w:pPr>
      <w:r>
        <w:rPr>
          <w:rFonts w:ascii="Times New Roman;serif" w:hAnsi="Times New Roman;serif"/>
          <w:b w:val="false"/>
          <w:sz w:val="20"/>
        </w:rPr>
        <w:t>The following tables provide information about the Company’s net investment in leases and financed sale receivables with billed amounts past due for which it continues to accrue finance income as of March 31, 2023 and December 31, 2022. The amounts disclosed for each credit quality classification are determined on a customer-by-customer basis and include both billed and unbilled amounts.</w:t>
      </w:r>
    </w:p>
    <w:p>
      <w:pPr>
        <w:pStyle w:val="TextBody"/>
        <w:spacing w:before="0" w:after="0"/>
        <w:jc w:val="both"/>
        <w:rPr/>
      </w:pPr>
      <w:r>
        <w:rPr/>
        <w:t> </w:t>
      </w:r>
    </w:p>
    <w:tbl>
      <w:tblPr>
        <w:tblW w:w="10205" w:type="dxa"/>
        <w:jc w:val="left"/>
        <w:tblInd w:w="0" w:type="dxa"/>
        <w:tblCellMar>
          <w:top w:w="28" w:type="dxa"/>
          <w:left w:w="28" w:type="dxa"/>
          <w:bottom w:w="28" w:type="dxa"/>
          <w:right w:w="28" w:type="dxa"/>
        </w:tblCellMar>
      </w:tblPr>
      <w:tblGrid>
        <w:gridCol w:w="2141"/>
        <w:gridCol w:w="211"/>
        <w:gridCol w:w="571"/>
        <w:gridCol w:w="146"/>
        <w:gridCol w:w="146"/>
        <w:gridCol w:w="246"/>
        <w:gridCol w:w="668"/>
        <w:gridCol w:w="146"/>
        <w:gridCol w:w="146"/>
        <w:gridCol w:w="211"/>
        <w:gridCol w:w="676"/>
        <w:gridCol w:w="146"/>
        <w:gridCol w:w="146"/>
        <w:gridCol w:w="211"/>
        <w:gridCol w:w="676"/>
        <w:gridCol w:w="146"/>
        <w:gridCol w:w="146"/>
        <w:gridCol w:w="211"/>
        <w:gridCol w:w="676"/>
        <w:gridCol w:w="146"/>
        <w:gridCol w:w="146"/>
        <w:gridCol w:w="214"/>
        <w:gridCol w:w="642"/>
        <w:gridCol w:w="166"/>
        <w:gridCol w:w="146"/>
        <w:gridCol w:w="211"/>
        <w:gridCol w:w="676"/>
        <w:gridCol w:w="192"/>
      </w:tblGrid>
      <w:tr>
        <w:trPr/>
        <w:tc>
          <w:tcPr>
            <w:tcW w:w="2141"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571"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46" w:type="dxa"/>
            <w:tcBorders/>
            <w:shd w:fill="auto" w:val="clear"/>
            <w:vAlign w:val="center"/>
          </w:tcPr>
          <w:p>
            <w:pPr>
              <w:pStyle w:val="TableContents"/>
              <w:spacing w:before="0" w:after="283"/>
              <w:rPr>
                <w:sz w:val="4"/>
                <w:szCs w:val="4"/>
              </w:rPr>
            </w:pPr>
            <w:r>
              <w:rPr>
                <w:sz w:val="4"/>
                <w:szCs w:val="4"/>
              </w:rPr>
            </w:r>
          </w:p>
        </w:tc>
        <w:tc>
          <w:tcPr>
            <w:tcW w:w="668"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67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67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67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14" w:type="dxa"/>
            <w:tcBorders/>
            <w:shd w:fill="auto" w:val="clear"/>
            <w:vAlign w:val="center"/>
          </w:tcPr>
          <w:p>
            <w:pPr>
              <w:pStyle w:val="TableContents"/>
              <w:spacing w:before="0" w:after="283"/>
              <w:rPr>
                <w:sz w:val="4"/>
                <w:szCs w:val="4"/>
              </w:rPr>
            </w:pPr>
            <w:r>
              <w:rPr>
                <w:sz w:val="4"/>
                <w:szCs w:val="4"/>
              </w:rPr>
            </w:r>
          </w:p>
        </w:tc>
        <w:tc>
          <w:tcPr>
            <w:tcW w:w="642" w:type="dxa"/>
            <w:tcBorders/>
            <w:shd w:fill="auto" w:val="clear"/>
            <w:vAlign w:val="center"/>
          </w:tcPr>
          <w:p>
            <w:pPr>
              <w:pStyle w:val="TableContents"/>
              <w:spacing w:before="0" w:after="283"/>
              <w:rPr>
                <w:sz w:val="4"/>
                <w:szCs w:val="4"/>
              </w:rPr>
            </w:pPr>
            <w:r>
              <w:rPr>
                <w:sz w:val="4"/>
                <w:szCs w:val="4"/>
              </w:rPr>
            </w:r>
          </w:p>
        </w:tc>
        <w:tc>
          <w:tcPr>
            <w:tcW w:w="16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676" w:type="dxa"/>
            <w:tcBorders/>
            <w:shd w:fill="auto" w:val="clear"/>
            <w:vAlign w:val="center"/>
          </w:tcPr>
          <w:p>
            <w:pPr>
              <w:pStyle w:val="TableContents"/>
              <w:spacing w:before="0" w:after="283"/>
              <w:rPr>
                <w:sz w:val="4"/>
                <w:szCs w:val="4"/>
              </w:rPr>
            </w:pPr>
            <w:r>
              <w:rPr>
                <w:sz w:val="4"/>
                <w:szCs w:val="4"/>
              </w:rPr>
            </w:r>
          </w:p>
        </w:tc>
        <w:tc>
          <w:tcPr>
            <w:tcW w:w="192" w:type="dxa"/>
            <w:tcBorders/>
            <w:shd w:fill="auto" w:val="clear"/>
            <w:vAlign w:val="center"/>
          </w:tcPr>
          <w:p>
            <w:pPr>
              <w:pStyle w:val="TableContents"/>
              <w:spacing w:before="0" w:after="283"/>
              <w:rPr>
                <w:sz w:val="4"/>
                <w:szCs w:val="4"/>
              </w:rPr>
            </w:pPr>
            <w:r>
              <w:rPr>
                <w:sz w:val="4"/>
                <w:szCs w:val="4"/>
              </w:rPr>
            </w:r>
          </w:p>
        </w:tc>
      </w:tr>
      <w:tr>
        <w:trPr/>
        <w:tc>
          <w:tcPr>
            <w:tcW w:w="2141" w:type="dxa"/>
            <w:tcBorders/>
            <w:shd w:fill="auto" w:val="clear"/>
            <w:vAlign w:val="center"/>
          </w:tcPr>
          <w:p>
            <w:pPr>
              <w:pStyle w:val="TableContents"/>
              <w:spacing w:before="0" w:after="0"/>
              <w:ind w:left="0" w:right="0" w:hanging="0"/>
              <w:jc w:val="left"/>
              <w:rPr/>
            </w:pPr>
            <w:r>
              <w:rPr/>
              <w:t> </w:t>
            </w:r>
          </w:p>
        </w:tc>
        <w:tc>
          <w:tcPr>
            <w:tcW w:w="7872" w:type="dxa"/>
            <w:gridSpan w:val="26"/>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As of March 31, 2023</w:t>
            </w:r>
          </w:p>
        </w:tc>
        <w:tc>
          <w:tcPr>
            <w:tcW w:w="192"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2141" w:type="dxa"/>
            <w:tcBorders/>
            <w:shd w:fill="auto" w:val="clear"/>
            <w:vAlign w:val="center"/>
          </w:tcPr>
          <w:p>
            <w:pPr>
              <w:pStyle w:val="TableContents"/>
              <w:spacing w:before="0" w:after="0"/>
              <w:ind w:left="0" w:right="0" w:hanging="0"/>
              <w:jc w:val="left"/>
              <w:rPr>
                <w:rFonts w:ascii="Times New Roman;serif" w:hAnsi="Times New Roman;serif"/>
                <w:b w:val="false"/>
                <w:i/>
                <w:sz w:val="16"/>
              </w:rPr>
            </w:pPr>
            <w:r>
              <w:rPr>
                <w:rFonts w:ascii="Times New Roman;serif" w:hAnsi="Times New Roman;serif"/>
                <w:b w:val="false"/>
                <w:i/>
                <w:sz w:val="16"/>
              </w:rPr>
              <w:t>(In thousands of U.S. Dollars)</w:t>
            </w:r>
          </w:p>
        </w:tc>
        <w:tc>
          <w:tcPr>
            <w:tcW w:w="782"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Accrued</w:t>
              <w:br/>
              <w:t>and</w:t>
              <w:br/>
              <w:t>Current</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914"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30-89 Days</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887"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90+ Days</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887"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Billed</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887"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Unbilled</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856"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Allowance</w:t>
              <w:br/>
              <w:t>for Credit</w:t>
              <w:br/>
              <w:t>Losses</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887"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Net</w:t>
            </w:r>
          </w:p>
        </w:tc>
        <w:tc>
          <w:tcPr>
            <w:tcW w:w="192"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214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Net investment in leases</w:t>
            </w:r>
          </w:p>
        </w:tc>
        <w:tc>
          <w:tcPr>
            <w:tcW w:w="21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57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220</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24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68"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387</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21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7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2,892</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21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7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3,499</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21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7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18,286</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214"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42"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(228</w:t>
            </w:r>
          </w:p>
        </w:tc>
        <w:tc>
          <w:tcPr>
            <w:tcW w:w="16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shd w:fill="auto" w:val="clear"/>
            <w:vAlign w:val="center"/>
          </w:tcPr>
          <w:p>
            <w:pPr>
              <w:pStyle w:val="TableContents"/>
              <w:spacing w:before="0" w:after="0"/>
              <w:ind w:left="0" w:right="0" w:hanging="0"/>
              <w:jc w:val="right"/>
              <w:rPr/>
            </w:pPr>
            <w:r>
              <w:rPr/>
              <w:t> </w:t>
            </w:r>
          </w:p>
        </w:tc>
        <w:tc>
          <w:tcPr>
            <w:tcW w:w="21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7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21,557</w:t>
            </w:r>
          </w:p>
        </w:tc>
        <w:tc>
          <w:tcPr>
            <w:tcW w:w="192" w:type="dxa"/>
            <w:tcBorders/>
            <w:shd w:fill="auto" w:val="clear"/>
            <w:vAlign w:val="center"/>
          </w:tcPr>
          <w:p>
            <w:pPr>
              <w:pStyle w:val="TableContents"/>
              <w:spacing w:before="0" w:after="0"/>
              <w:ind w:left="0" w:right="0" w:hanging="0"/>
              <w:jc w:val="left"/>
              <w:rPr/>
            </w:pPr>
            <w:r>
              <w:rPr/>
              <w:t> </w:t>
            </w:r>
          </w:p>
        </w:tc>
      </w:tr>
      <w:tr>
        <w:trPr/>
        <w:tc>
          <w:tcPr>
            <w:tcW w:w="214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Financed sales receivables</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57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940</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2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668"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2,356</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67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10,445</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67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13,741</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67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42,785</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214"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642"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(1,460</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shd w:fill="auto" w:val="clear"/>
            <w:vAlign w:val="center"/>
          </w:tcPr>
          <w:p>
            <w:pPr>
              <w:pStyle w:val="TableContents"/>
              <w:spacing w:before="0" w:after="0"/>
              <w:ind w:left="0" w:right="0" w:hanging="0"/>
              <w:jc w:val="righ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67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55,066</w:t>
            </w:r>
          </w:p>
        </w:tc>
        <w:tc>
          <w:tcPr>
            <w:tcW w:w="192"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r>
        <w:trPr/>
        <w:tc>
          <w:tcPr>
            <w:tcW w:w="214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Total</w:t>
            </w:r>
          </w:p>
        </w:tc>
        <w:tc>
          <w:tcPr>
            <w:tcW w:w="21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57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1,160</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2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68"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2,743</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21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7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13,337</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21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7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17,240</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21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7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61,071</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214"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42"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(1,688</w:t>
            </w:r>
          </w:p>
        </w:tc>
        <w:tc>
          <w:tcPr>
            <w:tcW w:w="16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shd w:fill="auto" w:val="clear"/>
            <w:vAlign w:val="center"/>
          </w:tcPr>
          <w:p>
            <w:pPr>
              <w:pStyle w:val="TableContents"/>
              <w:spacing w:before="0" w:after="0"/>
              <w:ind w:left="0" w:right="0" w:hanging="0"/>
              <w:jc w:val="right"/>
              <w:rPr/>
            </w:pPr>
            <w:r>
              <w:rPr/>
              <w:t> </w:t>
            </w:r>
          </w:p>
        </w:tc>
        <w:tc>
          <w:tcPr>
            <w:tcW w:w="21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7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76,623</w:t>
            </w:r>
          </w:p>
        </w:tc>
        <w:tc>
          <w:tcPr>
            <w:tcW w:w="192"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r>
        <w:trPr/>
        <w:tc>
          <w:tcPr>
            <w:tcW w:w="2141" w:type="dxa"/>
            <w:tcBorders/>
            <w:shd w:fill="auto" w:val="clear"/>
            <w:vAlign w:val="center"/>
          </w:tcPr>
          <w:p>
            <w:pPr>
              <w:pStyle w:val="TableContents"/>
              <w:spacing w:before="0" w:after="0"/>
              <w:ind w:left="0" w:right="0" w:hanging="0"/>
              <w:jc w:val="left"/>
              <w:rPr/>
            </w:pPr>
            <w:r>
              <w:rPr/>
              <w:t> </w:t>
            </w:r>
          </w:p>
        </w:tc>
        <w:tc>
          <w:tcPr>
            <w:tcW w:w="782" w:type="dxa"/>
            <w:gridSpan w:val="2"/>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914" w:type="dxa"/>
            <w:gridSpan w:val="2"/>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887" w:type="dxa"/>
            <w:gridSpan w:val="2"/>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887" w:type="dxa"/>
            <w:gridSpan w:val="2"/>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887" w:type="dxa"/>
            <w:gridSpan w:val="2"/>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856" w:type="dxa"/>
            <w:gridSpan w:val="2"/>
            <w:tcBorders/>
            <w:shd w:fill="auto" w:val="clear"/>
            <w:vAlign w:val="center"/>
          </w:tcPr>
          <w:p>
            <w:pPr>
              <w:pStyle w:val="TableContents"/>
              <w:spacing w:before="0" w:after="0"/>
              <w:ind w:left="0" w:right="0" w:hanging="0"/>
              <w:jc w:val="left"/>
              <w:rPr/>
            </w:pPr>
            <w:r>
              <w:rPr/>
              <w:t> </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887" w:type="dxa"/>
            <w:gridSpan w:val="2"/>
            <w:tcBorders/>
            <w:shd w:fill="auto" w:val="clear"/>
            <w:vAlign w:val="center"/>
          </w:tcPr>
          <w:p>
            <w:pPr>
              <w:pStyle w:val="TableContents"/>
              <w:spacing w:before="0" w:after="0"/>
              <w:ind w:left="0" w:right="0" w:hanging="0"/>
              <w:jc w:val="left"/>
              <w:rPr/>
            </w:pPr>
            <w:r>
              <w:rPr/>
              <w:t> </w:t>
            </w:r>
          </w:p>
        </w:tc>
        <w:tc>
          <w:tcPr>
            <w:tcW w:w="192" w:type="dxa"/>
            <w:tcBorders/>
            <w:shd w:fill="auto" w:val="clear"/>
            <w:vAlign w:val="center"/>
          </w:tcPr>
          <w:p>
            <w:pPr>
              <w:pStyle w:val="TableContents"/>
              <w:spacing w:before="0" w:after="0"/>
              <w:ind w:left="0" w:right="0" w:hanging="0"/>
              <w:jc w:val="left"/>
              <w:rPr/>
            </w:pPr>
            <w:r>
              <w:rPr/>
              <w:t> </w:t>
            </w:r>
          </w:p>
        </w:tc>
      </w:tr>
      <w:tr>
        <w:trPr/>
        <w:tc>
          <w:tcPr>
            <w:tcW w:w="2141" w:type="dxa"/>
            <w:tcBorders/>
            <w:shd w:fill="auto" w:val="clear"/>
            <w:vAlign w:val="center"/>
          </w:tcPr>
          <w:p>
            <w:pPr>
              <w:pStyle w:val="TableContents"/>
              <w:spacing w:before="0" w:after="0"/>
              <w:ind w:left="0" w:right="0" w:hanging="0"/>
              <w:jc w:val="left"/>
              <w:rPr/>
            </w:pPr>
            <w:r>
              <w:rPr/>
              <w:t> </w:t>
            </w:r>
          </w:p>
        </w:tc>
        <w:tc>
          <w:tcPr>
            <w:tcW w:w="7872" w:type="dxa"/>
            <w:gridSpan w:val="26"/>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As of December 31, 2022</w:t>
            </w:r>
          </w:p>
        </w:tc>
        <w:tc>
          <w:tcPr>
            <w:tcW w:w="192"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2141" w:type="dxa"/>
            <w:tcBorders/>
            <w:shd w:fill="auto" w:val="clear"/>
            <w:vAlign w:val="center"/>
          </w:tcPr>
          <w:p>
            <w:pPr>
              <w:pStyle w:val="TableContents"/>
              <w:spacing w:before="0" w:after="0"/>
              <w:ind w:left="0" w:right="0" w:hanging="0"/>
              <w:jc w:val="left"/>
              <w:rPr>
                <w:rFonts w:ascii="Times New Roman;serif" w:hAnsi="Times New Roman;serif"/>
                <w:b w:val="false"/>
                <w:i/>
                <w:sz w:val="16"/>
              </w:rPr>
            </w:pPr>
            <w:r>
              <w:rPr>
                <w:rFonts w:ascii="Times New Roman;serif" w:hAnsi="Times New Roman;serif"/>
                <w:b w:val="false"/>
                <w:i/>
                <w:sz w:val="16"/>
              </w:rPr>
              <w:t>(In thousands of U.S. Dollars)</w:t>
            </w:r>
          </w:p>
        </w:tc>
        <w:tc>
          <w:tcPr>
            <w:tcW w:w="782"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Accrued</w:t>
              <w:br/>
              <w:t>and</w:t>
              <w:br/>
              <w:t>Current</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914"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30-89 Days</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887"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90+ Days</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887"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Billed</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887"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Unbilled</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856"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Allowance</w:t>
              <w:br/>
              <w:t>for Credit</w:t>
              <w:br/>
              <w:t>Losses</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887"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Net</w:t>
            </w:r>
          </w:p>
        </w:tc>
        <w:tc>
          <w:tcPr>
            <w:tcW w:w="192"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214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Net investment in leases</w:t>
            </w:r>
          </w:p>
        </w:tc>
        <w:tc>
          <w:tcPr>
            <w:tcW w:w="21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57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190</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24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68"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181</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21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7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2,593</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21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7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2,964</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21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7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17,070</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214"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42"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(230</w:t>
            </w:r>
          </w:p>
        </w:tc>
        <w:tc>
          <w:tcPr>
            <w:tcW w:w="16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shd w:fill="auto" w:val="clear"/>
            <w:vAlign w:val="center"/>
          </w:tcPr>
          <w:p>
            <w:pPr>
              <w:pStyle w:val="TableContents"/>
              <w:spacing w:before="0" w:after="0"/>
              <w:ind w:left="0" w:right="0" w:hanging="0"/>
              <w:jc w:val="right"/>
              <w:rPr/>
            </w:pPr>
            <w:r>
              <w:rPr/>
              <w:t> </w:t>
            </w:r>
          </w:p>
        </w:tc>
        <w:tc>
          <w:tcPr>
            <w:tcW w:w="21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7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19,804</w:t>
            </w:r>
          </w:p>
        </w:tc>
        <w:tc>
          <w:tcPr>
            <w:tcW w:w="192" w:type="dxa"/>
            <w:tcBorders/>
            <w:shd w:fill="auto" w:val="clear"/>
            <w:vAlign w:val="center"/>
          </w:tcPr>
          <w:p>
            <w:pPr>
              <w:pStyle w:val="TableContents"/>
              <w:spacing w:before="0" w:after="0"/>
              <w:ind w:left="0" w:right="0" w:hanging="0"/>
              <w:jc w:val="left"/>
              <w:rPr/>
            </w:pPr>
            <w:r>
              <w:rPr/>
              <w:t> </w:t>
            </w:r>
          </w:p>
        </w:tc>
      </w:tr>
      <w:tr>
        <w:trPr/>
        <w:tc>
          <w:tcPr>
            <w:tcW w:w="214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Financed sales receivables</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57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1,550</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2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668"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1,115</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67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10,814</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67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13,479</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67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43,172</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214"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642"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(1,587</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shd w:fill="auto" w:val="clear"/>
            <w:vAlign w:val="center"/>
          </w:tcPr>
          <w:p>
            <w:pPr>
              <w:pStyle w:val="TableContents"/>
              <w:spacing w:before="0" w:after="0"/>
              <w:ind w:left="0" w:right="0" w:hanging="0"/>
              <w:jc w:val="righ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67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55,064</w:t>
            </w:r>
          </w:p>
        </w:tc>
        <w:tc>
          <w:tcPr>
            <w:tcW w:w="192"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r>
        <w:trPr/>
        <w:tc>
          <w:tcPr>
            <w:tcW w:w="214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Total</w:t>
            </w:r>
          </w:p>
        </w:tc>
        <w:tc>
          <w:tcPr>
            <w:tcW w:w="21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57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1,740</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2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68"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1,296</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21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7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13,407</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21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7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16,443</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21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7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60,242</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214"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42"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(1,817</w:t>
            </w:r>
          </w:p>
        </w:tc>
        <w:tc>
          <w:tcPr>
            <w:tcW w:w="16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shd w:fill="auto" w:val="clear"/>
            <w:vAlign w:val="center"/>
          </w:tcPr>
          <w:p>
            <w:pPr>
              <w:pStyle w:val="TableContents"/>
              <w:spacing w:before="0" w:after="0"/>
              <w:ind w:left="0" w:right="0" w:hanging="0"/>
              <w:jc w:val="right"/>
              <w:rPr/>
            </w:pPr>
            <w:r>
              <w:rPr/>
              <w:t> </w:t>
            </w:r>
          </w:p>
        </w:tc>
        <w:tc>
          <w:tcPr>
            <w:tcW w:w="21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7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74,868</w:t>
            </w:r>
          </w:p>
        </w:tc>
        <w:tc>
          <w:tcPr>
            <w:tcW w:w="192"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bl>
    <w:p>
      <w:pPr>
        <w:pStyle w:val="TextBody"/>
        <w:spacing w:before="200" w:after="0"/>
        <w:jc w:val="both"/>
        <w:rPr>
          <w:rFonts w:ascii="Times New Roman;serif" w:hAnsi="Times New Roman;serif"/>
          <w:b w:val="false"/>
          <w:sz w:val="20"/>
        </w:rPr>
      </w:pPr>
      <w:r>
        <w:rPr>
          <w:rFonts w:ascii="Times New Roman;serif" w:hAnsi="Times New Roman;serif"/>
          <w:b w:val="false"/>
          <w:sz w:val="20"/>
        </w:rPr>
        <w:t>The following table provides information about the Company’s net investment in leases and financed sale receivables that are on nonaccrual status as of March 31, 2023 and December 31, 2022:</w:t>
      </w:r>
    </w:p>
    <w:p>
      <w:pPr>
        <w:pStyle w:val="TextBody"/>
        <w:spacing w:before="0" w:after="0"/>
        <w:jc w:val="both"/>
        <w:rPr/>
      </w:pPr>
      <w:r>
        <w:rPr/>
        <w:t> </w:t>
      </w:r>
    </w:p>
    <w:tbl>
      <w:tblPr>
        <w:tblW w:w="9502" w:type="dxa"/>
        <w:jc w:val="left"/>
        <w:tblInd w:w="0" w:type="dxa"/>
        <w:tblCellMar>
          <w:top w:w="28" w:type="dxa"/>
          <w:left w:w="28" w:type="dxa"/>
          <w:bottom w:w="28" w:type="dxa"/>
          <w:right w:w="28" w:type="dxa"/>
        </w:tblCellMar>
      </w:tblPr>
      <w:tblGrid>
        <w:gridCol w:w="2551"/>
        <w:gridCol w:w="211"/>
        <w:gridCol w:w="676"/>
        <w:gridCol w:w="146"/>
        <w:gridCol w:w="146"/>
        <w:gridCol w:w="214"/>
        <w:gridCol w:w="642"/>
        <w:gridCol w:w="166"/>
        <w:gridCol w:w="146"/>
        <w:gridCol w:w="211"/>
        <w:gridCol w:w="676"/>
        <w:gridCol w:w="146"/>
        <w:gridCol w:w="146"/>
        <w:gridCol w:w="211"/>
        <w:gridCol w:w="676"/>
        <w:gridCol w:w="146"/>
        <w:gridCol w:w="146"/>
        <w:gridCol w:w="214"/>
        <w:gridCol w:w="642"/>
        <w:gridCol w:w="166"/>
        <w:gridCol w:w="146"/>
        <w:gridCol w:w="211"/>
        <w:gridCol w:w="676"/>
        <w:gridCol w:w="191"/>
      </w:tblGrid>
      <w:tr>
        <w:trPr/>
        <w:tc>
          <w:tcPr>
            <w:tcW w:w="2551"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67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14" w:type="dxa"/>
            <w:tcBorders/>
            <w:shd w:fill="auto" w:val="clear"/>
            <w:vAlign w:val="center"/>
          </w:tcPr>
          <w:p>
            <w:pPr>
              <w:pStyle w:val="TableContents"/>
              <w:spacing w:before="0" w:after="283"/>
              <w:rPr>
                <w:sz w:val="4"/>
                <w:szCs w:val="4"/>
              </w:rPr>
            </w:pPr>
            <w:r>
              <w:rPr>
                <w:sz w:val="4"/>
                <w:szCs w:val="4"/>
              </w:rPr>
            </w:r>
          </w:p>
        </w:tc>
        <w:tc>
          <w:tcPr>
            <w:tcW w:w="642" w:type="dxa"/>
            <w:tcBorders/>
            <w:shd w:fill="auto" w:val="clear"/>
            <w:vAlign w:val="center"/>
          </w:tcPr>
          <w:p>
            <w:pPr>
              <w:pStyle w:val="TableContents"/>
              <w:spacing w:before="0" w:after="283"/>
              <w:rPr>
                <w:sz w:val="4"/>
                <w:szCs w:val="4"/>
              </w:rPr>
            </w:pPr>
            <w:r>
              <w:rPr>
                <w:sz w:val="4"/>
                <w:szCs w:val="4"/>
              </w:rPr>
            </w:r>
          </w:p>
        </w:tc>
        <w:tc>
          <w:tcPr>
            <w:tcW w:w="16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67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67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14" w:type="dxa"/>
            <w:tcBorders/>
            <w:shd w:fill="auto" w:val="clear"/>
            <w:vAlign w:val="center"/>
          </w:tcPr>
          <w:p>
            <w:pPr>
              <w:pStyle w:val="TableContents"/>
              <w:spacing w:before="0" w:after="283"/>
              <w:rPr>
                <w:sz w:val="4"/>
                <w:szCs w:val="4"/>
              </w:rPr>
            </w:pPr>
            <w:r>
              <w:rPr>
                <w:sz w:val="4"/>
                <w:szCs w:val="4"/>
              </w:rPr>
            </w:r>
          </w:p>
        </w:tc>
        <w:tc>
          <w:tcPr>
            <w:tcW w:w="642" w:type="dxa"/>
            <w:tcBorders/>
            <w:shd w:fill="auto" w:val="clear"/>
            <w:vAlign w:val="center"/>
          </w:tcPr>
          <w:p>
            <w:pPr>
              <w:pStyle w:val="TableContents"/>
              <w:spacing w:before="0" w:after="283"/>
              <w:rPr>
                <w:sz w:val="4"/>
                <w:szCs w:val="4"/>
              </w:rPr>
            </w:pPr>
            <w:r>
              <w:rPr>
                <w:sz w:val="4"/>
                <w:szCs w:val="4"/>
              </w:rPr>
            </w:r>
          </w:p>
        </w:tc>
        <w:tc>
          <w:tcPr>
            <w:tcW w:w="16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676" w:type="dxa"/>
            <w:tcBorders/>
            <w:shd w:fill="auto" w:val="clear"/>
            <w:vAlign w:val="center"/>
          </w:tcPr>
          <w:p>
            <w:pPr>
              <w:pStyle w:val="TableContents"/>
              <w:spacing w:before="0" w:after="283"/>
              <w:rPr>
                <w:sz w:val="4"/>
                <w:szCs w:val="4"/>
              </w:rPr>
            </w:pPr>
            <w:r>
              <w:rPr>
                <w:sz w:val="4"/>
                <w:szCs w:val="4"/>
              </w:rPr>
            </w:r>
          </w:p>
        </w:tc>
        <w:tc>
          <w:tcPr>
            <w:tcW w:w="191" w:type="dxa"/>
            <w:tcBorders/>
            <w:shd w:fill="auto" w:val="clear"/>
            <w:vAlign w:val="center"/>
          </w:tcPr>
          <w:p>
            <w:pPr>
              <w:pStyle w:val="TableContents"/>
              <w:spacing w:before="0" w:after="283"/>
              <w:rPr>
                <w:sz w:val="4"/>
                <w:szCs w:val="4"/>
              </w:rPr>
            </w:pPr>
            <w:r>
              <w:rPr>
                <w:sz w:val="4"/>
                <w:szCs w:val="4"/>
              </w:rPr>
            </w:r>
          </w:p>
        </w:tc>
      </w:tr>
      <w:tr>
        <w:trPr/>
        <w:tc>
          <w:tcPr>
            <w:tcW w:w="2551" w:type="dxa"/>
            <w:tcBorders/>
            <w:shd w:fill="auto" w:val="clear"/>
            <w:vAlign w:val="center"/>
          </w:tcPr>
          <w:p>
            <w:pPr>
              <w:pStyle w:val="TableContents"/>
              <w:spacing w:before="0" w:after="0"/>
              <w:ind w:left="0" w:right="0" w:hanging="0"/>
              <w:jc w:val="left"/>
              <w:rPr/>
            </w:pPr>
            <w:r>
              <w:rPr/>
              <w:t> </w:t>
            </w:r>
          </w:p>
        </w:tc>
        <w:tc>
          <w:tcPr>
            <w:tcW w:w="3234" w:type="dxa"/>
            <w:gridSpan w:val="10"/>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As of March 31, 2023</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3234" w:type="dxa"/>
            <w:gridSpan w:val="10"/>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As of December 31, 2022</w:t>
            </w:r>
          </w:p>
        </w:tc>
        <w:tc>
          <w:tcPr>
            <w:tcW w:w="1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2551" w:type="dxa"/>
            <w:tcBorders/>
            <w:shd w:fill="auto" w:val="clear"/>
            <w:vAlign w:val="center"/>
          </w:tcPr>
          <w:p>
            <w:pPr>
              <w:pStyle w:val="TableContents"/>
              <w:spacing w:before="0" w:after="0"/>
              <w:ind w:left="0" w:right="0" w:hanging="0"/>
              <w:jc w:val="left"/>
              <w:rPr>
                <w:rFonts w:ascii="Times New Roman;serif" w:hAnsi="Times New Roman;serif"/>
                <w:b w:val="false"/>
                <w:i/>
                <w:sz w:val="16"/>
              </w:rPr>
            </w:pPr>
            <w:r>
              <w:rPr>
                <w:rFonts w:ascii="Times New Roman;serif" w:hAnsi="Times New Roman;serif"/>
                <w:b w:val="false"/>
                <w:i/>
                <w:sz w:val="16"/>
              </w:rPr>
              <w:t>(In thousands of U.S. Dollars)</w:t>
            </w:r>
          </w:p>
        </w:tc>
        <w:tc>
          <w:tcPr>
            <w:tcW w:w="887"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Recorded</w:t>
              <w:br/>
              <w:t>Receivable</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856"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Allowance</w:t>
              <w:br/>
              <w:t>for Credit</w:t>
              <w:br/>
              <w:t>Losses</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887"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Net</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887"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Recorded</w:t>
              <w:br/>
              <w:t>Receivable</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856"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Allowance</w:t>
              <w:br/>
              <w:t>for Credit</w:t>
              <w:br/>
              <w:t>Losses</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887"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Net</w:t>
            </w:r>
          </w:p>
        </w:tc>
        <w:tc>
          <w:tcPr>
            <w:tcW w:w="1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255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Net investment in leases</w:t>
            </w:r>
          </w:p>
        </w:tc>
        <w:tc>
          <w:tcPr>
            <w:tcW w:w="21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7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401</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4"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42"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(401</w:t>
            </w:r>
          </w:p>
        </w:tc>
        <w:tc>
          <w:tcPr>
            <w:tcW w:w="16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76"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7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401</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4"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42"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(401</w:t>
            </w:r>
          </w:p>
        </w:tc>
        <w:tc>
          <w:tcPr>
            <w:tcW w:w="16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76" w:type="dxa"/>
            <w:tcBorders/>
            <w:shd w:fill="auto" w:val="clear"/>
            <w:vAlign w:val="center"/>
          </w:tcPr>
          <w:p>
            <w:pPr>
              <w:pStyle w:val="TableContents"/>
              <w:spacing w:before="0" w:after="0"/>
              <w:ind w:left="0" w:right="0" w:hanging="0"/>
              <w:jc w:val="right"/>
              <w:rPr/>
            </w:pPr>
            <w:r>
              <w:rPr/>
              <w:t>—</w:t>
            </w:r>
          </w:p>
        </w:tc>
        <w:tc>
          <w:tcPr>
            <w:tcW w:w="191" w:type="dxa"/>
            <w:tcBorders/>
            <w:shd w:fill="auto" w:val="clear"/>
            <w:vAlign w:val="center"/>
          </w:tcPr>
          <w:p>
            <w:pPr>
              <w:pStyle w:val="TableContents"/>
              <w:spacing w:before="0" w:after="0"/>
              <w:ind w:left="0" w:right="0" w:hanging="0"/>
              <w:jc w:val="left"/>
              <w:rPr/>
            </w:pPr>
            <w:r>
              <w:rPr/>
              <w:t> </w:t>
            </w:r>
          </w:p>
        </w:tc>
      </w:tr>
      <w:tr>
        <w:trPr/>
        <w:tc>
          <w:tcPr>
            <w:tcW w:w="255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Net financed sales receivables</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67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20,461</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4"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642"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(7,599</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67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12,862</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67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27,364</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4"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642"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(9,589</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67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17,775</w:t>
            </w:r>
          </w:p>
        </w:tc>
        <w:tc>
          <w:tcPr>
            <w:tcW w:w="1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r>
        <w:trPr/>
        <w:tc>
          <w:tcPr>
            <w:tcW w:w="255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Total</w:t>
            </w:r>
          </w:p>
        </w:tc>
        <w:tc>
          <w:tcPr>
            <w:tcW w:w="21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7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20,862</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4"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42"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(8,000</w:t>
            </w:r>
          </w:p>
        </w:tc>
        <w:tc>
          <w:tcPr>
            <w:tcW w:w="16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7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12,862</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7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27,765</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4"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42"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(9,990</w:t>
            </w:r>
          </w:p>
        </w:tc>
        <w:tc>
          <w:tcPr>
            <w:tcW w:w="16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7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17,775</w:t>
            </w:r>
          </w:p>
        </w:tc>
        <w:tc>
          <w:tcPr>
            <w:tcW w:w="19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bl>
    <w:p>
      <w:pPr>
        <w:pStyle w:val="TextBody"/>
        <w:spacing w:before="200" w:after="0"/>
        <w:jc w:val="both"/>
        <w:rPr>
          <w:rFonts w:ascii="Times New Roman" w:hAnsi="Times New Roman"/>
          <w:sz w:val="20"/>
        </w:rPr>
      </w:pPr>
      <w:r>
        <w:rPr>
          <w:rFonts w:ascii="Times New Roman;serif" w:hAnsi="Times New Roman;serif"/>
          <w:b w:val="false"/>
          <w:sz w:val="20"/>
        </w:rPr>
        <w:t>For the three months ended March 31, 2023, the Company recognized less than $0.1</w:t>
      </w:r>
      <w:r>
        <w:rPr>
          <w:rFonts w:ascii="Times New Roman" w:hAnsi="Times New Roman"/>
          <w:sz w:val="20"/>
        </w:rPr>
        <w:t xml:space="preserve"> </w:t>
      </w:r>
      <w:r>
        <w:rPr>
          <w:rFonts w:ascii="Times New Roman;serif" w:hAnsi="Times New Roman;serif"/>
          <w:b w:val="false"/>
          <w:sz w:val="20"/>
        </w:rPr>
        <w:t>million (2022 — less than $0.1</w:t>
      </w:r>
      <w:r>
        <w:rPr>
          <w:rFonts w:ascii="Times New Roman" w:hAnsi="Times New Roman"/>
          <w:sz w:val="20"/>
        </w:rPr>
        <w:t xml:space="preserve"> </w:t>
      </w:r>
      <w:r>
        <w:rPr>
          <w:rFonts w:ascii="Times New Roman;serif" w:hAnsi="Times New Roman;serif"/>
          <w:b w:val="false"/>
          <w:sz w:val="20"/>
        </w:rPr>
        <w:t>million) in Finance Income related to the net investment in leases with billed amounts past due. For the three months ended March 31, 2023 and 2022, the Company did not recognize Finance Income related to the net investment in leases on nonaccrual status. For the three months ended March 31, 2023, the Company recognized $0.8</w:t>
      </w:r>
      <w:r>
        <w:rPr>
          <w:rFonts w:ascii="Times New Roman" w:hAnsi="Times New Roman"/>
          <w:sz w:val="20"/>
        </w:rPr>
        <w:t xml:space="preserve"> </w:t>
      </w:r>
      <w:r>
        <w:rPr>
          <w:rFonts w:ascii="Times New Roman;serif" w:hAnsi="Times New Roman;serif"/>
          <w:b w:val="false"/>
          <w:sz w:val="20"/>
        </w:rPr>
        <w:t>million</w:t>
      </w:r>
      <w:r>
        <w:rPr>
          <w:rFonts w:ascii="Times New Roman" w:hAnsi="Times New Roman"/>
          <w:sz w:val="20"/>
        </w:rPr>
        <w:t xml:space="preserve"> </w:t>
      </w:r>
      <w:r>
        <w:rPr>
          <w:rFonts w:ascii="Times New Roman;serif" w:hAnsi="Times New Roman;serif"/>
          <w:b w:val="false"/>
          <w:sz w:val="20"/>
        </w:rPr>
        <w:t>(2022 — $0.7</w:t>
      </w:r>
      <w:r>
        <w:rPr>
          <w:rFonts w:ascii="Times New Roman" w:hAnsi="Times New Roman"/>
          <w:sz w:val="20"/>
        </w:rPr>
        <w:t xml:space="preserve"> </w:t>
      </w:r>
      <w:r>
        <w:rPr>
          <w:rFonts w:ascii="Times New Roman;serif" w:hAnsi="Times New Roman;serif"/>
          <w:b w:val="false"/>
          <w:sz w:val="20"/>
        </w:rPr>
        <w:t>million) in Finance Income related to the financed sale receivables with billed amounts past due. For the three months ended March 31, 2023, the Company recognized $0.1</w:t>
      </w:r>
      <w:r>
        <w:rPr>
          <w:rFonts w:ascii="Times New Roman" w:hAnsi="Times New Roman"/>
          <w:sz w:val="20"/>
        </w:rPr>
        <w:t xml:space="preserve"> </w:t>
      </w:r>
      <w:r>
        <w:rPr>
          <w:rFonts w:ascii="Times New Roman;serif" w:hAnsi="Times New Roman;serif"/>
          <w:b w:val="false"/>
          <w:sz w:val="20"/>
        </w:rPr>
        <w:t>million</w:t>
      </w:r>
      <w:r>
        <w:rPr>
          <w:rFonts w:ascii="Times New Roman" w:hAnsi="Times New Roman"/>
          <w:sz w:val="20"/>
        </w:rPr>
        <w:t xml:space="preserve"> </w:t>
      </w:r>
      <w:r>
        <w:rPr>
          <w:rFonts w:ascii="Times New Roman;serif" w:hAnsi="Times New Roman;serif"/>
          <w:b w:val="false"/>
          <w:sz w:val="20"/>
        </w:rPr>
        <w:t>(2022 — $0.2</w:t>
      </w:r>
      <w:r>
        <w:rPr>
          <w:rFonts w:ascii="Times New Roman" w:hAnsi="Times New Roman"/>
          <w:sz w:val="20"/>
        </w:rPr>
        <w:t xml:space="preserve"> </w:t>
      </w:r>
      <w:r>
        <w:rPr>
          <w:rFonts w:ascii="Times New Roman;serif" w:hAnsi="Times New Roman;serif"/>
          <w:b w:val="false"/>
          <w:sz w:val="20"/>
        </w:rPr>
        <w:t>million) in Finance Income related to the financed sales receivables in nonaccrual status.</w:t>
      </w:r>
    </w:p>
    <w:p>
      <w:pPr>
        <w:pStyle w:val="TextBody"/>
        <w:spacing w:before="240" w:after="0"/>
        <w:jc w:val="center"/>
        <w:rPr>
          <w:rFonts w:ascii="Times New Roman;serif" w:hAnsi="Times New Roman;serif"/>
          <w:b w:val="false"/>
          <w:sz w:val="20"/>
        </w:rPr>
      </w:pPr>
      <w:r>
        <w:rPr>
          <w:rFonts w:ascii="Times New Roman;serif" w:hAnsi="Times New Roman;serif"/>
          <w:b w:val="false"/>
          <w:sz w:val="20"/>
        </w:rPr>
        <w:t>15</w:t>
      </w:r>
    </w:p>
    <w:p>
      <w:pPr>
        <w:pStyle w:val="HorizontalLine"/>
        <w:rPr/>
      </w:pPr>
      <w:r>
        <w:rPr/>
      </w:r>
    </w:p>
    <w:p>
      <w:pPr>
        <w:pStyle w:val="TextBody"/>
        <w:spacing w:before="0" w:after="0"/>
        <w:jc w:val="left"/>
        <w:rPr/>
      </w:pPr>
      <w:r>
        <w:rPr/>
        <w:t> </w:t>
      </w:r>
    </w:p>
    <w:p>
      <w:pPr>
        <w:pStyle w:val="TextBody"/>
        <w:spacing w:before="200" w:after="160"/>
        <w:jc w:val="left"/>
        <w:rPr>
          <w:rFonts w:ascii="Times New Roman;serif" w:hAnsi="Times New Roman;serif"/>
          <w:b w:val="false"/>
          <w:sz w:val="20"/>
        </w:rPr>
      </w:pPr>
      <w:r>
        <w:rPr>
          <w:rFonts w:ascii="Times New Roman;serif" w:hAnsi="Times New Roman;serif"/>
          <w:b w:val="false"/>
          <w:sz w:val="20"/>
        </w:rPr>
        <w:t>The following tables summarize the activity in the allowance for credit losses related to the Company’s net investment in leases and financed sale receivables for the three months ended March 31, 2023 and 2022:</w:t>
      </w:r>
    </w:p>
    <w:tbl>
      <w:tblPr>
        <w:tblW w:w="6597" w:type="dxa"/>
        <w:jc w:val="left"/>
        <w:tblInd w:w="0" w:type="dxa"/>
        <w:tblCellMar>
          <w:top w:w="28" w:type="dxa"/>
          <w:left w:w="28" w:type="dxa"/>
          <w:bottom w:w="28" w:type="dxa"/>
          <w:right w:w="28" w:type="dxa"/>
        </w:tblCellMar>
      </w:tblPr>
      <w:tblGrid>
        <w:gridCol w:w="3271"/>
        <w:gridCol w:w="400"/>
        <w:gridCol w:w="800"/>
        <w:gridCol w:w="254"/>
        <w:gridCol w:w="223"/>
        <w:gridCol w:w="323"/>
        <w:gridCol w:w="1035"/>
        <w:gridCol w:w="291"/>
      </w:tblGrid>
      <w:tr>
        <w:trPr/>
        <w:tc>
          <w:tcPr>
            <w:tcW w:w="3271" w:type="dxa"/>
            <w:tcBorders/>
            <w:shd w:fill="auto" w:val="clear"/>
            <w:vAlign w:val="center"/>
          </w:tcPr>
          <w:p>
            <w:pPr>
              <w:pStyle w:val="TableContents"/>
              <w:spacing w:before="0" w:after="283"/>
              <w:rPr>
                <w:sz w:val="4"/>
                <w:szCs w:val="4"/>
              </w:rPr>
            </w:pPr>
            <w:r>
              <w:rPr>
                <w:sz w:val="4"/>
                <w:szCs w:val="4"/>
              </w:rPr>
            </w:r>
          </w:p>
        </w:tc>
        <w:tc>
          <w:tcPr>
            <w:tcW w:w="400" w:type="dxa"/>
            <w:tcBorders/>
            <w:shd w:fill="auto" w:val="clear"/>
            <w:vAlign w:val="center"/>
          </w:tcPr>
          <w:p>
            <w:pPr>
              <w:pStyle w:val="TableContents"/>
              <w:spacing w:before="0" w:after="283"/>
              <w:rPr>
                <w:sz w:val="4"/>
                <w:szCs w:val="4"/>
              </w:rPr>
            </w:pPr>
            <w:r>
              <w:rPr>
                <w:sz w:val="4"/>
                <w:szCs w:val="4"/>
              </w:rPr>
            </w:r>
          </w:p>
        </w:tc>
        <w:tc>
          <w:tcPr>
            <w:tcW w:w="800" w:type="dxa"/>
            <w:tcBorders/>
            <w:shd w:fill="auto" w:val="clear"/>
            <w:vAlign w:val="center"/>
          </w:tcPr>
          <w:p>
            <w:pPr>
              <w:pStyle w:val="TableContents"/>
              <w:spacing w:before="0" w:after="283"/>
              <w:rPr>
                <w:sz w:val="4"/>
                <w:szCs w:val="4"/>
              </w:rPr>
            </w:pPr>
            <w:r>
              <w:rPr>
                <w:sz w:val="4"/>
                <w:szCs w:val="4"/>
              </w:rPr>
            </w:r>
          </w:p>
        </w:tc>
        <w:tc>
          <w:tcPr>
            <w:tcW w:w="254" w:type="dxa"/>
            <w:tcBorders/>
            <w:shd w:fill="auto" w:val="clear"/>
            <w:vAlign w:val="center"/>
          </w:tcPr>
          <w:p>
            <w:pPr>
              <w:pStyle w:val="TableContents"/>
              <w:spacing w:before="0" w:after="283"/>
              <w:rPr>
                <w:sz w:val="4"/>
                <w:szCs w:val="4"/>
              </w:rPr>
            </w:pPr>
            <w:r>
              <w:rPr>
                <w:sz w:val="4"/>
                <w:szCs w:val="4"/>
              </w:rPr>
            </w:r>
          </w:p>
        </w:tc>
        <w:tc>
          <w:tcPr>
            <w:tcW w:w="223" w:type="dxa"/>
            <w:tcBorders/>
            <w:shd w:fill="auto" w:val="clear"/>
            <w:vAlign w:val="center"/>
          </w:tcPr>
          <w:p>
            <w:pPr>
              <w:pStyle w:val="TableContents"/>
              <w:spacing w:before="0" w:after="283"/>
              <w:rPr>
                <w:sz w:val="4"/>
                <w:szCs w:val="4"/>
              </w:rPr>
            </w:pPr>
            <w:r>
              <w:rPr>
                <w:sz w:val="4"/>
                <w:szCs w:val="4"/>
              </w:rPr>
            </w:r>
          </w:p>
        </w:tc>
        <w:tc>
          <w:tcPr>
            <w:tcW w:w="323" w:type="dxa"/>
            <w:tcBorders/>
            <w:shd w:fill="auto" w:val="clear"/>
            <w:vAlign w:val="center"/>
          </w:tcPr>
          <w:p>
            <w:pPr>
              <w:pStyle w:val="TableContents"/>
              <w:spacing w:before="0" w:after="283"/>
              <w:rPr>
                <w:sz w:val="4"/>
                <w:szCs w:val="4"/>
              </w:rPr>
            </w:pPr>
            <w:r>
              <w:rPr>
                <w:sz w:val="4"/>
                <w:szCs w:val="4"/>
              </w:rPr>
            </w:r>
          </w:p>
        </w:tc>
        <w:tc>
          <w:tcPr>
            <w:tcW w:w="1035" w:type="dxa"/>
            <w:tcBorders/>
            <w:shd w:fill="auto" w:val="clear"/>
            <w:vAlign w:val="center"/>
          </w:tcPr>
          <w:p>
            <w:pPr>
              <w:pStyle w:val="TableContents"/>
              <w:spacing w:before="0" w:after="283"/>
              <w:rPr>
                <w:sz w:val="4"/>
                <w:szCs w:val="4"/>
              </w:rPr>
            </w:pPr>
            <w:r>
              <w:rPr>
                <w:sz w:val="4"/>
                <w:szCs w:val="4"/>
              </w:rPr>
            </w:r>
          </w:p>
        </w:tc>
        <w:tc>
          <w:tcPr>
            <w:tcW w:w="291" w:type="dxa"/>
            <w:tcBorders/>
            <w:shd w:fill="auto" w:val="clear"/>
            <w:vAlign w:val="center"/>
          </w:tcPr>
          <w:p>
            <w:pPr>
              <w:pStyle w:val="TableContents"/>
              <w:spacing w:before="0" w:after="283"/>
              <w:rPr>
                <w:sz w:val="4"/>
                <w:szCs w:val="4"/>
              </w:rPr>
            </w:pPr>
            <w:r>
              <w:rPr>
                <w:sz w:val="4"/>
                <w:szCs w:val="4"/>
              </w:rPr>
            </w:r>
          </w:p>
        </w:tc>
      </w:tr>
      <w:tr>
        <w:trPr/>
        <w:tc>
          <w:tcPr>
            <w:tcW w:w="3271" w:type="dxa"/>
            <w:tcBorders/>
            <w:shd w:fill="auto" w:val="clear"/>
            <w:vAlign w:val="center"/>
          </w:tcPr>
          <w:p>
            <w:pPr>
              <w:pStyle w:val="TableContents"/>
              <w:spacing w:before="0" w:after="0"/>
              <w:ind w:left="0" w:right="0" w:hanging="0"/>
              <w:jc w:val="left"/>
              <w:rPr/>
            </w:pPr>
            <w:r>
              <w:rPr/>
              <w:t> </w:t>
            </w:r>
          </w:p>
        </w:tc>
        <w:tc>
          <w:tcPr>
            <w:tcW w:w="3035" w:type="dxa"/>
            <w:gridSpan w:val="6"/>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Three Months Ended March 31, 2023</w:t>
            </w:r>
          </w:p>
        </w:tc>
        <w:tc>
          <w:tcPr>
            <w:tcW w:w="2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3271" w:type="dxa"/>
            <w:tcBorders/>
            <w:shd w:fill="auto" w:val="clear"/>
            <w:vAlign w:val="center"/>
          </w:tcPr>
          <w:p>
            <w:pPr>
              <w:pStyle w:val="TableContents"/>
              <w:spacing w:before="0" w:after="0"/>
              <w:ind w:left="0" w:right="0" w:hanging="0"/>
              <w:jc w:val="left"/>
              <w:rPr/>
            </w:pPr>
            <w:r>
              <w:rPr/>
              <w:t> </w:t>
            </w:r>
          </w:p>
        </w:tc>
        <w:tc>
          <w:tcPr>
            <w:tcW w:w="1200" w:type="dxa"/>
            <w:gridSpan w:val="2"/>
            <w:tcBorders/>
            <w:shd w:fill="auto" w:val="cle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Net Investment</w:t>
            </w:r>
          </w:p>
        </w:tc>
        <w:tc>
          <w:tcPr>
            <w:tcW w:w="254" w:type="dxa"/>
            <w:tcBorders/>
            <w:shd w:fill="auto" w:val="clear"/>
            <w:vAlign w:val="center"/>
          </w:tcPr>
          <w:p>
            <w:pPr>
              <w:pStyle w:val="TableContents"/>
              <w:spacing w:before="0" w:after="0"/>
              <w:ind w:left="0" w:right="0" w:hanging="0"/>
              <w:jc w:val="center"/>
              <w:rPr/>
            </w:pPr>
            <w:r>
              <w:rPr/>
              <w:t> </w:t>
            </w:r>
          </w:p>
        </w:tc>
        <w:tc>
          <w:tcPr>
            <w:tcW w:w="223" w:type="dxa"/>
            <w:tcBorders/>
            <w:shd w:fill="auto" w:val="clear"/>
            <w:vAlign w:val="center"/>
          </w:tcPr>
          <w:p>
            <w:pPr>
              <w:pStyle w:val="TableContents"/>
              <w:spacing w:before="0" w:after="0"/>
              <w:ind w:left="0" w:right="0" w:hanging="0"/>
              <w:jc w:val="center"/>
              <w:rPr/>
            </w:pPr>
            <w:r>
              <w:rPr/>
              <w:t> </w:t>
            </w:r>
          </w:p>
        </w:tc>
        <w:tc>
          <w:tcPr>
            <w:tcW w:w="1358" w:type="dxa"/>
            <w:gridSpan w:val="2"/>
            <w:tcBorders/>
            <w:shd w:fill="auto" w:val="cle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Financed</w:t>
            </w:r>
          </w:p>
        </w:tc>
        <w:tc>
          <w:tcPr>
            <w:tcW w:w="291" w:type="dxa"/>
            <w:tcBorders/>
            <w:shd w:fill="auto" w:val="clear"/>
            <w:vAlign w:val="center"/>
          </w:tcPr>
          <w:p>
            <w:pPr>
              <w:pStyle w:val="TableContents"/>
              <w:spacing w:before="0" w:after="0"/>
              <w:ind w:left="0" w:right="0" w:hanging="0"/>
              <w:jc w:val="center"/>
              <w:rPr/>
            </w:pPr>
            <w:r>
              <w:rPr/>
              <w:t> </w:t>
            </w:r>
          </w:p>
        </w:tc>
      </w:tr>
      <w:tr>
        <w:trPr/>
        <w:tc>
          <w:tcPr>
            <w:tcW w:w="3271" w:type="dxa"/>
            <w:tcBorders/>
            <w:shd w:fill="auto" w:val="clear"/>
            <w:vAlign w:val="center"/>
          </w:tcPr>
          <w:p>
            <w:pPr>
              <w:pStyle w:val="TableContents"/>
              <w:spacing w:before="0" w:after="0"/>
              <w:ind w:left="0" w:right="0" w:hanging="0"/>
              <w:jc w:val="left"/>
              <w:rPr>
                <w:rFonts w:ascii="Times New Roman;serif" w:hAnsi="Times New Roman;serif"/>
                <w:b w:val="false"/>
                <w:i/>
                <w:sz w:val="16"/>
              </w:rPr>
            </w:pPr>
            <w:r>
              <w:rPr>
                <w:rFonts w:ascii="Times New Roman;serif" w:hAnsi="Times New Roman;serif"/>
                <w:b w:val="false"/>
                <w:i/>
                <w:sz w:val="16"/>
              </w:rPr>
              <w:t>(In thousands of U.S. Dollars)</w:t>
            </w:r>
          </w:p>
        </w:tc>
        <w:tc>
          <w:tcPr>
            <w:tcW w:w="1200"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in Leases</w:t>
            </w:r>
          </w:p>
        </w:tc>
        <w:tc>
          <w:tcPr>
            <w:tcW w:w="254"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223" w:type="dxa"/>
            <w:tcBorders/>
            <w:shd w:fill="auto" w:val="clear"/>
            <w:vAlign w:val="center"/>
          </w:tcPr>
          <w:p>
            <w:pPr>
              <w:pStyle w:val="TableContents"/>
              <w:spacing w:before="0" w:after="0"/>
              <w:ind w:left="0" w:right="0" w:hanging="0"/>
              <w:jc w:val="center"/>
              <w:rPr/>
            </w:pPr>
            <w:r>
              <w:rPr/>
              <w:t> </w:t>
            </w:r>
          </w:p>
        </w:tc>
        <w:tc>
          <w:tcPr>
            <w:tcW w:w="1358"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Sales Receivables</w:t>
            </w:r>
          </w:p>
        </w:tc>
        <w:tc>
          <w:tcPr>
            <w:tcW w:w="2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327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Beginning balance</w:t>
            </w:r>
          </w:p>
        </w:tc>
        <w:tc>
          <w:tcPr>
            <w:tcW w:w="400"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800"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776</w:t>
            </w:r>
          </w:p>
        </w:tc>
        <w:tc>
          <w:tcPr>
            <w:tcW w:w="254" w:type="dxa"/>
            <w:tcBorders/>
            <w:shd w:fill="auto" w:val="clear"/>
            <w:vAlign w:val="center"/>
          </w:tcPr>
          <w:p>
            <w:pPr>
              <w:pStyle w:val="TableContents"/>
              <w:spacing w:before="0" w:after="0"/>
              <w:ind w:left="0" w:right="0" w:hanging="0"/>
              <w:jc w:val="left"/>
              <w:rPr/>
            </w:pPr>
            <w:r>
              <w:rPr/>
              <w:t> </w:t>
            </w:r>
          </w:p>
        </w:tc>
        <w:tc>
          <w:tcPr>
            <w:tcW w:w="223" w:type="dxa"/>
            <w:tcBorders/>
            <w:shd w:fill="auto" w:val="clear"/>
            <w:vAlign w:val="center"/>
          </w:tcPr>
          <w:p>
            <w:pPr>
              <w:pStyle w:val="TableContents"/>
              <w:spacing w:before="0" w:after="0"/>
              <w:ind w:left="0" w:right="0" w:hanging="0"/>
              <w:jc w:val="right"/>
              <w:rPr/>
            </w:pPr>
            <w:r>
              <w:rPr/>
              <w:t> </w:t>
            </w:r>
          </w:p>
        </w:tc>
        <w:tc>
          <w:tcPr>
            <w:tcW w:w="323"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035"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10,945</w:t>
            </w:r>
          </w:p>
        </w:tc>
        <w:tc>
          <w:tcPr>
            <w:tcW w:w="291" w:type="dxa"/>
            <w:tcBorders/>
            <w:shd w:fill="auto" w:val="clear"/>
            <w:vAlign w:val="center"/>
          </w:tcPr>
          <w:p>
            <w:pPr>
              <w:pStyle w:val="TableContents"/>
              <w:spacing w:before="0" w:after="0"/>
              <w:ind w:left="0" w:right="0" w:firstLine="100"/>
              <w:jc w:val="left"/>
              <w:rPr/>
            </w:pPr>
            <w:r>
              <w:rPr/>
              <w:t> </w:t>
            </w:r>
          </w:p>
        </w:tc>
      </w:tr>
      <w:tr>
        <w:trPr/>
        <w:tc>
          <w:tcPr>
            <w:tcW w:w="3271" w:type="dxa"/>
            <w:tcBorders/>
            <w:shd w:fill="auto" w:val="clear"/>
            <w:vAlign w:val="center"/>
          </w:tcPr>
          <w:p>
            <w:pPr>
              <w:pStyle w:val="TableContents"/>
              <w:spacing w:before="0" w:after="0"/>
              <w:ind w:left="100" w:right="0" w:hanging="0"/>
              <w:jc w:val="left"/>
              <w:rPr>
                <w:rFonts w:ascii="Times New Roman;serif" w:hAnsi="Times New Roman;serif"/>
                <w:b w:val="false"/>
                <w:sz w:val="20"/>
              </w:rPr>
            </w:pPr>
            <w:r>
              <w:rPr>
                <w:rFonts w:ascii="Times New Roman;serif" w:hAnsi="Times New Roman;serif"/>
                <w:b w:val="false"/>
                <w:sz w:val="20"/>
              </w:rPr>
              <w:t>Current period (reversal) provision, net</w:t>
            </w:r>
          </w:p>
        </w:tc>
        <w:tc>
          <w:tcPr>
            <w:tcW w:w="400" w:type="dxa"/>
            <w:tcBorders/>
            <w:shd w:fill="auto" w:val="clear"/>
            <w:vAlign w:val="center"/>
          </w:tcPr>
          <w:p>
            <w:pPr>
              <w:pStyle w:val="TableContents"/>
              <w:spacing w:before="0" w:after="0"/>
              <w:ind w:left="0" w:right="0" w:hanging="0"/>
              <w:jc w:val="left"/>
              <w:rPr/>
            </w:pPr>
            <w:r>
              <w:rPr/>
              <w:t> </w:t>
            </w:r>
          </w:p>
        </w:tc>
        <w:tc>
          <w:tcPr>
            <w:tcW w:w="800"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w:t>
            </w:r>
          </w:p>
        </w:tc>
        <w:tc>
          <w:tcPr>
            <w:tcW w:w="254"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223" w:type="dxa"/>
            <w:tcBorders/>
            <w:shd w:fill="auto" w:val="clear"/>
            <w:vAlign w:val="center"/>
          </w:tcPr>
          <w:p>
            <w:pPr>
              <w:pStyle w:val="TableContents"/>
              <w:spacing w:before="0" w:after="0"/>
              <w:ind w:left="0" w:right="0" w:hanging="0"/>
              <w:jc w:val="right"/>
              <w:rPr/>
            </w:pPr>
            <w:r>
              <w:rPr/>
              <w:t> </w:t>
            </w:r>
          </w:p>
        </w:tc>
        <w:tc>
          <w:tcPr>
            <w:tcW w:w="323" w:type="dxa"/>
            <w:tcBorders/>
            <w:shd w:fill="auto" w:val="clear"/>
            <w:vAlign w:val="center"/>
          </w:tcPr>
          <w:p>
            <w:pPr>
              <w:pStyle w:val="TableContents"/>
              <w:spacing w:before="0" w:after="0"/>
              <w:ind w:left="0" w:right="0" w:hanging="0"/>
              <w:jc w:val="left"/>
              <w:rPr/>
            </w:pPr>
            <w:r>
              <w:rPr/>
              <w:t> </w:t>
            </w:r>
          </w:p>
        </w:tc>
        <w:tc>
          <w:tcPr>
            <w:tcW w:w="1035"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549</w:t>
            </w:r>
          </w:p>
        </w:tc>
        <w:tc>
          <w:tcPr>
            <w:tcW w:w="291" w:type="dxa"/>
            <w:tcBorders/>
            <w:shd w:fill="auto" w:val="clear"/>
            <w:vAlign w:val="center"/>
          </w:tcPr>
          <w:p>
            <w:pPr>
              <w:pStyle w:val="TableContents"/>
              <w:spacing w:before="0" w:after="0"/>
              <w:ind w:left="0" w:right="0" w:firstLine="100"/>
              <w:jc w:val="left"/>
              <w:rPr/>
            </w:pPr>
            <w:r>
              <w:rPr/>
              <w:t> </w:t>
            </w:r>
          </w:p>
        </w:tc>
      </w:tr>
      <w:tr>
        <w:trPr/>
        <w:tc>
          <w:tcPr>
            <w:tcW w:w="3271" w:type="dxa"/>
            <w:tcBorders/>
            <w:shd w:fill="auto" w:val="clear"/>
            <w:vAlign w:val="center"/>
          </w:tcPr>
          <w:p>
            <w:pPr>
              <w:pStyle w:val="TableContents"/>
              <w:spacing w:before="0" w:after="0"/>
              <w:ind w:left="100" w:right="0" w:hanging="0"/>
              <w:jc w:val="left"/>
              <w:rPr>
                <w:rFonts w:ascii="Times New Roman;serif" w:hAnsi="Times New Roman;serif"/>
                <w:b w:val="false"/>
                <w:sz w:val="20"/>
              </w:rPr>
            </w:pPr>
            <w:r>
              <w:rPr>
                <w:rFonts w:ascii="Times New Roman;serif" w:hAnsi="Times New Roman;serif"/>
                <w:b w:val="false"/>
                <w:sz w:val="20"/>
              </w:rPr>
              <w:t>Write-offs</w:t>
            </w:r>
          </w:p>
        </w:tc>
        <w:tc>
          <w:tcPr>
            <w:tcW w:w="400" w:type="dxa"/>
            <w:tcBorders/>
            <w:shd w:fill="auto" w:val="clear"/>
            <w:vAlign w:val="center"/>
          </w:tcPr>
          <w:p>
            <w:pPr>
              <w:pStyle w:val="TableContents"/>
              <w:spacing w:before="0" w:after="0"/>
              <w:ind w:left="0" w:right="0" w:hanging="0"/>
              <w:jc w:val="left"/>
              <w:rPr/>
            </w:pPr>
            <w:r>
              <w:rPr/>
              <w:t> </w:t>
            </w:r>
          </w:p>
        </w:tc>
        <w:tc>
          <w:tcPr>
            <w:tcW w:w="800" w:type="dxa"/>
            <w:tcBorders/>
            <w:shd w:fill="auto" w:val="clear"/>
            <w:vAlign w:val="center"/>
          </w:tcPr>
          <w:p>
            <w:pPr>
              <w:pStyle w:val="TableContents"/>
              <w:spacing w:before="0" w:after="0"/>
              <w:ind w:left="0" w:right="0" w:hanging="0"/>
              <w:jc w:val="right"/>
              <w:rPr/>
            </w:pPr>
            <w:r>
              <w:rPr/>
              <w:t>—</w:t>
            </w:r>
          </w:p>
        </w:tc>
        <w:tc>
          <w:tcPr>
            <w:tcW w:w="254" w:type="dxa"/>
            <w:tcBorders/>
            <w:shd w:fill="auto" w:val="clear"/>
            <w:vAlign w:val="center"/>
          </w:tcPr>
          <w:p>
            <w:pPr>
              <w:pStyle w:val="TableContents"/>
              <w:spacing w:before="0" w:after="0"/>
              <w:ind w:left="0" w:right="0" w:hanging="0"/>
              <w:jc w:val="left"/>
              <w:rPr/>
            </w:pPr>
            <w:r>
              <w:rPr/>
              <w:t> </w:t>
            </w:r>
          </w:p>
        </w:tc>
        <w:tc>
          <w:tcPr>
            <w:tcW w:w="223" w:type="dxa"/>
            <w:tcBorders/>
            <w:shd w:fill="auto" w:val="clear"/>
            <w:vAlign w:val="center"/>
          </w:tcPr>
          <w:p>
            <w:pPr>
              <w:pStyle w:val="TableContents"/>
              <w:spacing w:before="0" w:after="0"/>
              <w:ind w:left="0" w:right="0" w:hanging="0"/>
              <w:jc w:val="right"/>
              <w:rPr/>
            </w:pPr>
            <w:r>
              <w:rPr/>
              <w:t> </w:t>
            </w:r>
          </w:p>
        </w:tc>
        <w:tc>
          <w:tcPr>
            <w:tcW w:w="323" w:type="dxa"/>
            <w:tcBorders/>
            <w:shd w:fill="auto" w:val="clear"/>
            <w:vAlign w:val="center"/>
          </w:tcPr>
          <w:p>
            <w:pPr>
              <w:pStyle w:val="TableContents"/>
              <w:spacing w:before="0" w:after="0"/>
              <w:ind w:left="0" w:right="0" w:hanging="0"/>
              <w:jc w:val="left"/>
              <w:rPr/>
            </w:pPr>
            <w:r>
              <w:rPr/>
              <w:t> </w:t>
            </w:r>
          </w:p>
        </w:tc>
        <w:tc>
          <w:tcPr>
            <w:tcW w:w="1035" w:type="dxa"/>
            <w:tcBorders/>
            <w:shd w:fill="auto" w:val="clear"/>
            <w:vAlign w:val="center"/>
          </w:tcPr>
          <w:p>
            <w:pPr>
              <w:pStyle w:val="TableContents"/>
              <w:spacing w:before="0" w:after="0"/>
              <w:ind w:left="0" w:right="0" w:hanging="0"/>
              <w:jc w:val="right"/>
              <w:rPr/>
            </w:pPr>
            <w:r>
              <w:rPr/>
              <w:t>—</w:t>
            </w:r>
          </w:p>
        </w:tc>
        <w:tc>
          <w:tcPr>
            <w:tcW w:w="291" w:type="dxa"/>
            <w:tcBorders/>
            <w:shd w:fill="auto" w:val="clear"/>
            <w:vAlign w:val="center"/>
          </w:tcPr>
          <w:p>
            <w:pPr>
              <w:pStyle w:val="TableContents"/>
              <w:spacing w:before="0" w:after="0"/>
              <w:ind w:left="0" w:right="0" w:firstLine="100"/>
              <w:jc w:val="left"/>
              <w:rPr/>
            </w:pPr>
            <w:r>
              <w:rPr/>
              <w:t> </w:t>
            </w:r>
          </w:p>
        </w:tc>
      </w:tr>
      <w:tr>
        <w:trPr/>
        <w:tc>
          <w:tcPr>
            <w:tcW w:w="3271" w:type="dxa"/>
            <w:tcBorders/>
            <w:shd w:fill="auto" w:val="clear"/>
            <w:vAlign w:val="center"/>
          </w:tcPr>
          <w:p>
            <w:pPr>
              <w:pStyle w:val="TableContents"/>
              <w:spacing w:before="0" w:after="0"/>
              <w:ind w:left="100" w:right="0" w:hanging="0"/>
              <w:jc w:val="left"/>
              <w:rPr>
                <w:rFonts w:ascii="Times New Roman;serif" w:hAnsi="Times New Roman;serif"/>
                <w:b w:val="false"/>
                <w:sz w:val="20"/>
              </w:rPr>
            </w:pPr>
            <w:r>
              <w:rPr>
                <w:rFonts w:ascii="Times New Roman;serif" w:hAnsi="Times New Roman;serif"/>
                <w:b w:val="false"/>
                <w:sz w:val="20"/>
              </w:rPr>
              <w:t>Foreign exchange</w:t>
            </w:r>
          </w:p>
        </w:tc>
        <w:tc>
          <w:tcPr>
            <w:tcW w:w="400"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800"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4</w:t>
            </w:r>
          </w:p>
        </w:tc>
        <w:tc>
          <w:tcPr>
            <w:tcW w:w="254"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223" w:type="dxa"/>
            <w:tcBorders/>
            <w:shd w:fill="auto" w:val="clear"/>
            <w:vAlign w:val="center"/>
          </w:tcPr>
          <w:p>
            <w:pPr>
              <w:pStyle w:val="TableContents"/>
              <w:spacing w:before="0" w:after="0"/>
              <w:ind w:left="0" w:right="0" w:hanging="0"/>
              <w:jc w:val="right"/>
              <w:rPr/>
            </w:pPr>
            <w:r>
              <w:rPr/>
              <w:t> </w:t>
            </w:r>
          </w:p>
        </w:tc>
        <w:tc>
          <w:tcPr>
            <w:tcW w:w="323"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035"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39</w:t>
            </w:r>
          </w:p>
        </w:tc>
        <w:tc>
          <w:tcPr>
            <w:tcW w:w="2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r>
        <w:trPr/>
        <w:tc>
          <w:tcPr>
            <w:tcW w:w="327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Ending balance</w:t>
            </w:r>
          </w:p>
        </w:tc>
        <w:tc>
          <w:tcPr>
            <w:tcW w:w="400"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800"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778</w:t>
            </w:r>
          </w:p>
        </w:tc>
        <w:tc>
          <w:tcPr>
            <w:tcW w:w="254"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223" w:type="dxa"/>
            <w:tcBorders/>
            <w:shd w:fill="auto" w:val="clear"/>
            <w:vAlign w:val="center"/>
          </w:tcPr>
          <w:p>
            <w:pPr>
              <w:pStyle w:val="TableContents"/>
              <w:spacing w:before="0" w:after="0"/>
              <w:ind w:left="0" w:right="0" w:hanging="0"/>
              <w:jc w:val="right"/>
              <w:rPr/>
            </w:pPr>
            <w:r>
              <w:rPr/>
              <w:t> </w:t>
            </w:r>
          </w:p>
        </w:tc>
        <w:tc>
          <w:tcPr>
            <w:tcW w:w="323"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035"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11,533</w:t>
            </w:r>
          </w:p>
        </w:tc>
        <w:tc>
          <w:tcPr>
            <w:tcW w:w="29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r>
        <w:trPr/>
        <w:tc>
          <w:tcPr>
            <w:tcW w:w="3271" w:type="dxa"/>
            <w:tcBorders/>
            <w:shd w:fill="auto" w:val="clear"/>
            <w:vAlign w:val="center"/>
          </w:tcPr>
          <w:p>
            <w:pPr>
              <w:pStyle w:val="TableContents"/>
              <w:spacing w:before="0" w:after="0"/>
              <w:ind w:left="0" w:right="0" w:hanging="0"/>
              <w:jc w:val="left"/>
              <w:rPr/>
            </w:pPr>
            <w:r>
              <w:rPr/>
              <w:t> </w:t>
            </w:r>
          </w:p>
        </w:tc>
        <w:tc>
          <w:tcPr>
            <w:tcW w:w="1200" w:type="dxa"/>
            <w:gridSpan w:val="2"/>
            <w:tcBorders/>
            <w:shd w:fill="auto" w:val="clear"/>
            <w:vAlign w:val="center"/>
          </w:tcPr>
          <w:p>
            <w:pPr>
              <w:pStyle w:val="TableContents"/>
              <w:spacing w:before="0" w:after="0"/>
              <w:ind w:left="0" w:right="0" w:hanging="0"/>
              <w:jc w:val="left"/>
              <w:rPr/>
            </w:pPr>
            <w:r>
              <w:rPr/>
              <w:t> </w:t>
            </w:r>
          </w:p>
        </w:tc>
        <w:tc>
          <w:tcPr>
            <w:tcW w:w="254" w:type="dxa"/>
            <w:tcBorders/>
            <w:shd w:fill="auto" w:val="clear"/>
            <w:vAlign w:val="center"/>
          </w:tcPr>
          <w:p>
            <w:pPr>
              <w:pStyle w:val="TableContents"/>
              <w:spacing w:before="0" w:after="0"/>
              <w:ind w:left="0" w:right="0" w:hanging="0"/>
              <w:jc w:val="left"/>
              <w:rPr/>
            </w:pPr>
            <w:r>
              <w:rPr/>
              <w:t> </w:t>
            </w:r>
          </w:p>
        </w:tc>
        <w:tc>
          <w:tcPr>
            <w:tcW w:w="223" w:type="dxa"/>
            <w:tcBorders/>
            <w:shd w:fill="auto" w:val="clear"/>
            <w:vAlign w:val="center"/>
          </w:tcPr>
          <w:p>
            <w:pPr>
              <w:pStyle w:val="TableContents"/>
              <w:spacing w:before="0" w:after="0"/>
              <w:ind w:left="0" w:right="0" w:hanging="0"/>
              <w:jc w:val="left"/>
              <w:rPr/>
            </w:pPr>
            <w:r>
              <w:rPr/>
              <w:t> </w:t>
            </w:r>
          </w:p>
        </w:tc>
        <w:tc>
          <w:tcPr>
            <w:tcW w:w="1358" w:type="dxa"/>
            <w:gridSpan w:val="2"/>
            <w:tcBorders/>
            <w:shd w:fill="auto" w:val="clear"/>
            <w:vAlign w:val="center"/>
          </w:tcPr>
          <w:p>
            <w:pPr>
              <w:pStyle w:val="TableContents"/>
              <w:spacing w:before="0" w:after="0"/>
              <w:ind w:left="0" w:right="0" w:hanging="0"/>
              <w:jc w:val="left"/>
              <w:rPr/>
            </w:pPr>
            <w:r>
              <w:rPr/>
              <w:t> </w:t>
            </w:r>
          </w:p>
        </w:tc>
        <w:tc>
          <w:tcPr>
            <w:tcW w:w="291" w:type="dxa"/>
            <w:tcBorders/>
            <w:shd w:fill="auto" w:val="clear"/>
            <w:vAlign w:val="center"/>
          </w:tcPr>
          <w:p>
            <w:pPr>
              <w:pStyle w:val="TableContents"/>
              <w:spacing w:before="0" w:after="0"/>
              <w:ind w:left="0" w:right="0" w:hanging="0"/>
              <w:jc w:val="left"/>
              <w:rPr/>
            </w:pPr>
            <w:r>
              <w:rPr/>
              <w:t> </w:t>
            </w:r>
          </w:p>
        </w:tc>
      </w:tr>
      <w:tr>
        <w:trPr/>
        <w:tc>
          <w:tcPr>
            <w:tcW w:w="3271" w:type="dxa"/>
            <w:tcBorders/>
            <w:shd w:fill="auto" w:val="clear"/>
            <w:vAlign w:val="center"/>
          </w:tcPr>
          <w:p>
            <w:pPr>
              <w:pStyle w:val="TableContents"/>
              <w:spacing w:before="0" w:after="0"/>
              <w:ind w:left="0" w:right="0" w:hanging="0"/>
              <w:jc w:val="left"/>
              <w:rPr/>
            </w:pPr>
            <w:r>
              <w:rPr/>
              <w:t> </w:t>
            </w:r>
          </w:p>
        </w:tc>
        <w:tc>
          <w:tcPr>
            <w:tcW w:w="3035" w:type="dxa"/>
            <w:gridSpan w:val="6"/>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Three Months Ended March 31, 2022</w:t>
            </w:r>
          </w:p>
        </w:tc>
        <w:tc>
          <w:tcPr>
            <w:tcW w:w="2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3271" w:type="dxa"/>
            <w:tcBorders/>
            <w:shd w:fill="auto" w:val="clear"/>
            <w:vAlign w:val="center"/>
          </w:tcPr>
          <w:p>
            <w:pPr>
              <w:pStyle w:val="TableContents"/>
              <w:spacing w:before="0" w:after="0"/>
              <w:ind w:left="0" w:right="0" w:hanging="0"/>
              <w:jc w:val="left"/>
              <w:rPr/>
            </w:pPr>
            <w:r>
              <w:rPr/>
              <w:t> </w:t>
            </w:r>
          </w:p>
        </w:tc>
        <w:tc>
          <w:tcPr>
            <w:tcW w:w="1200" w:type="dxa"/>
            <w:gridSpan w:val="2"/>
            <w:tcBorders/>
            <w:shd w:fill="auto" w:val="cle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Net Investment</w:t>
            </w:r>
          </w:p>
        </w:tc>
        <w:tc>
          <w:tcPr>
            <w:tcW w:w="254" w:type="dxa"/>
            <w:tcBorders/>
            <w:shd w:fill="auto" w:val="clear"/>
            <w:vAlign w:val="center"/>
          </w:tcPr>
          <w:p>
            <w:pPr>
              <w:pStyle w:val="TableContents"/>
              <w:spacing w:before="0" w:after="0"/>
              <w:ind w:left="0" w:right="0" w:hanging="0"/>
              <w:jc w:val="center"/>
              <w:rPr/>
            </w:pPr>
            <w:r>
              <w:rPr/>
              <w:t> </w:t>
            </w:r>
          </w:p>
        </w:tc>
        <w:tc>
          <w:tcPr>
            <w:tcW w:w="223" w:type="dxa"/>
            <w:tcBorders/>
            <w:shd w:fill="auto" w:val="clear"/>
            <w:vAlign w:val="center"/>
          </w:tcPr>
          <w:p>
            <w:pPr>
              <w:pStyle w:val="TableContents"/>
              <w:spacing w:before="0" w:after="0"/>
              <w:ind w:left="0" w:right="0" w:hanging="0"/>
              <w:jc w:val="center"/>
              <w:rPr/>
            </w:pPr>
            <w:r>
              <w:rPr/>
              <w:t> </w:t>
            </w:r>
          </w:p>
        </w:tc>
        <w:tc>
          <w:tcPr>
            <w:tcW w:w="1358" w:type="dxa"/>
            <w:gridSpan w:val="2"/>
            <w:tcBorders/>
            <w:shd w:fill="auto" w:val="cle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Net Financed</w:t>
            </w:r>
          </w:p>
        </w:tc>
        <w:tc>
          <w:tcPr>
            <w:tcW w:w="291" w:type="dxa"/>
            <w:tcBorders/>
            <w:shd w:fill="auto" w:val="clear"/>
            <w:vAlign w:val="center"/>
          </w:tcPr>
          <w:p>
            <w:pPr>
              <w:pStyle w:val="TableContents"/>
              <w:spacing w:before="0" w:after="0"/>
              <w:ind w:left="0" w:right="0" w:hanging="0"/>
              <w:jc w:val="center"/>
              <w:rPr/>
            </w:pPr>
            <w:r>
              <w:rPr/>
              <w:t> </w:t>
            </w:r>
          </w:p>
        </w:tc>
      </w:tr>
      <w:tr>
        <w:trPr/>
        <w:tc>
          <w:tcPr>
            <w:tcW w:w="3271" w:type="dxa"/>
            <w:tcBorders/>
            <w:shd w:fill="auto" w:val="clear"/>
            <w:vAlign w:val="center"/>
          </w:tcPr>
          <w:p>
            <w:pPr>
              <w:pStyle w:val="TableContents"/>
              <w:spacing w:before="0" w:after="0"/>
              <w:ind w:left="0" w:right="0" w:hanging="0"/>
              <w:jc w:val="left"/>
              <w:rPr>
                <w:rFonts w:ascii="Times New Roman;serif" w:hAnsi="Times New Roman;serif"/>
                <w:b w:val="false"/>
                <w:i/>
                <w:sz w:val="16"/>
              </w:rPr>
            </w:pPr>
            <w:r>
              <w:rPr>
                <w:rFonts w:ascii="Times New Roman;serif" w:hAnsi="Times New Roman;serif"/>
                <w:b w:val="false"/>
                <w:i/>
                <w:sz w:val="16"/>
              </w:rPr>
              <w:t>(In thousands of U.S. Dollars)</w:t>
            </w:r>
          </w:p>
        </w:tc>
        <w:tc>
          <w:tcPr>
            <w:tcW w:w="1200"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in Leases</w:t>
            </w:r>
          </w:p>
        </w:tc>
        <w:tc>
          <w:tcPr>
            <w:tcW w:w="254"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223" w:type="dxa"/>
            <w:tcBorders/>
            <w:shd w:fill="auto" w:val="clear"/>
            <w:vAlign w:val="center"/>
          </w:tcPr>
          <w:p>
            <w:pPr>
              <w:pStyle w:val="TableContents"/>
              <w:spacing w:before="0" w:after="0"/>
              <w:ind w:left="0" w:right="0" w:hanging="0"/>
              <w:jc w:val="center"/>
              <w:rPr/>
            </w:pPr>
            <w:r>
              <w:rPr/>
              <w:t> </w:t>
            </w:r>
          </w:p>
        </w:tc>
        <w:tc>
          <w:tcPr>
            <w:tcW w:w="1358"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Sales Receivables</w:t>
            </w:r>
          </w:p>
        </w:tc>
        <w:tc>
          <w:tcPr>
            <w:tcW w:w="2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327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Beginning balance</w:t>
            </w:r>
          </w:p>
        </w:tc>
        <w:tc>
          <w:tcPr>
            <w:tcW w:w="400"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800"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798</w:t>
            </w:r>
          </w:p>
        </w:tc>
        <w:tc>
          <w:tcPr>
            <w:tcW w:w="254" w:type="dxa"/>
            <w:tcBorders/>
            <w:shd w:fill="auto" w:val="clear"/>
            <w:vAlign w:val="center"/>
          </w:tcPr>
          <w:p>
            <w:pPr>
              <w:pStyle w:val="TableContents"/>
              <w:spacing w:before="0" w:after="0"/>
              <w:ind w:left="0" w:right="0" w:hanging="0"/>
              <w:jc w:val="left"/>
              <w:rPr/>
            </w:pPr>
            <w:r>
              <w:rPr/>
              <w:t> </w:t>
            </w:r>
          </w:p>
        </w:tc>
        <w:tc>
          <w:tcPr>
            <w:tcW w:w="223" w:type="dxa"/>
            <w:tcBorders/>
            <w:shd w:fill="auto" w:val="clear"/>
            <w:vAlign w:val="center"/>
          </w:tcPr>
          <w:p>
            <w:pPr>
              <w:pStyle w:val="TableContents"/>
              <w:spacing w:before="0" w:after="0"/>
              <w:ind w:left="0" w:right="0" w:hanging="0"/>
              <w:jc w:val="right"/>
              <w:rPr/>
            </w:pPr>
            <w:r>
              <w:rPr/>
              <w:t> </w:t>
            </w:r>
          </w:p>
        </w:tc>
        <w:tc>
          <w:tcPr>
            <w:tcW w:w="323"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035"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5,414</w:t>
            </w:r>
          </w:p>
        </w:tc>
        <w:tc>
          <w:tcPr>
            <w:tcW w:w="291" w:type="dxa"/>
            <w:tcBorders/>
            <w:shd w:fill="auto" w:val="clear"/>
            <w:vAlign w:val="center"/>
          </w:tcPr>
          <w:p>
            <w:pPr>
              <w:pStyle w:val="TableContents"/>
              <w:spacing w:before="0" w:after="0"/>
              <w:ind w:left="0" w:right="0" w:firstLine="100"/>
              <w:jc w:val="left"/>
              <w:rPr/>
            </w:pPr>
            <w:r>
              <w:rPr/>
              <w:t> </w:t>
            </w:r>
          </w:p>
        </w:tc>
      </w:tr>
      <w:tr>
        <w:trPr/>
        <w:tc>
          <w:tcPr>
            <w:tcW w:w="3271" w:type="dxa"/>
            <w:tcBorders/>
            <w:shd w:fill="auto" w:val="clear"/>
            <w:vAlign w:val="center"/>
          </w:tcPr>
          <w:p>
            <w:pPr>
              <w:pStyle w:val="TableContents"/>
              <w:spacing w:before="0" w:after="0"/>
              <w:ind w:left="100" w:right="0" w:hanging="0"/>
              <w:jc w:val="left"/>
              <w:rPr>
                <w:rFonts w:ascii="Times New Roman;serif" w:hAnsi="Times New Roman;serif"/>
                <w:b w:val="false"/>
                <w:sz w:val="20"/>
              </w:rPr>
            </w:pPr>
            <w:r>
              <w:rPr>
                <w:rFonts w:ascii="Times New Roman;serif" w:hAnsi="Times New Roman;serif"/>
                <w:b w:val="false"/>
                <w:sz w:val="20"/>
              </w:rPr>
              <w:t>Current period (reversal) provision, net</w:t>
            </w:r>
          </w:p>
        </w:tc>
        <w:tc>
          <w:tcPr>
            <w:tcW w:w="400" w:type="dxa"/>
            <w:tcBorders/>
            <w:shd w:fill="auto" w:val="clear"/>
            <w:vAlign w:val="center"/>
          </w:tcPr>
          <w:p>
            <w:pPr>
              <w:pStyle w:val="TableContents"/>
              <w:spacing w:before="0" w:after="0"/>
              <w:ind w:left="0" w:right="0" w:hanging="0"/>
              <w:jc w:val="left"/>
              <w:rPr/>
            </w:pPr>
            <w:r>
              <w:rPr/>
              <w:t> </w:t>
            </w:r>
          </w:p>
        </w:tc>
        <w:tc>
          <w:tcPr>
            <w:tcW w:w="800"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(93</w:t>
            </w:r>
          </w:p>
        </w:tc>
        <w:tc>
          <w:tcPr>
            <w:tcW w:w="254"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223" w:type="dxa"/>
            <w:tcBorders/>
            <w:shd w:fill="auto" w:val="clear"/>
            <w:vAlign w:val="center"/>
          </w:tcPr>
          <w:p>
            <w:pPr>
              <w:pStyle w:val="TableContents"/>
              <w:spacing w:before="0" w:after="0"/>
              <w:ind w:left="0" w:right="0" w:hanging="0"/>
              <w:jc w:val="right"/>
              <w:rPr/>
            </w:pPr>
            <w:r>
              <w:rPr/>
              <w:t> </w:t>
            </w:r>
          </w:p>
        </w:tc>
        <w:tc>
          <w:tcPr>
            <w:tcW w:w="323" w:type="dxa"/>
            <w:tcBorders/>
            <w:shd w:fill="auto" w:val="clear"/>
            <w:vAlign w:val="center"/>
          </w:tcPr>
          <w:p>
            <w:pPr>
              <w:pStyle w:val="TableContents"/>
              <w:spacing w:before="0" w:after="0"/>
              <w:ind w:left="0" w:right="0" w:hanging="0"/>
              <w:jc w:val="left"/>
              <w:rPr/>
            </w:pPr>
            <w:r>
              <w:rPr/>
              <w:t> </w:t>
            </w:r>
          </w:p>
        </w:tc>
        <w:tc>
          <w:tcPr>
            <w:tcW w:w="1035"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5,708</w:t>
            </w:r>
          </w:p>
        </w:tc>
        <w:tc>
          <w:tcPr>
            <w:tcW w:w="291" w:type="dxa"/>
            <w:tcBorders/>
            <w:shd w:fill="auto" w:val="clear"/>
            <w:vAlign w:val="center"/>
          </w:tcPr>
          <w:p>
            <w:pPr>
              <w:pStyle w:val="TableContents"/>
              <w:spacing w:before="0" w:after="0"/>
              <w:ind w:left="0" w:right="0" w:firstLine="100"/>
              <w:jc w:val="left"/>
              <w:rPr/>
            </w:pPr>
            <w:r>
              <w:rPr/>
              <w:t> </w:t>
            </w:r>
          </w:p>
        </w:tc>
      </w:tr>
      <w:tr>
        <w:trPr/>
        <w:tc>
          <w:tcPr>
            <w:tcW w:w="3271" w:type="dxa"/>
            <w:tcBorders/>
            <w:shd w:fill="auto" w:val="clear"/>
            <w:vAlign w:val="center"/>
          </w:tcPr>
          <w:p>
            <w:pPr>
              <w:pStyle w:val="TableContents"/>
              <w:spacing w:before="0" w:after="0"/>
              <w:ind w:left="100" w:right="0" w:hanging="0"/>
              <w:jc w:val="left"/>
              <w:rPr>
                <w:rFonts w:ascii="Times New Roman;serif" w:hAnsi="Times New Roman;serif"/>
                <w:b w:val="false"/>
                <w:sz w:val="20"/>
              </w:rPr>
            </w:pPr>
            <w:r>
              <w:rPr>
                <w:rFonts w:ascii="Times New Roman;serif" w:hAnsi="Times New Roman;serif"/>
                <w:b w:val="false"/>
                <w:sz w:val="20"/>
              </w:rPr>
              <w:t>Write-offs</w:t>
            </w:r>
          </w:p>
        </w:tc>
        <w:tc>
          <w:tcPr>
            <w:tcW w:w="400" w:type="dxa"/>
            <w:tcBorders/>
            <w:shd w:fill="auto" w:val="clear"/>
            <w:vAlign w:val="center"/>
          </w:tcPr>
          <w:p>
            <w:pPr>
              <w:pStyle w:val="TableContents"/>
              <w:spacing w:before="0" w:after="0"/>
              <w:ind w:left="0" w:right="0" w:hanging="0"/>
              <w:jc w:val="left"/>
              <w:rPr/>
            </w:pPr>
            <w:r>
              <w:rPr/>
              <w:t> </w:t>
            </w:r>
          </w:p>
        </w:tc>
        <w:tc>
          <w:tcPr>
            <w:tcW w:w="800" w:type="dxa"/>
            <w:tcBorders/>
            <w:shd w:fill="auto" w:val="clear"/>
            <w:vAlign w:val="center"/>
          </w:tcPr>
          <w:p>
            <w:pPr>
              <w:pStyle w:val="TableContents"/>
              <w:spacing w:before="0" w:after="0"/>
              <w:ind w:left="0" w:right="0" w:hanging="0"/>
              <w:jc w:val="right"/>
              <w:rPr/>
            </w:pPr>
            <w:r>
              <w:rPr/>
              <w:t>—</w:t>
            </w:r>
          </w:p>
        </w:tc>
        <w:tc>
          <w:tcPr>
            <w:tcW w:w="254" w:type="dxa"/>
            <w:tcBorders/>
            <w:shd w:fill="auto" w:val="clear"/>
            <w:vAlign w:val="center"/>
          </w:tcPr>
          <w:p>
            <w:pPr>
              <w:pStyle w:val="TableContents"/>
              <w:spacing w:before="0" w:after="0"/>
              <w:ind w:left="0" w:right="0" w:hanging="0"/>
              <w:jc w:val="left"/>
              <w:rPr/>
            </w:pPr>
            <w:r>
              <w:rPr/>
              <w:t> </w:t>
            </w:r>
          </w:p>
        </w:tc>
        <w:tc>
          <w:tcPr>
            <w:tcW w:w="223" w:type="dxa"/>
            <w:tcBorders/>
            <w:shd w:fill="auto" w:val="clear"/>
            <w:vAlign w:val="center"/>
          </w:tcPr>
          <w:p>
            <w:pPr>
              <w:pStyle w:val="TableContents"/>
              <w:spacing w:before="0" w:after="0"/>
              <w:ind w:left="0" w:right="0" w:hanging="0"/>
              <w:jc w:val="right"/>
              <w:rPr/>
            </w:pPr>
            <w:r>
              <w:rPr/>
              <w:t> </w:t>
            </w:r>
          </w:p>
        </w:tc>
        <w:tc>
          <w:tcPr>
            <w:tcW w:w="323" w:type="dxa"/>
            <w:tcBorders/>
            <w:shd w:fill="auto" w:val="clear"/>
            <w:vAlign w:val="center"/>
          </w:tcPr>
          <w:p>
            <w:pPr>
              <w:pStyle w:val="TableContents"/>
              <w:spacing w:before="0" w:after="0"/>
              <w:ind w:left="0" w:right="0" w:hanging="0"/>
              <w:jc w:val="left"/>
              <w:rPr/>
            </w:pPr>
            <w:r>
              <w:rPr/>
              <w:t> </w:t>
            </w:r>
          </w:p>
        </w:tc>
        <w:tc>
          <w:tcPr>
            <w:tcW w:w="1035" w:type="dxa"/>
            <w:tcBorders/>
            <w:shd w:fill="auto" w:val="clear"/>
            <w:vAlign w:val="center"/>
          </w:tcPr>
          <w:p>
            <w:pPr>
              <w:pStyle w:val="TableContents"/>
              <w:spacing w:before="0" w:after="0"/>
              <w:ind w:left="0" w:right="0" w:hanging="0"/>
              <w:jc w:val="right"/>
              <w:rPr/>
            </w:pPr>
            <w:r>
              <w:rPr/>
              <w:t>—</w:t>
            </w:r>
          </w:p>
        </w:tc>
        <w:tc>
          <w:tcPr>
            <w:tcW w:w="291" w:type="dxa"/>
            <w:tcBorders/>
            <w:shd w:fill="auto" w:val="clear"/>
            <w:vAlign w:val="center"/>
          </w:tcPr>
          <w:p>
            <w:pPr>
              <w:pStyle w:val="TableContents"/>
              <w:spacing w:before="0" w:after="0"/>
              <w:ind w:left="0" w:right="0" w:firstLine="100"/>
              <w:jc w:val="left"/>
              <w:rPr/>
            </w:pPr>
            <w:r>
              <w:rPr/>
              <w:t> </w:t>
            </w:r>
          </w:p>
        </w:tc>
      </w:tr>
      <w:tr>
        <w:trPr/>
        <w:tc>
          <w:tcPr>
            <w:tcW w:w="3271" w:type="dxa"/>
            <w:tcBorders/>
            <w:shd w:fill="auto" w:val="clear"/>
            <w:vAlign w:val="center"/>
          </w:tcPr>
          <w:p>
            <w:pPr>
              <w:pStyle w:val="TableContents"/>
              <w:spacing w:before="0" w:after="0"/>
              <w:ind w:left="100" w:right="0" w:hanging="0"/>
              <w:jc w:val="left"/>
              <w:rPr>
                <w:rFonts w:ascii="Times New Roman;serif" w:hAnsi="Times New Roman;serif"/>
                <w:b w:val="false"/>
                <w:sz w:val="20"/>
              </w:rPr>
            </w:pPr>
            <w:r>
              <w:rPr>
                <w:rFonts w:ascii="Times New Roman;serif" w:hAnsi="Times New Roman;serif"/>
                <w:b w:val="false"/>
                <w:sz w:val="20"/>
              </w:rPr>
              <w:t>Foreign exchange</w:t>
            </w:r>
          </w:p>
        </w:tc>
        <w:tc>
          <w:tcPr>
            <w:tcW w:w="400"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800"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w:t>
            </w:r>
          </w:p>
        </w:tc>
        <w:tc>
          <w:tcPr>
            <w:tcW w:w="254"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223" w:type="dxa"/>
            <w:tcBorders/>
            <w:shd w:fill="auto" w:val="clear"/>
            <w:vAlign w:val="center"/>
          </w:tcPr>
          <w:p>
            <w:pPr>
              <w:pStyle w:val="TableContents"/>
              <w:spacing w:before="0" w:after="0"/>
              <w:ind w:left="0" w:right="0" w:hanging="0"/>
              <w:jc w:val="right"/>
              <w:rPr/>
            </w:pPr>
            <w:r>
              <w:rPr/>
              <w:t> </w:t>
            </w:r>
          </w:p>
        </w:tc>
        <w:tc>
          <w:tcPr>
            <w:tcW w:w="323"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035"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13</w:t>
            </w:r>
          </w:p>
        </w:tc>
        <w:tc>
          <w:tcPr>
            <w:tcW w:w="2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r>
        <w:trPr/>
        <w:tc>
          <w:tcPr>
            <w:tcW w:w="327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Ending balance</w:t>
            </w:r>
          </w:p>
        </w:tc>
        <w:tc>
          <w:tcPr>
            <w:tcW w:w="400"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800"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706</w:t>
            </w:r>
          </w:p>
        </w:tc>
        <w:tc>
          <w:tcPr>
            <w:tcW w:w="254"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223" w:type="dxa"/>
            <w:tcBorders/>
            <w:shd w:fill="auto" w:val="clear"/>
            <w:vAlign w:val="center"/>
          </w:tcPr>
          <w:p>
            <w:pPr>
              <w:pStyle w:val="TableContents"/>
              <w:spacing w:before="0" w:after="0"/>
              <w:ind w:left="0" w:right="0" w:hanging="0"/>
              <w:jc w:val="right"/>
              <w:rPr/>
            </w:pPr>
            <w:r>
              <w:rPr/>
              <w:t> </w:t>
            </w:r>
          </w:p>
        </w:tc>
        <w:tc>
          <w:tcPr>
            <w:tcW w:w="323"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035"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11,135</w:t>
            </w:r>
          </w:p>
        </w:tc>
        <w:tc>
          <w:tcPr>
            <w:tcW w:w="29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bl>
    <w:p>
      <w:pPr>
        <w:pStyle w:val="TextBody"/>
        <w:spacing w:before="200" w:after="0"/>
        <w:jc w:val="both"/>
        <w:rPr>
          <w:rFonts w:ascii="Times New Roman" w:hAnsi="Times New Roman"/>
          <w:sz w:val="20"/>
        </w:rPr>
      </w:pPr>
      <w:r>
        <w:rPr>
          <w:rFonts w:ascii="Times New Roman;serif" w:hAnsi="Times New Roman;serif"/>
          <w:b w:val="false"/>
          <w:sz w:val="20"/>
        </w:rPr>
        <w:t>For the three months ended March 31, 2022, the Company’s allowance for current expected credit losses related to its net investment in leases and financed sale receivables increased by $5.6</w:t>
      </w:r>
      <w:r>
        <w:rPr>
          <w:rFonts w:ascii="Times New Roman" w:hAnsi="Times New Roman"/>
          <w:sz w:val="20"/>
        </w:rPr>
        <w:t xml:space="preserve"> </w:t>
      </w:r>
      <w:r>
        <w:rPr>
          <w:rFonts w:ascii="Times New Roman;serif" w:hAnsi="Times New Roman;serif"/>
          <w:b w:val="false"/>
          <w:sz w:val="20"/>
        </w:rPr>
        <w:t>million, principally due to reserves established against its receivables in Russia due to uncertainties associated with the ongoing Russia-Ukraine conflict and resulting sanctions, partially offset by the reversal of provisions associated with the COVID-19 pandemic as the outlook for the theatrical exhibition industry in Domestic and Rest of World markets improved.</w:t>
      </w:r>
      <w:r>
        <w:rPr>
          <w:rFonts w:ascii="Times New Roman" w:hAnsi="Times New Roman"/>
          <w:sz w:val="20"/>
        </w:rPr>
        <w:t xml:space="preserve"> </w:t>
      </w:r>
    </w:p>
    <w:p>
      <w:pPr>
        <w:pStyle w:val="TextBody"/>
        <w:spacing w:before="200" w:after="0"/>
        <w:jc w:val="both"/>
        <w:rPr>
          <w:rFonts w:ascii="Times New Roman;serif" w:hAnsi="Times New Roman;serif"/>
          <w:b w:val="false"/>
          <w:i/>
          <w:sz w:val="20"/>
        </w:rPr>
      </w:pPr>
      <w:r>
        <w:rPr>
          <w:rFonts w:ascii="Times New Roman;serif" w:hAnsi="Times New Roman;serif"/>
          <w:b w:val="false"/>
          <w:i/>
          <w:sz w:val="20"/>
        </w:rPr>
        <w:t>Variable Consideration Receivables</w:t>
      </w:r>
    </w:p>
    <w:p>
      <w:pPr>
        <w:pStyle w:val="TextBody"/>
        <w:spacing w:before="200" w:after="0"/>
        <w:jc w:val="both"/>
        <w:rPr>
          <w:rFonts w:ascii="Times New Roman;serif" w:hAnsi="Times New Roman;serif"/>
          <w:b w:val="false"/>
          <w:sz w:val="20"/>
        </w:rPr>
      </w:pPr>
      <w:r>
        <w:rPr>
          <w:rFonts w:ascii="Times New Roman;serif" w:hAnsi="Times New Roman;serif"/>
          <w:b w:val="false"/>
          <w:sz w:val="20"/>
        </w:rPr>
        <w:t>In sale arrangements, variable consideration may become due to the Company from theater operators if certain annual minimum box office receipt thresholds are exceeded. Such variable consideration is recorded as revenue in the period when the sale is recognized and adjusted in future periods based on actual results and changes in estimates. Variable consideration is only recognized to the extent the Company believes there is not a risk of significant revenue reversal.</w:t>
      </w:r>
    </w:p>
    <w:p>
      <w:pPr>
        <w:pStyle w:val="TextBody"/>
        <w:spacing w:before="200" w:after="200"/>
        <w:jc w:val="both"/>
        <w:rPr>
          <w:rFonts w:ascii="Times New Roman;serif" w:hAnsi="Times New Roman;serif"/>
          <w:b w:val="false"/>
          <w:sz w:val="20"/>
        </w:rPr>
      </w:pPr>
      <w:r>
        <w:rPr>
          <w:rFonts w:ascii="Times New Roman;serif" w:hAnsi="Times New Roman;serif"/>
          <w:b w:val="false"/>
          <w:sz w:val="20"/>
        </w:rPr>
        <w:t>The following table summarizes the activity in the Allowance for Credit Losses related to Variable Consideration Receivables for the three months ended March 31, 2023 and 2022:</w:t>
      </w:r>
    </w:p>
    <w:tbl>
      <w:tblPr>
        <w:tblW w:w="5035" w:type="dxa"/>
        <w:jc w:val="left"/>
        <w:tblInd w:w="0" w:type="dxa"/>
        <w:tblCellMar>
          <w:top w:w="28" w:type="dxa"/>
          <w:left w:w="28" w:type="dxa"/>
          <w:bottom w:w="28" w:type="dxa"/>
          <w:right w:w="28" w:type="dxa"/>
        </w:tblCellMar>
      </w:tblPr>
      <w:tblGrid>
        <w:gridCol w:w="2326"/>
        <w:gridCol w:w="293"/>
        <w:gridCol w:w="585"/>
        <w:gridCol w:w="230"/>
        <w:gridCol w:w="203"/>
        <w:gridCol w:w="293"/>
        <w:gridCol w:w="794"/>
        <w:gridCol w:w="311"/>
      </w:tblGrid>
      <w:tr>
        <w:trPr/>
        <w:tc>
          <w:tcPr>
            <w:tcW w:w="2326" w:type="dxa"/>
            <w:tcBorders/>
            <w:shd w:fill="auto" w:val="clear"/>
            <w:vAlign w:val="center"/>
          </w:tcPr>
          <w:p>
            <w:pPr>
              <w:pStyle w:val="TableContents"/>
              <w:spacing w:before="0" w:after="283"/>
              <w:rPr>
                <w:sz w:val="4"/>
                <w:szCs w:val="4"/>
              </w:rPr>
            </w:pPr>
            <w:r>
              <w:rPr>
                <w:sz w:val="4"/>
                <w:szCs w:val="4"/>
              </w:rPr>
            </w:r>
          </w:p>
        </w:tc>
        <w:tc>
          <w:tcPr>
            <w:tcW w:w="293" w:type="dxa"/>
            <w:tcBorders/>
            <w:shd w:fill="auto" w:val="clear"/>
            <w:vAlign w:val="center"/>
          </w:tcPr>
          <w:p>
            <w:pPr>
              <w:pStyle w:val="TableContents"/>
              <w:spacing w:before="0" w:after="283"/>
              <w:rPr>
                <w:sz w:val="4"/>
                <w:szCs w:val="4"/>
              </w:rPr>
            </w:pPr>
            <w:r>
              <w:rPr>
                <w:sz w:val="4"/>
                <w:szCs w:val="4"/>
              </w:rPr>
            </w:r>
          </w:p>
        </w:tc>
        <w:tc>
          <w:tcPr>
            <w:tcW w:w="585" w:type="dxa"/>
            <w:tcBorders/>
            <w:shd w:fill="auto" w:val="clear"/>
            <w:vAlign w:val="center"/>
          </w:tcPr>
          <w:p>
            <w:pPr>
              <w:pStyle w:val="TableContents"/>
              <w:spacing w:before="0" w:after="283"/>
              <w:rPr>
                <w:sz w:val="4"/>
                <w:szCs w:val="4"/>
              </w:rPr>
            </w:pPr>
            <w:r>
              <w:rPr>
                <w:sz w:val="4"/>
                <w:szCs w:val="4"/>
              </w:rPr>
            </w:r>
          </w:p>
        </w:tc>
        <w:tc>
          <w:tcPr>
            <w:tcW w:w="230" w:type="dxa"/>
            <w:tcBorders/>
            <w:shd w:fill="auto" w:val="clear"/>
            <w:vAlign w:val="center"/>
          </w:tcPr>
          <w:p>
            <w:pPr>
              <w:pStyle w:val="TableContents"/>
              <w:spacing w:before="0" w:after="283"/>
              <w:rPr>
                <w:sz w:val="4"/>
                <w:szCs w:val="4"/>
              </w:rPr>
            </w:pPr>
            <w:r>
              <w:rPr>
                <w:sz w:val="4"/>
                <w:szCs w:val="4"/>
              </w:rPr>
            </w:r>
          </w:p>
        </w:tc>
        <w:tc>
          <w:tcPr>
            <w:tcW w:w="203" w:type="dxa"/>
            <w:tcBorders/>
            <w:shd w:fill="auto" w:val="clear"/>
            <w:vAlign w:val="center"/>
          </w:tcPr>
          <w:p>
            <w:pPr>
              <w:pStyle w:val="TableContents"/>
              <w:spacing w:before="0" w:after="283"/>
              <w:rPr>
                <w:sz w:val="4"/>
                <w:szCs w:val="4"/>
              </w:rPr>
            </w:pPr>
            <w:r>
              <w:rPr>
                <w:sz w:val="4"/>
                <w:szCs w:val="4"/>
              </w:rPr>
            </w:r>
          </w:p>
        </w:tc>
        <w:tc>
          <w:tcPr>
            <w:tcW w:w="293" w:type="dxa"/>
            <w:tcBorders/>
            <w:shd w:fill="auto" w:val="clear"/>
            <w:vAlign w:val="center"/>
          </w:tcPr>
          <w:p>
            <w:pPr>
              <w:pStyle w:val="TableContents"/>
              <w:spacing w:before="0" w:after="283"/>
              <w:rPr>
                <w:sz w:val="4"/>
                <w:szCs w:val="4"/>
              </w:rPr>
            </w:pPr>
            <w:r>
              <w:rPr>
                <w:sz w:val="4"/>
                <w:szCs w:val="4"/>
              </w:rPr>
            </w:r>
          </w:p>
        </w:tc>
        <w:tc>
          <w:tcPr>
            <w:tcW w:w="794" w:type="dxa"/>
            <w:tcBorders/>
            <w:shd w:fill="auto" w:val="clear"/>
            <w:vAlign w:val="center"/>
          </w:tcPr>
          <w:p>
            <w:pPr>
              <w:pStyle w:val="TableContents"/>
              <w:spacing w:before="0" w:after="283"/>
              <w:rPr>
                <w:sz w:val="4"/>
                <w:szCs w:val="4"/>
              </w:rPr>
            </w:pPr>
            <w:r>
              <w:rPr>
                <w:sz w:val="4"/>
                <w:szCs w:val="4"/>
              </w:rPr>
            </w:r>
          </w:p>
        </w:tc>
        <w:tc>
          <w:tcPr>
            <w:tcW w:w="311" w:type="dxa"/>
            <w:tcBorders/>
            <w:shd w:fill="auto" w:val="clear"/>
            <w:vAlign w:val="center"/>
          </w:tcPr>
          <w:p>
            <w:pPr>
              <w:pStyle w:val="TableContents"/>
              <w:spacing w:before="0" w:after="283"/>
              <w:rPr>
                <w:sz w:val="4"/>
                <w:szCs w:val="4"/>
              </w:rPr>
            </w:pPr>
            <w:r>
              <w:rPr>
                <w:sz w:val="4"/>
                <w:szCs w:val="4"/>
              </w:rPr>
            </w:r>
          </w:p>
        </w:tc>
      </w:tr>
      <w:tr>
        <w:trPr/>
        <w:tc>
          <w:tcPr>
            <w:tcW w:w="2326" w:type="dxa"/>
            <w:tcBorders/>
            <w:shd w:fill="auto" w:val="clear"/>
            <w:vAlign w:val="center"/>
          </w:tcPr>
          <w:p>
            <w:pPr>
              <w:pStyle w:val="TableContents"/>
              <w:spacing w:before="0" w:after="0"/>
              <w:ind w:left="0" w:right="0" w:hanging="0"/>
              <w:jc w:val="left"/>
              <w:rPr/>
            </w:pPr>
            <w:r>
              <w:rPr/>
              <w:t> </w:t>
            </w:r>
          </w:p>
        </w:tc>
        <w:tc>
          <w:tcPr>
            <w:tcW w:w="2398" w:type="dxa"/>
            <w:gridSpan w:val="6"/>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Three Months Ended March 31,</w:t>
            </w:r>
          </w:p>
        </w:tc>
        <w:tc>
          <w:tcPr>
            <w:tcW w:w="3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2326" w:type="dxa"/>
            <w:tcBorders/>
            <w:shd w:fill="auto" w:val="clear"/>
            <w:vAlign w:val="center"/>
          </w:tcPr>
          <w:p>
            <w:pPr>
              <w:pStyle w:val="TableContents"/>
              <w:spacing w:before="0" w:after="0"/>
              <w:ind w:left="0" w:right="0" w:hanging="0"/>
              <w:jc w:val="left"/>
              <w:rPr/>
            </w:pPr>
            <w:r>
              <w:rPr/>
              <w:t> </w:t>
            </w:r>
          </w:p>
        </w:tc>
        <w:tc>
          <w:tcPr>
            <w:tcW w:w="878"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2023</w:t>
            </w:r>
          </w:p>
        </w:tc>
        <w:tc>
          <w:tcPr>
            <w:tcW w:w="230"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203" w:type="dxa"/>
            <w:tcBorders/>
            <w:shd w:fill="auto" w:val="clear"/>
            <w:vAlign w:val="center"/>
          </w:tcPr>
          <w:p>
            <w:pPr>
              <w:pStyle w:val="TableContents"/>
              <w:spacing w:before="0" w:after="0"/>
              <w:ind w:left="0" w:right="0" w:hanging="0"/>
              <w:jc w:val="center"/>
              <w:rPr/>
            </w:pPr>
            <w:r>
              <w:rPr/>
              <w:t> </w:t>
            </w:r>
          </w:p>
        </w:tc>
        <w:tc>
          <w:tcPr>
            <w:tcW w:w="1087"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2022</w:t>
            </w:r>
          </w:p>
        </w:tc>
        <w:tc>
          <w:tcPr>
            <w:tcW w:w="3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2326" w:type="dxa"/>
            <w:tcBorders/>
            <w:shd w:fill="auto" w:val="clear"/>
            <w:vAlign w:val="center"/>
          </w:tcPr>
          <w:p>
            <w:pPr>
              <w:pStyle w:val="TableContents"/>
              <w:spacing w:before="0" w:after="0"/>
              <w:ind w:left="0" w:right="0" w:hanging="0"/>
              <w:jc w:val="left"/>
              <w:rPr>
                <w:rFonts w:ascii="Times New Roman;serif" w:hAnsi="Times New Roman;serif"/>
                <w:b w:val="false"/>
                <w:i/>
                <w:sz w:val="16"/>
              </w:rPr>
            </w:pPr>
            <w:r>
              <w:rPr>
                <w:rFonts w:ascii="Times New Roman;serif" w:hAnsi="Times New Roman;serif"/>
                <w:b w:val="false"/>
                <w:i/>
                <w:sz w:val="16"/>
              </w:rPr>
              <w:t>(In thousands of U.S. Dollars)</w:t>
            </w:r>
          </w:p>
        </w:tc>
        <w:tc>
          <w:tcPr>
            <w:tcW w:w="878"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Theater</w:t>
              <w:br/>
              <w:t>Operators</w:t>
            </w:r>
          </w:p>
        </w:tc>
        <w:tc>
          <w:tcPr>
            <w:tcW w:w="230"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203" w:type="dxa"/>
            <w:tcBorders/>
            <w:shd w:fill="auto" w:val="clear"/>
            <w:vAlign w:val="center"/>
          </w:tcPr>
          <w:p>
            <w:pPr>
              <w:pStyle w:val="TableContents"/>
              <w:spacing w:before="0" w:after="0"/>
              <w:ind w:left="0" w:right="0" w:hanging="0"/>
              <w:jc w:val="left"/>
              <w:rPr/>
            </w:pPr>
            <w:r>
              <w:rPr/>
              <w:t> </w:t>
            </w:r>
          </w:p>
        </w:tc>
        <w:tc>
          <w:tcPr>
            <w:tcW w:w="1087"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Theater</w:t>
              <w:br/>
              <w:t>Operators</w:t>
            </w:r>
          </w:p>
        </w:tc>
        <w:tc>
          <w:tcPr>
            <w:tcW w:w="3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232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Beginning balance</w:t>
            </w:r>
          </w:p>
        </w:tc>
        <w:tc>
          <w:tcPr>
            <w:tcW w:w="293"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585"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610</w:t>
            </w:r>
          </w:p>
        </w:tc>
        <w:tc>
          <w:tcPr>
            <w:tcW w:w="230" w:type="dxa"/>
            <w:tcBorders/>
            <w:shd w:fill="auto" w:val="clear"/>
            <w:vAlign w:val="center"/>
          </w:tcPr>
          <w:p>
            <w:pPr>
              <w:pStyle w:val="TableContents"/>
              <w:spacing w:before="0" w:after="0"/>
              <w:ind w:left="0" w:right="0" w:hanging="0"/>
              <w:jc w:val="left"/>
              <w:rPr/>
            </w:pPr>
            <w:r>
              <w:rPr/>
              <w:t> </w:t>
            </w:r>
          </w:p>
        </w:tc>
        <w:tc>
          <w:tcPr>
            <w:tcW w:w="203" w:type="dxa"/>
            <w:tcBorders/>
            <w:shd w:fill="auto" w:val="clear"/>
            <w:vAlign w:val="center"/>
          </w:tcPr>
          <w:p>
            <w:pPr>
              <w:pStyle w:val="TableContents"/>
              <w:spacing w:before="0" w:after="0"/>
              <w:ind w:left="0" w:right="0" w:hanging="0"/>
              <w:jc w:val="left"/>
              <w:rPr/>
            </w:pPr>
            <w:r>
              <w:rPr/>
              <w:t> </w:t>
            </w:r>
          </w:p>
        </w:tc>
        <w:tc>
          <w:tcPr>
            <w:tcW w:w="293"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94"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1,082</w:t>
            </w:r>
          </w:p>
        </w:tc>
        <w:tc>
          <w:tcPr>
            <w:tcW w:w="311" w:type="dxa"/>
            <w:tcBorders/>
            <w:shd w:fill="auto" w:val="clear"/>
            <w:vAlign w:val="center"/>
          </w:tcPr>
          <w:p>
            <w:pPr>
              <w:pStyle w:val="TableContents"/>
              <w:spacing w:before="0" w:after="0"/>
              <w:ind w:left="0" w:right="0" w:firstLine="100"/>
              <w:jc w:val="left"/>
              <w:rPr/>
            </w:pPr>
            <w:r>
              <w:rPr/>
              <w:t> </w:t>
            </w:r>
          </w:p>
        </w:tc>
      </w:tr>
      <w:tr>
        <w:trPr/>
        <w:tc>
          <w:tcPr>
            <w:tcW w:w="2326" w:type="dxa"/>
            <w:tcBorders/>
            <w:shd w:fill="auto" w:val="clear"/>
            <w:vAlign w:val="center"/>
          </w:tcPr>
          <w:p>
            <w:pPr>
              <w:pStyle w:val="TableContents"/>
              <w:spacing w:before="0" w:after="0"/>
              <w:ind w:left="100" w:right="0" w:hanging="0"/>
              <w:jc w:val="left"/>
              <w:rPr>
                <w:rFonts w:ascii="Times New Roman;serif" w:hAnsi="Times New Roman;serif"/>
                <w:b w:val="false"/>
                <w:sz w:val="20"/>
              </w:rPr>
            </w:pPr>
            <w:r>
              <w:rPr>
                <w:rFonts w:ascii="Times New Roman;serif" w:hAnsi="Times New Roman;serif"/>
                <w:b w:val="false"/>
                <w:sz w:val="20"/>
              </w:rPr>
              <w:t>Current period reversal, net</w:t>
            </w:r>
          </w:p>
        </w:tc>
        <w:tc>
          <w:tcPr>
            <w:tcW w:w="293" w:type="dxa"/>
            <w:tcBorders/>
            <w:shd w:fill="auto" w:val="clear"/>
            <w:vAlign w:val="center"/>
          </w:tcPr>
          <w:p>
            <w:pPr>
              <w:pStyle w:val="TableContents"/>
              <w:spacing w:before="0" w:after="0"/>
              <w:ind w:left="0" w:right="0" w:hanging="0"/>
              <w:jc w:val="left"/>
              <w:rPr/>
            </w:pPr>
            <w:r>
              <w:rPr/>
              <w:t> </w:t>
            </w:r>
          </w:p>
        </w:tc>
        <w:tc>
          <w:tcPr>
            <w:tcW w:w="585"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(86</w:t>
            </w:r>
          </w:p>
        </w:tc>
        <w:tc>
          <w:tcPr>
            <w:tcW w:w="230"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203" w:type="dxa"/>
            <w:tcBorders/>
            <w:shd w:fill="auto" w:val="clear"/>
            <w:vAlign w:val="center"/>
          </w:tcPr>
          <w:p>
            <w:pPr>
              <w:pStyle w:val="TableContents"/>
              <w:spacing w:before="0" w:after="0"/>
              <w:ind w:left="0" w:right="0" w:hanging="0"/>
              <w:jc w:val="left"/>
              <w:rPr/>
            </w:pPr>
            <w:r>
              <w:rPr/>
              <w:t> </w:t>
            </w:r>
          </w:p>
        </w:tc>
        <w:tc>
          <w:tcPr>
            <w:tcW w:w="293" w:type="dxa"/>
            <w:tcBorders/>
            <w:shd w:fill="auto" w:val="clear"/>
            <w:vAlign w:val="center"/>
          </w:tcPr>
          <w:p>
            <w:pPr>
              <w:pStyle w:val="TableContents"/>
              <w:spacing w:before="0" w:after="0"/>
              <w:ind w:left="0" w:right="0" w:hanging="0"/>
              <w:jc w:val="left"/>
              <w:rPr/>
            </w:pPr>
            <w:r>
              <w:rPr/>
              <w:t> </w:t>
            </w:r>
          </w:p>
        </w:tc>
        <w:tc>
          <w:tcPr>
            <w:tcW w:w="794"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(643</w:t>
            </w:r>
          </w:p>
        </w:tc>
        <w:tc>
          <w:tcPr>
            <w:tcW w:w="311" w:type="dxa"/>
            <w:tcBorders/>
            <w:shd w:fill="auto" w:val="clear"/>
            <w:vAlign w:val="center"/>
          </w:tcPr>
          <w:p>
            <w:pPr>
              <w:pStyle w:val="TableContents"/>
              <w:spacing w:before="0" w:after="0"/>
              <w:ind w:left="0" w:right="0" w:firstLine="100"/>
              <w:jc w:val="left"/>
              <w:rPr>
                <w:rFonts w:ascii="Times New Roman;serif" w:hAnsi="Times New Roman;serif"/>
                <w:b w:val="false"/>
                <w:sz w:val="20"/>
              </w:rPr>
            </w:pPr>
            <w:r>
              <w:rPr>
                <w:rFonts w:ascii="Times New Roman;serif" w:hAnsi="Times New Roman;serif"/>
                <w:b w:val="false"/>
                <w:sz w:val="20"/>
              </w:rPr>
              <w:t>)</w:t>
            </w:r>
          </w:p>
        </w:tc>
      </w:tr>
      <w:tr>
        <w:trPr/>
        <w:tc>
          <w:tcPr>
            <w:tcW w:w="2326" w:type="dxa"/>
            <w:tcBorders/>
            <w:shd w:fill="auto" w:val="clear"/>
            <w:vAlign w:val="center"/>
          </w:tcPr>
          <w:p>
            <w:pPr>
              <w:pStyle w:val="TableContents"/>
              <w:spacing w:before="0" w:after="0"/>
              <w:ind w:left="100" w:right="0" w:hanging="0"/>
              <w:jc w:val="left"/>
              <w:rPr>
                <w:rFonts w:ascii="Times New Roman;serif" w:hAnsi="Times New Roman;serif"/>
                <w:b w:val="false"/>
                <w:sz w:val="20"/>
              </w:rPr>
            </w:pPr>
            <w:r>
              <w:rPr>
                <w:rFonts w:ascii="Times New Roman;serif" w:hAnsi="Times New Roman;serif"/>
                <w:b w:val="false"/>
                <w:sz w:val="20"/>
              </w:rPr>
              <w:t>Foreign exchange</w:t>
            </w:r>
          </w:p>
        </w:tc>
        <w:tc>
          <w:tcPr>
            <w:tcW w:w="293"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585"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w:t>
            </w:r>
          </w:p>
        </w:tc>
        <w:tc>
          <w:tcPr>
            <w:tcW w:w="230"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203" w:type="dxa"/>
            <w:tcBorders/>
            <w:shd w:fill="auto" w:val="clear"/>
            <w:vAlign w:val="center"/>
          </w:tcPr>
          <w:p>
            <w:pPr>
              <w:pStyle w:val="TableContents"/>
              <w:spacing w:before="0" w:after="0"/>
              <w:ind w:left="0" w:right="0" w:hanging="0"/>
              <w:jc w:val="left"/>
              <w:rPr/>
            </w:pPr>
            <w:r>
              <w:rPr/>
              <w:t> </w:t>
            </w:r>
          </w:p>
        </w:tc>
        <w:tc>
          <w:tcPr>
            <w:tcW w:w="293"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794"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pPr>
            <w:r>
              <w:rPr/>
              <w:t>—</w:t>
            </w:r>
          </w:p>
        </w:tc>
        <w:tc>
          <w:tcPr>
            <w:tcW w:w="3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r>
        <w:trPr/>
        <w:tc>
          <w:tcPr>
            <w:tcW w:w="232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Ending balance</w:t>
            </w:r>
          </w:p>
        </w:tc>
        <w:tc>
          <w:tcPr>
            <w:tcW w:w="293"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585"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526</w:t>
            </w:r>
          </w:p>
        </w:tc>
        <w:tc>
          <w:tcPr>
            <w:tcW w:w="230"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203" w:type="dxa"/>
            <w:tcBorders/>
            <w:shd w:fill="auto" w:val="clear"/>
            <w:vAlign w:val="center"/>
          </w:tcPr>
          <w:p>
            <w:pPr>
              <w:pStyle w:val="TableContents"/>
              <w:spacing w:before="0" w:after="0"/>
              <w:ind w:left="0" w:right="0" w:hanging="0"/>
              <w:jc w:val="left"/>
              <w:rPr/>
            </w:pPr>
            <w:r>
              <w:rPr/>
              <w:t> </w:t>
            </w:r>
          </w:p>
        </w:tc>
        <w:tc>
          <w:tcPr>
            <w:tcW w:w="293"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94"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439</w:t>
            </w:r>
          </w:p>
        </w:tc>
        <w:tc>
          <w:tcPr>
            <w:tcW w:w="31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bl>
    <w:p>
      <w:pPr>
        <w:pStyle w:val="TextBody"/>
        <w:spacing w:before="200" w:after="0"/>
        <w:jc w:val="both"/>
        <w:rPr>
          <w:rFonts w:ascii="Times New Roman" w:hAnsi="Times New Roman"/>
          <w:sz w:val="20"/>
        </w:rPr>
      </w:pPr>
      <w:r>
        <w:rPr>
          <w:rFonts w:ascii="Times New Roman;serif" w:hAnsi="Times New Roman;serif"/>
          <w:b w:val="false"/>
          <w:sz w:val="20"/>
        </w:rPr>
        <w:t>For the three months ended March 31, 2023, the Company’s allowance for current expected credit losses related to Variable Consideration Receivables decreased by $0.1</w:t>
      </w:r>
      <w:r>
        <w:rPr>
          <w:rFonts w:ascii="Times New Roman" w:hAnsi="Times New Roman"/>
          <w:sz w:val="20"/>
        </w:rPr>
        <w:t xml:space="preserve"> </w:t>
      </w:r>
      <w:r>
        <w:rPr>
          <w:rFonts w:ascii="Times New Roman;serif" w:hAnsi="Times New Roman;serif"/>
          <w:b w:val="false"/>
          <w:sz w:val="20"/>
        </w:rPr>
        <w:t>million.</w:t>
      </w:r>
    </w:p>
    <w:p>
      <w:pPr>
        <w:pStyle w:val="TextBody"/>
        <w:spacing w:before="200" w:after="0"/>
        <w:jc w:val="both"/>
        <w:rPr>
          <w:rFonts w:ascii="Times New Roman" w:hAnsi="Times New Roman"/>
          <w:sz w:val="20"/>
        </w:rPr>
      </w:pPr>
      <w:r>
        <w:rPr>
          <w:rFonts w:ascii="Times New Roman;serif" w:hAnsi="Times New Roman;serif"/>
          <w:b w:val="false"/>
          <w:sz w:val="20"/>
        </w:rPr>
        <w:t>For the three months ended March 31, 2022, the Company’s allowance for current expected credit losses related to Variable Consideration Receivables decreased</w:t>
      </w:r>
      <w:r>
        <w:rPr>
          <w:rFonts w:ascii="Times New Roman" w:hAnsi="Times New Roman"/>
          <w:sz w:val="20"/>
        </w:rPr>
        <w:t xml:space="preserve"> </w:t>
      </w:r>
      <w:r>
        <w:rPr>
          <w:rFonts w:ascii="Times New Roman;serif" w:hAnsi="Times New Roman;serif"/>
          <w:b w:val="false"/>
          <w:sz w:val="20"/>
        </w:rPr>
        <w:t>by $0.6</w:t>
      </w:r>
      <w:r>
        <w:rPr>
          <w:rFonts w:ascii="Times New Roman" w:hAnsi="Times New Roman"/>
          <w:sz w:val="20"/>
        </w:rPr>
        <w:t xml:space="preserve"> </w:t>
      </w:r>
      <w:r>
        <w:rPr>
          <w:rFonts w:ascii="Times New Roman;serif" w:hAnsi="Times New Roman;serif"/>
          <w:b w:val="false"/>
          <w:sz w:val="20"/>
        </w:rPr>
        <w:t>million. This decrease is principally due to the reversal of provisions associated with the COVID-19 pandemic as the outlook for the theatrical exhibition industry in Domestic and Rest of World markets improved.</w:t>
      </w:r>
    </w:p>
    <w:p>
      <w:pPr>
        <w:pStyle w:val="TextBody"/>
        <w:spacing w:before="240" w:after="0"/>
        <w:jc w:val="center"/>
        <w:rPr>
          <w:rFonts w:ascii="Times New Roman;serif" w:hAnsi="Times New Roman;serif"/>
          <w:b w:val="false"/>
          <w:sz w:val="20"/>
        </w:rPr>
      </w:pPr>
      <w:r>
        <w:rPr>
          <w:rFonts w:ascii="Times New Roman;serif" w:hAnsi="Times New Roman;serif"/>
          <w:b w:val="false"/>
          <w:sz w:val="20"/>
        </w:rPr>
        <w:t>16</w:t>
      </w:r>
    </w:p>
    <w:p>
      <w:pPr>
        <w:pStyle w:val="HorizontalLine"/>
        <w:rPr/>
      </w:pPr>
      <w:r>
        <w:rPr/>
      </w:r>
    </w:p>
    <w:p>
      <w:pPr>
        <w:pStyle w:val="TextBody"/>
        <w:spacing w:before="0" w:after="0"/>
        <w:jc w:val="left"/>
        <w:rPr/>
      </w:pPr>
      <w:r>
        <w:rPr/>
        <w:t> </w:t>
      </w:r>
    </w:p>
    <w:p>
      <w:pPr>
        <w:pStyle w:val="TextBody"/>
        <w:spacing w:before="200" w:after="160"/>
        <w:jc w:val="left"/>
        <w:rPr>
          <w:rFonts w:ascii="Times New Roman" w:hAnsi="Times New Roman"/>
          <w:sz w:val="20"/>
        </w:rPr>
      </w:pPr>
      <w:r>
        <w:rPr>
          <w:rFonts w:ascii="Times New Roman;serif" w:hAnsi="Times New Roman;serif"/>
          <w:b/>
          <w:sz w:val="20"/>
        </w:rPr>
        <w:t>4. Lease Arrangements</w:t>
      </w:r>
      <w:r>
        <w:rPr>
          <w:rFonts w:ascii="Times New Roman" w:hAnsi="Times New Roman"/>
          <w:sz w:val="20"/>
        </w:rPr>
        <w:t xml:space="preserve"> </w:t>
      </w:r>
    </w:p>
    <w:p>
      <w:pPr>
        <w:pStyle w:val="TextBody"/>
        <w:spacing w:before="200" w:after="0"/>
        <w:jc w:val="both"/>
        <w:rPr>
          <w:rFonts w:ascii="Times New Roman" w:hAnsi="Times New Roman"/>
          <w:b/>
          <w:i/>
          <w:sz w:val="20"/>
        </w:rPr>
      </w:pPr>
      <w:r>
        <w:rPr>
          <w:rFonts w:ascii="Times New Roman" w:hAnsi="Times New Roman"/>
          <w:b/>
          <w:i/>
          <w:sz w:val="20"/>
        </w:rPr>
        <w:t>(a)</w:t>
      </w:r>
    </w:p>
    <w:p>
      <w:pPr>
        <w:pStyle w:val="TextBody"/>
        <w:spacing w:before="200" w:after="283"/>
        <w:jc w:val="both"/>
        <w:rPr>
          <w:rFonts w:ascii="Times New Roman;serif" w:hAnsi="Times New Roman;serif"/>
          <w:b/>
          <w:i/>
          <w:sz w:val="20"/>
        </w:rPr>
      </w:pPr>
      <w:r>
        <w:rPr>
          <w:rFonts w:ascii="Times New Roman;serif" w:hAnsi="Times New Roman;serif"/>
          <w:b/>
          <w:i/>
          <w:sz w:val="20"/>
        </w:rPr>
        <w:t>IMAX Corporation as a Lessee</w:t>
      </w:r>
    </w:p>
    <w:p>
      <w:pPr>
        <w:pStyle w:val="TextBody"/>
        <w:spacing w:before="200" w:after="0"/>
        <w:jc w:val="both"/>
        <w:rPr>
          <w:rFonts w:ascii="Times New Roman" w:hAnsi="Times New Roman"/>
          <w:sz w:val="20"/>
        </w:rPr>
      </w:pPr>
      <w:r>
        <w:rPr>
          <w:rFonts w:ascii="Times New Roman;serif" w:hAnsi="Times New Roman;serif"/>
          <w:b w:val="false"/>
          <w:sz w:val="20"/>
        </w:rPr>
        <w:t>The Company’s operating lease arrangements principally involve office and warehouse space. Office equipment is generally purchased outright. Leases with an initial term of less than 12 months are not recorded on the Condensed Consolidated Balance Sheets and the related lease expense is recognized on a straight-line basis over the lease term.</w:t>
      </w:r>
      <w:r>
        <w:rPr>
          <w:rFonts w:ascii="Times New Roman" w:hAnsi="Times New Roman"/>
          <w:sz w:val="20"/>
        </w:rPr>
        <w:t xml:space="preserve"> </w:t>
      </w:r>
      <w:r>
        <w:rPr>
          <w:rFonts w:ascii="Times New Roman;serif" w:hAnsi="Times New Roman;serif"/>
          <w:b w:val="false"/>
          <w:sz w:val="20"/>
        </w:rPr>
        <w:t>Most of the Company’s leases include one or more options to renew, with renewal terms that can extend</w:t>
      </w:r>
      <w:r>
        <w:rPr>
          <w:rFonts w:ascii="Times New Roman" w:hAnsi="Times New Roman"/>
          <w:sz w:val="20"/>
        </w:rPr>
        <w:t xml:space="preserve"> </w:t>
      </w:r>
      <w:r>
        <w:rPr>
          <w:rFonts w:ascii="Times New Roman;serif" w:hAnsi="Times New Roman;serif"/>
          <w:b w:val="false"/>
          <w:sz w:val="20"/>
        </w:rPr>
        <w:t>the lease term from one</w:t>
      </w:r>
      <w:r>
        <w:rPr>
          <w:rFonts w:ascii="Times New Roman" w:hAnsi="Times New Roman"/>
          <w:sz w:val="20"/>
        </w:rPr>
        <w:t xml:space="preserve"> </w:t>
      </w:r>
      <w:r>
        <w:rPr>
          <w:rFonts w:ascii="Times New Roman;serif" w:hAnsi="Times New Roman;serif"/>
          <w:b w:val="false"/>
          <w:sz w:val="20"/>
        </w:rPr>
        <w:t>to five years</w:t>
      </w:r>
      <w:r>
        <w:rPr>
          <w:rFonts w:ascii="Times New Roman" w:hAnsi="Times New Roman"/>
          <w:sz w:val="20"/>
        </w:rPr>
        <w:t xml:space="preserve"> </w:t>
      </w:r>
      <w:r>
        <w:rPr>
          <w:rFonts w:ascii="Times New Roman;serif" w:hAnsi="Times New Roman;serif"/>
          <w:b w:val="false"/>
          <w:sz w:val="20"/>
        </w:rPr>
        <w:t>or more. The Company has determined that it is reasonably certain that the renewal options on its warehouse leases will be exercised based on previous history, its current understanding of future business needs and its level of investment in leasehold improvements, among other factors.</w:t>
      </w:r>
      <w:r>
        <w:rPr>
          <w:rFonts w:ascii="Times New Roman" w:hAnsi="Times New Roman"/>
          <w:sz w:val="20"/>
        </w:rPr>
        <w:t xml:space="preserve"> </w:t>
      </w:r>
      <w:r>
        <w:rPr>
          <w:rFonts w:ascii="Times New Roman;serif" w:hAnsi="Times New Roman;serif"/>
          <w:b w:val="false"/>
          <w:sz w:val="20"/>
        </w:rPr>
        <w:t>The incremental borrowing rate used in the calculation of the Company’s lease liabilities is based on the location of each leased property.</w:t>
      </w:r>
      <w:r>
        <w:rPr>
          <w:rFonts w:ascii="Times New Roman" w:hAnsi="Times New Roman"/>
          <w:sz w:val="20"/>
        </w:rPr>
        <w:t xml:space="preserve"> </w:t>
      </w:r>
      <w:r>
        <w:rPr>
          <w:rFonts w:ascii="Times New Roman;serif" w:hAnsi="Times New Roman;serif"/>
          <w:b w:val="false"/>
          <w:sz w:val="20"/>
        </w:rPr>
        <w:t>None</w:t>
      </w:r>
      <w:r>
        <w:rPr>
          <w:rFonts w:ascii="Times New Roman" w:hAnsi="Times New Roman"/>
          <w:sz w:val="20"/>
        </w:rPr>
        <w:t xml:space="preserve"> </w:t>
      </w:r>
      <w:r>
        <w:rPr>
          <w:rFonts w:ascii="Times New Roman;serif" w:hAnsi="Times New Roman;serif"/>
          <w:b w:val="false"/>
          <w:sz w:val="20"/>
        </w:rPr>
        <w:t>of the Company’s leases include options to purchase the leased property. The depreciable lives of right-of-use assets and related leasehold improvements are limited by the expected lease term. The Company’s lease agreements do not contain any material residual value guarantees</w:t>
      </w:r>
      <w:r>
        <w:rPr>
          <w:rFonts w:ascii="Times New Roman" w:hAnsi="Times New Roman"/>
          <w:sz w:val="20"/>
        </w:rPr>
        <w:t xml:space="preserve"> </w:t>
      </w:r>
      <w:r>
        <w:rPr>
          <w:rFonts w:ascii="Times New Roman;serif" w:hAnsi="Times New Roman;serif"/>
          <w:b w:val="false"/>
          <w:sz w:val="20"/>
        </w:rPr>
        <w:t>or material restrictive covenants. The Company rents or subleases certain office space to third parties, which have a remaining term of less than 12 months and are not expected to be renewed.</w:t>
      </w:r>
    </w:p>
    <w:p>
      <w:pPr>
        <w:pStyle w:val="TextBody"/>
        <w:spacing w:before="200" w:after="0"/>
        <w:jc w:val="both"/>
        <w:rPr>
          <w:rFonts w:ascii="Times New Roman;serif" w:hAnsi="Times New Roman;serif"/>
          <w:b w:val="false"/>
          <w:sz w:val="20"/>
        </w:rPr>
      </w:pPr>
      <w:r>
        <w:rPr>
          <w:rFonts w:ascii="Times New Roman;serif" w:hAnsi="Times New Roman;serif"/>
          <w:b w:val="false"/>
          <w:sz w:val="20"/>
        </w:rPr>
        <w:t>In the second quarter of 2022, the Company entered into a finance lease arrangement involving equipment used to facilitate the delivery of live events to certain IMAX locations. The lease arrangement includes an option for the Company to purchase the equipment at the end of the lease term that is reasonably certain to be exercised. The resulting right-of-use assets are being depreciated from the lease commencement dates over the useful life of the underlying equipment. The incremental borrowing rate used in the calculation of the lease liabilities is based on the rate of interest the Company would have to pay to borrow on a collateralized basis over a similar term.</w:t>
      </w:r>
    </w:p>
    <w:p>
      <w:pPr>
        <w:pStyle w:val="TextBody"/>
        <w:spacing w:before="200" w:after="200"/>
        <w:jc w:val="both"/>
        <w:rPr>
          <w:rFonts w:ascii="Times New Roman;serif" w:hAnsi="Times New Roman;serif"/>
          <w:b w:val="false"/>
          <w:sz w:val="20"/>
        </w:rPr>
      </w:pPr>
      <w:r>
        <w:rPr>
          <w:rFonts w:ascii="Times New Roman;serif" w:hAnsi="Times New Roman;serif"/>
          <w:b w:val="false"/>
          <w:sz w:val="20"/>
        </w:rPr>
        <w:t>For the three months ended March 31, 2023 and 2022, the components of lease expense recorded within Selling, General and Administrative Expenses are as follows:</w:t>
      </w:r>
    </w:p>
    <w:tbl>
      <w:tblPr>
        <w:tblW w:w="6032" w:type="dxa"/>
        <w:jc w:val="left"/>
        <w:tblInd w:w="0" w:type="dxa"/>
        <w:tblCellMar>
          <w:top w:w="28" w:type="dxa"/>
          <w:left w:w="28" w:type="dxa"/>
          <w:bottom w:w="28" w:type="dxa"/>
          <w:right w:w="28" w:type="dxa"/>
        </w:tblCellMar>
      </w:tblPr>
      <w:tblGrid>
        <w:gridCol w:w="3196"/>
        <w:gridCol w:w="146"/>
        <w:gridCol w:w="253"/>
        <w:gridCol w:w="684"/>
        <w:gridCol w:w="175"/>
        <w:gridCol w:w="175"/>
        <w:gridCol w:w="175"/>
        <w:gridCol w:w="253"/>
        <w:gridCol w:w="684"/>
        <w:gridCol w:w="291"/>
      </w:tblGrid>
      <w:tr>
        <w:trPr/>
        <w:tc>
          <w:tcPr>
            <w:tcW w:w="319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53" w:type="dxa"/>
            <w:tcBorders/>
            <w:shd w:fill="auto" w:val="clear"/>
            <w:vAlign w:val="center"/>
          </w:tcPr>
          <w:p>
            <w:pPr>
              <w:pStyle w:val="TableContents"/>
              <w:spacing w:before="0" w:after="283"/>
              <w:rPr>
                <w:sz w:val="4"/>
                <w:szCs w:val="4"/>
              </w:rPr>
            </w:pPr>
            <w:r>
              <w:rPr>
                <w:sz w:val="4"/>
                <w:szCs w:val="4"/>
              </w:rPr>
            </w:r>
          </w:p>
        </w:tc>
        <w:tc>
          <w:tcPr>
            <w:tcW w:w="684" w:type="dxa"/>
            <w:tcBorders/>
            <w:shd w:fill="auto" w:val="clear"/>
            <w:vAlign w:val="center"/>
          </w:tcPr>
          <w:p>
            <w:pPr>
              <w:pStyle w:val="TableContents"/>
              <w:spacing w:before="0" w:after="283"/>
              <w:rPr>
                <w:sz w:val="4"/>
                <w:szCs w:val="4"/>
              </w:rPr>
            </w:pPr>
            <w:r>
              <w:rPr>
                <w:sz w:val="4"/>
                <w:szCs w:val="4"/>
              </w:rPr>
            </w:r>
          </w:p>
        </w:tc>
        <w:tc>
          <w:tcPr>
            <w:tcW w:w="175" w:type="dxa"/>
            <w:tcBorders/>
            <w:shd w:fill="auto" w:val="clear"/>
            <w:vAlign w:val="center"/>
          </w:tcPr>
          <w:p>
            <w:pPr>
              <w:pStyle w:val="TableContents"/>
              <w:spacing w:before="0" w:after="283"/>
              <w:rPr>
                <w:sz w:val="4"/>
                <w:szCs w:val="4"/>
              </w:rPr>
            </w:pPr>
            <w:r>
              <w:rPr>
                <w:sz w:val="4"/>
                <w:szCs w:val="4"/>
              </w:rPr>
            </w:r>
          </w:p>
        </w:tc>
        <w:tc>
          <w:tcPr>
            <w:tcW w:w="175" w:type="dxa"/>
            <w:tcBorders/>
            <w:shd w:fill="auto" w:val="clear"/>
            <w:vAlign w:val="center"/>
          </w:tcPr>
          <w:p>
            <w:pPr>
              <w:pStyle w:val="TableContents"/>
              <w:spacing w:before="0" w:after="283"/>
              <w:rPr>
                <w:sz w:val="4"/>
                <w:szCs w:val="4"/>
              </w:rPr>
            </w:pPr>
            <w:r>
              <w:rPr>
                <w:sz w:val="4"/>
                <w:szCs w:val="4"/>
              </w:rPr>
            </w:r>
          </w:p>
        </w:tc>
        <w:tc>
          <w:tcPr>
            <w:tcW w:w="175" w:type="dxa"/>
            <w:tcBorders/>
            <w:shd w:fill="auto" w:val="clear"/>
            <w:vAlign w:val="center"/>
          </w:tcPr>
          <w:p>
            <w:pPr>
              <w:pStyle w:val="TableContents"/>
              <w:spacing w:before="0" w:after="283"/>
              <w:rPr>
                <w:sz w:val="4"/>
                <w:szCs w:val="4"/>
              </w:rPr>
            </w:pPr>
            <w:r>
              <w:rPr>
                <w:sz w:val="4"/>
                <w:szCs w:val="4"/>
              </w:rPr>
            </w:r>
          </w:p>
        </w:tc>
        <w:tc>
          <w:tcPr>
            <w:tcW w:w="253" w:type="dxa"/>
            <w:tcBorders/>
            <w:shd w:fill="auto" w:val="clear"/>
            <w:vAlign w:val="center"/>
          </w:tcPr>
          <w:p>
            <w:pPr>
              <w:pStyle w:val="TableContents"/>
              <w:spacing w:before="0" w:after="283"/>
              <w:rPr>
                <w:sz w:val="4"/>
                <w:szCs w:val="4"/>
              </w:rPr>
            </w:pPr>
            <w:r>
              <w:rPr>
                <w:sz w:val="4"/>
                <w:szCs w:val="4"/>
              </w:rPr>
            </w:r>
          </w:p>
        </w:tc>
        <w:tc>
          <w:tcPr>
            <w:tcW w:w="684" w:type="dxa"/>
            <w:tcBorders/>
            <w:shd w:fill="auto" w:val="clear"/>
            <w:vAlign w:val="center"/>
          </w:tcPr>
          <w:p>
            <w:pPr>
              <w:pStyle w:val="TableContents"/>
              <w:spacing w:before="0" w:after="283"/>
              <w:rPr>
                <w:sz w:val="4"/>
                <w:szCs w:val="4"/>
              </w:rPr>
            </w:pPr>
            <w:r>
              <w:rPr>
                <w:sz w:val="4"/>
                <w:szCs w:val="4"/>
              </w:rPr>
            </w:r>
          </w:p>
        </w:tc>
        <w:tc>
          <w:tcPr>
            <w:tcW w:w="291" w:type="dxa"/>
            <w:tcBorders/>
            <w:shd w:fill="auto" w:val="clear"/>
            <w:vAlign w:val="center"/>
          </w:tcPr>
          <w:p>
            <w:pPr>
              <w:pStyle w:val="TableContents"/>
              <w:spacing w:before="0" w:after="283"/>
              <w:rPr>
                <w:sz w:val="4"/>
                <w:szCs w:val="4"/>
              </w:rPr>
            </w:pPr>
            <w:r>
              <w:rPr>
                <w:sz w:val="4"/>
                <w:szCs w:val="4"/>
              </w:rPr>
            </w:r>
          </w:p>
        </w:tc>
      </w:tr>
      <w:tr>
        <w:trPr/>
        <w:tc>
          <w:tcPr>
            <w:tcW w:w="319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399" w:type="dxa"/>
            <w:gridSpan w:val="7"/>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Three Months Ended March 31,</w:t>
            </w:r>
          </w:p>
        </w:tc>
        <w:tc>
          <w:tcPr>
            <w:tcW w:w="2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3196" w:type="dxa"/>
            <w:tcBorders/>
            <w:shd w:fill="auto" w:val="clear"/>
            <w:vAlign w:val="center"/>
          </w:tcPr>
          <w:p>
            <w:pPr>
              <w:pStyle w:val="TableContents"/>
              <w:spacing w:before="0" w:after="0"/>
              <w:ind w:left="0" w:right="0" w:hanging="0"/>
              <w:jc w:val="left"/>
              <w:rPr>
                <w:rFonts w:ascii="Times New Roman;serif" w:hAnsi="Times New Roman;serif"/>
                <w:b w:val="false"/>
                <w:i/>
                <w:sz w:val="16"/>
              </w:rPr>
            </w:pPr>
            <w:r>
              <w:rPr>
                <w:rFonts w:ascii="Times New Roman;serif" w:hAnsi="Times New Roman;serif"/>
                <w:b w:val="false"/>
                <w:i/>
                <w:sz w:val="16"/>
              </w:rPr>
              <w:t>(In thousands of U.S. Dollars)</w:t>
            </w:r>
          </w:p>
        </w:tc>
        <w:tc>
          <w:tcPr>
            <w:tcW w:w="146" w:type="dxa"/>
            <w:tcBorders/>
            <w:shd w:fill="auto" w:val="clear"/>
            <w:vAlign w:val="center"/>
          </w:tcPr>
          <w:p>
            <w:pPr>
              <w:pStyle w:val="TableContents"/>
              <w:spacing w:before="0" w:after="0"/>
              <w:ind w:left="0" w:right="0" w:hanging="0"/>
              <w:jc w:val="left"/>
              <w:rPr/>
            </w:pPr>
            <w:r>
              <w:rPr/>
              <w:t> </w:t>
            </w:r>
          </w:p>
        </w:tc>
        <w:tc>
          <w:tcPr>
            <w:tcW w:w="937"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2023</w:t>
            </w:r>
          </w:p>
        </w:tc>
        <w:tc>
          <w:tcPr>
            <w:tcW w:w="175"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75" w:type="dxa"/>
            <w:tcBorders/>
            <w:shd w:fill="auto" w:val="clear"/>
            <w:vAlign w:val="center"/>
          </w:tcPr>
          <w:p>
            <w:pPr>
              <w:pStyle w:val="TableContents"/>
              <w:spacing w:before="0" w:after="0"/>
              <w:ind w:left="0" w:right="0" w:hanging="0"/>
              <w:jc w:val="center"/>
              <w:rPr/>
            </w:pPr>
            <w:r>
              <w:rPr/>
              <w:t> </w:t>
            </w:r>
          </w:p>
        </w:tc>
        <w:tc>
          <w:tcPr>
            <w:tcW w:w="175" w:type="dxa"/>
            <w:tcBorders/>
            <w:shd w:fill="auto" w:val="clear"/>
            <w:vAlign w:val="center"/>
          </w:tcPr>
          <w:p>
            <w:pPr>
              <w:pStyle w:val="TableContents"/>
              <w:spacing w:before="0" w:after="0"/>
              <w:ind w:left="0" w:right="0" w:hanging="0"/>
              <w:jc w:val="left"/>
              <w:rPr/>
            </w:pPr>
            <w:r>
              <w:rPr/>
              <w:t> </w:t>
            </w:r>
          </w:p>
        </w:tc>
        <w:tc>
          <w:tcPr>
            <w:tcW w:w="937"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2022</w:t>
            </w:r>
          </w:p>
        </w:tc>
        <w:tc>
          <w:tcPr>
            <w:tcW w:w="2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319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Operating lease cost:</w:t>
            </w:r>
          </w:p>
        </w:tc>
        <w:tc>
          <w:tcPr>
            <w:tcW w:w="146" w:type="dxa"/>
            <w:tcBorders/>
            <w:shd w:fill="auto" w:val="clear"/>
            <w:vAlign w:val="center"/>
          </w:tcPr>
          <w:p>
            <w:pPr>
              <w:pStyle w:val="TableContents"/>
              <w:spacing w:before="0" w:after="0"/>
              <w:ind w:left="0" w:right="0" w:hanging="0"/>
              <w:jc w:val="left"/>
              <w:rPr/>
            </w:pPr>
            <w:r>
              <w:rPr/>
              <w:t> </w:t>
            </w:r>
          </w:p>
        </w:tc>
        <w:tc>
          <w:tcPr>
            <w:tcW w:w="937" w:type="dxa"/>
            <w:gridSpan w:val="2"/>
            <w:tcBorders/>
            <w:shd w:fill="auto" w:val="clear"/>
            <w:vAlign w:val="center"/>
          </w:tcPr>
          <w:p>
            <w:pPr>
              <w:pStyle w:val="TableContents"/>
              <w:spacing w:before="0" w:after="0"/>
              <w:ind w:left="0" w:right="0" w:hanging="0"/>
              <w:jc w:val="right"/>
              <w:rPr/>
            </w:pPr>
            <w:r>
              <w:rPr/>
              <w:t> </w:t>
            </w:r>
          </w:p>
        </w:tc>
        <w:tc>
          <w:tcPr>
            <w:tcW w:w="175" w:type="dxa"/>
            <w:tcBorders/>
            <w:shd w:fill="auto" w:val="clear"/>
            <w:vAlign w:val="center"/>
          </w:tcPr>
          <w:p>
            <w:pPr>
              <w:pStyle w:val="TableContents"/>
              <w:spacing w:before="0" w:after="0"/>
              <w:ind w:left="0" w:right="0" w:hanging="0"/>
              <w:jc w:val="right"/>
              <w:rPr/>
            </w:pPr>
            <w:r>
              <w:rPr/>
              <w:t> </w:t>
            </w:r>
          </w:p>
        </w:tc>
        <w:tc>
          <w:tcPr>
            <w:tcW w:w="175" w:type="dxa"/>
            <w:tcBorders/>
            <w:shd w:fill="auto" w:val="clear"/>
            <w:vAlign w:val="center"/>
          </w:tcPr>
          <w:p>
            <w:pPr>
              <w:pStyle w:val="TableContents"/>
              <w:spacing w:before="0" w:after="0"/>
              <w:ind w:left="0" w:right="0" w:hanging="0"/>
              <w:jc w:val="left"/>
              <w:rPr/>
            </w:pPr>
            <w:r>
              <w:rPr/>
              <w:t> </w:t>
            </w:r>
          </w:p>
        </w:tc>
        <w:tc>
          <w:tcPr>
            <w:tcW w:w="175" w:type="dxa"/>
            <w:tcBorders/>
            <w:shd w:fill="auto" w:val="clear"/>
            <w:vAlign w:val="center"/>
          </w:tcPr>
          <w:p>
            <w:pPr>
              <w:pStyle w:val="TableContents"/>
              <w:spacing w:before="0" w:after="0"/>
              <w:ind w:left="0" w:right="0" w:hanging="0"/>
              <w:jc w:val="left"/>
              <w:rPr/>
            </w:pPr>
            <w:r>
              <w:rPr/>
              <w:t> </w:t>
            </w:r>
          </w:p>
        </w:tc>
        <w:tc>
          <w:tcPr>
            <w:tcW w:w="937" w:type="dxa"/>
            <w:gridSpan w:val="2"/>
            <w:tcBorders/>
            <w:shd w:fill="auto" w:val="clear"/>
            <w:vAlign w:val="center"/>
          </w:tcPr>
          <w:p>
            <w:pPr>
              <w:pStyle w:val="TableContents"/>
              <w:spacing w:before="0" w:after="0"/>
              <w:ind w:left="0" w:right="0" w:hanging="0"/>
              <w:jc w:val="right"/>
              <w:rPr/>
            </w:pPr>
            <w:r>
              <w:rPr/>
              <w:t> </w:t>
            </w:r>
          </w:p>
        </w:tc>
        <w:tc>
          <w:tcPr>
            <w:tcW w:w="291" w:type="dxa"/>
            <w:tcBorders/>
            <w:shd w:fill="auto" w:val="clear"/>
            <w:vAlign w:val="center"/>
          </w:tcPr>
          <w:p>
            <w:pPr>
              <w:pStyle w:val="TableContents"/>
              <w:spacing w:before="0" w:after="0"/>
              <w:ind w:left="0" w:right="0" w:firstLine="100"/>
              <w:jc w:val="right"/>
              <w:rPr/>
            </w:pPr>
            <w:r>
              <w:rPr/>
              <w:t> </w:t>
            </w:r>
          </w:p>
        </w:tc>
      </w:tr>
      <w:tr>
        <w:trPr/>
        <w:tc>
          <w:tcPr>
            <w:tcW w:w="3196" w:type="dxa"/>
            <w:tcBorders/>
            <w:shd w:fill="auto" w:val="clear"/>
            <w:vAlign w:val="center"/>
          </w:tcPr>
          <w:p>
            <w:pPr>
              <w:pStyle w:val="TableContents"/>
              <w:spacing w:before="0" w:after="0"/>
              <w:ind w:left="100" w:right="0" w:hanging="0"/>
              <w:jc w:val="left"/>
              <w:rPr>
                <w:rFonts w:ascii="Times New Roman;serif" w:hAnsi="Times New Roman;serif"/>
                <w:b w:val="false"/>
                <w:sz w:val="20"/>
              </w:rPr>
            </w:pPr>
            <w:r>
              <w:rPr>
                <w:rFonts w:ascii="Times New Roman;serif" w:hAnsi="Times New Roman;serif"/>
                <w:b w:val="false"/>
                <w:sz w:val="20"/>
              </w:rPr>
              <w:t>Amortization of operating lease assets</w:t>
            </w:r>
          </w:p>
        </w:tc>
        <w:tc>
          <w:tcPr>
            <w:tcW w:w="146" w:type="dxa"/>
            <w:tcBorders/>
            <w:shd w:fill="auto" w:val="clear"/>
            <w:vAlign w:val="center"/>
          </w:tcPr>
          <w:p>
            <w:pPr>
              <w:pStyle w:val="TableContents"/>
              <w:spacing w:before="0" w:after="0"/>
              <w:ind w:left="0" w:right="0" w:hanging="0"/>
              <w:jc w:val="left"/>
              <w:rPr/>
            </w:pPr>
            <w:r>
              <w:rPr/>
              <w:t> </w:t>
            </w:r>
          </w:p>
        </w:tc>
        <w:tc>
          <w:tcPr>
            <w:tcW w:w="253"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84"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151</w:t>
            </w:r>
          </w:p>
        </w:tc>
        <w:tc>
          <w:tcPr>
            <w:tcW w:w="175" w:type="dxa"/>
            <w:tcBorders/>
            <w:shd w:fill="auto" w:val="clear"/>
            <w:vAlign w:val="center"/>
          </w:tcPr>
          <w:p>
            <w:pPr>
              <w:pStyle w:val="TableContents"/>
              <w:spacing w:before="0" w:after="0"/>
              <w:ind w:left="0" w:right="0" w:hanging="0"/>
              <w:jc w:val="left"/>
              <w:rPr/>
            </w:pPr>
            <w:r>
              <w:rPr/>
              <w:t> </w:t>
            </w:r>
          </w:p>
        </w:tc>
        <w:tc>
          <w:tcPr>
            <w:tcW w:w="175" w:type="dxa"/>
            <w:tcBorders/>
            <w:shd w:fill="auto" w:val="clear"/>
            <w:vAlign w:val="center"/>
          </w:tcPr>
          <w:p>
            <w:pPr>
              <w:pStyle w:val="TableContents"/>
              <w:spacing w:before="0" w:after="0"/>
              <w:ind w:left="0" w:right="0" w:hanging="0"/>
              <w:jc w:val="left"/>
              <w:rPr/>
            </w:pPr>
            <w:r>
              <w:rPr/>
              <w:t> </w:t>
            </w:r>
          </w:p>
        </w:tc>
        <w:tc>
          <w:tcPr>
            <w:tcW w:w="175" w:type="dxa"/>
            <w:tcBorders/>
            <w:shd w:fill="auto" w:val="clear"/>
            <w:vAlign w:val="center"/>
          </w:tcPr>
          <w:p>
            <w:pPr>
              <w:pStyle w:val="TableContents"/>
              <w:spacing w:before="0" w:after="0"/>
              <w:ind w:left="0" w:right="0" w:hanging="0"/>
              <w:jc w:val="left"/>
              <w:rPr/>
            </w:pPr>
            <w:r>
              <w:rPr/>
              <w:t> </w:t>
            </w:r>
          </w:p>
        </w:tc>
        <w:tc>
          <w:tcPr>
            <w:tcW w:w="253"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84"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693</w:t>
            </w:r>
          </w:p>
        </w:tc>
        <w:tc>
          <w:tcPr>
            <w:tcW w:w="291" w:type="dxa"/>
            <w:tcBorders/>
            <w:shd w:fill="auto" w:val="clear"/>
            <w:vAlign w:val="center"/>
          </w:tcPr>
          <w:p>
            <w:pPr>
              <w:pStyle w:val="TableContents"/>
              <w:spacing w:before="0" w:after="0"/>
              <w:ind w:left="0" w:right="0" w:firstLine="100"/>
              <w:jc w:val="left"/>
              <w:rPr/>
            </w:pPr>
            <w:r>
              <w:rPr/>
              <w:t> </w:t>
            </w:r>
          </w:p>
        </w:tc>
      </w:tr>
      <w:tr>
        <w:trPr/>
        <w:tc>
          <w:tcPr>
            <w:tcW w:w="3196" w:type="dxa"/>
            <w:tcBorders/>
            <w:shd w:fill="auto" w:val="clear"/>
            <w:vAlign w:val="center"/>
          </w:tcPr>
          <w:p>
            <w:pPr>
              <w:pStyle w:val="TableContents"/>
              <w:spacing w:before="0" w:after="0"/>
              <w:ind w:left="100" w:right="0" w:hanging="0"/>
              <w:jc w:val="left"/>
              <w:rPr>
                <w:rFonts w:ascii="Times New Roman;serif" w:hAnsi="Times New Roman;serif"/>
                <w:b w:val="false"/>
                <w:sz w:val="20"/>
              </w:rPr>
            </w:pPr>
            <w:r>
              <w:rPr>
                <w:rFonts w:ascii="Times New Roman;serif" w:hAnsi="Times New Roman;serif"/>
                <w:b w:val="false"/>
                <w:sz w:val="20"/>
              </w:rPr>
              <w:t>Interest on operating lease liabilities</w:t>
            </w:r>
          </w:p>
        </w:tc>
        <w:tc>
          <w:tcPr>
            <w:tcW w:w="146" w:type="dxa"/>
            <w:tcBorders/>
            <w:shd w:fill="auto" w:val="clear"/>
            <w:vAlign w:val="center"/>
          </w:tcPr>
          <w:p>
            <w:pPr>
              <w:pStyle w:val="TableContents"/>
              <w:spacing w:before="0" w:after="0"/>
              <w:ind w:left="0" w:right="0" w:hanging="0"/>
              <w:jc w:val="left"/>
              <w:rPr/>
            </w:pPr>
            <w:r>
              <w:rPr/>
              <w:t> </w:t>
            </w:r>
          </w:p>
        </w:tc>
        <w:tc>
          <w:tcPr>
            <w:tcW w:w="253" w:type="dxa"/>
            <w:tcBorders/>
            <w:shd w:fill="auto" w:val="clear"/>
            <w:vAlign w:val="center"/>
          </w:tcPr>
          <w:p>
            <w:pPr>
              <w:pStyle w:val="TableContents"/>
              <w:spacing w:before="0" w:after="0"/>
              <w:ind w:left="0" w:right="0" w:hanging="0"/>
              <w:jc w:val="left"/>
              <w:rPr/>
            </w:pPr>
            <w:r>
              <w:rPr/>
              <w:t> </w:t>
            </w:r>
          </w:p>
        </w:tc>
        <w:tc>
          <w:tcPr>
            <w:tcW w:w="684"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724</w:t>
            </w:r>
          </w:p>
        </w:tc>
        <w:tc>
          <w:tcPr>
            <w:tcW w:w="175" w:type="dxa"/>
            <w:tcBorders/>
            <w:shd w:fill="auto" w:val="clear"/>
            <w:vAlign w:val="center"/>
          </w:tcPr>
          <w:p>
            <w:pPr>
              <w:pStyle w:val="TableContents"/>
              <w:spacing w:before="0" w:after="0"/>
              <w:ind w:left="0" w:right="0" w:hanging="0"/>
              <w:jc w:val="left"/>
              <w:rPr/>
            </w:pPr>
            <w:r>
              <w:rPr/>
              <w:t> </w:t>
            </w:r>
          </w:p>
        </w:tc>
        <w:tc>
          <w:tcPr>
            <w:tcW w:w="175" w:type="dxa"/>
            <w:tcBorders/>
            <w:shd w:fill="auto" w:val="clear"/>
            <w:vAlign w:val="center"/>
          </w:tcPr>
          <w:p>
            <w:pPr>
              <w:pStyle w:val="TableContents"/>
              <w:spacing w:before="0" w:after="0"/>
              <w:ind w:left="0" w:right="0" w:hanging="0"/>
              <w:jc w:val="left"/>
              <w:rPr/>
            </w:pPr>
            <w:r>
              <w:rPr/>
              <w:t> </w:t>
            </w:r>
          </w:p>
        </w:tc>
        <w:tc>
          <w:tcPr>
            <w:tcW w:w="175" w:type="dxa"/>
            <w:tcBorders/>
            <w:shd w:fill="auto" w:val="clear"/>
            <w:vAlign w:val="center"/>
          </w:tcPr>
          <w:p>
            <w:pPr>
              <w:pStyle w:val="TableContents"/>
              <w:spacing w:before="0" w:after="0"/>
              <w:ind w:left="0" w:right="0" w:hanging="0"/>
              <w:jc w:val="left"/>
              <w:rPr/>
            </w:pPr>
            <w:r>
              <w:rPr/>
              <w:t> </w:t>
            </w:r>
          </w:p>
        </w:tc>
        <w:tc>
          <w:tcPr>
            <w:tcW w:w="253" w:type="dxa"/>
            <w:tcBorders/>
            <w:shd w:fill="auto" w:val="clear"/>
            <w:vAlign w:val="center"/>
          </w:tcPr>
          <w:p>
            <w:pPr>
              <w:pStyle w:val="TableContents"/>
              <w:spacing w:before="0" w:after="0"/>
              <w:ind w:left="0" w:right="0" w:hanging="0"/>
              <w:jc w:val="left"/>
              <w:rPr/>
            </w:pPr>
            <w:r>
              <w:rPr/>
              <w:t> </w:t>
            </w:r>
          </w:p>
        </w:tc>
        <w:tc>
          <w:tcPr>
            <w:tcW w:w="684"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215</w:t>
            </w:r>
          </w:p>
        </w:tc>
        <w:tc>
          <w:tcPr>
            <w:tcW w:w="291" w:type="dxa"/>
            <w:tcBorders/>
            <w:shd w:fill="auto" w:val="clear"/>
            <w:vAlign w:val="center"/>
          </w:tcPr>
          <w:p>
            <w:pPr>
              <w:pStyle w:val="TableContents"/>
              <w:spacing w:before="0" w:after="0"/>
              <w:ind w:left="0" w:right="0" w:firstLine="100"/>
              <w:jc w:val="left"/>
              <w:rPr/>
            </w:pPr>
            <w:r>
              <w:rPr/>
              <w:t> </w:t>
            </w:r>
          </w:p>
        </w:tc>
      </w:tr>
      <w:tr>
        <w:trPr/>
        <w:tc>
          <w:tcPr>
            <w:tcW w:w="3196" w:type="dxa"/>
            <w:tcBorders/>
            <w:shd w:fill="auto" w:val="clear"/>
            <w:vAlign w:val="center"/>
          </w:tcPr>
          <w:p>
            <w:pPr>
              <w:pStyle w:val="TableContents"/>
              <w:spacing w:before="0" w:after="0"/>
              <w:ind w:left="100" w:right="0" w:hanging="0"/>
              <w:jc w:val="left"/>
              <w:rPr>
                <w:rFonts w:ascii="Times New Roman;serif" w:hAnsi="Times New Roman;serif"/>
                <w:b w:val="false"/>
                <w:sz w:val="20"/>
              </w:rPr>
            </w:pPr>
            <w:r>
              <w:rPr>
                <w:rFonts w:ascii="Times New Roman;serif" w:hAnsi="Times New Roman;serif"/>
                <w:b w:val="false"/>
                <w:sz w:val="20"/>
              </w:rPr>
              <w:t>Short-term and variable lease costs</w:t>
            </w:r>
          </w:p>
        </w:tc>
        <w:tc>
          <w:tcPr>
            <w:tcW w:w="146" w:type="dxa"/>
            <w:tcBorders/>
            <w:shd w:fill="auto" w:val="clear"/>
            <w:vAlign w:val="center"/>
          </w:tcPr>
          <w:p>
            <w:pPr>
              <w:pStyle w:val="TableContents"/>
              <w:spacing w:before="0" w:after="0"/>
              <w:ind w:left="0" w:right="0" w:hanging="0"/>
              <w:jc w:val="left"/>
              <w:rPr/>
            </w:pPr>
            <w:r>
              <w:rPr/>
              <w:t> </w:t>
            </w:r>
          </w:p>
        </w:tc>
        <w:tc>
          <w:tcPr>
            <w:tcW w:w="253" w:type="dxa"/>
            <w:tcBorders/>
            <w:shd w:fill="auto" w:val="clear"/>
            <w:vAlign w:val="center"/>
          </w:tcPr>
          <w:p>
            <w:pPr>
              <w:pStyle w:val="TableContents"/>
              <w:spacing w:before="0" w:after="0"/>
              <w:ind w:left="0" w:right="0" w:hanging="0"/>
              <w:jc w:val="left"/>
              <w:rPr/>
            </w:pPr>
            <w:r>
              <w:rPr/>
              <w:t> </w:t>
            </w:r>
          </w:p>
        </w:tc>
        <w:tc>
          <w:tcPr>
            <w:tcW w:w="684"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204</w:t>
            </w:r>
          </w:p>
        </w:tc>
        <w:tc>
          <w:tcPr>
            <w:tcW w:w="175" w:type="dxa"/>
            <w:tcBorders/>
            <w:shd w:fill="auto" w:val="clear"/>
            <w:vAlign w:val="center"/>
          </w:tcPr>
          <w:p>
            <w:pPr>
              <w:pStyle w:val="TableContents"/>
              <w:spacing w:before="0" w:after="0"/>
              <w:ind w:left="0" w:right="0" w:hanging="0"/>
              <w:jc w:val="left"/>
              <w:rPr/>
            </w:pPr>
            <w:r>
              <w:rPr/>
              <w:t> </w:t>
            </w:r>
          </w:p>
        </w:tc>
        <w:tc>
          <w:tcPr>
            <w:tcW w:w="175" w:type="dxa"/>
            <w:tcBorders/>
            <w:shd w:fill="auto" w:val="clear"/>
            <w:vAlign w:val="center"/>
          </w:tcPr>
          <w:p>
            <w:pPr>
              <w:pStyle w:val="TableContents"/>
              <w:spacing w:before="0" w:after="0"/>
              <w:ind w:left="0" w:right="0" w:hanging="0"/>
              <w:jc w:val="left"/>
              <w:rPr/>
            </w:pPr>
            <w:r>
              <w:rPr/>
              <w:t> </w:t>
            </w:r>
          </w:p>
        </w:tc>
        <w:tc>
          <w:tcPr>
            <w:tcW w:w="175" w:type="dxa"/>
            <w:tcBorders/>
            <w:shd w:fill="auto" w:val="clear"/>
            <w:vAlign w:val="center"/>
          </w:tcPr>
          <w:p>
            <w:pPr>
              <w:pStyle w:val="TableContents"/>
              <w:spacing w:before="0" w:after="0"/>
              <w:ind w:left="0" w:right="0" w:hanging="0"/>
              <w:jc w:val="left"/>
              <w:rPr/>
            </w:pPr>
            <w:r>
              <w:rPr/>
              <w:t> </w:t>
            </w:r>
          </w:p>
        </w:tc>
        <w:tc>
          <w:tcPr>
            <w:tcW w:w="253" w:type="dxa"/>
            <w:tcBorders/>
            <w:shd w:fill="auto" w:val="clear"/>
            <w:vAlign w:val="center"/>
          </w:tcPr>
          <w:p>
            <w:pPr>
              <w:pStyle w:val="TableContents"/>
              <w:spacing w:before="0" w:after="0"/>
              <w:ind w:left="0" w:right="0" w:hanging="0"/>
              <w:jc w:val="left"/>
              <w:rPr/>
            </w:pPr>
            <w:r>
              <w:rPr/>
              <w:t> </w:t>
            </w:r>
          </w:p>
        </w:tc>
        <w:tc>
          <w:tcPr>
            <w:tcW w:w="684"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160</w:t>
            </w:r>
          </w:p>
        </w:tc>
        <w:tc>
          <w:tcPr>
            <w:tcW w:w="291" w:type="dxa"/>
            <w:tcBorders/>
            <w:shd w:fill="auto" w:val="clear"/>
            <w:vAlign w:val="center"/>
          </w:tcPr>
          <w:p>
            <w:pPr>
              <w:pStyle w:val="TableContents"/>
              <w:spacing w:before="0" w:after="0"/>
              <w:ind w:left="0" w:right="0" w:hanging="0"/>
              <w:jc w:val="left"/>
              <w:rPr/>
            </w:pPr>
            <w:r>
              <w:rPr/>
              <w:t> </w:t>
            </w:r>
          </w:p>
        </w:tc>
      </w:tr>
      <w:tr>
        <w:trPr/>
        <w:tc>
          <w:tcPr>
            <w:tcW w:w="319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Finance lease cost:</w:t>
            </w:r>
          </w:p>
        </w:tc>
        <w:tc>
          <w:tcPr>
            <w:tcW w:w="146" w:type="dxa"/>
            <w:tcBorders/>
            <w:shd w:fill="auto" w:val="clear"/>
            <w:vAlign w:val="center"/>
          </w:tcPr>
          <w:p>
            <w:pPr>
              <w:pStyle w:val="TableContents"/>
              <w:spacing w:before="0" w:after="0"/>
              <w:ind w:left="0" w:right="0" w:hanging="0"/>
              <w:jc w:val="left"/>
              <w:rPr/>
            </w:pPr>
            <w:r>
              <w:rPr/>
              <w:t> </w:t>
            </w:r>
          </w:p>
        </w:tc>
        <w:tc>
          <w:tcPr>
            <w:tcW w:w="937" w:type="dxa"/>
            <w:gridSpan w:val="2"/>
            <w:tcBorders/>
            <w:shd w:fill="auto" w:val="clear"/>
            <w:vAlign w:val="center"/>
          </w:tcPr>
          <w:p>
            <w:pPr>
              <w:pStyle w:val="TableContents"/>
              <w:spacing w:before="0" w:after="0"/>
              <w:ind w:left="0" w:right="0" w:hanging="0"/>
              <w:jc w:val="right"/>
              <w:rPr/>
            </w:pPr>
            <w:r>
              <w:rPr/>
              <w:t> </w:t>
            </w:r>
          </w:p>
        </w:tc>
        <w:tc>
          <w:tcPr>
            <w:tcW w:w="175" w:type="dxa"/>
            <w:tcBorders/>
            <w:shd w:fill="auto" w:val="clear"/>
            <w:vAlign w:val="center"/>
          </w:tcPr>
          <w:p>
            <w:pPr>
              <w:pStyle w:val="TableContents"/>
              <w:spacing w:before="0" w:after="0"/>
              <w:ind w:left="0" w:right="0" w:hanging="0"/>
              <w:jc w:val="right"/>
              <w:rPr/>
            </w:pPr>
            <w:r>
              <w:rPr/>
              <w:t> </w:t>
            </w:r>
          </w:p>
        </w:tc>
        <w:tc>
          <w:tcPr>
            <w:tcW w:w="175" w:type="dxa"/>
            <w:tcBorders/>
            <w:shd w:fill="auto" w:val="clear"/>
            <w:vAlign w:val="center"/>
          </w:tcPr>
          <w:p>
            <w:pPr>
              <w:pStyle w:val="TableContents"/>
              <w:spacing w:before="0" w:after="0"/>
              <w:ind w:left="0" w:right="0" w:hanging="0"/>
              <w:jc w:val="left"/>
              <w:rPr/>
            </w:pPr>
            <w:r>
              <w:rPr/>
              <w:t> </w:t>
            </w:r>
          </w:p>
        </w:tc>
        <w:tc>
          <w:tcPr>
            <w:tcW w:w="175" w:type="dxa"/>
            <w:tcBorders/>
            <w:shd w:fill="auto" w:val="clear"/>
            <w:vAlign w:val="center"/>
          </w:tcPr>
          <w:p>
            <w:pPr>
              <w:pStyle w:val="TableContents"/>
              <w:spacing w:before="0" w:after="0"/>
              <w:ind w:left="0" w:right="0" w:hanging="0"/>
              <w:jc w:val="left"/>
              <w:rPr/>
            </w:pPr>
            <w:r>
              <w:rPr/>
              <w:t> </w:t>
            </w:r>
          </w:p>
        </w:tc>
        <w:tc>
          <w:tcPr>
            <w:tcW w:w="937" w:type="dxa"/>
            <w:gridSpan w:val="2"/>
            <w:tcBorders/>
            <w:shd w:fill="auto" w:val="clear"/>
            <w:vAlign w:val="center"/>
          </w:tcPr>
          <w:p>
            <w:pPr>
              <w:pStyle w:val="TableContents"/>
              <w:spacing w:before="0" w:after="0"/>
              <w:ind w:left="0" w:right="0" w:hanging="0"/>
              <w:jc w:val="right"/>
              <w:rPr/>
            </w:pPr>
            <w:r>
              <w:rPr/>
              <w:t> </w:t>
            </w:r>
          </w:p>
        </w:tc>
        <w:tc>
          <w:tcPr>
            <w:tcW w:w="291" w:type="dxa"/>
            <w:tcBorders/>
            <w:shd w:fill="auto" w:val="clear"/>
            <w:vAlign w:val="center"/>
          </w:tcPr>
          <w:p>
            <w:pPr>
              <w:pStyle w:val="TableContents"/>
              <w:spacing w:before="0" w:after="0"/>
              <w:ind w:left="0" w:right="0" w:firstLine="100"/>
              <w:jc w:val="right"/>
              <w:rPr/>
            </w:pPr>
            <w:r>
              <w:rPr/>
              <w:t> </w:t>
            </w:r>
          </w:p>
        </w:tc>
      </w:tr>
      <w:tr>
        <w:trPr/>
        <w:tc>
          <w:tcPr>
            <w:tcW w:w="3196" w:type="dxa"/>
            <w:tcBorders/>
            <w:shd w:fill="auto" w:val="clear"/>
            <w:vAlign w:val="center"/>
          </w:tcPr>
          <w:p>
            <w:pPr>
              <w:pStyle w:val="TableContents"/>
              <w:spacing w:before="0" w:after="0"/>
              <w:ind w:left="100" w:right="0" w:hanging="0"/>
              <w:jc w:val="left"/>
              <w:rPr>
                <w:rFonts w:ascii="Times New Roman;serif" w:hAnsi="Times New Roman;serif"/>
                <w:b w:val="false"/>
                <w:sz w:val="20"/>
              </w:rPr>
            </w:pPr>
            <w:r>
              <w:rPr>
                <w:rFonts w:ascii="Times New Roman;serif" w:hAnsi="Times New Roman;serif"/>
                <w:b w:val="false"/>
                <w:sz w:val="20"/>
              </w:rPr>
              <w:t>Amortization of finance lease assets</w:t>
            </w:r>
          </w:p>
        </w:tc>
        <w:tc>
          <w:tcPr>
            <w:tcW w:w="146" w:type="dxa"/>
            <w:tcBorders/>
            <w:shd w:fill="auto" w:val="clear"/>
            <w:vAlign w:val="center"/>
          </w:tcPr>
          <w:p>
            <w:pPr>
              <w:pStyle w:val="TableContents"/>
              <w:spacing w:before="0" w:after="0"/>
              <w:ind w:left="0" w:right="0" w:hanging="0"/>
              <w:jc w:val="left"/>
              <w:rPr/>
            </w:pPr>
            <w:r>
              <w:rPr/>
              <w:t> </w:t>
            </w:r>
          </w:p>
        </w:tc>
        <w:tc>
          <w:tcPr>
            <w:tcW w:w="253" w:type="dxa"/>
            <w:tcBorders/>
            <w:shd w:fill="auto" w:val="clear"/>
            <w:vAlign w:val="center"/>
          </w:tcPr>
          <w:p>
            <w:pPr>
              <w:pStyle w:val="TableContents"/>
              <w:spacing w:before="0" w:after="0"/>
              <w:ind w:left="0" w:right="0" w:hanging="0"/>
              <w:jc w:val="left"/>
              <w:rPr/>
            </w:pPr>
            <w:r>
              <w:rPr/>
              <w:t> </w:t>
            </w:r>
          </w:p>
        </w:tc>
        <w:tc>
          <w:tcPr>
            <w:tcW w:w="684"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100</w:t>
            </w:r>
          </w:p>
        </w:tc>
        <w:tc>
          <w:tcPr>
            <w:tcW w:w="175" w:type="dxa"/>
            <w:tcBorders/>
            <w:shd w:fill="auto" w:val="clear"/>
            <w:vAlign w:val="center"/>
          </w:tcPr>
          <w:p>
            <w:pPr>
              <w:pStyle w:val="TableContents"/>
              <w:spacing w:before="0" w:after="0"/>
              <w:ind w:left="0" w:right="0" w:hanging="0"/>
              <w:jc w:val="left"/>
              <w:rPr/>
            </w:pPr>
            <w:r>
              <w:rPr/>
              <w:t> </w:t>
            </w:r>
          </w:p>
        </w:tc>
        <w:tc>
          <w:tcPr>
            <w:tcW w:w="175" w:type="dxa"/>
            <w:tcBorders/>
            <w:shd w:fill="auto" w:val="clear"/>
            <w:vAlign w:val="center"/>
          </w:tcPr>
          <w:p>
            <w:pPr>
              <w:pStyle w:val="TableContents"/>
              <w:spacing w:before="0" w:after="0"/>
              <w:ind w:left="0" w:right="0" w:hanging="0"/>
              <w:jc w:val="left"/>
              <w:rPr/>
            </w:pPr>
            <w:r>
              <w:rPr/>
              <w:t> </w:t>
            </w:r>
          </w:p>
        </w:tc>
        <w:tc>
          <w:tcPr>
            <w:tcW w:w="175" w:type="dxa"/>
            <w:tcBorders/>
            <w:shd w:fill="auto" w:val="clear"/>
            <w:vAlign w:val="center"/>
          </w:tcPr>
          <w:p>
            <w:pPr>
              <w:pStyle w:val="TableContents"/>
              <w:spacing w:before="0" w:after="0"/>
              <w:ind w:left="0" w:right="0" w:hanging="0"/>
              <w:jc w:val="left"/>
              <w:rPr/>
            </w:pPr>
            <w:r>
              <w:rPr/>
              <w:t> </w:t>
            </w:r>
          </w:p>
        </w:tc>
        <w:tc>
          <w:tcPr>
            <w:tcW w:w="937" w:type="dxa"/>
            <w:gridSpan w:val="2"/>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N/A</w:t>
            </w:r>
          </w:p>
        </w:tc>
        <w:tc>
          <w:tcPr>
            <w:tcW w:w="291" w:type="dxa"/>
            <w:tcBorders/>
            <w:shd w:fill="auto" w:val="clear"/>
            <w:vAlign w:val="center"/>
          </w:tcPr>
          <w:p>
            <w:pPr>
              <w:pStyle w:val="TableContents"/>
              <w:spacing w:before="0" w:after="0"/>
              <w:ind w:left="0" w:right="0" w:firstLine="100"/>
              <w:jc w:val="right"/>
              <w:rPr/>
            </w:pPr>
            <w:r>
              <w:rPr/>
              <w:t> </w:t>
            </w:r>
          </w:p>
        </w:tc>
      </w:tr>
      <w:tr>
        <w:trPr/>
        <w:tc>
          <w:tcPr>
            <w:tcW w:w="3196" w:type="dxa"/>
            <w:tcBorders/>
            <w:shd w:fill="auto" w:val="clear"/>
            <w:vAlign w:val="center"/>
          </w:tcPr>
          <w:p>
            <w:pPr>
              <w:pStyle w:val="TableContents"/>
              <w:spacing w:before="0" w:after="0"/>
              <w:ind w:left="100" w:right="0" w:hanging="0"/>
              <w:jc w:val="left"/>
              <w:rPr>
                <w:rFonts w:ascii="Times New Roman;serif" w:hAnsi="Times New Roman;serif"/>
                <w:b w:val="false"/>
                <w:sz w:val="20"/>
              </w:rPr>
            </w:pPr>
            <w:r>
              <w:rPr>
                <w:rFonts w:ascii="Times New Roman;serif" w:hAnsi="Times New Roman;serif"/>
                <w:b w:val="false"/>
                <w:sz w:val="20"/>
              </w:rPr>
              <w:t>Interest on finance lease liabilities</w:t>
            </w:r>
          </w:p>
        </w:tc>
        <w:tc>
          <w:tcPr>
            <w:tcW w:w="146" w:type="dxa"/>
            <w:tcBorders/>
            <w:shd w:fill="auto" w:val="clear"/>
            <w:vAlign w:val="center"/>
          </w:tcPr>
          <w:p>
            <w:pPr>
              <w:pStyle w:val="TableContents"/>
              <w:spacing w:before="0" w:after="0"/>
              <w:ind w:left="0" w:right="0" w:hanging="0"/>
              <w:jc w:val="left"/>
              <w:rPr/>
            </w:pPr>
            <w:r>
              <w:rPr/>
              <w:t> </w:t>
            </w:r>
          </w:p>
        </w:tc>
        <w:tc>
          <w:tcPr>
            <w:tcW w:w="253"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684"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14</w:t>
            </w:r>
          </w:p>
        </w:tc>
        <w:tc>
          <w:tcPr>
            <w:tcW w:w="175"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75" w:type="dxa"/>
            <w:tcBorders/>
            <w:shd w:fill="auto" w:val="clear"/>
            <w:vAlign w:val="center"/>
          </w:tcPr>
          <w:p>
            <w:pPr>
              <w:pStyle w:val="TableContents"/>
              <w:spacing w:before="0" w:after="0"/>
              <w:ind w:left="0" w:right="0" w:hanging="0"/>
              <w:jc w:val="left"/>
              <w:rPr/>
            </w:pPr>
            <w:r>
              <w:rPr/>
              <w:t> </w:t>
            </w:r>
          </w:p>
        </w:tc>
        <w:tc>
          <w:tcPr>
            <w:tcW w:w="175" w:type="dxa"/>
            <w:tcBorders/>
            <w:shd w:fill="auto" w:val="clear"/>
            <w:vAlign w:val="center"/>
          </w:tcPr>
          <w:p>
            <w:pPr>
              <w:pStyle w:val="TableContents"/>
              <w:spacing w:before="0" w:after="0"/>
              <w:ind w:left="0" w:right="0" w:hanging="0"/>
              <w:jc w:val="left"/>
              <w:rPr/>
            </w:pPr>
            <w:r>
              <w:rPr/>
              <w:t> </w:t>
            </w:r>
          </w:p>
        </w:tc>
        <w:tc>
          <w:tcPr>
            <w:tcW w:w="937"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N/A</w:t>
            </w:r>
          </w:p>
        </w:tc>
        <w:tc>
          <w:tcPr>
            <w:tcW w:w="2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pPr>
            <w:r>
              <w:rPr/>
              <w:t> </w:t>
            </w:r>
          </w:p>
        </w:tc>
      </w:tr>
      <w:tr>
        <w:trPr/>
        <w:tc>
          <w:tcPr>
            <w:tcW w:w="3196" w:type="dxa"/>
            <w:tcBorders/>
            <w:shd w:fill="auto" w:val="clear"/>
            <w:vAlign w:val="center"/>
          </w:tcPr>
          <w:p>
            <w:pPr>
              <w:pStyle w:val="TableContents"/>
              <w:spacing w:before="0" w:after="0"/>
              <w:ind w:left="0" w:right="0" w:firstLine="100"/>
              <w:jc w:val="left"/>
              <w:rPr>
                <w:rFonts w:ascii="Times New Roman;serif" w:hAnsi="Times New Roman;serif"/>
                <w:b w:val="false"/>
                <w:sz w:val="20"/>
              </w:rPr>
            </w:pPr>
            <w:r>
              <w:rPr>
                <w:rFonts w:ascii="Times New Roman;serif" w:hAnsi="Times New Roman;serif"/>
                <w:b w:val="false"/>
                <w:sz w:val="20"/>
              </w:rPr>
              <w:t>Total lease cost</w:t>
            </w:r>
          </w:p>
        </w:tc>
        <w:tc>
          <w:tcPr>
            <w:tcW w:w="146" w:type="dxa"/>
            <w:tcBorders/>
            <w:shd w:fill="auto" w:val="clear"/>
            <w:vAlign w:val="center"/>
          </w:tcPr>
          <w:p>
            <w:pPr>
              <w:pStyle w:val="TableContents"/>
              <w:spacing w:before="0" w:after="0"/>
              <w:ind w:left="100" w:right="0" w:hanging="0"/>
              <w:jc w:val="left"/>
              <w:rPr/>
            </w:pPr>
            <w:r>
              <w:rPr/>
              <w:t> </w:t>
            </w:r>
          </w:p>
        </w:tc>
        <w:tc>
          <w:tcPr>
            <w:tcW w:w="253"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84"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1,193</w:t>
            </w:r>
          </w:p>
        </w:tc>
        <w:tc>
          <w:tcPr>
            <w:tcW w:w="175"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75" w:type="dxa"/>
            <w:tcBorders/>
            <w:shd w:fill="auto" w:val="clear"/>
            <w:vAlign w:val="center"/>
          </w:tcPr>
          <w:p>
            <w:pPr>
              <w:pStyle w:val="TableContents"/>
              <w:spacing w:before="0" w:after="0"/>
              <w:ind w:left="0" w:right="0" w:hanging="0"/>
              <w:jc w:val="right"/>
              <w:rPr/>
            </w:pPr>
            <w:r>
              <w:rPr/>
              <w:t> </w:t>
            </w:r>
          </w:p>
        </w:tc>
        <w:tc>
          <w:tcPr>
            <w:tcW w:w="175" w:type="dxa"/>
            <w:tcBorders/>
            <w:shd w:fill="auto" w:val="clear"/>
            <w:vAlign w:val="center"/>
          </w:tcPr>
          <w:p>
            <w:pPr>
              <w:pStyle w:val="TableContents"/>
              <w:spacing w:before="0" w:after="0"/>
              <w:ind w:left="0" w:right="0" w:hanging="0"/>
              <w:jc w:val="right"/>
              <w:rPr/>
            </w:pPr>
            <w:r>
              <w:rPr/>
              <w:t> </w:t>
            </w:r>
          </w:p>
        </w:tc>
        <w:tc>
          <w:tcPr>
            <w:tcW w:w="253"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84"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1,068</w:t>
            </w:r>
          </w:p>
        </w:tc>
        <w:tc>
          <w:tcPr>
            <w:tcW w:w="29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bl>
    <w:p>
      <w:pPr>
        <w:pStyle w:val="TextBody"/>
        <w:spacing w:before="200" w:after="0"/>
        <w:jc w:val="both"/>
        <w:rPr>
          <w:rFonts w:ascii="Times New Roman;serif" w:hAnsi="Times New Roman;serif"/>
          <w:b w:val="false"/>
          <w:sz w:val="20"/>
        </w:rPr>
      </w:pPr>
      <w:r>
        <w:rPr>
          <w:rFonts w:ascii="Times New Roman;serif" w:hAnsi="Times New Roman;serif"/>
          <w:b w:val="false"/>
          <w:sz w:val="20"/>
        </w:rPr>
        <w:t>For the three months ended March 31, 2023 and 2022, supplemental cash and non-cash information related to leases is as follows:</w:t>
      </w:r>
    </w:p>
    <w:p>
      <w:pPr>
        <w:pStyle w:val="TextBody"/>
        <w:spacing w:before="0" w:after="0"/>
        <w:jc w:val="both"/>
        <w:rPr/>
      </w:pPr>
      <w:r>
        <w:rPr/>
        <w:t> </w:t>
      </w:r>
    </w:p>
    <w:tbl>
      <w:tblPr>
        <w:tblW w:w="8658" w:type="dxa"/>
        <w:jc w:val="left"/>
        <w:tblInd w:w="0" w:type="dxa"/>
        <w:tblCellMar>
          <w:top w:w="28" w:type="dxa"/>
          <w:left w:w="28" w:type="dxa"/>
          <w:bottom w:w="28" w:type="dxa"/>
          <w:right w:w="28" w:type="dxa"/>
        </w:tblCellMar>
      </w:tblPr>
      <w:tblGrid>
        <w:gridCol w:w="5971"/>
        <w:gridCol w:w="274"/>
        <w:gridCol w:w="189"/>
        <w:gridCol w:w="546"/>
        <w:gridCol w:w="189"/>
        <w:gridCol w:w="189"/>
        <w:gridCol w:w="274"/>
        <w:gridCol w:w="189"/>
        <w:gridCol w:w="546"/>
        <w:gridCol w:w="291"/>
      </w:tblGrid>
      <w:tr>
        <w:trPr/>
        <w:tc>
          <w:tcPr>
            <w:tcW w:w="5971" w:type="dxa"/>
            <w:tcBorders/>
            <w:shd w:fill="auto" w:val="clear"/>
            <w:vAlign w:val="center"/>
          </w:tcPr>
          <w:p>
            <w:pPr>
              <w:pStyle w:val="TableContents"/>
              <w:spacing w:before="0" w:after="283"/>
              <w:rPr>
                <w:sz w:val="4"/>
                <w:szCs w:val="4"/>
              </w:rPr>
            </w:pPr>
            <w:r>
              <w:rPr>
                <w:sz w:val="4"/>
                <w:szCs w:val="4"/>
              </w:rPr>
            </w:r>
          </w:p>
        </w:tc>
        <w:tc>
          <w:tcPr>
            <w:tcW w:w="274" w:type="dxa"/>
            <w:tcBorders/>
            <w:shd w:fill="auto" w:val="clear"/>
            <w:vAlign w:val="center"/>
          </w:tcPr>
          <w:p>
            <w:pPr>
              <w:pStyle w:val="TableContents"/>
              <w:spacing w:before="0" w:after="283"/>
              <w:rPr>
                <w:sz w:val="4"/>
                <w:szCs w:val="4"/>
              </w:rPr>
            </w:pPr>
            <w:r>
              <w:rPr>
                <w:sz w:val="4"/>
                <w:szCs w:val="4"/>
              </w:rPr>
            </w:r>
          </w:p>
        </w:tc>
        <w:tc>
          <w:tcPr>
            <w:tcW w:w="189" w:type="dxa"/>
            <w:tcBorders/>
            <w:shd w:fill="auto" w:val="clear"/>
            <w:vAlign w:val="center"/>
          </w:tcPr>
          <w:p>
            <w:pPr>
              <w:pStyle w:val="TableContents"/>
              <w:spacing w:before="0" w:after="283"/>
              <w:rPr>
                <w:sz w:val="4"/>
                <w:szCs w:val="4"/>
              </w:rPr>
            </w:pPr>
            <w:r>
              <w:rPr>
                <w:sz w:val="4"/>
                <w:szCs w:val="4"/>
              </w:rPr>
            </w:r>
          </w:p>
        </w:tc>
        <w:tc>
          <w:tcPr>
            <w:tcW w:w="546" w:type="dxa"/>
            <w:tcBorders/>
            <w:shd w:fill="auto" w:val="clear"/>
            <w:vAlign w:val="center"/>
          </w:tcPr>
          <w:p>
            <w:pPr>
              <w:pStyle w:val="TableContents"/>
              <w:spacing w:before="0" w:after="283"/>
              <w:rPr>
                <w:sz w:val="4"/>
                <w:szCs w:val="4"/>
              </w:rPr>
            </w:pPr>
            <w:r>
              <w:rPr>
                <w:sz w:val="4"/>
                <w:szCs w:val="4"/>
              </w:rPr>
            </w:r>
          </w:p>
        </w:tc>
        <w:tc>
          <w:tcPr>
            <w:tcW w:w="189" w:type="dxa"/>
            <w:tcBorders/>
            <w:shd w:fill="auto" w:val="clear"/>
            <w:vAlign w:val="center"/>
          </w:tcPr>
          <w:p>
            <w:pPr>
              <w:pStyle w:val="TableContents"/>
              <w:spacing w:before="0" w:after="283"/>
              <w:rPr>
                <w:sz w:val="4"/>
                <w:szCs w:val="4"/>
              </w:rPr>
            </w:pPr>
            <w:r>
              <w:rPr>
                <w:sz w:val="4"/>
                <w:szCs w:val="4"/>
              </w:rPr>
            </w:r>
          </w:p>
        </w:tc>
        <w:tc>
          <w:tcPr>
            <w:tcW w:w="189" w:type="dxa"/>
            <w:tcBorders/>
            <w:shd w:fill="auto" w:val="clear"/>
            <w:vAlign w:val="center"/>
          </w:tcPr>
          <w:p>
            <w:pPr>
              <w:pStyle w:val="TableContents"/>
              <w:spacing w:before="0" w:after="283"/>
              <w:rPr>
                <w:sz w:val="4"/>
                <w:szCs w:val="4"/>
              </w:rPr>
            </w:pPr>
            <w:r>
              <w:rPr>
                <w:sz w:val="4"/>
                <w:szCs w:val="4"/>
              </w:rPr>
            </w:r>
          </w:p>
        </w:tc>
        <w:tc>
          <w:tcPr>
            <w:tcW w:w="274" w:type="dxa"/>
            <w:tcBorders/>
            <w:shd w:fill="auto" w:val="clear"/>
            <w:vAlign w:val="center"/>
          </w:tcPr>
          <w:p>
            <w:pPr>
              <w:pStyle w:val="TableContents"/>
              <w:spacing w:before="0" w:after="283"/>
              <w:rPr>
                <w:sz w:val="4"/>
                <w:szCs w:val="4"/>
              </w:rPr>
            </w:pPr>
            <w:r>
              <w:rPr>
                <w:sz w:val="4"/>
                <w:szCs w:val="4"/>
              </w:rPr>
            </w:r>
          </w:p>
        </w:tc>
        <w:tc>
          <w:tcPr>
            <w:tcW w:w="189" w:type="dxa"/>
            <w:tcBorders/>
            <w:shd w:fill="auto" w:val="clear"/>
            <w:vAlign w:val="center"/>
          </w:tcPr>
          <w:p>
            <w:pPr>
              <w:pStyle w:val="TableContents"/>
              <w:spacing w:before="0" w:after="283"/>
              <w:rPr>
                <w:sz w:val="4"/>
                <w:szCs w:val="4"/>
              </w:rPr>
            </w:pPr>
            <w:r>
              <w:rPr>
                <w:sz w:val="4"/>
                <w:szCs w:val="4"/>
              </w:rPr>
            </w:r>
          </w:p>
        </w:tc>
        <w:tc>
          <w:tcPr>
            <w:tcW w:w="546" w:type="dxa"/>
            <w:tcBorders/>
            <w:shd w:fill="auto" w:val="clear"/>
            <w:vAlign w:val="center"/>
          </w:tcPr>
          <w:p>
            <w:pPr>
              <w:pStyle w:val="TableContents"/>
              <w:spacing w:before="0" w:after="283"/>
              <w:rPr>
                <w:sz w:val="4"/>
                <w:szCs w:val="4"/>
              </w:rPr>
            </w:pPr>
            <w:r>
              <w:rPr>
                <w:sz w:val="4"/>
                <w:szCs w:val="4"/>
              </w:rPr>
            </w:r>
          </w:p>
        </w:tc>
        <w:tc>
          <w:tcPr>
            <w:tcW w:w="291" w:type="dxa"/>
            <w:tcBorders/>
            <w:shd w:fill="auto" w:val="clear"/>
            <w:vAlign w:val="center"/>
          </w:tcPr>
          <w:p>
            <w:pPr>
              <w:pStyle w:val="TableContents"/>
              <w:spacing w:before="0" w:after="283"/>
              <w:rPr>
                <w:sz w:val="4"/>
                <w:szCs w:val="4"/>
              </w:rPr>
            </w:pPr>
            <w:r>
              <w:rPr>
                <w:sz w:val="4"/>
                <w:szCs w:val="4"/>
              </w:rPr>
            </w:r>
          </w:p>
        </w:tc>
      </w:tr>
      <w:tr>
        <w:trPr/>
        <w:tc>
          <w:tcPr>
            <w:tcW w:w="5971" w:type="dxa"/>
            <w:tcBorders/>
            <w:shd w:fill="auto" w:val="clear"/>
            <w:vAlign w:val="center"/>
          </w:tcPr>
          <w:p>
            <w:pPr>
              <w:pStyle w:val="TableContents"/>
              <w:spacing w:before="0" w:after="0"/>
              <w:ind w:left="0" w:right="0" w:hanging="0"/>
              <w:jc w:val="left"/>
              <w:rPr/>
            </w:pPr>
            <w:r>
              <w:rPr/>
              <w:t> </w:t>
            </w:r>
          </w:p>
        </w:tc>
        <w:tc>
          <w:tcPr>
            <w:tcW w:w="2396" w:type="dxa"/>
            <w:gridSpan w:val="8"/>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Three Months Ended March 31,</w:t>
            </w:r>
          </w:p>
        </w:tc>
        <w:tc>
          <w:tcPr>
            <w:tcW w:w="2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5971" w:type="dxa"/>
            <w:tcBorders/>
            <w:shd w:fill="auto" w:val="clear"/>
            <w:vAlign w:val="center"/>
          </w:tcPr>
          <w:p>
            <w:pPr>
              <w:pStyle w:val="TableContents"/>
              <w:spacing w:before="0" w:after="0"/>
              <w:ind w:left="0" w:right="0" w:hanging="0"/>
              <w:jc w:val="left"/>
              <w:rPr>
                <w:rFonts w:ascii="Times New Roman;serif" w:hAnsi="Times New Roman;serif"/>
                <w:b w:val="false"/>
                <w:i/>
                <w:sz w:val="16"/>
              </w:rPr>
            </w:pPr>
            <w:r>
              <w:rPr>
                <w:rFonts w:ascii="Times New Roman;serif" w:hAnsi="Times New Roman;serif"/>
                <w:b w:val="false"/>
                <w:i/>
                <w:sz w:val="16"/>
              </w:rPr>
              <w:t>(In thousands of U.S. Dollars)</w:t>
            </w:r>
          </w:p>
        </w:tc>
        <w:tc>
          <w:tcPr>
            <w:tcW w:w="274"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735"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2023</w:t>
            </w:r>
          </w:p>
        </w:tc>
        <w:tc>
          <w:tcPr>
            <w:tcW w:w="189"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89" w:type="dxa"/>
            <w:tcBorders/>
            <w:shd w:fill="auto" w:val="clear"/>
            <w:vAlign w:val="center"/>
          </w:tcPr>
          <w:p>
            <w:pPr>
              <w:pStyle w:val="TableContents"/>
              <w:spacing w:before="0" w:after="0"/>
              <w:ind w:left="0" w:right="0" w:hanging="0"/>
              <w:jc w:val="center"/>
              <w:rPr/>
            </w:pPr>
            <w:r>
              <w:rPr/>
              <w:t> </w:t>
            </w:r>
          </w:p>
        </w:tc>
        <w:tc>
          <w:tcPr>
            <w:tcW w:w="274"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735"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2022</w:t>
            </w:r>
          </w:p>
        </w:tc>
        <w:tc>
          <w:tcPr>
            <w:tcW w:w="2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597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Cash paid for amounts included in the measurement of lease liabilities:</w:t>
            </w:r>
          </w:p>
        </w:tc>
        <w:tc>
          <w:tcPr>
            <w:tcW w:w="274" w:type="dxa"/>
            <w:tcBorders/>
            <w:shd w:fill="auto" w:val="clear"/>
            <w:vAlign w:val="center"/>
          </w:tcPr>
          <w:p>
            <w:pPr>
              <w:pStyle w:val="TableContents"/>
              <w:spacing w:before="0" w:after="0"/>
              <w:ind w:left="0" w:right="0" w:hanging="0"/>
              <w:jc w:val="left"/>
              <w:rPr/>
            </w:pPr>
            <w:r>
              <w:rPr/>
              <w:t> </w:t>
            </w:r>
          </w:p>
        </w:tc>
        <w:tc>
          <w:tcPr>
            <w:tcW w:w="735" w:type="dxa"/>
            <w:gridSpan w:val="2"/>
            <w:tcBorders/>
            <w:shd w:fill="auto" w:val="clear"/>
            <w:vAlign w:val="center"/>
          </w:tcPr>
          <w:p>
            <w:pPr>
              <w:pStyle w:val="TableContents"/>
              <w:spacing w:before="0" w:after="0"/>
              <w:ind w:left="0" w:right="0" w:hanging="0"/>
              <w:jc w:val="right"/>
              <w:rPr/>
            </w:pPr>
            <w:r>
              <w:rPr/>
              <w:t> </w:t>
            </w:r>
          </w:p>
        </w:tc>
        <w:tc>
          <w:tcPr>
            <w:tcW w:w="189" w:type="dxa"/>
            <w:tcBorders/>
            <w:shd w:fill="auto" w:val="clear"/>
            <w:vAlign w:val="center"/>
          </w:tcPr>
          <w:p>
            <w:pPr>
              <w:pStyle w:val="TableContents"/>
              <w:spacing w:before="0" w:after="0"/>
              <w:ind w:left="0" w:right="0" w:hanging="0"/>
              <w:jc w:val="right"/>
              <w:rPr/>
            </w:pPr>
            <w:r>
              <w:rPr/>
              <w:t> </w:t>
            </w:r>
          </w:p>
        </w:tc>
        <w:tc>
          <w:tcPr>
            <w:tcW w:w="189" w:type="dxa"/>
            <w:tcBorders/>
            <w:shd w:fill="auto" w:val="clear"/>
            <w:vAlign w:val="center"/>
          </w:tcPr>
          <w:p>
            <w:pPr>
              <w:pStyle w:val="TableContents"/>
              <w:spacing w:before="0" w:after="0"/>
              <w:ind w:left="0" w:right="0" w:hanging="0"/>
              <w:jc w:val="left"/>
              <w:rPr/>
            </w:pPr>
            <w:r>
              <w:rPr/>
              <w:t> </w:t>
            </w:r>
          </w:p>
        </w:tc>
        <w:tc>
          <w:tcPr>
            <w:tcW w:w="274" w:type="dxa"/>
            <w:tcBorders/>
            <w:shd w:fill="auto" w:val="clear"/>
            <w:vAlign w:val="center"/>
          </w:tcPr>
          <w:p>
            <w:pPr>
              <w:pStyle w:val="TableContents"/>
              <w:spacing w:before="0" w:after="0"/>
              <w:ind w:left="0" w:right="0" w:hanging="0"/>
              <w:jc w:val="left"/>
              <w:rPr/>
            </w:pPr>
            <w:r>
              <w:rPr/>
              <w:t> </w:t>
            </w:r>
          </w:p>
        </w:tc>
        <w:tc>
          <w:tcPr>
            <w:tcW w:w="735" w:type="dxa"/>
            <w:gridSpan w:val="2"/>
            <w:tcBorders/>
            <w:shd w:fill="auto" w:val="clear"/>
            <w:vAlign w:val="center"/>
          </w:tcPr>
          <w:p>
            <w:pPr>
              <w:pStyle w:val="TableContents"/>
              <w:spacing w:before="0" w:after="0"/>
              <w:ind w:left="0" w:right="0" w:hanging="0"/>
              <w:jc w:val="left"/>
              <w:rPr/>
            </w:pPr>
            <w:r>
              <w:rPr/>
              <w:t> </w:t>
            </w:r>
          </w:p>
        </w:tc>
        <w:tc>
          <w:tcPr>
            <w:tcW w:w="291" w:type="dxa"/>
            <w:tcBorders/>
            <w:shd w:fill="auto" w:val="clear"/>
            <w:vAlign w:val="center"/>
          </w:tcPr>
          <w:p>
            <w:pPr>
              <w:pStyle w:val="TableContents"/>
              <w:spacing w:before="0" w:after="0"/>
              <w:ind w:left="0" w:right="0" w:firstLine="100"/>
              <w:jc w:val="left"/>
              <w:rPr/>
            </w:pPr>
            <w:r>
              <w:rPr/>
              <w:t> </w:t>
            </w:r>
          </w:p>
        </w:tc>
      </w:tr>
      <w:tr>
        <w:trPr/>
        <w:tc>
          <w:tcPr>
            <w:tcW w:w="5971" w:type="dxa"/>
            <w:tcBorders/>
            <w:shd w:fill="auto" w:val="clear"/>
            <w:vAlign w:val="center"/>
          </w:tcPr>
          <w:p>
            <w:pPr>
              <w:pStyle w:val="TableContents"/>
              <w:spacing w:before="0" w:after="0"/>
              <w:ind w:left="100" w:right="0" w:hanging="0"/>
              <w:jc w:val="left"/>
              <w:rPr>
                <w:rFonts w:ascii="Times New Roman;serif" w:hAnsi="Times New Roman;serif"/>
                <w:b w:val="false"/>
                <w:sz w:val="20"/>
              </w:rPr>
            </w:pPr>
            <w:r>
              <w:rPr>
                <w:rFonts w:ascii="Times New Roman;serif" w:hAnsi="Times New Roman;serif"/>
                <w:b w:val="false"/>
                <w:sz w:val="20"/>
              </w:rPr>
              <w:t>Operating leases</w:t>
            </w:r>
          </w:p>
        </w:tc>
        <w:tc>
          <w:tcPr>
            <w:tcW w:w="274"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89"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5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971</w:t>
            </w:r>
          </w:p>
        </w:tc>
        <w:tc>
          <w:tcPr>
            <w:tcW w:w="189"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89" w:type="dxa"/>
            <w:tcBorders/>
            <w:shd w:fill="auto" w:val="clear"/>
            <w:vAlign w:val="center"/>
          </w:tcPr>
          <w:p>
            <w:pPr>
              <w:pStyle w:val="TableContents"/>
              <w:spacing w:before="0" w:after="0"/>
              <w:ind w:left="0" w:right="0" w:hanging="0"/>
              <w:jc w:val="left"/>
              <w:rPr/>
            </w:pPr>
            <w:r>
              <w:rPr/>
              <w:t> </w:t>
            </w:r>
          </w:p>
        </w:tc>
        <w:tc>
          <w:tcPr>
            <w:tcW w:w="274"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89"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5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945</w:t>
            </w:r>
          </w:p>
        </w:tc>
        <w:tc>
          <w:tcPr>
            <w:tcW w:w="29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firstLine="100"/>
              <w:jc w:val="left"/>
              <w:rPr/>
            </w:pPr>
            <w:r>
              <w:rPr/>
              <w:t> </w:t>
            </w:r>
          </w:p>
        </w:tc>
      </w:tr>
      <w:tr>
        <w:trPr/>
        <w:tc>
          <w:tcPr>
            <w:tcW w:w="5971" w:type="dxa"/>
            <w:tcBorders/>
            <w:shd w:fill="auto" w:val="clear"/>
            <w:vAlign w:val="center"/>
          </w:tcPr>
          <w:p>
            <w:pPr>
              <w:pStyle w:val="TableContents"/>
              <w:spacing w:before="0" w:after="0"/>
              <w:ind w:left="100" w:right="0" w:hanging="0"/>
              <w:jc w:val="left"/>
              <w:rPr>
                <w:rFonts w:ascii="Times New Roman;serif" w:hAnsi="Times New Roman;serif"/>
                <w:b w:val="false"/>
                <w:sz w:val="20"/>
              </w:rPr>
            </w:pPr>
            <w:r>
              <w:rPr>
                <w:rFonts w:ascii="Times New Roman;serif" w:hAnsi="Times New Roman;serif"/>
                <w:b w:val="false"/>
                <w:sz w:val="20"/>
              </w:rPr>
              <w:t>Finance leases</w:t>
            </w:r>
          </w:p>
        </w:tc>
        <w:tc>
          <w:tcPr>
            <w:tcW w:w="274"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89"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5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pPr>
            <w:r>
              <w:rPr/>
              <w:t>—</w:t>
            </w:r>
          </w:p>
        </w:tc>
        <w:tc>
          <w:tcPr>
            <w:tcW w:w="189"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89" w:type="dxa"/>
            <w:tcBorders/>
            <w:shd w:fill="auto" w:val="clear"/>
            <w:vAlign w:val="center"/>
          </w:tcPr>
          <w:p>
            <w:pPr>
              <w:pStyle w:val="TableContents"/>
              <w:spacing w:before="0" w:after="0"/>
              <w:ind w:left="0" w:right="0" w:hanging="0"/>
              <w:jc w:val="left"/>
              <w:rPr/>
            </w:pPr>
            <w:r>
              <w:rPr/>
              <w:t> </w:t>
            </w:r>
          </w:p>
        </w:tc>
        <w:tc>
          <w:tcPr>
            <w:tcW w:w="274"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735" w:type="dxa"/>
            <w:gridSpan w:val="2"/>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N/A</w:t>
            </w:r>
          </w:p>
        </w:tc>
        <w:tc>
          <w:tcPr>
            <w:tcW w:w="29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pPr>
            <w:r>
              <w:rPr/>
              <w:t> </w:t>
            </w:r>
          </w:p>
        </w:tc>
      </w:tr>
      <w:tr>
        <w:trPr/>
        <w:tc>
          <w:tcPr>
            <w:tcW w:w="597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Supplemental disclosure of noncash leasing activities:</w:t>
            </w:r>
          </w:p>
        </w:tc>
        <w:tc>
          <w:tcPr>
            <w:tcW w:w="274" w:type="dxa"/>
            <w:tcBorders/>
            <w:shd w:fill="auto" w:val="clear"/>
            <w:vAlign w:val="center"/>
          </w:tcPr>
          <w:p>
            <w:pPr>
              <w:pStyle w:val="TableContents"/>
              <w:spacing w:before="0" w:after="0"/>
              <w:ind w:left="0" w:right="0" w:hanging="0"/>
              <w:jc w:val="left"/>
              <w:rPr/>
            </w:pPr>
            <w:r>
              <w:rPr/>
              <w:t> </w:t>
            </w:r>
          </w:p>
        </w:tc>
        <w:tc>
          <w:tcPr>
            <w:tcW w:w="735" w:type="dxa"/>
            <w:gridSpan w:val="2"/>
            <w:tcBorders/>
            <w:shd w:fill="auto" w:val="clear"/>
            <w:vAlign w:val="center"/>
          </w:tcPr>
          <w:p>
            <w:pPr>
              <w:pStyle w:val="TableContents"/>
              <w:spacing w:before="0" w:after="0"/>
              <w:ind w:left="0" w:right="0" w:hanging="0"/>
              <w:jc w:val="right"/>
              <w:rPr/>
            </w:pPr>
            <w:r>
              <w:rPr/>
              <w:t> </w:t>
            </w:r>
          </w:p>
        </w:tc>
        <w:tc>
          <w:tcPr>
            <w:tcW w:w="189" w:type="dxa"/>
            <w:tcBorders/>
            <w:shd w:fill="auto" w:val="clear"/>
            <w:vAlign w:val="center"/>
          </w:tcPr>
          <w:p>
            <w:pPr>
              <w:pStyle w:val="TableContents"/>
              <w:spacing w:before="0" w:after="0"/>
              <w:ind w:left="0" w:right="0" w:hanging="0"/>
              <w:jc w:val="right"/>
              <w:rPr/>
            </w:pPr>
            <w:r>
              <w:rPr/>
              <w:t> </w:t>
            </w:r>
          </w:p>
        </w:tc>
        <w:tc>
          <w:tcPr>
            <w:tcW w:w="189" w:type="dxa"/>
            <w:tcBorders/>
            <w:shd w:fill="auto" w:val="clear"/>
            <w:vAlign w:val="center"/>
          </w:tcPr>
          <w:p>
            <w:pPr>
              <w:pStyle w:val="TableContents"/>
              <w:spacing w:before="0" w:after="0"/>
              <w:ind w:left="0" w:right="0" w:hanging="0"/>
              <w:jc w:val="left"/>
              <w:rPr/>
            </w:pPr>
            <w:r>
              <w:rPr/>
              <w:t> </w:t>
            </w:r>
          </w:p>
        </w:tc>
        <w:tc>
          <w:tcPr>
            <w:tcW w:w="274" w:type="dxa"/>
            <w:tcBorders/>
            <w:shd w:fill="auto" w:val="clear"/>
            <w:vAlign w:val="center"/>
          </w:tcPr>
          <w:p>
            <w:pPr>
              <w:pStyle w:val="TableContents"/>
              <w:spacing w:before="0" w:after="0"/>
              <w:ind w:left="0" w:right="0" w:hanging="0"/>
              <w:jc w:val="left"/>
              <w:rPr/>
            </w:pPr>
            <w:r>
              <w:rPr/>
              <w:t> </w:t>
            </w:r>
          </w:p>
        </w:tc>
        <w:tc>
          <w:tcPr>
            <w:tcW w:w="735" w:type="dxa"/>
            <w:gridSpan w:val="2"/>
            <w:tcBorders/>
            <w:shd w:fill="auto" w:val="clear"/>
            <w:vAlign w:val="center"/>
          </w:tcPr>
          <w:p>
            <w:pPr>
              <w:pStyle w:val="TableContents"/>
              <w:spacing w:before="0" w:after="0"/>
              <w:ind w:left="0" w:right="0" w:hanging="0"/>
              <w:jc w:val="left"/>
              <w:rPr/>
            </w:pPr>
            <w:r>
              <w:rPr/>
              <w:t> </w:t>
            </w:r>
          </w:p>
        </w:tc>
        <w:tc>
          <w:tcPr>
            <w:tcW w:w="291" w:type="dxa"/>
            <w:tcBorders/>
            <w:shd w:fill="auto" w:val="clear"/>
            <w:vAlign w:val="center"/>
          </w:tcPr>
          <w:p>
            <w:pPr>
              <w:pStyle w:val="TableContents"/>
              <w:spacing w:before="0" w:after="0"/>
              <w:ind w:left="0" w:right="0" w:firstLine="100"/>
              <w:jc w:val="left"/>
              <w:rPr/>
            </w:pPr>
            <w:r>
              <w:rPr/>
              <w:t> </w:t>
            </w:r>
          </w:p>
        </w:tc>
      </w:tr>
      <w:tr>
        <w:trPr/>
        <w:tc>
          <w:tcPr>
            <w:tcW w:w="5971" w:type="dxa"/>
            <w:tcBorders/>
            <w:shd w:fill="auto" w:val="clear"/>
            <w:vAlign w:val="center"/>
          </w:tcPr>
          <w:p>
            <w:pPr>
              <w:pStyle w:val="TableContents"/>
              <w:spacing w:before="0" w:after="0"/>
              <w:ind w:left="100" w:right="0" w:hanging="0"/>
              <w:jc w:val="left"/>
              <w:rPr>
                <w:rFonts w:ascii="Times New Roman;serif" w:hAnsi="Times New Roman;serif"/>
                <w:b w:val="false"/>
                <w:sz w:val="20"/>
              </w:rPr>
            </w:pPr>
            <w:r>
              <w:rPr>
                <w:rFonts w:ascii="Times New Roman;serif" w:hAnsi="Times New Roman;serif"/>
                <w:b w:val="false"/>
                <w:sz w:val="20"/>
              </w:rPr>
              <w:t>Right-of-use assets obtained in exchange for operating lease obligations</w:t>
            </w:r>
          </w:p>
        </w:tc>
        <w:tc>
          <w:tcPr>
            <w:tcW w:w="274"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89"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5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228</w:t>
            </w:r>
          </w:p>
        </w:tc>
        <w:tc>
          <w:tcPr>
            <w:tcW w:w="189"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89" w:type="dxa"/>
            <w:tcBorders/>
            <w:shd w:fill="auto" w:val="clear"/>
            <w:vAlign w:val="center"/>
          </w:tcPr>
          <w:p>
            <w:pPr>
              <w:pStyle w:val="TableContents"/>
              <w:spacing w:before="0" w:after="0"/>
              <w:ind w:left="0" w:right="0" w:hanging="0"/>
              <w:jc w:val="left"/>
              <w:rPr/>
            </w:pPr>
            <w:r>
              <w:rPr/>
              <w:t> </w:t>
            </w:r>
          </w:p>
        </w:tc>
        <w:tc>
          <w:tcPr>
            <w:tcW w:w="274"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89"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5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217</w:t>
            </w:r>
          </w:p>
        </w:tc>
        <w:tc>
          <w:tcPr>
            <w:tcW w:w="29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firstLine="100"/>
              <w:jc w:val="left"/>
              <w:rPr/>
            </w:pPr>
            <w:r>
              <w:rPr/>
              <w:t> </w:t>
            </w:r>
          </w:p>
        </w:tc>
      </w:tr>
      <w:tr>
        <w:trPr/>
        <w:tc>
          <w:tcPr>
            <w:tcW w:w="5971" w:type="dxa"/>
            <w:tcBorders/>
            <w:shd w:fill="auto" w:val="clear"/>
            <w:vAlign w:val="center"/>
          </w:tcPr>
          <w:p>
            <w:pPr>
              <w:pStyle w:val="TableContents"/>
              <w:spacing w:before="0" w:after="0"/>
              <w:ind w:left="100" w:right="0" w:hanging="0"/>
              <w:jc w:val="left"/>
              <w:rPr>
                <w:rFonts w:ascii="Times New Roman;serif" w:hAnsi="Times New Roman;serif"/>
                <w:b w:val="false"/>
                <w:sz w:val="20"/>
              </w:rPr>
            </w:pPr>
            <w:r>
              <w:rPr>
                <w:rFonts w:ascii="Times New Roman;serif" w:hAnsi="Times New Roman;serif"/>
                <w:b w:val="false"/>
                <w:sz w:val="20"/>
              </w:rPr>
              <w:t>Right-of-use assets obtained in exchange for finance lease obligations</w:t>
            </w:r>
          </w:p>
        </w:tc>
        <w:tc>
          <w:tcPr>
            <w:tcW w:w="274"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89"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5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pPr>
            <w:r>
              <w:rPr/>
              <w:t>—</w:t>
            </w:r>
          </w:p>
        </w:tc>
        <w:tc>
          <w:tcPr>
            <w:tcW w:w="189"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89" w:type="dxa"/>
            <w:tcBorders/>
            <w:shd w:fill="auto" w:val="clear"/>
            <w:vAlign w:val="center"/>
          </w:tcPr>
          <w:p>
            <w:pPr>
              <w:pStyle w:val="TableContents"/>
              <w:spacing w:before="0" w:after="0"/>
              <w:ind w:left="0" w:right="0" w:hanging="0"/>
              <w:jc w:val="left"/>
              <w:rPr/>
            </w:pPr>
            <w:r>
              <w:rPr/>
              <w:t> </w:t>
            </w:r>
          </w:p>
        </w:tc>
        <w:tc>
          <w:tcPr>
            <w:tcW w:w="274"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735" w:type="dxa"/>
            <w:gridSpan w:val="2"/>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N/A</w:t>
            </w:r>
          </w:p>
        </w:tc>
        <w:tc>
          <w:tcPr>
            <w:tcW w:w="29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pPr>
            <w:r>
              <w:rPr/>
              <w:t> </w:t>
            </w:r>
          </w:p>
        </w:tc>
      </w:tr>
    </w:tbl>
    <w:p>
      <w:pPr>
        <w:pStyle w:val="TextBody"/>
        <w:spacing w:before="0" w:after="0"/>
        <w:jc w:val="left"/>
        <w:rPr/>
      </w:pPr>
      <w:r>
        <w:rPr/>
        <w:t> </w:t>
      </w:r>
    </w:p>
    <w:p>
      <w:pPr>
        <w:pStyle w:val="TextBody"/>
        <w:spacing w:before="240" w:after="0"/>
        <w:jc w:val="center"/>
        <w:rPr>
          <w:rFonts w:ascii="Times New Roman;serif" w:hAnsi="Times New Roman;serif"/>
          <w:b w:val="false"/>
          <w:sz w:val="20"/>
        </w:rPr>
      </w:pPr>
      <w:r>
        <w:rPr>
          <w:rFonts w:ascii="Times New Roman;serif" w:hAnsi="Times New Roman;serif"/>
          <w:b w:val="false"/>
          <w:sz w:val="20"/>
        </w:rPr>
        <w:t>17</w:t>
      </w:r>
    </w:p>
    <w:p>
      <w:pPr>
        <w:pStyle w:val="HorizontalLine"/>
        <w:rPr/>
      </w:pPr>
      <w:r>
        <w:rPr/>
      </w:r>
    </w:p>
    <w:p>
      <w:pPr>
        <w:pStyle w:val="TextBody"/>
        <w:spacing w:before="0" w:after="0"/>
        <w:jc w:val="left"/>
        <w:rPr/>
      </w:pPr>
      <w:r>
        <w:rPr/>
        <w:t> </w:t>
      </w:r>
    </w:p>
    <w:p>
      <w:pPr>
        <w:pStyle w:val="TextBody"/>
        <w:spacing w:before="200" w:after="0"/>
        <w:jc w:val="both"/>
        <w:rPr>
          <w:rFonts w:ascii="Times New Roman;serif" w:hAnsi="Times New Roman;serif"/>
          <w:b w:val="false"/>
          <w:sz w:val="20"/>
        </w:rPr>
      </w:pPr>
      <w:r>
        <w:rPr>
          <w:rFonts w:ascii="Times New Roman;serif" w:hAnsi="Times New Roman;serif"/>
          <w:b w:val="false"/>
          <w:sz w:val="20"/>
        </w:rPr>
        <w:t>As of March 31, 2023 and December 31, 2022, supplemental balance sheet information related to leases is as follows:</w:t>
      </w:r>
    </w:p>
    <w:p>
      <w:pPr>
        <w:pStyle w:val="TextBody"/>
        <w:spacing w:before="0" w:after="0"/>
        <w:jc w:val="both"/>
        <w:rPr/>
      </w:pPr>
      <w:r>
        <w:rPr/>
        <w:t> </w:t>
      </w:r>
    </w:p>
    <w:tbl>
      <w:tblPr>
        <w:tblW w:w="8058" w:type="dxa"/>
        <w:jc w:val="left"/>
        <w:tblInd w:w="0" w:type="dxa"/>
        <w:tblCellMar>
          <w:top w:w="28" w:type="dxa"/>
          <w:left w:w="28" w:type="dxa"/>
          <w:bottom w:w="28" w:type="dxa"/>
          <w:right w:w="28" w:type="dxa"/>
        </w:tblCellMar>
      </w:tblPr>
      <w:tblGrid>
        <w:gridCol w:w="2881"/>
        <w:gridCol w:w="2566"/>
        <w:gridCol w:w="146"/>
        <w:gridCol w:w="211"/>
        <w:gridCol w:w="676"/>
        <w:gridCol w:w="146"/>
        <w:gridCol w:w="146"/>
        <w:gridCol w:w="260"/>
        <w:gridCol w:w="835"/>
        <w:gridCol w:w="191"/>
      </w:tblGrid>
      <w:tr>
        <w:trPr/>
        <w:tc>
          <w:tcPr>
            <w:tcW w:w="2881" w:type="dxa"/>
            <w:tcBorders/>
            <w:shd w:fill="auto" w:val="clear"/>
            <w:vAlign w:val="center"/>
          </w:tcPr>
          <w:p>
            <w:pPr>
              <w:pStyle w:val="TableContents"/>
              <w:spacing w:before="0" w:after="283"/>
              <w:rPr>
                <w:sz w:val="4"/>
                <w:szCs w:val="4"/>
              </w:rPr>
            </w:pPr>
            <w:r>
              <w:rPr>
                <w:sz w:val="4"/>
                <w:szCs w:val="4"/>
              </w:rPr>
            </w:r>
          </w:p>
        </w:tc>
        <w:tc>
          <w:tcPr>
            <w:tcW w:w="256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67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60" w:type="dxa"/>
            <w:tcBorders/>
            <w:shd w:fill="auto" w:val="clear"/>
            <w:vAlign w:val="center"/>
          </w:tcPr>
          <w:p>
            <w:pPr>
              <w:pStyle w:val="TableContents"/>
              <w:spacing w:before="0" w:after="283"/>
              <w:rPr>
                <w:sz w:val="4"/>
                <w:szCs w:val="4"/>
              </w:rPr>
            </w:pPr>
            <w:r>
              <w:rPr>
                <w:sz w:val="4"/>
                <w:szCs w:val="4"/>
              </w:rPr>
            </w:r>
          </w:p>
        </w:tc>
        <w:tc>
          <w:tcPr>
            <w:tcW w:w="835" w:type="dxa"/>
            <w:tcBorders/>
            <w:shd w:fill="auto" w:val="clear"/>
            <w:vAlign w:val="center"/>
          </w:tcPr>
          <w:p>
            <w:pPr>
              <w:pStyle w:val="TableContents"/>
              <w:spacing w:before="0" w:after="283"/>
              <w:rPr>
                <w:sz w:val="4"/>
                <w:szCs w:val="4"/>
              </w:rPr>
            </w:pPr>
            <w:r>
              <w:rPr>
                <w:sz w:val="4"/>
                <w:szCs w:val="4"/>
              </w:rPr>
            </w:r>
          </w:p>
        </w:tc>
        <w:tc>
          <w:tcPr>
            <w:tcW w:w="191" w:type="dxa"/>
            <w:tcBorders/>
            <w:shd w:fill="auto" w:val="clear"/>
            <w:vAlign w:val="center"/>
          </w:tcPr>
          <w:p>
            <w:pPr>
              <w:pStyle w:val="TableContents"/>
              <w:spacing w:before="0" w:after="283"/>
              <w:rPr>
                <w:sz w:val="4"/>
                <w:szCs w:val="4"/>
              </w:rPr>
            </w:pPr>
            <w:r>
              <w:rPr>
                <w:sz w:val="4"/>
                <w:szCs w:val="4"/>
              </w:rPr>
            </w:r>
          </w:p>
        </w:tc>
      </w:tr>
      <w:tr>
        <w:trPr/>
        <w:tc>
          <w:tcPr>
            <w:tcW w:w="2881" w:type="dxa"/>
            <w:tcBorders/>
            <w:shd w:fill="auto" w:val="clear"/>
            <w:vAlign w:val="center"/>
          </w:tcPr>
          <w:p>
            <w:pPr>
              <w:pStyle w:val="TableContents"/>
              <w:spacing w:before="0" w:after="0"/>
              <w:ind w:left="0" w:right="0" w:hanging="0"/>
              <w:jc w:val="left"/>
              <w:rPr/>
            </w:pPr>
            <w:r>
              <w:rPr/>
              <w:t> </w:t>
            </w:r>
          </w:p>
        </w:tc>
        <w:tc>
          <w:tcPr>
            <w:tcW w:w="25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887" w:type="dxa"/>
            <w:gridSpan w:val="2"/>
            <w:tcBorders/>
            <w:shd w:fill="auto" w:val="cle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March 31,</w:t>
            </w:r>
          </w:p>
        </w:tc>
        <w:tc>
          <w:tcPr>
            <w:tcW w:w="146"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095" w:type="dxa"/>
            <w:gridSpan w:val="2"/>
            <w:tcBorders/>
            <w:shd w:fill="auto" w:val="cle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December 31,</w:t>
            </w:r>
          </w:p>
        </w:tc>
        <w:tc>
          <w:tcPr>
            <w:tcW w:w="191" w:type="dxa"/>
            <w:tcBorders/>
            <w:shd w:fill="auto" w:val="clear"/>
            <w:vAlign w:val="center"/>
          </w:tcPr>
          <w:p>
            <w:pPr>
              <w:pStyle w:val="TableContents"/>
              <w:spacing w:before="0" w:after="0"/>
              <w:ind w:left="0" w:right="0" w:hanging="0"/>
              <w:jc w:val="center"/>
              <w:rPr/>
            </w:pPr>
            <w:r>
              <w:rPr/>
              <w:t> </w:t>
            </w:r>
          </w:p>
        </w:tc>
      </w:tr>
      <w:tr>
        <w:trPr/>
        <w:tc>
          <w:tcPr>
            <w:tcW w:w="2881" w:type="dxa"/>
            <w:tcBorders/>
            <w:shd w:fill="auto" w:val="clear"/>
            <w:vAlign w:val="center"/>
          </w:tcPr>
          <w:p>
            <w:pPr>
              <w:pStyle w:val="TableContents"/>
              <w:spacing w:before="0" w:after="0"/>
              <w:ind w:left="0" w:right="0" w:hanging="0"/>
              <w:jc w:val="left"/>
              <w:rPr>
                <w:rFonts w:ascii="Times New Roman;serif" w:hAnsi="Times New Roman;serif"/>
                <w:b w:val="false"/>
                <w:i/>
                <w:sz w:val="16"/>
              </w:rPr>
            </w:pPr>
            <w:r>
              <w:rPr>
                <w:rFonts w:ascii="Times New Roman;serif" w:hAnsi="Times New Roman;serif"/>
                <w:b w:val="false"/>
                <w:i/>
                <w:sz w:val="16"/>
              </w:rPr>
              <w:t>(In thousands of U.S. Dollars)</w:t>
            </w:r>
          </w:p>
        </w:tc>
        <w:tc>
          <w:tcPr>
            <w:tcW w:w="25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887"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2023</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095"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2022</w:t>
            </w:r>
          </w:p>
        </w:tc>
        <w:tc>
          <w:tcPr>
            <w:tcW w:w="1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2881" w:type="dxa"/>
            <w:tcBorders/>
            <w:shd w:fill="auto" w:val="clear"/>
            <w:vAlign w:val="center"/>
          </w:tcPr>
          <w:p>
            <w:pPr>
              <w:pStyle w:val="TableContents"/>
              <w:spacing w:before="0" w:after="0"/>
              <w:ind w:left="0" w:right="0" w:hanging="0"/>
              <w:jc w:val="left"/>
              <w:rPr>
                <w:rFonts w:ascii="Times New Roman;serif" w:hAnsi="Times New Roman;serif"/>
                <w:b/>
                <w:sz w:val="20"/>
              </w:rPr>
            </w:pPr>
            <w:r>
              <w:rPr>
                <w:rFonts w:ascii="Times New Roman;serif" w:hAnsi="Times New Roman;serif"/>
                <w:b/>
                <w:sz w:val="20"/>
              </w:rPr>
              <w:t>Assets</w:t>
            </w:r>
          </w:p>
        </w:tc>
        <w:tc>
          <w:tcPr>
            <w:tcW w:w="2566" w:type="dxa"/>
            <w:tcBorders/>
            <w:shd w:fill="auto" w:val="clear"/>
            <w:vAlign w:val="center"/>
          </w:tcPr>
          <w:p>
            <w:pPr>
              <w:pStyle w:val="TableContents"/>
              <w:spacing w:before="0" w:after="0"/>
              <w:ind w:left="0" w:right="0" w:hanging="0"/>
              <w:jc w:val="left"/>
              <w:rPr>
                <w:rFonts w:ascii="Times New Roman;serif" w:hAnsi="Times New Roman;serif"/>
                <w:b/>
                <w:sz w:val="20"/>
              </w:rPr>
            </w:pPr>
            <w:r>
              <w:rPr>
                <w:rFonts w:ascii="Times New Roman;serif" w:hAnsi="Times New Roman;serif"/>
                <w:b/>
                <w:sz w:val="20"/>
              </w:rPr>
              <w:t>Balance Sheet Location</w:t>
            </w:r>
          </w:p>
        </w:tc>
        <w:tc>
          <w:tcPr>
            <w:tcW w:w="146" w:type="dxa"/>
            <w:tcBorders/>
            <w:shd w:fill="auto" w:val="clear"/>
            <w:vAlign w:val="center"/>
          </w:tcPr>
          <w:p>
            <w:pPr>
              <w:pStyle w:val="TableContents"/>
              <w:spacing w:before="0" w:after="0"/>
              <w:ind w:left="0" w:right="0" w:hanging="0"/>
              <w:jc w:val="left"/>
              <w:rPr/>
            </w:pPr>
            <w:r>
              <w:rPr/>
              <w:t> </w:t>
            </w:r>
          </w:p>
        </w:tc>
        <w:tc>
          <w:tcPr>
            <w:tcW w:w="887" w:type="dxa"/>
            <w:gridSpan w:val="2"/>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095" w:type="dxa"/>
            <w:gridSpan w:val="2"/>
            <w:tcBorders/>
            <w:shd w:fill="auto" w:val="clear"/>
            <w:vAlign w:val="center"/>
          </w:tcPr>
          <w:p>
            <w:pPr>
              <w:pStyle w:val="TableContents"/>
              <w:spacing w:before="0" w:after="0"/>
              <w:ind w:left="0" w:right="0" w:hanging="0"/>
              <w:jc w:val="left"/>
              <w:rPr/>
            </w:pPr>
            <w:r>
              <w:rPr/>
              <w:t> </w:t>
            </w:r>
          </w:p>
        </w:tc>
        <w:tc>
          <w:tcPr>
            <w:tcW w:w="191" w:type="dxa"/>
            <w:tcBorders/>
            <w:shd w:fill="auto" w:val="clear"/>
            <w:vAlign w:val="center"/>
          </w:tcPr>
          <w:p>
            <w:pPr>
              <w:pStyle w:val="TableContents"/>
              <w:spacing w:before="0" w:after="0"/>
              <w:ind w:left="0" w:right="0" w:hanging="0"/>
              <w:jc w:val="left"/>
              <w:rPr/>
            </w:pPr>
            <w:r>
              <w:rPr/>
              <w:t> </w:t>
            </w:r>
          </w:p>
        </w:tc>
      </w:tr>
      <w:tr>
        <w:trPr/>
        <w:tc>
          <w:tcPr>
            <w:tcW w:w="288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Operating lease right-of-use assets</w:t>
            </w:r>
          </w:p>
        </w:tc>
        <w:tc>
          <w:tcPr>
            <w:tcW w:w="256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Property, plant and equipment</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7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11,888</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260"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835"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12,341</w:t>
            </w:r>
          </w:p>
        </w:tc>
        <w:tc>
          <w:tcPr>
            <w:tcW w:w="19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r>
        <w:trPr/>
        <w:tc>
          <w:tcPr>
            <w:tcW w:w="288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Finance lease right-of-use assets</w:t>
            </w:r>
          </w:p>
        </w:tc>
        <w:tc>
          <w:tcPr>
            <w:tcW w:w="256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Property, plant and equipment</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7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1,776</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260"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835"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1,876</w:t>
            </w:r>
          </w:p>
        </w:tc>
        <w:tc>
          <w:tcPr>
            <w:tcW w:w="19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r>
        <w:trPr/>
        <w:tc>
          <w:tcPr>
            <w:tcW w:w="2881" w:type="dxa"/>
            <w:tcBorders/>
            <w:shd w:fill="auto" w:val="clear"/>
            <w:vAlign w:val="center"/>
          </w:tcPr>
          <w:p>
            <w:pPr>
              <w:pStyle w:val="TableContents"/>
              <w:spacing w:before="0" w:after="0"/>
              <w:ind w:left="0" w:right="0" w:hanging="0"/>
              <w:jc w:val="left"/>
              <w:rPr>
                <w:rFonts w:ascii="Times New Roman;serif" w:hAnsi="Times New Roman;serif"/>
                <w:b/>
                <w:sz w:val="20"/>
              </w:rPr>
            </w:pPr>
            <w:r>
              <w:rPr>
                <w:rFonts w:ascii="Times New Roman;serif" w:hAnsi="Times New Roman;serif"/>
                <w:b/>
                <w:sz w:val="20"/>
              </w:rPr>
              <w:t>Liabilities</w:t>
            </w:r>
          </w:p>
        </w:tc>
        <w:tc>
          <w:tcPr>
            <w:tcW w:w="2566" w:type="dxa"/>
            <w:tcBorders/>
            <w:shd w:fill="auto" w:val="clear"/>
            <w:vAlign w:val="center"/>
          </w:tcPr>
          <w:p>
            <w:pPr>
              <w:pStyle w:val="TableContents"/>
              <w:spacing w:before="0" w:after="0"/>
              <w:ind w:left="0" w:right="0" w:hanging="0"/>
              <w:jc w:val="left"/>
              <w:rPr>
                <w:rFonts w:ascii="Times New Roman;serif" w:hAnsi="Times New Roman;serif"/>
                <w:b/>
                <w:sz w:val="20"/>
              </w:rPr>
            </w:pPr>
            <w:r>
              <w:rPr>
                <w:rFonts w:ascii="Times New Roman;serif" w:hAnsi="Times New Roman;serif"/>
                <w:b/>
                <w:sz w:val="20"/>
              </w:rPr>
              <w:t>Balance Sheet Location</w:t>
            </w:r>
          </w:p>
        </w:tc>
        <w:tc>
          <w:tcPr>
            <w:tcW w:w="146" w:type="dxa"/>
            <w:tcBorders/>
            <w:shd w:fill="auto" w:val="clear"/>
            <w:vAlign w:val="center"/>
          </w:tcPr>
          <w:p>
            <w:pPr>
              <w:pStyle w:val="TableContents"/>
              <w:spacing w:before="0" w:after="0"/>
              <w:ind w:left="0" w:right="0" w:hanging="0"/>
              <w:jc w:val="left"/>
              <w:rPr/>
            </w:pPr>
            <w:r>
              <w:rPr/>
              <w:t> </w:t>
            </w:r>
          </w:p>
        </w:tc>
        <w:tc>
          <w:tcPr>
            <w:tcW w:w="887" w:type="dxa"/>
            <w:gridSpan w:val="2"/>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095" w:type="dxa"/>
            <w:gridSpan w:val="2"/>
            <w:tcBorders/>
            <w:shd w:fill="auto" w:val="clear"/>
            <w:vAlign w:val="center"/>
          </w:tcPr>
          <w:p>
            <w:pPr>
              <w:pStyle w:val="TableContents"/>
              <w:spacing w:before="0" w:after="0"/>
              <w:ind w:left="0" w:right="0" w:hanging="0"/>
              <w:jc w:val="right"/>
              <w:rPr/>
            </w:pPr>
            <w:r>
              <w:rPr/>
              <w:t> </w:t>
            </w:r>
          </w:p>
        </w:tc>
        <w:tc>
          <w:tcPr>
            <w:tcW w:w="191" w:type="dxa"/>
            <w:tcBorders/>
            <w:shd w:fill="auto" w:val="clear"/>
            <w:vAlign w:val="center"/>
          </w:tcPr>
          <w:p>
            <w:pPr>
              <w:pStyle w:val="TableContents"/>
              <w:spacing w:before="0" w:after="0"/>
              <w:ind w:left="0" w:right="0" w:hanging="0"/>
              <w:jc w:val="right"/>
              <w:rPr/>
            </w:pPr>
            <w:r>
              <w:rPr/>
              <w:t> </w:t>
            </w:r>
          </w:p>
        </w:tc>
      </w:tr>
      <w:tr>
        <w:trPr/>
        <w:tc>
          <w:tcPr>
            <w:tcW w:w="288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Operating lease liabilities</w:t>
            </w:r>
          </w:p>
        </w:tc>
        <w:tc>
          <w:tcPr>
            <w:tcW w:w="256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Accrued and other liabilities</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7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14,140</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260"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835"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14,461</w:t>
            </w:r>
          </w:p>
        </w:tc>
        <w:tc>
          <w:tcPr>
            <w:tcW w:w="19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r>
        <w:trPr/>
        <w:tc>
          <w:tcPr>
            <w:tcW w:w="2881" w:type="dxa"/>
            <w:tcBorders/>
            <w:shd w:fill="auto" w:val="clear"/>
            <w:vAlign w:val="center"/>
          </w:tcPr>
          <w:p>
            <w:pPr>
              <w:pStyle w:val="TableContents"/>
              <w:spacing w:before="0" w:after="0"/>
              <w:ind w:left="0" w:right="0" w:hanging="0"/>
              <w:jc w:val="left"/>
              <w:rPr>
                <w:rFonts w:ascii="Times New Roman" w:hAnsi="Times New Roman"/>
                <w:sz w:val="20"/>
              </w:rPr>
            </w:pPr>
            <w:r>
              <w:rPr>
                <w:rFonts w:ascii="Times New Roman;serif" w:hAnsi="Times New Roman;serif"/>
                <w:b w:val="false"/>
                <w:sz w:val="20"/>
              </w:rPr>
              <w:t>Finance lease liabilities</w:t>
            </w:r>
            <w:r>
              <w:rPr>
                <w:rFonts w:ascii="Times New Roman;serif" w:hAnsi="Times New Roman;serif"/>
                <w:b w:val="false"/>
                <w:sz w:val="13"/>
              </w:rPr>
              <w:t>(1)</w:t>
            </w:r>
          </w:p>
        </w:tc>
        <w:tc>
          <w:tcPr>
            <w:tcW w:w="256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Accrued and other liabilities</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7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967</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260"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835"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1,011</w:t>
            </w:r>
          </w:p>
        </w:tc>
        <w:tc>
          <w:tcPr>
            <w:tcW w:w="19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bl>
    <w:p>
      <w:pPr>
        <w:pStyle w:val="TextBody"/>
        <w:pBdr>
          <w:bottom w:val="single" w:sz="4" w:space="1" w:color="000000"/>
        </w:pBdr>
        <w:spacing w:before="0" w:after="0"/>
        <w:jc w:val="both"/>
        <w:rPr/>
      </w:pPr>
      <w:r>
        <w:rPr/>
        <w:t> </w:t>
      </w:r>
    </w:p>
    <w:p>
      <w:pPr>
        <w:pStyle w:val="TextBody"/>
        <w:spacing w:before="200" w:after="0"/>
        <w:jc w:val="both"/>
        <w:rPr>
          <w:rFonts w:ascii="Times New Roman" w:hAnsi="Times New Roman"/>
          <w:b w:val="false"/>
          <w:sz w:val="20"/>
        </w:rPr>
      </w:pPr>
      <w:r>
        <w:rPr>
          <w:rFonts w:ascii="Times New Roman" w:hAnsi="Times New Roman"/>
          <w:b w:val="false"/>
          <w:sz w:val="20"/>
        </w:rPr>
        <w:t>(1)</w:t>
      </w:r>
    </w:p>
    <w:p>
      <w:pPr>
        <w:pStyle w:val="TextBody"/>
        <w:spacing w:before="200" w:after="283"/>
        <w:jc w:val="both"/>
        <w:rPr>
          <w:rFonts w:ascii="Times New Roman;serif" w:hAnsi="Times New Roman;serif"/>
          <w:sz w:val="20"/>
        </w:rPr>
      </w:pPr>
      <w:r>
        <w:rPr>
          <w:rFonts w:ascii="Times New Roman;serif" w:hAnsi="Times New Roman;serif"/>
          <w:b w:val="false"/>
          <w:sz w:val="20"/>
        </w:rPr>
        <w:t>Recorded net of a $0.9</w:t>
      </w:r>
      <w:r>
        <w:rPr>
          <w:rFonts w:ascii="Times New Roman;serif" w:hAnsi="Times New Roman;serif"/>
          <w:sz w:val="20"/>
        </w:rPr>
        <w:t xml:space="preserve"> </w:t>
      </w:r>
      <w:r>
        <w:rPr>
          <w:rFonts w:ascii="Times New Roman;serif" w:hAnsi="Times New Roman;serif"/>
          <w:b w:val="false"/>
          <w:sz w:val="20"/>
        </w:rPr>
        <w:t>million upfront payment made upon execution of the finance lease arrangement.</w:t>
      </w:r>
    </w:p>
    <w:p>
      <w:pPr>
        <w:pStyle w:val="TextBody"/>
        <w:spacing w:before="0" w:after="0"/>
        <w:jc w:val="left"/>
        <w:rPr/>
      </w:pPr>
      <w:r>
        <w:rPr/>
        <w:t> </w:t>
      </w:r>
    </w:p>
    <w:p>
      <w:pPr>
        <w:pStyle w:val="TextBody"/>
        <w:spacing w:before="0" w:after="0"/>
        <w:jc w:val="both"/>
        <w:rPr>
          <w:rFonts w:ascii="Times New Roman" w:hAnsi="Times New Roman"/>
          <w:sz w:val="20"/>
        </w:rPr>
      </w:pPr>
      <w:r>
        <w:rPr>
          <w:rFonts w:ascii="Times New Roman;serif" w:hAnsi="Times New Roman;serif"/>
          <w:b w:val="false"/>
          <w:sz w:val="20"/>
        </w:rPr>
        <w:t>As of March 31, 2023 and December 31, 2022, the weighted-average remaining lease term and weighted-average interest rate associated with the Company’s leases are as follows:</w:t>
      </w:r>
      <w:r>
        <w:rPr>
          <w:rFonts w:ascii="Times New Roman" w:hAnsi="Times New Roman"/>
          <w:sz w:val="20"/>
        </w:rPr>
        <w:t xml:space="preserve"> </w:t>
      </w:r>
    </w:p>
    <w:p>
      <w:pPr>
        <w:pStyle w:val="TextBody"/>
        <w:spacing w:before="0" w:after="0"/>
        <w:jc w:val="both"/>
        <w:rPr/>
      </w:pPr>
      <w:r>
        <w:rPr/>
        <w:t> </w:t>
      </w:r>
    </w:p>
    <w:tbl>
      <w:tblPr>
        <w:tblW w:w="6594" w:type="dxa"/>
        <w:jc w:val="left"/>
        <w:tblInd w:w="0" w:type="dxa"/>
        <w:tblCellMar>
          <w:top w:w="28" w:type="dxa"/>
          <w:left w:w="28" w:type="dxa"/>
          <w:bottom w:w="28" w:type="dxa"/>
          <w:right w:w="28" w:type="dxa"/>
        </w:tblCellMar>
      </w:tblPr>
      <w:tblGrid>
        <w:gridCol w:w="2050"/>
        <w:gridCol w:w="1865"/>
        <w:gridCol w:w="146"/>
        <w:gridCol w:w="245"/>
        <w:gridCol w:w="610"/>
        <w:gridCol w:w="146"/>
        <w:gridCol w:w="146"/>
        <w:gridCol w:w="314"/>
        <w:gridCol w:w="781"/>
        <w:gridCol w:w="291"/>
      </w:tblGrid>
      <w:tr>
        <w:trPr/>
        <w:tc>
          <w:tcPr>
            <w:tcW w:w="2050" w:type="dxa"/>
            <w:tcBorders/>
            <w:shd w:fill="auto" w:val="clear"/>
            <w:vAlign w:val="center"/>
          </w:tcPr>
          <w:p>
            <w:pPr>
              <w:pStyle w:val="TableContents"/>
              <w:spacing w:before="0" w:after="283"/>
              <w:rPr>
                <w:sz w:val="4"/>
                <w:szCs w:val="4"/>
              </w:rPr>
            </w:pPr>
            <w:r>
              <w:rPr>
                <w:sz w:val="4"/>
                <w:szCs w:val="4"/>
              </w:rPr>
            </w:r>
          </w:p>
        </w:tc>
        <w:tc>
          <w:tcPr>
            <w:tcW w:w="1865"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45" w:type="dxa"/>
            <w:tcBorders/>
            <w:shd w:fill="auto" w:val="clear"/>
            <w:vAlign w:val="center"/>
          </w:tcPr>
          <w:p>
            <w:pPr>
              <w:pStyle w:val="TableContents"/>
              <w:spacing w:before="0" w:after="283"/>
              <w:rPr>
                <w:sz w:val="4"/>
                <w:szCs w:val="4"/>
              </w:rPr>
            </w:pPr>
            <w:r>
              <w:rPr>
                <w:sz w:val="4"/>
                <w:szCs w:val="4"/>
              </w:rPr>
            </w:r>
          </w:p>
        </w:tc>
        <w:tc>
          <w:tcPr>
            <w:tcW w:w="610"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314" w:type="dxa"/>
            <w:tcBorders/>
            <w:shd w:fill="auto" w:val="clear"/>
            <w:vAlign w:val="center"/>
          </w:tcPr>
          <w:p>
            <w:pPr>
              <w:pStyle w:val="TableContents"/>
              <w:spacing w:before="0" w:after="283"/>
              <w:rPr>
                <w:sz w:val="4"/>
                <w:szCs w:val="4"/>
              </w:rPr>
            </w:pPr>
            <w:r>
              <w:rPr>
                <w:sz w:val="4"/>
                <w:szCs w:val="4"/>
              </w:rPr>
            </w:r>
          </w:p>
        </w:tc>
        <w:tc>
          <w:tcPr>
            <w:tcW w:w="781" w:type="dxa"/>
            <w:tcBorders/>
            <w:shd w:fill="auto" w:val="clear"/>
            <w:vAlign w:val="center"/>
          </w:tcPr>
          <w:p>
            <w:pPr>
              <w:pStyle w:val="TableContents"/>
              <w:spacing w:before="0" w:after="283"/>
              <w:rPr>
                <w:sz w:val="4"/>
                <w:szCs w:val="4"/>
              </w:rPr>
            </w:pPr>
            <w:r>
              <w:rPr>
                <w:sz w:val="4"/>
                <w:szCs w:val="4"/>
              </w:rPr>
            </w:r>
          </w:p>
        </w:tc>
        <w:tc>
          <w:tcPr>
            <w:tcW w:w="291" w:type="dxa"/>
            <w:tcBorders/>
            <w:shd w:fill="auto" w:val="clear"/>
            <w:vAlign w:val="center"/>
          </w:tcPr>
          <w:p>
            <w:pPr>
              <w:pStyle w:val="TableContents"/>
              <w:spacing w:before="0" w:after="283"/>
              <w:rPr>
                <w:sz w:val="4"/>
                <w:szCs w:val="4"/>
              </w:rPr>
            </w:pPr>
            <w:r>
              <w:rPr>
                <w:sz w:val="4"/>
                <w:szCs w:val="4"/>
              </w:rPr>
            </w:r>
          </w:p>
        </w:tc>
      </w:tr>
      <w:tr>
        <w:trPr/>
        <w:tc>
          <w:tcPr>
            <w:tcW w:w="2050" w:type="dxa"/>
            <w:tcBorders/>
            <w:shd w:fill="auto" w:val="clear"/>
            <w:vAlign w:val="center"/>
          </w:tcPr>
          <w:p>
            <w:pPr>
              <w:pStyle w:val="TableContents"/>
              <w:spacing w:before="0" w:after="0"/>
              <w:ind w:left="0" w:right="0" w:hanging="0"/>
              <w:jc w:val="left"/>
              <w:rPr/>
            </w:pPr>
            <w:r>
              <w:rPr/>
              <w:t> </w:t>
            </w:r>
          </w:p>
        </w:tc>
        <w:tc>
          <w:tcPr>
            <w:tcW w:w="1865"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855" w:type="dxa"/>
            <w:gridSpan w:val="2"/>
            <w:tcBorders/>
            <w:shd w:fill="auto" w:val="cle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March 31,</w:t>
            </w:r>
          </w:p>
        </w:tc>
        <w:tc>
          <w:tcPr>
            <w:tcW w:w="146"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095" w:type="dxa"/>
            <w:gridSpan w:val="2"/>
            <w:tcBorders/>
            <w:shd w:fill="auto" w:val="cle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December 31,</w:t>
            </w:r>
          </w:p>
        </w:tc>
        <w:tc>
          <w:tcPr>
            <w:tcW w:w="291" w:type="dxa"/>
            <w:tcBorders/>
            <w:shd w:fill="auto" w:val="clear"/>
            <w:vAlign w:val="center"/>
          </w:tcPr>
          <w:p>
            <w:pPr>
              <w:pStyle w:val="TableContents"/>
              <w:spacing w:before="0" w:after="0"/>
              <w:ind w:left="0" w:right="0" w:hanging="0"/>
              <w:jc w:val="center"/>
              <w:rPr/>
            </w:pPr>
            <w:r>
              <w:rPr/>
              <w:t> </w:t>
            </w:r>
          </w:p>
        </w:tc>
      </w:tr>
      <w:tr>
        <w:trPr/>
        <w:tc>
          <w:tcPr>
            <w:tcW w:w="2050" w:type="dxa"/>
            <w:tcBorders/>
            <w:shd w:fill="auto" w:val="clear"/>
            <w:vAlign w:val="center"/>
          </w:tcPr>
          <w:p>
            <w:pPr>
              <w:pStyle w:val="TableContents"/>
              <w:spacing w:before="0" w:after="0"/>
              <w:ind w:left="0" w:right="0" w:hanging="0"/>
              <w:jc w:val="left"/>
              <w:rPr/>
            </w:pPr>
            <w:r>
              <w:rPr/>
              <w:t> </w:t>
            </w:r>
          </w:p>
        </w:tc>
        <w:tc>
          <w:tcPr>
            <w:tcW w:w="1865"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855"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2023</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1095"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2022</w:t>
            </w:r>
          </w:p>
        </w:tc>
        <w:tc>
          <w:tcPr>
            <w:tcW w:w="2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3915" w:type="dxa"/>
            <w:gridSpan w:val="2"/>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Operating leases:</w:t>
            </w:r>
          </w:p>
        </w:tc>
        <w:tc>
          <w:tcPr>
            <w:tcW w:w="146" w:type="dxa"/>
            <w:tcBorders/>
            <w:shd w:fill="auto" w:val="clear"/>
            <w:vAlign w:val="center"/>
          </w:tcPr>
          <w:p>
            <w:pPr>
              <w:pStyle w:val="TableContents"/>
              <w:spacing w:before="0" w:after="0"/>
              <w:ind w:left="0" w:right="0" w:hanging="0"/>
              <w:jc w:val="left"/>
              <w:rPr/>
            </w:pPr>
            <w:r>
              <w:rPr/>
              <w:t> </w:t>
            </w:r>
          </w:p>
        </w:tc>
        <w:tc>
          <w:tcPr>
            <w:tcW w:w="855" w:type="dxa"/>
            <w:gridSpan w:val="2"/>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095" w:type="dxa"/>
            <w:gridSpan w:val="2"/>
            <w:tcBorders/>
            <w:shd w:fill="auto" w:val="clear"/>
            <w:vAlign w:val="center"/>
          </w:tcPr>
          <w:p>
            <w:pPr>
              <w:pStyle w:val="TableContents"/>
              <w:spacing w:before="0" w:after="0"/>
              <w:ind w:left="0" w:right="0" w:hanging="0"/>
              <w:jc w:val="right"/>
              <w:rPr/>
            </w:pPr>
            <w:r>
              <w:rPr/>
              <w:t> </w:t>
            </w:r>
          </w:p>
        </w:tc>
        <w:tc>
          <w:tcPr>
            <w:tcW w:w="291" w:type="dxa"/>
            <w:tcBorders/>
            <w:shd w:fill="auto" w:val="clear"/>
            <w:vAlign w:val="center"/>
          </w:tcPr>
          <w:p>
            <w:pPr>
              <w:pStyle w:val="TableContents"/>
              <w:spacing w:before="0" w:after="0"/>
              <w:ind w:left="0" w:right="0" w:firstLine="100"/>
              <w:jc w:val="right"/>
              <w:rPr/>
            </w:pPr>
            <w:r>
              <w:rPr/>
              <w:t> </w:t>
            </w:r>
          </w:p>
        </w:tc>
      </w:tr>
      <w:tr>
        <w:trPr/>
        <w:tc>
          <w:tcPr>
            <w:tcW w:w="3915" w:type="dxa"/>
            <w:gridSpan w:val="2"/>
            <w:tcBorders/>
            <w:shd w:fill="auto" w:val="clear"/>
            <w:vAlign w:val="center"/>
          </w:tcPr>
          <w:p>
            <w:pPr>
              <w:pStyle w:val="TableContents"/>
              <w:spacing w:before="0" w:after="0"/>
              <w:ind w:left="100" w:right="0" w:hanging="0"/>
              <w:jc w:val="left"/>
              <w:rPr>
                <w:rFonts w:ascii="Times New Roman;serif" w:hAnsi="Times New Roman;serif"/>
                <w:b w:val="false"/>
                <w:sz w:val="20"/>
              </w:rPr>
            </w:pPr>
            <w:r>
              <w:rPr>
                <w:rFonts w:ascii="Times New Roman;serif" w:hAnsi="Times New Roman;serif"/>
                <w:b w:val="false"/>
                <w:sz w:val="20"/>
              </w:rPr>
              <w:t>Weighted-average remaining lease term (years)</w:t>
            </w:r>
          </w:p>
        </w:tc>
        <w:tc>
          <w:tcPr>
            <w:tcW w:w="146" w:type="dxa"/>
            <w:tcBorders/>
            <w:shd w:fill="auto" w:val="clear"/>
            <w:vAlign w:val="center"/>
          </w:tcPr>
          <w:p>
            <w:pPr>
              <w:pStyle w:val="TableContents"/>
              <w:spacing w:before="0" w:after="283"/>
              <w:ind w:left="0" w:right="0" w:hanging="0"/>
              <w:rPr>
                <w:sz w:val="4"/>
                <w:szCs w:val="4"/>
              </w:rPr>
            </w:pPr>
            <w:r>
              <w:rPr>
                <w:sz w:val="4"/>
                <w:szCs w:val="4"/>
              </w:rPr>
            </w:r>
          </w:p>
        </w:tc>
        <w:tc>
          <w:tcPr>
            <w:tcW w:w="245"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610"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5.8</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314"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78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6.0</w:t>
            </w:r>
          </w:p>
        </w:tc>
        <w:tc>
          <w:tcPr>
            <w:tcW w:w="29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firstLine="100"/>
              <w:jc w:val="left"/>
              <w:rPr/>
            </w:pPr>
            <w:r>
              <w:rPr/>
              <w:t> </w:t>
            </w:r>
          </w:p>
        </w:tc>
      </w:tr>
      <w:tr>
        <w:trPr/>
        <w:tc>
          <w:tcPr>
            <w:tcW w:w="3915" w:type="dxa"/>
            <w:gridSpan w:val="2"/>
            <w:tcBorders/>
            <w:shd w:fill="auto" w:val="clear"/>
            <w:vAlign w:val="center"/>
          </w:tcPr>
          <w:p>
            <w:pPr>
              <w:pStyle w:val="TableContents"/>
              <w:spacing w:before="0" w:after="0"/>
              <w:ind w:left="100" w:right="0" w:hanging="0"/>
              <w:jc w:val="left"/>
              <w:rPr>
                <w:rFonts w:ascii="Times New Roman;serif" w:hAnsi="Times New Roman;serif"/>
                <w:b w:val="false"/>
                <w:sz w:val="20"/>
              </w:rPr>
            </w:pPr>
            <w:r>
              <w:rPr>
                <w:rFonts w:ascii="Times New Roman;serif" w:hAnsi="Times New Roman;serif"/>
                <w:b w:val="false"/>
                <w:sz w:val="20"/>
              </w:rPr>
              <w:t>Weighted-average discount rate</w:t>
            </w:r>
          </w:p>
        </w:tc>
        <w:tc>
          <w:tcPr>
            <w:tcW w:w="146" w:type="dxa"/>
            <w:tcBorders/>
            <w:shd w:fill="auto" w:val="clear"/>
            <w:vAlign w:val="center"/>
          </w:tcPr>
          <w:p>
            <w:pPr>
              <w:pStyle w:val="TableContents"/>
              <w:spacing w:before="0" w:after="0"/>
              <w:ind w:left="0" w:right="0" w:hanging="0"/>
              <w:jc w:val="left"/>
              <w:rPr/>
            </w:pPr>
            <w:r>
              <w:rPr/>
              <w:t> </w:t>
            </w:r>
          </w:p>
        </w:tc>
        <w:tc>
          <w:tcPr>
            <w:tcW w:w="855" w:type="dxa"/>
            <w:gridSpan w:val="2"/>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5.91%</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095" w:type="dxa"/>
            <w:gridSpan w:val="2"/>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5.90%</w:t>
            </w:r>
          </w:p>
        </w:tc>
        <w:tc>
          <w:tcPr>
            <w:tcW w:w="29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pPr>
            <w:r>
              <w:rPr/>
              <w:t> </w:t>
            </w:r>
          </w:p>
        </w:tc>
      </w:tr>
      <w:tr>
        <w:trPr/>
        <w:tc>
          <w:tcPr>
            <w:tcW w:w="3915" w:type="dxa"/>
            <w:gridSpan w:val="2"/>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Finance leases:</w:t>
            </w:r>
          </w:p>
        </w:tc>
        <w:tc>
          <w:tcPr>
            <w:tcW w:w="146" w:type="dxa"/>
            <w:tcBorders/>
            <w:shd w:fill="auto" w:val="clear"/>
            <w:vAlign w:val="center"/>
          </w:tcPr>
          <w:p>
            <w:pPr>
              <w:pStyle w:val="TableContents"/>
              <w:spacing w:before="0" w:after="0"/>
              <w:ind w:left="0" w:right="0" w:hanging="0"/>
              <w:jc w:val="left"/>
              <w:rPr/>
            </w:pPr>
            <w:r>
              <w:rPr/>
              <w:t> </w:t>
            </w:r>
          </w:p>
        </w:tc>
        <w:tc>
          <w:tcPr>
            <w:tcW w:w="855" w:type="dxa"/>
            <w:gridSpan w:val="2"/>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095" w:type="dxa"/>
            <w:gridSpan w:val="2"/>
            <w:tcBorders/>
            <w:shd w:fill="auto" w:val="clear"/>
            <w:vAlign w:val="center"/>
          </w:tcPr>
          <w:p>
            <w:pPr>
              <w:pStyle w:val="TableContents"/>
              <w:spacing w:before="0" w:after="0"/>
              <w:ind w:left="0" w:right="0" w:hanging="0"/>
              <w:jc w:val="right"/>
              <w:rPr/>
            </w:pPr>
            <w:r>
              <w:rPr/>
              <w:t> </w:t>
            </w:r>
          </w:p>
        </w:tc>
        <w:tc>
          <w:tcPr>
            <w:tcW w:w="291" w:type="dxa"/>
            <w:tcBorders/>
            <w:shd w:fill="auto" w:val="clear"/>
            <w:vAlign w:val="center"/>
          </w:tcPr>
          <w:p>
            <w:pPr>
              <w:pStyle w:val="TableContents"/>
              <w:spacing w:before="0" w:after="0"/>
              <w:ind w:left="0" w:right="0" w:firstLine="100"/>
              <w:jc w:val="right"/>
              <w:rPr/>
            </w:pPr>
            <w:r>
              <w:rPr/>
              <w:t> </w:t>
            </w:r>
          </w:p>
        </w:tc>
      </w:tr>
      <w:tr>
        <w:trPr/>
        <w:tc>
          <w:tcPr>
            <w:tcW w:w="3915" w:type="dxa"/>
            <w:gridSpan w:val="2"/>
            <w:tcBorders/>
            <w:shd w:fill="auto" w:val="clear"/>
            <w:vAlign w:val="center"/>
          </w:tcPr>
          <w:p>
            <w:pPr>
              <w:pStyle w:val="TableContents"/>
              <w:spacing w:before="0" w:after="0"/>
              <w:ind w:left="100" w:right="0" w:hanging="0"/>
              <w:jc w:val="left"/>
              <w:rPr>
                <w:rFonts w:ascii="Times New Roman;serif" w:hAnsi="Times New Roman;serif"/>
                <w:b w:val="false"/>
                <w:sz w:val="20"/>
              </w:rPr>
            </w:pPr>
            <w:r>
              <w:rPr>
                <w:rFonts w:ascii="Times New Roman;serif" w:hAnsi="Times New Roman;serif"/>
                <w:b w:val="false"/>
                <w:sz w:val="20"/>
              </w:rPr>
              <w:t>Weighted-average remaining lease term (years)</w:t>
            </w:r>
          </w:p>
        </w:tc>
        <w:tc>
          <w:tcPr>
            <w:tcW w:w="146" w:type="dxa"/>
            <w:tcBorders/>
            <w:shd w:fill="auto" w:val="clear"/>
            <w:vAlign w:val="center"/>
          </w:tcPr>
          <w:p>
            <w:pPr>
              <w:pStyle w:val="TableContents"/>
              <w:spacing w:before="0" w:after="0"/>
              <w:ind w:left="0" w:right="0" w:hanging="0"/>
              <w:jc w:val="left"/>
              <w:rPr/>
            </w:pPr>
            <w:r>
              <w:rPr/>
              <w:t> </w:t>
            </w:r>
          </w:p>
        </w:tc>
        <w:tc>
          <w:tcPr>
            <w:tcW w:w="245"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610"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4.4</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314"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78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4.7</w:t>
            </w:r>
          </w:p>
        </w:tc>
        <w:tc>
          <w:tcPr>
            <w:tcW w:w="29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firstLine="100"/>
              <w:jc w:val="left"/>
              <w:rPr/>
            </w:pPr>
            <w:r>
              <w:rPr/>
              <w:t> </w:t>
            </w:r>
          </w:p>
        </w:tc>
      </w:tr>
      <w:tr>
        <w:trPr/>
        <w:tc>
          <w:tcPr>
            <w:tcW w:w="3915" w:type="dxa"/>
            <w:gridSpan w:val="2"/>
            <w:tcBorders/>
            <w:shd w:fill="auto" w:val="clear"/>
            <w:vAlign w:val="center"/>
          </w:tcPr>
          <w:p>
            <w:pPr>
              <w:pStyle w:val="TableContents"/>
              <w:spacing w:before="0" w:after="0"/>
              <w:ind w:left="100" w:right="0" w:hanging="0"/>
              <w:jc w:val="left"/>
              <w:rPr>
                <w:rFonts w:ascii="Times New Roman;serif" w:hAnsi="Times New Roman;serif"/>
                <w:b w:val="false"/>
                <w:sz w:val="20"/>
              </w:rPr>
            </w:pPr>
            <w:r>
              <w:rPr>
                <w:rFonts w:ascii="Times New Roman;serif" w:hAnsi="Times New Roman;serif"/>
                <w:b w:val="false"/>
                <w:sz w:val="20"/>
              </w:rPr>
              <w:t>Weighted-average discount rate</w:t>
            </w:r>
          </w:p>
        </w:tc>
        <w:tc>
          <w:tcPr>
            <w:tcW w:w="146" w:type="dxa"/>
            <w:tcBorders/>
            <w:shd w:fill="auto" w:val="clear"/>
            <w:vAlign w:val="center"/>
          </w:tcPr>
          <w:p>
            <w:pPr>
              <w:pStyle w:val="TableContents"/>
              <w:spacing w:before="0" w:after="0"/>
              <w:ind w:left="0" w:right="0" w:hanging="0"/>
              <w:jc w:val="left"/>
              <w:rPr/>
            </w:pPr>
            <w:r>
              <w:rPr/>
              <w:t> </w:t>
            </w:r>
          </w:p>
        </w:tc>
        <w:tc>
          <w:tcPr>
            <w:tcW w:w="855" w:type="dxa"/>
            <w:gridSpan w:val="2"/>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6.00%</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095" w:type="dxa"/>
            <w:gridSpan w:val="2"/>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6.00%</w:t>
            </w:r>
          </w:p>
        </w:tc>
        <w:tc>
          <w:tcPr>
            <w:tcW w:w="29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pPr>
            <w:r>
              <w:rPr/>
              <w:t> </w:t>
            </w:r>
          </w:p>
        </w:tc>
      </w:tr>
    </w:tbl>
    <w:p>
      <w:pPr>
        <w:pStyle w:val="TextBody"/>
        <w:spacing w:before="0" w:after="0"/>
        <w:jc w:val="both"/>
        <w:rPr/>
      </w:pPr>
      <w:r>
        <w:rPr/>
        <w:t> </w:t>
      </w:r>
    </w:p>
    <w:p>
      <w:pPr>
        <w:pStyle w:val="TextBody"/>
        <w:spacing w:before="0" w:after="0"/>
        <w:jc w:val="both"/>
        <w:rPr>
          <w:rFonts w:ascii="Times New Roman;serif" w:hAnsi="Times New Roman;serif"/>
          <w:b w:val="false"/>
          <w:sz w:val="20"/>
        </w:rPr>
      </w:pPr>
      <w:r>
        <w:rPr>
          <w:rFonts w:ascii="Times New Roman;serif" w:hAnsi="Times New Roman;serif"/>
          <w:b w:val="false"/>
          <w:sz w:val="20"/>
        </w:rPr>
        <w:t>As of March 31, 2023, the maturities of the Company’s operating and finance lease liabilities are as follows:</w:t>
      </w:r>
    </w:p>
    <w:p>
      <w:pPr>
        <w:pStyle w:val="TextBody"/>
        <w:spacing w:before="0" w:after="0"/>
        <w:jc w:val="both"/>
        <w:rPr/>
      </w:pPr>
      <w:r>
        <w:rPr/>
        <w:t> </w:t>
      </w:r>
    </w:p>
    <w:tbl>
      <w:tblPr>
        <w:tblW w:w="5905" w:type="dxa"/>
        <w:jc w:val="left"/>
        <w:tblInd w:w="0" w:type="dxa"/>
        <w:tblCellMar>
          <w:top w:w="28" w:type="dxa"/>
          <w:left w:w="28" w:type="dxa"/>
          <w:bottom w:w="28" w:type="dxa"/>
          <w:right w:w="28" w:type="dxa"/>
        </w:tblCellMar>
      </w:tblPr>
      <w:tblGrid>
        <w:gridCol w:w="2686"/>
        <w:gridCol w:w="146"/>
        <w:gridCol w:w="324"/>
        <w:gridCol w:w="1041"/>
        <w:gridCol w:w="166"/>
        <w:gridCol w:w="146"/>
        <w:gridCol w:w="320"/>
        <w:gridCol w:w="865"/>
        <w:gridCol w:w="211"/>
      </w:tblGrid>
      <w:tr>
        <w:trPr/>
        <w:tc>
          <w:tcPr>
            <w:tcW w:w="268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324" w:type="dxa"/>
            <w:tcBorders/>
            <w:shd w:fill="auto" w:val="clear"/>
            <w:vAlign w:val="center"/>
          </w:tcPr>
          <w:p>
            <w:pPr>
              <w:pStyle w:val="TableContents"/>
              <w:spacing w:before="0" w:after="283"/>
              <w:rPr>
                <w:sz w:val="4"/>
                <w:szCs w:val="4"/>
              </w:rPr>
            </w:pPr>
            <w:r>
              <w:rPr>
                <w:sz w:val="4"/>
                <w:szCs w:val="4"/>
              </w:rPr>
            </w:r>
          </w:p>
        </w:tc>
        <w:tc>
          <w:tcPr>
            <w:tcW w:w="1041" w:type="dxa"/>
            <w:tcBorders/>
            <w:shd w:fill="auto" w:val="clear"/>
            <w:vAlign w:val="center"/>
          </w:tcPr>
          <w:p>
            <w:pPr>
              <w:pStyle w:val="TableContents"/>
              <w:spacing w:before="0" w:after="283"/>
              <w:rPr>
                <w:sz w:val="4"/>
                <w:szCs w:val="4"/>
              </w:rPr>
            </w:pPr>
            <w:r>
              <w:rPr>
                <w:sz w:val="4"/>
                <w:szCs w:val="4"/>
              </w:rPr>
            </w:r>
          </w:p>
        </w:tc>
        <w:tc>
          <w:tcPr>
            <w:tcW w:w="16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320" w:type="dxa"/>
            <w:tcBorders/>
            <w:shd w:fill="auto" w:val="clear"/>
            <w:vAlign w:val="center"/>
          </w:tcPr>
          <w:p>
            <w:pPr>
              <w:pStyle w:val="TableContents"/>
              <w:spacing w:before="0" w:after="283"/>
              <w:rPr>
                <w:sz w:val="4"/>
                <w:szCs w:val="4"/>
              </w:rPr>
            </w:pPr>
            <w:r>
              <w:rPr>
                <w:sz w:val="4"/>
                <w:szCs w:val="4"/>
              </w:rPr>
            </w:r>
          </w:p>
        </w:tc>
        <w:tc>
          <w:tcPr>
            <w:tcW w:w="865"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r>
      <w:tr>
        <w:trPr/>
        <w:tc>
          <w:tcPr>
            <w:tcW w:w="2686" w:type="dxa"/>
            <w:tcBorders/>
            <w:shd w:fill="auto" w:val="clear"/>
            <w:vAlign w:val="center"/>
          </w:tcPr>
          <w:p>
            <w:pPr>
              <w:pStyle w:val="TableContents"/>
              <w:spacing w:before="0" w:after="0"/>
              <w:ind w:left="0" w:right="0" w:hanging="0"/>
              <w:jc w:val="left"/>
              <w:rPr>
                <w:rFonts w:ascii="Times New Roman;serif" w:hAnsi="Times New Roman;serif"/>
                <w:b w:val="false"/>
                <w:i/>
                <w:sz w:val="16"/>
              </w:rPr>
            </w:pPr>
            <w:r>
              <w:rPr>
                <w:rFonts w:ascii="Times New Roman;serif" w:hAnsi="Times New Roman;serif"/>
                <w:b w:val="false"/>
                <w:i/>
                <w:sz w:val="16"/>
              </w:rPr>
              <w:t>(In thousands of U.S. Dollars)</w:t>
            </w:r>
          </w:p>
        </w:tc>
        <w:tc>
          <w:tcPr>
            <w:tcW w:w="146" w:type="dxa"/>
            <w:tcBorders/>
            <w:shd w:fill="auto" w:val="clear"/>
            <w:vAlign w:val="center"/>
          </w:tcPr>
          <w:p>
            <w:pPr>
              <w:pStyle w:val="TableContents"/>
              <w:spacing w:before="0" w:after="0"/>
              <w:ind w:left="0" w:right="0" w:hanging="0"/>
              <w:jc w:val="left"/>
              <w:rPr/>
            </w:pPr>
            <w:r>
              <w:rPr/>
              <w:t> </w:t>
            </w:r>
          </w:p>
        </w:tc>
        <w:tc>
          <w:tcPr>
            <w:tcW w:w="1365"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Operating Leases</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185"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Finance Leases</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268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2023 (nine months remaining)</w:t>
            </w:r>
          </w:p>
        </w:tc>
        <w:tc>
          <w:tcPr>
            <w:tcW w:w="146" w:type="dxa"/>
            <w:tcBorders/>
            <w:shd w:fill="auto" w:val="clear"/>
            <w:vAlign w:val="center"/>
          </w:tcPr>
          <w:p>
            <w:pPr>
              <w:pStyle w:val="TableContents"/>
              <w:spacing w:before="0" w:after="0"/>
              <w:ind w:left="0" w:right="0" w:hanging="0"/>
              <w:jc w:val="left"/>
              <w:rPr/>
            </w:pPr>
            <w:r>
              <w:rPr/>
              <w:t> </w:t>
            </w:r>
          </w:p>
        </w:tc>
        <w:tc>
          <w:tcPr>
            <w:tcW w:w="324"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04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2,699</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320"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865"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508</w:t>
            </w:r>
          </w:p>
        </w:tc>
        <w:tc>
          <w:tcPr>
            <w:tcW w:w="211" w:type="dxa"/>
            <w:tcBorders/>
            <w:shd w:fill="auto" w:val="clear"/>
            <w:vAlign w:val="center"/>
          </w:tcPr>
          <w:p>
            <w:pPr>
              <w:pStyle w:val="TableContents"/>
              <w:spacing w:before="0" w:after="0"/>
              <w:ind w:left="0" w:right="0" w:hanging="0"/>
              <w:jc w:val="left"/>
              <w:rPr/>
            </w:pPr>
            <w:r>
              <w:rPr/>
              <w:t> </w:t>
            </w:r>
          </w:p>
        </w:tc>
      </w:tr>
      <w:tr>
        <w:trPr/>
        <w:tc>
          <w:tcPr>
            <w:tcW w:w="268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2024</w:t>
            </w:r>
          </w:p>
        </w:tc>
        <w:tc>
          <w:tcPr>
            <w:tcW w:w="146" w:type="dxa"/>
            <w:tcBorders/>
            <w:shd w:fill="auto" w:val="clear"/>
            <w:vAlign w:val="center"/>
          </w:tcPr>
          <w:p>
            <w:pPr>
              <w:pStyle w:val="TableContents"/>
              <w:spacing w:before="0" w:after="0"/>
              <w:ind w:left="0" w:right="0" w:hanging="0"/>
              <w:jc w:val="left"/>
              <w:rPr/>
            </w:pPr>
            <w:r>
              <w:rPr/>
              <w:t> </w:t>
            </w:r>
          </w:p>
        </w:tc>
        <w:tc>
          <w:tcPr>
            <w:tcW w:w="324" w:type="dxa"/>
            <w:tcBorders/>
            <w:shd w:fill="auto" w:val="clear"/>
            <w:vAlign w:val="center"/>
          </w:tcPr>
          <w:p>
            <w:pPr>
              <w:pStyle w:val="TableContents"/>
              <w:spacing w:before="0" w:after="0"/>
              <w:ind w:left="0" w:right="0" w:hanging="0"/>
              <w:jc w:val="left"/>
              <w:rPr/>
            </w:pPr>
            <w:r>
              <w:rPr/>
              <w:t> </w:t>
            </w:r>
          </w:p>
        </w:tc>
        <w:tc>
          <w:tcPr>
            <w:tcW w:w="104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3,049</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320" w:type="dxa"/>
            <w:tcBorders/>
            <w:shd w:fill="auto" w:val="clear"/>
            <w:vAlign w:val="center"/>
          </w:tcPr>
          <w:p>
            <w:pPr>
              <w:pStyle w:val="TableContents"/>
              <w:spacing w:before="0" w:after="0"/>
              <w:ind w:left="0" w:right="0" w:hanging="0"/>
              <w:jc w:val="left"/>
              <w:rPr/>
            </w:pPr>
            <w:r>
              <w:rPr/>
              <w:t> </w:t>
            </w:r>
          </w:p>
        </w:tc>
        <w:tc>
          <w:tcPr>
            <w:tcW w:w="865"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508</w:t>
            </w:r>
          </w:p>
        </w:tc>
        <w:tc>
          <w:tcPr>
            <w:tcW w:w="211" w:type="dxa"/>
            <w:tcBorders/>
            <w:shd w:fill="auto" w:val="clear"/>
            <w:vAlign w:val="center"/>
          </w:tcPr>
          <w:p>
            <w:pPr>
              <w:pStyle w:val="TableContents"/>
              <w:spacing w:before="0" w:after="0"/>
              <w:ind w:left="0" w:right="0" w:hanging="0"/>
              <w:jc w:val="left"/>
              <w:rPr/>
            </w:pPr>
            <w:r>
              <w:rPr/>
              <w:t> </w:t>
            </w:r>
          </w:p>
        </w:tc>
      </w:tr>
      <w:tr>
        <w:trPr/>
        <w:tc>
          <w:tcPr>
            <w:tcW w:w="268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2025</w:t>
            </w:r>
          </w:p>
        </w:tc>
        <w:tc>
          <w:tcPr>
            <w:tcW w:w="146" w:type="dxa"/>
            <w:tcBorders/>
            <w:shd w:fill="auto" w:val="clear"/>
            <w:vAlign w:val="center"/>
          </w:tcPr>
          <w:p>
            <w:pPr>
              <w:pStyle w:val="TableContents"/>
              <w:spacing w:before="0" w:after="0"/>
              <w:ind w:left="0" w:right="0" w:hanging="0"/>
              <w:jc w:val="left"/>
              <w:rPr/>
            </w:pPr>
            <w:r>
              <w:rPr/>
              <w:t> </w:t>
            </w:r>
          </w:p>
        </w:tc>
        <w:tc>
          <w:tcPr>
            <w:tcW w:w="324" w:type="dxa"/>
            <w:tcBorders/>
            <w:shd w:fill="auto" w:val="clear"/>
            <w:vAlign w:val="center"/>
          </w:tcPr>
          <w:p>
            <w:pPr>
              <w:pStyle w:val="TableContents"/>
              <w:spacing w:before="0" w:after="0"/>
              <w:ind w:left="0" w:right="0" w:hanging="0"/>
              <w:jc w:val="left"/>
              <w:rPr/>
            </w:pPr>
            <w:r>
              <w:rPr/>
              <w:t> </w:t>
            </w:r>
          </w:p>
        </w:tc>
        <w:tc>
          <w:tcPr>
            <w:tcW w:w="104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2,457</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320" w:type="dxa"/>
            <w:tcBorders/>
            <w:shd w:fill="auto" w:val="clear"/>
            <w:vAlign w:val="center"/>
          </w:tcPr>
          <w:p>
            <w:pPr>
              <w:pStyle w:val="TableContents"/>
              <w:spacing w:before="0" w:after="0"/>
              <w:ind w:left="0" w:right="0" w:hanging="0"/>
              <w:jc w:val="left"/>
              <w:rPr/>
            </w:pPr>
            <w:r>
              <w:rPr/>
              <w:t> </w:t>
            </w:r>
          </w:p>
        </w:tc>
        <w:tc>
          <w:tcPr>
            <w:tcW w:w="865" w:type="dxa"/>
            <w:tcBorders/>
            <w:shd w:fill="auto" w:val="clear"/>
            <w:vAlign w:val="center"/>
          </w:tcPr>
          <w:p>
            <w:pPr>
              <w:pStyle w:val="TableContents"/>
              <w:spacing w:before="0" w:after="0"/>
              <w:ind w:left="0" w:right="0" w:hanging="0"/>
              <w:jc w:val="right"/>
              <w:rPr/>
            </w:pPr>
            <w:r>
              <w:rPr/>
              <w:t>—</w:t>
            </w:r>
          </w:p>
        </w:tc>
        <w:tc>
          <w:tcPr>
            <w:tcW w:w="211" w:type="dxa"/>
            <w:tcBorders/>
            <w:shd w:fill="auto" w:val="clear"/>
            <w:vAlign w:val="center"/>
          </w:tcPr>
          <w:p>
            <w:pPr>
              <w:pStyle w:val="TableContents"/>
              <w:spacing w:before="0" w:after="0"/>
              <w:ind w:left="0" w:right="0" w:hanging="0"/>
              <w:jc w:val="left"/>
              <w:rPr/>
            </w:pPr>
            <w:r>
              <w:rPr/>
              <w:t> </w:t>
            </w:r>
          </w:p>
        </w:tc>
      </w:tr>
      <w:tr>
        <w:trPr/>
        <w:tc>
          <w:tcPr>
            <w:tcW w:w="268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2026</w:t>
            </w:r>
          </w:p>
        </w:tc>
        <w:tc>
          <w:tcPr>
            <w:tcW w:w="146" w:type="dxa"/>
            <w:tcBorders/>
            <w:shd w:fill="auto" w:val="clear"/>
            <w:vAlign w:val="center"/>
          </w:tcPr>
          <w:p>
            <w:pPr>
              <w:pStyle w:val="TableContents"/>
              <w:spacing w:before="0" w:after="0"/>
              <w:ind w:left="0" w:right="0" w:hanging="0"/>
              <w:jc w:val="left"/>
              <w:rPr/>
            </w:pPr>
            <w:r>
              <w:rPr/>
              <w:t> </w:t>
            </w:r>
          </w:p>
        </w:tc>
        <w:tc>
          <w:tcPr>
            <w:tcW w:w="324" w:type="dxa"/>
            <w:tcBorders/>
            <w:shd w:fill="auto" w:val="clear"/>
            <w:vAlign w:val="center"/>
          </w:tcPr>
          <w:p>
            <w:pPr>
              <w:pStyle w:val="TableContents"/>
              <w:spacing w:before="0" w:after="0"/>
              <w:ind w:left="0" w:right="0" w:hanging="0"/>
              <w:jc w:val="left"/>
              <w:rPr/>
            </w:pPr>
            <w:r>
              <w:rPr/>
              <w:t> </w:t>
            </w:r>
          </w:p>
        </w:tc>
        <w:tc>
          <w:tcPr>
            <w:tcW w:w="104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2,069</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320" w:type="dxa"/>
            <w:tcBorders/>
            <w:shd w:fill="auto" w:val="clear"/>
            <w:vAlign w:val="center"/>
          </w:tcPr>
          <w:p>
            <w:pPr>
              <w:pStyle w:val="TableContents"/>
              <w:spacing w:before="0" w:after="0"/>
              <w:ind w:left="0" w:right="0" w:hanging="0"/>
              <w:jc w:val="left"/>
              <w:rPr/>
            </w:pPr>
            <w:r>
              <w:rPr/>
              <w:t> </w:t>
            </w:r>
          </w:p>
        </w:tc>
        <w:tc>
          <w:tcPr>
            <w:tcW w:w="865" w:type="dxa"/>
            <w:tcBorders/>
            <w:shd w:fill="auto" w:val="clear"/>
            <w:vAlign w:val="center"/>
          </w:tcPr>
          <w:p>
            <w:pPr>
              <w:pStyle w:val="TableContents"/>
              <w:spacing w:before="0" w:after="0"/>
              <w:ind w:left="0" w:right="0" w:hanging="0"/>
              <w:jc w:val="right"/>
              <w:rPr/>
            </w:pPr>
            <w:r>
              <w:rPr/>
              <w:t>—</w:t>
            </w:r>
          </w:p>
        </w:tc>
        <w:tc>
          <w:tcPr>
            <w:tcW w:w="211" w:type="dxa"/>
            <w:tcBorders/>
            <w:shd w:fill="auto" w:val="clear"/>
            <w:vAlign w:val="center"/>
          </w:tcPr>
          <w:p>
            <w:pPr>
              <w:pStyle w:val="TableContents"/>
              <w:spacing w:before="0" w:after="0"/>
              <w:ind w:left="0" w:right="0" w:hanging="0"/>
              <w:jc w:val="left"/>
              <w:rPr/>
            </w:pPr>
            <w:r>
              <w:rPr/>
              <w:t> </w:t>
            </w:r>
          </w:p>
        </w:tc>
      </w:tr>
      <w:tr>
        <w:trPr/>
        <w:tc>
          <w:tcPr>
            <w:tcW w:w="268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2027</w:t>
            </w:r>
          </w:p>
        </w:tc>
        <w:tc>
          <w:tcPr>
            <w:tcW w:w="146" w:type="dxa"/>
            <w:tcBorders/>
            <w:shd w:fill="auto" w:val="clear"/>
            <w:vAlign w:val="center"/>
          </w:tcPr>
          <w:p>
            <w:pPr>
              <w:pStyle w:val="TableContents"/>
              <w:spacing w:before="0" w:after="0"/>
              <w:ind w:left="0" w:right="0" w:hanging="0"/>
              <w:jc w:val="left"/>
              <w:rPr/>
            </w:pPr>
            <w:r>
              <w:rPr/>
              <w:t> </w:t>
            </w:r>
          </w:p>
        </w:tc>
        <w:tc>
          <w:tcPr>
            <w:tcW w:w="324" w:type="dxa"/>
            <w:tcBorders/>
            <w:shd w:fill="auto" w:val="clear"/>
            <w:vAlign w:val="center"/>
          </w:tcPr>
          <w:p>
            <w:pPr>
              <w:pStyle w:val="TableContents"/>
              <w:spacing w:before="0" w:after="0"/>
              <w:ind w:left="0" w:right="0" w:hanging="0"/>
              <w:jc w:val="left"/>
              <w:rPr/>
            </w:pPr>
            <w:r>
              <w:rPr/>
              <w:t> </w:t>
            </w:r>
          </w:p>
        </w:tc>
        <w:tc>
          <w:tcPr>
            <w:tcW w:w="104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2,093</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320" w:type="dxa"/>
            <w:tcBorders/>
            <w:shd w:fill="auto" w:val="clear"/>
            <w:vAlign w:val="center"/>
          </w:tcPr>
          <w:p>
            <w:pPr>
              <w:pStyle w:val="TableContents"/>
              <w:spacing w:before="0" w:after="0"/>
              <w:ind w:left="0" w:right="0" w:hanging="0"/>
              <w:jc w:val="left"/>
              <w:rPr/>
            </w:pPr>
            <w:r>
              <w:rPr/>
              <w:t> </w:t>
            </w:r>
          </w:p>
        </w:tc>
        <w:tc>
          <w:tcPr>
            <w:tcW w:w="865" w:type="dxa"/>
            <w:tcBorders/>
            <w:shd w:fill="auto" w:val="clear"/>
            <w:vAlign w:val="center"/>
          </w:tcPr>
          <w:p>
            <w:pPr>
              <w:pStyle w:val="TableContents"/>
              <w:spacing w:before="0" w:after="0"/>
              <w:ind w:left="0" w:right="0" w:hanging="0"/>
              <w:jc w:val="right"/>
              <w:rPr/>
            </w:pPr>
            <w:r>
              <w:rPr/>
              <w:t>—</w:t>
            </w:r>
          </w:p>
        </w:tc>
        <w:tc>
          <w:tcPr>
            <w:tcW w:w="211" w:type="dxa"/>
            <w:tcBorders/>
            <w:shd w:fill="auto" w:val="clear"/>
            <w:vAlign w:val="center"/>
          </w:tcPr>
          <w:p>
            <w:pPr>
              <w:pStyle w:val="TableContents"/>
              <w:spacing w:before="0" w:after="0"/>
              <w:ind w:left="0" w:right="0" w:hanging="0"/>
              <w:jc w:val="left"/>
              <w:rPr/>
            </w:pPr>
            <w:r>
              <w:rPr/>
              <w:t> </w:t>
            </w:r>
          </w:p>
        </w:tc>
      </w:tr>
      <w:tr>
        <w:trPr/>
        <w:tc>
          <w:tcPr>
            <w:tcW w:w="268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Thereafter</w:t>
            </w:r>
          </w:p>
        </w:tc>
        <w:tc>
          <w:tcPr>
            <w:tcW w:w="146" w:type="dxa"/>
            <w:tcBorders/>
            <w:shd w:fill="auto" w:val="clear"/>
            <w:vAlign w:val="center"/>
          </w:tcPr>
          <w:p>
            <w:pPr>
              <w:pStyle w:val="TableContents"/>
              <w:spacing w:before="0" w:after="0"/>
              <w:ind w:left="0" w:right="0" w:hanging="0"/>
              <w:jc w:val="left"/>
              <w:rPr/>
            </w:pPr>
            <w:r>
              <w:rPr/>
              <w:t> </w:t>
            </w:r>
          </w:p>
        </w:tc>
        <w:tc>
          <w:tcPr>
            <w:tcW w:w="324"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04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4,354</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320"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865"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pPr>
            <w:r>
              <w:rPr/>
              <w:t>—</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r>
        <w:trPr/>
        <w:tc>
          <w:tcPr>
            <w:tcW w:w="268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Total lease payments</w:t>
            </w:r>
          </w:p>
        </w:tc>
        <w:tc>
          <w:tcPr>
            <w:tcW w:w="146" w:type="dxa"/>
            <w:tcBorders/>
            <w:shd w:fill="auto" w:val="clear"/>
            <w:vAlign w:val="center"/>
          </w:tcPr>
          <w:p>
            <w:pPr>
              <w:pStyle w:val="TableContents"/>
              <w:spacing w:before="0" w:after="0"/>
              <w:ind w:left="0" w:right="0" w:hanging="0"/>
              <w:jc w:val="left"/>
              <w:rPr/>
            </w:pPr>
            <w:r>
              <w:rPr/>
              <w:t> </w:t>
            </w:r>
          </w:p>
        </w:tc>
        <w:tc>
          <w:tcPr>
            <w:tcW w:w="324"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04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16,721</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320"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865"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1,016</w:t>
            </w:r>
          </w:p>
        </w:tc>
        <w:tc>
          <w:tcPr>
            <w:tcW w:w="211" w:type="dxa"/>
            <w:tcBorders/>
            <w:shd w:fill="auto" w:val="clear"/>
            <w:vAlign w:val="center"/>
          </w:tcPr>
          <w:p>
            <w:pPr>
              <w:pStyle w:val="TableContents"/>
              <w:spacing w:before="0" w:after="0"/>
              <w:ind w:left="0" w:right="0" w:hanging="0"/>
              <w:jc w:val="left"/>
              <w:rPr/>
            </w:pPr>
            <w:r>
              <w:rPr/>
              <w:t> </w:t>
            </w:r>
          </w:p>
        </w:tc>
      </w:tr>
      <w:tr>
        <w:trPr/>
        <w:tc>
          <w:tcPr>
            <w:tcW w:w="268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Less: interest expense</w:t>
            </w:r>
          </w:p>
        </w:tc>
        <w:tc>
          <w:tcPr>
            <w:tcW w:w="146" w:type="dxa"/>
            <w:tcBorders/>
            <w:shd w:fill="auto" w:val="clear"/>
            <w:vAlign w:val="center"/>
          </w:tcPr>
          <w:p>
            <w:pPr>
              <w:pStyle w:val="TableContents"/>
              <w:spacing w:before="0" w:after="0"/>
              <w:ind w:left="0" w:right="0" w:hanging="0"/>
              <w:jc w:val="left"/>
              <w:rPr/>
            </w:pPr>
            <w:r>
              <w:rPr/>
              <w:t> </w:t>
            </w:r>
          </w:p>
        </w:tc>
        <w:tc>
          <w:tcPr>
            <w:tcW w:w="324"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04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(2,581</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320"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865"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(49</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268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Present value of lease liabilities</w:t>
            </w:r>
          </w:p>
        </w:tc>
        <w:tc>
          <w:tcPr>
            <w:tcW w:w="146" w:type="dxa"/>
            <w:tcBorders/>
            <w:shd w:fill="auto" w:val="clear"/>
            <w:vAlign w:val="center"/>
          </w:tcPr>
          <w:p>
            <w:pPr>
              <w:pStyle w:val="TableContents"/>
              <w:spacing w:before="0" w:after="0"/>
              <w:ind w:left="0" w:right="0" w:hanging="0"/>
              <w:jc w:val="left"/>
              <w:rPr/>
            </w:pPr>
            <w:r>
              <w:rPr/>
              <w:t> </w:t>
            </w:r>
          </w:p>
        </w:tc>
        <w:tc>
          <w:tcPr>
            <w:tcW w:w="324"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04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14,140</w:t>
            </w:r>
          </w:p>
        </w:tc>
        <w:tc>
          <w:tcPr>
            <w:tcW w:w="16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320"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865"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967</w:t>
            </w:r>
          </w:p>
        </w:tc>
        <w:tc>
          <w:tcPr>
            <w:tcW w:w="21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bl>
    <w:p>
      <w:pPr>
        <w:pStyle w:val="TextBody"/>
        <w:spacing w:before="200" w:after="0"/>
        <w:jc w:val="both"/>
        <w:rPr>
          <w:rFonts w:ascii="Times New Roman" w:hAnsi="Times New Roman"/>
          <w:b/>
          <w:i/>
          <w:sz w:val="20"/>
        </w:rPr>
      </w:pPr>
      <w:r>
        <w:rPr>
          <w:rFonts w:ascii="Times New Roman" w:hAnsi="Times New Roman"/>
          <w:b/>
          <w:i/>
          <w:sz w:val="20"/>
        </w:rPr>
        <w:t>(b)</w:t>
      </w:r>
    </w:p>
    <w:p>
      <w:pPr>
        <w:pStyle w:val="TextBody"/>
        <w:spacing w:before="200" w:after="283"/>
        <w:jc w:val="both"/>
        <w:rPr>
          <w:rFonts w:ascii="Times New Roman;serif" w:hAnsi="Times New Roman;serif"/>
          <w:b/>
          <w:i/>
          <w:sz w:val="20"/>
        </w:rPr>
      </w:pPr>
      <w:r>
        <w:rPr>
          <w:rFonts w:ascii="Times New Roman;serif" w:hAnsi="Times New Roman;serif"/>
          <w:b/>
          <w:i/>
          <w:sz w:val="20"/>
        </w:rPr>
        <w:t>IMAX Corporation as a Lessor</w:t>
      </w:r>
    </w:p>
    <w:p>
      <w:pPr>
        <w:pStyle w:val="TextBody"/>
        <w:spacing w:before="200" w:after="0"/>
        <w:jc w:val="both"/>
        <w:rPr>
          <w:rFonts w:ascii="Times New Roman" w:hAnsi="Times New Roman"/>
          <w:sz w:val="20"/>
        </w:rPr>
      </w:pPr>
      <w:r>
        <w:rPr>
          <w:rFonts w:ascii="Times New Roman;serif" w:hAnsi="Times New Roman;serif"/>
          <w:b w:val="false"/>
          <w:sz w:val="20"/>
        </w:rPr>
        <w:t>The Company provides IMAX Systems to customers through long-term lease arrangements that for accounting purposes are classified as sales-type leases. Under these arrangements, in exchange for providing the IMAX System, the Company earns fixed upfront and ongoing consideration. Certain arrangements that are legal sales are also classified as sales-type leases as certain clauses within the arrangements limit transfer of title or provide the Company with conditional rights to the system.</w:t>
      </w:r>
      <w:r>
        <w:rPr>
          <w:rFonts w:ascii="Times New Roman" w:hAnsi="Times New Roman"/>
          <w:sz w:val="20"/>
        </w:rPr>
        <w:t xml:space="preserve"> </w:t>
      </w:r>
      <w:r>
        <w:rPr>
          <w:rFonts w:ascii="Times New Roman;serif" w:hAnsi="Times New Roman;serif"/>
          <w:b w:val="false"/>
          <w:sz w:val="20"/>
        </w:rPr>
        <w:t>The customer’s rights under the Company’s sales-type lease arrangements are described in Note 3(o) of the Company’s audited Consolidated Financial Statements included in its 2022</w:t>
      </w:r>
      <w:r>
        <w:rPr>
          <w:rFonts w:ascii="Times New Roman" w:hAnsi="Times New Roman"/>
          <w:sz w:val="20"/>
        </w:rPr>
        <w:t xml:space="preserve"> </w:t>
      </w:r>
      <w:r>
        <w:rPr>
          <w:rFonts w:ascii="Times New Roman;serif" w:hAnsi="Times New Roman;serif"/>
          <w:b w:val="false"/>
          <w:sz w:val="20"/>
        </w:rPr>
        <w:t>Form 10-K. Under the Company’s sales-type lease arrangements, the customer has the ability and the right to operate the hardware components or direct others to operate them in a manner determined by the customer. The Company’s lease portfolio terms are typically non-cancellable for 10</w:t>
      </w:r>
      <w:r>
        <w:rPr>
          <w:rFonts w:ascii="Times New Roman" w:hAnsi="Times New Roman"/>
          <w:sz w:val="20"/>
        </w:rPr>
        <w:t xml:space="preserve"> </w:t>
      </w:r>
      <w:r>
        <w:rPr>
          <w:rFonts w:ascii="Times New Roman;serif" w:hAnsi="Times New Roman;serif"/>
          <w:b w:val="false"/>
          <w:sz w:val="20"/>
        </w:rPr>
        <w:t>years or longer with renewal provisions from inception. The Company’s sales-type lease arrangements do not contain a guarantee of residual value at the end of the lease term. The customer is required to pay for executory costs such as insurance and taxes and is required to pay the Company for maintenance and an extended warranty generally after the first year of the lease until the end of the lease term. The customer is responsible for obtaining insurance coverage for the IMAX System commencing on the date specified in the arrangement’s shipping terms and ending on the date the IMAX System is returned to the Company.</w:t>
      </w:r>
      <w:r>
        <w:rPr>
          <w:rFonts w:ascii="Times New Roman" w:hAnsi="Times New Roman"/>
          <w:sz w:val="20"/>
        </w:rPr>
        <w:t xml:space="preserve"> </w:t>
      </w:r>
    </w:p>
    <w:p>
      <w:pPr>
        <w:pStyle w:val="TextBody"/>
        <w:spacing w:before="240" w:after="0"/>
        <w:jc w:val="center"/>
        <w:rPr>
          <w:rFonts w:ascii="Times New Roman;serif" w:hAnsi="Times New Roman;serif"/>
          <w:b w:val="false"/>
          <w:sz w:val="20"/>
        </w:rPr>
      </w:pPr>
      <w:r>
        <w:rPr>
          <w:rFonts w:ascii="Times New Roman;serif" w:hAnsi="Times New Roman;serif"/>
          <w:b w:val="false"/>
          <w:sz w:val="20"/>
        </w:rPr>
        <w:t>18</w:t>
      </w:r>
    </w:p>
    <w:p>
      <w:pPr>
        <w:pStyle w:val="HorizontalLine"/>
        <w:rPr/>
      </w:pPr>
      <w:r>
        <w:rPr/>
      </w:r>
    </w:p>
    <w:p>
      <w:pPr>
        <w:pStyle w:val="TextBody"/>
        <w:spacing w:before="0" w:after="0"/>
        <w:jc w:val="left"/>
        <w:rPr/>
      </w:pPr>
      <w:r>
        <w:rPr/>
        <w:t> </w:t>
      </w:r>
    </w:p>
    <w:p>
      <w:pPr>
        <w:pStyle w:val="TextBody"/>
        <w:spacing w:before="200" w:after="0"/>
        <w:jc w:val="both"/>
        <w:rPr>
          <w:rFonts w:ascii="Times New Roman" w:hAnsi="Times New Roman"/>
          <w:sz w:val="20"/>
        </w:rPr>
      </w:pPr>
      <w:r>
        <w:rPr>
          <w:rFonts w:ascii="Times New Roman;serif" w:hAnsi="Times New Roman;serif"/>
          <w:b w:val="false"/>
          <w:sz w:val="20"/>
        </w:rPr>
        <w:t>The Company also provides IMAX Systems to customers through joint revenue sharing arrangements. Under the traditional form of these arrangements, in exchange for providing the IMAX System under a long-term lease, the Company earns rent based on a percentage of contingent box office receipts and, in some cases, concession revenues, rather than requiring the customer to pay a fixed upfront fee or annual minimum payments. Under certain other joint revenue sharing arrangements, known as hybrid arrangements, the customer is responsible for making fixed upfront payments prior to the delivery and installation of the IMAX System. Under joint revenue sharing arrangements, the customer has the ability and the right to operate the hardware components or direct others to operate them in a manner determined by the customer. The Company’s joint revenue sharing arrangements</w:t>
      </w:r>
      <w:r>
        <w:rPr>
          <w:rFonts w:ascii="Times New Roman" w:hAnsi="Times New Roman"/>
          <w:sz w:val="20"/>
        </w:rPr>
        <w:t xml:space="preserve"> </w:t>
      </w:r>
      <w:r>
        <w:rPr>
          <w:rFonts w:ascii="Times New Roman;serif" w:hAnsi="Times New Roman;serif"/>
          <w:b w:val="false"/>
          <w:sz w:val="20"/>
        </w:rPr>
        <w:t>are typically non-cancellable for 10</w:t>
      </w:r>
      <w:r>
        <w:rPr>
          <w:rFonts w:ascii="Times New Roman" w:hAnsi="Times New Roman"/>
          <w:sz w:val="20"/>
        </w:rPr>
        <w:t xml:space="preserve"> </w:t>
      </w:r>
      <w:r>
        <w:rPr>
          <w:rFonts w:ascii="Times New Roman;serif" w:hAnsi="Times New Roman;serif"/>
          <w:b w:val="false"/>
          <w:sz w:val="20"/>
        </w:rPr>
        <w:t>years or longer</w:t>
      </w:r>
      <w:r>
        <w:rPr>
          <w:rFonts w:ascii="Times New Roman" w:hAnsi="Times New Roman"/>
          <w:sz w:val="20"/>
        </w:rPr>
        <w:t xml:space="preserve"> </w:t>
      </w:r>
      <w:r>
        <w:rPr>
          <w:rFonts w:ascii="Times New Roman;serif" w:hAnsi="Times New Roman;serif"/>
          <w:b w:val="false"/>
          <w:sz w:val="20"/>
        </w:rPr>
        <w:t>with renewal provisions. Title to the IMAX System under a joint revenue sharing arrangement generally does not transfer to the customer. The Company’s joint revenue sharing arrangements do not contain a guarantee of residual value at the end of the lease term. The customer is required to pay for executory costs such as insurance and taxes and is required to pay the Company for maintenance and an extended warranty throughout the term. The customer is responsible for obtaining insurance coverage for the IMAX System commencing on the date specified in the arrangement’s shipping terms and ending on the date the IMAX System is returned to the Company.</w:t>
      </w:r>
      <w:r>
        <w:rPr>
          <w:rFonts w:ascii="Times New Roman" w:hAnsi="Times New Roman"/>
          <w:sz w:val="20"/>
        </w:rPr>
        <w:t xml:space="preserve"> </w:t>
      </w:r>
    </w:p>
    <w:p>
      <w:pPr>
        <w:pStyle w:val="TextBody"/>
        <w:spacing w:before="200" w:after="200"/>
        <w:jc w:val="both"/>
        <w:rPr>
          <w:rFonts w:ascii="Times New Roman;serif" w:hAnsi="Times New Roman;serif"/>
          <w:b w:val="false"/>
          <w:sz w:val="20"/>
        </w:rPr>
      </w:pPr>
      <w:r>
        <w:rPr>
          <w:rFonts w:ascii="Times New Roman;serif" w:hAnsi="Times New Roman;serif"/>
          <w:b w:val="false"/>
          <w:sz w:val="20"/>
        </w:rPr>
        <w:t>The following lease payments are expected to be received by the Company for its sales-type leases and joint revenue sharing arrangements in each of the next five years and thereafter following the March 31, 2023 balance sheet date:</w:t>
      </w:r>
    </w:p>
    <w:tbl>
      <w:tblPr>
        <w:tblW w:w="5852" w:type="dxa"/>
        <w:jc w:val="left"/>
        <w:tblInd w:w="0" w:type="dxa"/>
        <w:tblCellMar>
          <w:top w:w="28" w:type="dxa"/>
          <w:left w:w="28" w:type="dxa"/>
          <w:bottom w:w="28" w:type="dxa"/>
          <w:right w:w="28" w:type="dxa"/>
        </w:tblCellMar>
      </w:tblPr>
      <w:tblGrid>
        <w:gridCol w:w="2581"/>
        <w:gridCol w:w="146"/>
        <w:gridCol w:w="211"/>
        <w:gridCol w:w="676"/>
        <w:gridCol w:w="146"/>
        <w:gridCol w:w="146"/>
        <w:gridCol w:w="583"/>
        <w:gridCol w:w="1172"/>
        <w:gridCol w:w="191"/>
      </w:tblGrid>
      <w:tr>
        <w:trPr/>
        <w:tc>
          <w:tcPr>
            <w:tcW w:w="2581"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67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583" w:type="dxa"/>
            <w:tcBorders/>
            <w:shd w:fill="auto" w:val="clear"/>
            <w:vAlign w:val="center"/>
          </w:tcPr>
          <w:p>
            <w:pPr>
              <w:pStyle w:val="TableContents"/>
              <w:spacing w:before="0" w:after="283"/>
              <w:rPr>
                <w:sz w:val="4"/>
                <w:szCs w:val="4"/>
              </w:rPr>
            </w:pPr>
            <w:r>
              <w:rPr>
                <w:sz w:val="4"/>
                <w:szCs w:val="4"/>
              </w:rPr>
            </w:r>
          </w:p>
        </w:tc>
        <w:tc>
          <w:tcPr>
            <w:tcW w:w="1172" w:type="dxa"/>
            <w:tcBorders/>
            <w:shd w:fill="auto" w:val="clear"/>
            <w:vAlign w:val="center"/>
          </w:tcPr>
          <w:p>
            <w:pPr>
              <w:pStyle w:val="TableContents"/>
              <w:spacing w:before="0" w:after="283"/>
              <w:rPr>
                <w:sz w:val="4"/>
                <w:szCs w:val="4"/>
              </w:rPr>
            </w:pPr>
            <w:r>
              <w:rPr>
                <w:sz w:val="4"/>
                <w:szCs w:val="4"/>
              </w:rPr>
            </w:r>
          </w:p>
        </w:tc>
        <w:tc>
          <w:tcPr>
            <w:tcW w:w="191" w:type="dxa"/>
            <w:tcBorders/>
            <w:shd w:fill="auto" w:val="clear"/>
            <w:vAlign w:val="center"/>
          </w:tcPr>
          <w:p>
            <w:pPr>
              <w:pStyle w:val="TableContents"/>
              <w:spacing w:before="0" w:after="283"/>
              <w:rPr>
                <w:sz w:val="4"/>
                <w:szCs w:val="4"/>
              </w:rPr>
            </w:pPr>
            <w:r>
              <w:rPr>
                <w:sz w:val="4"/>
                <w:szCs w:val="4"/>
              </w:rPr>
            </w:r>
          </w:p>
        </w:tc>
      </w:tr>
      <w:tr>
        <w:trPr/>
        <w:tc>
          <w:tcPr>
            <w:tcW w:w="258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887" w:type="dxa"/>
            <w:gridSpan w:val="2"/>
            <w:tcBorders/>
            <w:shd w:fill="auto" w:val="cle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Sales-Type</w:t>
            </w:r>
          </w:p>
        </w:tc>
        <w:tc>
          <w:tcPr>
            <w:tcW w:w="146"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1755" w:type="dxa"/>
            <w:gridSpan w:val="2"/>
            <w:tcBorders/>
            <w:shd w:fill="auto" w:val="cle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Joint Revenue</w:t>
            </w:r>
          </w:p>
        </w:tc>
        <w:tc>
          <w:tcPr>
            <w:tcW w:w="191" w:type="dxa"/>
            <w:tcBorders/>
            <w:shd w:fill="auto" w:val="clear"/>
            <w:vAlign w:val="center"/>
          </w:tcPr>
          <w:p>
            <w:pPr>
              <w:pStyle w:val="TableContents"/>
              <w:spacing w:before="0" w:after="0"/>
              <w:ind w:left="0" w:right="0" w:hanging="0"/>
              <w:jc w:val="center"/>
              <w:rPr/>
            </w:pPr>
            <w:r>
              <w:rPr/>
              <w:t> </w:t>
            </w:r>
          </w:p>
        </w:tc>
      </w:tr>
      <w:tr>
        <w:trPr/>
        <w:tc>
          <w:tcPr>
            <w:tcW w:w="2581" w:type="dxa"/>
            <w:tcBorders/>
            <w:shd w:fill="auto" w:val="clear"/>
            <w:vAlign w:val="center"/>
          </w:tcPr>
          <w:p>
            <w:pPr>
              <w:pStyle w:val="TableContents"/>
              <w:spacing w:before="0" w:after="0"/>
              <w:ind w:left="0" w:right="0" w:hanging="0"/>
              <w:jc w:val="left"/>
              <w:rPr>
                <w:rFonts w:ascii="Times New Roman;serif" w:hAnsi="Times New Roman;serif"/>
                <w:b w:val="false"/>
                <w:i/>
                <w:sz w:val="16"/>
              </w:rPr>
            </w:pPr>
            <w:r>
              <w:rPr>
                <w:rFonts w:ascii="Times New Roman;serif" w:hAnsi="Times New Roman;serif"/>
                <w:b w:val="false"/>
                <w:i/>
                <w:sz w:val="16"/>
              </w:rPr>
              <w:t>(In thousands of U.S. Dollars)</w:t>
            </w:r>
          </w:p>
        </w:tc>
        <w:tc>
          <w:tcPr>
            <w:tcW w:w="146" w:type="dxa"/>
            <w:tcBorders/>
            <w:shd w:fill="auto" w:val="clear"/>
            <w:vAlign w:val="center"/>
          </w:tcPr>
          <w:p>
            <w:pPr>
              <w:pStyle w:val="TableContents"/>
              <w:spacing w:before="0" w:after="0"/>
              <w:ind w:left="0" w:right="0" w:hanging="0"/>
              <w:jc w:val="left"/>
              <w:rPr/>
            </w:pPr>
            <w:r>
              <w:rPr/>
              <w:t> </w:t>
            </w:r>
          </w:p>
        </w:tc>
        <w:tc>
          <w:tcPr>
            <w:tcW w:w="887"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Leases</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1755"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Sharing Arrangements</w:t>
            </w:r>
          </w:p>
        </w:tc>
        <w:tc>
          <w:tcPr>
            <w:tcW w:w="1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258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2023 (nine months remaining)</w:t>
            </w:r>
          </w:p>
        </w:tc>
        <w:tc>
          <w:tcPr>
            <w:tcW w:w="146" w:type="dxa"/>
            <w:tcBorders/>
            <w:shd w:fill="auto" w:val="clear"/>
            <w:vAlign w:val="center"/>
          </w:tcPr>
          <w:p>
            <w:pPr>
              <w:pStyle w:val="TableContents"/>
              <w:spacing w:before="0" w:after="0"/>
              <w:ind w:left="0" w:right="0" w:hanging="0"/>
              <w:jc w:val="right"/>
              <w:rPr/>
            </w:pPr>
            <w:r>
              <w:rPr/>
              <w:t> </w:t>
            </w:r>
          </w:p>
        </w:tc>
        <w:tc>
          <w:tcPr>
            <w:tcW w:w="21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7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2,260</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583"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172"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130</w:t>
            </w:r>
          </w:p>
        </w:tc>
        <w:tc>
          <w:tcPr>
            <w:tcW w:w="191" w:type="dxa"/>
            <w:tcBorders/>
            <w:shd w:fill="auto" w:val="clear"/>
            <w:vAlign w:val="center"/>
          </w:tcPr>
          <w:p>
            <w:pPr>
              <w:pStyle w:val="TableContents"/>
              <w:spacing w:before="0" w:after="0"/>
              <w:ind w:left="0" w:right="0" w:hanging="0"/>
              <w:jc w:val="left"/>
              <w:rPr/>
            </w:pPr>
            <w:r>
              <w:rPr/>
              <w:t> </w:t>
            </w:r>
          </w:p>
        </w:tc>
      </w:tr>
      <w:tr>
        <w:trPr/>
        <w:tc>
          <w:tcPr>
            <w:tcW w:w="258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2024</w:t>
            </w:r>
          </w:p>
        </w:tc>
        <w:tc>
          <w:tcPr>
            <w:tcW w:w="146" w:type="dxa"/>
            <w:tcBorders/>
            <w:shd w:fill="auto" w:val="clear"/>
            <w:vAlign w:val="center"/>
          </w:tcPr>
          <w:p>
            <w:pPr>
              <w:pStyle w:val="TableContents"/>
              <w:spacing w:before="0" w:after="0"/>
              <w:ind w:left="0" w:right="0" w:hanging="0"/>
              <w:jc w:val="righ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67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3,519</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583" w:type="dxa"/>
            <w:tcBorders/>
            <w:shd w:fill="auto" w:val="clear"/>
            <w:vAlign w:val="center"/>
          </w:tcPr>
          <w:p>
            <w:pPr>
              <w:pStyle w:val="TableContents"/>
              <w:spacing w:before="0" w:after="0"/>
              <w:ind w:left="0" w:right="0" w:hanging="0"/>
              <w:jc w:val="left"/>
              <w:rPr/>
            </w:pPr>
            <w:r>
              <w:rPr/>
              <w:t> </w:t>
            </w:r>
          </w:p>
        </w:tc>
        <w:tc>
          <w:tcPr>
            <w:tcW w:w="1172"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69</w:t>
            </w:r>
          </w:p>
        </w:tc>
        <w:tc>
          <w:tcPr>
            <w:tcW w:w="191" w:type="dxa"/>
            <w:tcBorders/>
            <w:shd w:fill="auto" w:val="clear"/>
            <w:vAlign w:val="center"/>
          </w:tcPr>
          <w:p>
            <w:pPr>
              <w:pStyle w:val="TableContents"/>
              <w:spacing w:before="0" w:after="0"/>
              <w:ind w:left="0" w:right="0" w:hanging="0"/>
              <w:jc w:val="left"/>
              <w:rPr/>
            </w:pPr>
            <w:r>
              <w:rPr/>
              <w:t> </w:t>
            </w:r>
          </w:p>
        </w:tc>
      </w:tr>
      <w:tr>
        <w:trPr/>
        <w:tc>
          <w:tcPr>
            <w:tcW w:w="258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2025</w:t>
            </w:r>
          </w:p>
        </w:tc>
        <w:tc>
          <w:tcPr>
            <w:tcW w:w="146" w:type="dxa"/>
            <w:tcBorders/>
            <w:shd w:fill="auto" w:val="clear"/>
            <w:vAlign w:val="center"/>
          </w:tcPr>
          <w:p>
            <w:pPr>
              <w:pStyle w:val="TableContents"/>
              <w:spacing w:before="0" w:after="0"/>
              <w:ind w:left="0" w:right="0" w:hanging="0"/>
              <w:jc w:val="righ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67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3,248</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583" w:type="dxa"/>
            <w:tcBorders/>
            <w:shd w:fill="auto" w:val="clear"/>
            <w:vAlign w:val="center"/>
          </w:tcPr>
          <w:p>
            <w:pPr>
              <w:pStyle w:val="TableContents"/>
              <w:spacing w:before="0" w:after="0"/>
              <w:ind w:left="0" w:right="0" w:hanging="0"/>
              <w:jc w:val="left"/>
              <w:rPr/>
            </w:pPr>
            <w:r>
              <w:rPr/>
              <w:t> </w:t>
            </w:r>
          </w:p>
        </w:tc>
        <w:tc>
          <w:tcPr>
            <w:tcW w:w="1172"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27</w:t>
            </w:r>
          </w:p>
        </w:tc>
        <w:tc>
          <w:tcPr>
            <w:tcW w:w="191" w:type="dxa"/>
            <w:tcBorders/>
            <w:shd w:fill="auto" w:val="clear"/>
            <w:vAlign w:val="center"/>
          </w:tcPr>
          <w:p>
            <w:pPr>
              <w:pStyle w:val="TableContents"/>
              <w:spacing w:before="0" w:after="0"/>
              <w:ind w:left="0" w:right="0" w:hanging="0"/>
              <w:jc w:val="left"/>
              <w:rPr/>
            </w:pPr>
            <w:r>
              <w:rPr/>
              <w:t> </w:t>
            </w:r>
          </w:p>
        </w:tc>
      </w:tr>
      <w:tr>
        <w:trPr/>
        <w:tc>
          <w:tcPr>
            <w:tcW w:w="258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2026</w:t>
            </w:r>
          </w:p>
        </w:tc>
        <w:tc>
          <w:tcPr>
            <w:tcW w:w="146" w:type="dxa"/>
            <w:tcBorders/>
            <w:shd w:fill="auto" w:val="clear"/>
            <w:vAlign w:val="center"/>
          </w:tcPr>
          <w:p>
            <w:pPr>
              <w:pStyle w:val="TableContents"/>
              <w:spacing w:before="0" w:after="0"/>
              <w:ind w:left="0" w:right="0" w:hanging="0"/>
              <w:jc w:val="righ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67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3,163</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583" w:type="dxa"/>
            <w:tcBorders/>
            <w:shd w:fill="auto" w:val="clear"/>
            <w:vAlign w:val="center"/>
          </w:tcPr>
          <w:p>
            <w:pPr>
              <w:pStyle w:val="TableContents"/>
              <w:spacing w:before="0" w:after="0"/>
              <w:ind w:left="0" w:right="0" w:hanging="0"/>
              <w:jc w:val="left"/>
              <w:rPr/>
            </w:pPr>
            <w:r>
              <w:rPr/>
              <w:t> </w:t>
            </w:r>
          </w:p>
        </w:tc>
        <w:tc>
          <w:tcPr>
            <w:tcW w:w="1172" w:type="dxa"/>
            <w:tcBorders/>
            <w:shd w:fill="auto" w:val="clear"/>
            <w:vAlign w:val="center"/>
          </w:tcPr>
          <w:p>
            <w:pPr>
              <w:pStyle w:val="TableContents"/>
              <w:spacing w:before="0" w:after="0"/>
              <w:ind w:left="0" w:right="0" w:hanging="0"/>
              <w:jc w:val="right"/>
              <w:rPr/>
            </w:pPr>
            <w:r>
              <w:rPr/>
              <w:t>—</w:t>
            </w:r>
          </w:p>
        </w:tc>
        <w:tc>
          <w:tcPr>
            <w:tcW w:w="191" w:type="dxa"/>
            <w:tcBorders/>
            <w:shd w:fill="auto" w:val="clear"/>
            <w:vAlign w:val="center"/>
          </w:tcPr>
          <w:p>
            <w:pPr>
              <w:pStyle w:val="TableContents"/>
              <w:spacing w:before="0" w:after="0"/>
              <w:ind w:left="0" w:right="0" w:hanging="0"/>
              <w:jc w:val="left"/>
              <w:rPr/>
            </w:pPr>
            <w:r>
              <w:rPr/>
              <w:t> </w:t>
            </w:r>
          </w:p>
        </w:tc>
      </w:tr>
      <w:tr>
        <w:trPr/>
        <w:tc>
          <w:tcPr>
            <w:tcW w:w="258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2027</w:t>
            </w:r>
          </w:p>
        </w:tc>
        <w:tc>
          <w:tcPr>
            <w:tcW w:w="146" w:type="dxa"/>
            <w:tcBorders/>
            <w:shd w:fill="auto" w:val="clear"/>
            <w:vAlign w:val="center"/>
          </w:tcPr>
          <w:p>
            <w:pPr>
              <w:pStyle w:val="TableContents"/>
              <w:spacing w:before="0" w:after="0"/>
              <w:ind w:left="0" w:right="0" w:hanging="0"/>
              <w:jc w:val="righ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67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3,018</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583" w:type="dxa"/>
            <w:tcBorders/>
            <w:shd w:fill="auto" w:val="clear"/>
            <w:vAlign w:val="center"/>
          </w:tcPr>
          <w:p>
            <w:pPr>
              <w:pStyle w:val="TableContents"/>
              <w:spacing w:before="0" w:after="0"/>
              <w:ind w:left="0" w:right="0" w:hanging="0"/>
              <w:jc w:val="left"/>
              <w:rPr/>
            </w:pPr>
            <w:r>
              <w:rPr/>
              <w:t> </w:t>
            </w:r>
          </w:p>
        </w:tc>
        <w:tc>
          <w:tcPr>
            <w:tcW w:w="1172" w:type="dxa"/>
            <w:tcBorders/>
            <w:shd w:fill="auto" w:val="clear"/>
            <w:vAlign w:val="center"/>
          </w:tcPr>
          <w:p>
            <w:pPr>
              <w:pStyle w:val="TableContents"/>
              <w:spacing w:before="0" w:after="0"/>
              <w:ind w:left="0" w:right="0" w:hanging="0"/>
              <w:jc w:val="right"/>
              <w:rPr/>
            </w:pPr>
            <w:r>
              <w:rPr/>
              <w:t>—</w:t>
            </w:r>
          </w:p>
        </w:tc>
        <w:tc>
          <w:tcPr>
            <w:tcW w:w="191" w:type="dxa"/>
            <w:tcBorders/>
            <w:shd w:fill="auto" w:val="clear"/>
            <w:vAlign w:val="center"/>
          </w:tcPr>
          <w:p>
            <w:pPr>
              <w:pStyle w:val="TableContents"/>
              <w:spacing w:before="0" w:after="0"/>
              <w:ind w:left="0" w:right="0" w:hanging="0"/>
              <w:jc w:val="left"/>
              <w:rPr/>
            </w:pPr>
            <w:r>
              <w:rPr/>
              <w:t> </w:t>
            </w:r>
          </w:p>
        </w:tc>
      </w:tr>
      <w:tr>
        <w:trPr/>
        <w:tc>
          <w:tcPr>
            <w:tcW w:w="258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Thereafter</w:t>
            </w:r>
          </w:p>
        </w:tc>
        <w:tc>
          <w:tcPr>
            <w:tcW w:w="146" w:type="dxa"/>
            <w:tcBorders/>
            <w:shd w:fill="auto" w:val="clear"/>
            <w:vAlign w:val="center"/>
          </w:tcPr>
          <w:p>
            <w:pPr>
              <w:pStyle w:val="TableContents"/>
              <w:spacing w:before="0" w:after="0"/>
              <w:ind w:left="0" w:right="0" w:hanging="0"/>
              <w:jc w:val="righ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67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16,889</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583"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172"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pPr>
            <w:r>
              <w:rPr/>
              <w:t>—</w:t>
            </w:r>
          </w:p>
        </w:tc>
        <w:tc>
          <w:tcPr>
            <w:tcW w:w="1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r>
        <w:trPr/>
        <w:tc>
          <w:tcPr>
            <w:tcW w:w="2581" w:type="dxa"/>
            <w:tcBorders/>
            <w:shd w:fill="auto" w:val="clear"/>
            <w:vAlign w:val="center"/>
          </w:tcPr>
          <w:p>
            <w:pPr>
              <w:pStyle w:val="TableContents"/>
              <w:spacing w:before="0" w:after="0"/>
              <w:ind w:left="0" w:right="0" w:hanging="0"/>
              <w:jc w:val="left"/>
              <w:rPr/>
            </w:pPr>
            <w:r>
              <w:rPr/>
              <w:t> </w:t>
            </w:r>
            <w:r>
              <w:rPr>
                <w:rFonts w:ascii="Times New Roman;serif" w:hAnsi="Times New Roman;serif"/>
                <w:b w:val="false"/>
                <w:sz w:val="20"/>
              </w:rPr>
              <w:t>Total</w:t>
            </w:r>
          </w:p>
        </w:tc>
        <w:tc>
          <w:tcPr>
            <w:tcW w:w="146" w:type="dxa"/>
            <w:tcBorders/>
            <w:shd w:fill="auto" w:val="clear"/>
            <w:vAlign w:val="center"/>
          </w:tcPr>
          <w:p>
            <w:pPr>
              <w:pStyle w:val="TableContents"/>
              <w:spacing w:before="0" w:after="0"/>
              <w:ind w:left="0" w:right="0" w:hanging="0"/>
              <w:jc w:val="right"/>
              <w:rPr/>
            </w:pPr>
            <w:r>
              <w:rPr/>
              <w:t> </w:t>
            </w:r>
          </w:p>
        </w:tc>
        <w:tc>
          <w:tcPr>
            <w:tcW w:w="21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7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32,097</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583"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172"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226</w:t>
            </w:r>
          </w:p>
        </w:tc>
        <w:tc>
          <w:tcPr>
            <w:tcW w:w="19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bl>
    <w:p>
      <w:pPr>
        <w:pStyle w:val="TextBody"/>
        <w:spacing w:before="0" w:after="0"/>
        <w:jc w:val="both"/>
        <w:rPr/>
      </w:pPr>
      <w:r>
        <w:rPr/>
        <w:t> </w:t>
      </w:r>
    </w:p>
    <w:p>
      <w:pPr>
        <w:pStyle w:val="TextBody"/>
        <w:spacing w:before="0" w:after="0"/>
        <w:jc w:val="both"/>
        <w:rPr>
          <w:rFonts w:ascii="Times New Roman;serif" w:hAnsi="Times New Roman;serif"/>
          <w:b/>
          <w:sz w:val="20"/>
        </w:rPr>
      </w:pPr>
      <w:r>
        <w:rPr>
          <w:rFonts w:ascii="Times New Roman;serif" w:hAnsi="Times New Roman;serif"/>
          <w:b/>
          <w:sz w:val="20"/>
        </w:rPr>
        <w:t>5. Inventories</w:t>
      </w:r>
    </w:p>
    <w:p>
      <w:pPr>
        <w:pStyle w:val="TextBody"/>
        <w:spacing w:before="200" w:after="200"/>
        <w:jc w:val="both"/>
        <w:rPr>
          <w:rFonts w:ascii="Times New Roman;serif" w:hAnsi="Times New Roman;serif"/>
          <w:b w:val="false"/>
          <w:sz w:val="20"/>
        </w:rPr>
      </w:pPr>
      <w:r>
        <w:rPr>
          <w:rFonts w:ascii="Times New Roman;serif" w:hAnsi="Times New Roman;serif"/>
          <w:b w:val="false"/>
          <w:sz w:val="20"/>
        </w:rPr>
        <w:t>As of March 31, 2023 and December 31, 2022, Inventories consist of the following:</w:t>
      </w:r>
    </w:p>
    <w:tbl>
      <w:tblPr>
        <w:tblW w:w="4832" w:type="dxa"/>
        <w:jc w:val="left"/>
        <w:tblInd w:w="0" w:type="dxa"/>
        <w:tblCellMar>
          <w:top w:w="28" w:type="dxa"/>
          <w:left w:w="28" w:type="dxa"/>
          <w:bottom w:w="28" w:type="dxa"/>
          <w:right w:w="28" w:type="dxa"/>
        </w:tblCellMar>
      </w:tblPr>
      <w:tblGrid>
        <w:gridCol w:w="2221"/>
        <w:gridCol w:w="146"/>
        <w:gridCol w:w="211"/>
        <w:gridCol w:w="676"/>
        <w:gridCol w:w="146"/>
        <w:gridCol w:w="146"/>
        <w:gridCol w:w="260"/>
        <w:gridCol w:w="835"/>
        <w:gridCol w:w="191"/>
      </w:tblGrid>
      <w:tr>
        <w:trPr/>
        <w:tc>
          <w:tcPr>
            <w:tcW w:w="2221"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67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60" w:type="dxa"/>
            <w:tcBorders/>
            <w:shd w:fill="auto" w:val="clear"/>
            <w:vAlign w:val="center"/>
          </w:tcPr>
          <w:p>
            <w:pPr>
              <w:pStyle w:val="TableContents"/>
              <w:spacing w:before="0" w:after="283"/>
              <w:rPr>
                <w:sz w:val="4"/>
                <w:szCs w:val="4"/>
              </w:rPr>
            </w:pPr>
            <w:r>
              <w:rPr>
                <w:sz w:val="4"/>
                <w:szCs w:val="4"/>
              </w:rPr>
            </w:r>
          </w:p>
        </w:tc>
        <w:tc>
          <w:tcPr>
            <w:tcW w:w="835" w:type="dxa"/>
            <w:tcBorders/>
            <w:shd w:fill="auto" w:val="clear"/>
            <w:vAlign w:val="center"/>
          </w:tcPr>
          <w:p>
            <w:pPr>
              <w:pStyle w:val="TableContents"/>
              <w:spacing w:before="0" w:after="283"/>
              <w:rPr>
                <w:sz w:val="4"/>
                <w:szCs w:val="4"/>
              </w:rPr>
            </w:pPr>
            <w:r>
              <w:rPr>
                <w:sz w:val="4"/>
                <w:szCs w:val="4"/>
              </w:rPr>
            </w:r>
          </w:p>
        </w:tc>
        <w:tc>
          <w:tcPr>
            <w:tcW w:w="191" w:type="dxa"/>
            <w:tcBorders/>
            <w:shd w:fill="auto" w:val="clear"/>
            <w:vAlign w:val="center"/>
          </w:tcPr>
          <w:p>
            <w:pPr>
              <w:pStyle w:val="TableContents"/>
              <w:spacing w:before="0" w:after="283"/>
              <w:rPr>
                <w:sz w:val="4"/>
                <w:szCs w:val="4"/>
              </w:rPr>
            </w:pPr>
            <w:r>
              <w:rPr>
                <w:sz w:val="4"/>
                <w:szCs w:val="4"/>
              </w:rPr>
            </w:r>
          </w:p>
        </w:tc>
      </w:tr>
      <w:tr>
        <w:trPr/>
        <w:tc>
          <w:tcPr>
            <w:tcW w:w="222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887" w:type="dxa"/>
            <w:gridSpan w:val="2"/>
            <w:tcBorders/>
            <w:shd w:fill="auto" w:val="cle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March 31,</w:t>
            </w:r>
          </w:p>
        </w:tc>
        <w:tc>
          <w:tcPr>
            <w:tcW w:w="146"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095" w:type="dxa"/>
            <w:gridSpan w:val="2"/>
            <w:tcBorders/>
            <w:shd w:fill="auto" w:val="cle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December 31,</w:t>
            </w:r>
          </w:p>
        </w:tc>
        <w:tc>
          <w:tcPr>
            <w:tcW w:w="191" w:type="dxa"/>
            <w:tcBorders/>
            <w:shd w:fill="auto" w:val="clear"/>
            <w:vAlign w:val="center"/>
          </w:tcPr>
          <w:p>
            <w:pPr>
              <w:pStyle w:val="TableContents"/>
              <w:spacing w:before="0" w:after="0"/>
              <w:ind w:left="0" w:right="0" w:hanging="0"/>
              <w:jc w:val="center"/>
              <w:rPr/>
            </w:pPr>
            <w:r>
              <w:rPr/>
              <w:t> </w:t>
            </w:r>
          </w:p>
        </w:tc>
      </w:tr>
      <w:tr>
        <w:trPr/>
        <w:tc>
          <w:tcPr>
            <w:tcW w:w="2221" w:type="dxa"/>
            <w:tcBorders/>
            <w:shd w:fill="auto" w:val="clear"/>
            <w:vAlign w:val="center"/>
          </w:tcPr>
          <w:p>
            <w:pPr>
              <w:pStyle w:val="TableContents"/>
              <w:spacing w:before="0" w:after="0"/>
              <w:ind w:left="0" w:right="0" w:hanging="0"/>
              <w:jc w:val="left"/>
              <w:rPr>
                <w:rFonts w:ascii="Times New Roman;serif" w:hAnsi="Times New Roman;serif"/>
                <w:b w:val="false"/>
                <w:i/>
                <w:sz w:val="16"/>
              </w:rPr>
            </w:pPr>
            <w:r>
              <w:rPr>
                <w:rFonts w:ascii="Times New Roman;serif" w:hAnsi="Times New Roman;serif"/>
                <w:b w:val="false"/>
                <w:i/>
                <w:sz w:val="16"/>
              </w:rPr>
              <w:t>(In thousands of U.S. Dollars)</w:t>
            </w:r>
          </w:p>
        </w:tc>
        <w:tc>
          <w:tcPr>
            <w:tcW w:w="146" w:type="dxa"/>
            <w:tcBorders/>
            <w:shd w:fill="auto" w:val="clear"/>
            <w:vAlign w:val="center"/>
          </w:tcPr>
          <w:p>
            <w:pPr>
              <w:pStyle w:val="TableContents"/>
              <w:spacing w:before="0" w:after="0"/>
              <w:ind w:left="0" w:right="0" w:hanging="0"/>
              <w:jc w:val="left"/>
              <w:rPr/>
            </w:pPr>
            <w:r>
              <w:rPr/>
              <w:t> </w:t>
            </w:r>
          </w:p>
        </w:tc>
        <w:tc>
          <w:tcPr>
            <w:tcW w:w="887"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2023</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1095"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2022</w:t>
            </w:r>
          </w:p>
        </w:tc>
        <w:tc>
          <w:tcPr>
            <w:tcW w:w="1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222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Raw materials</w:t>
            </w:r>
          </w:p>
        </w:tc>
        <w:tc>
          <w:tcPr>
            <w:tcW w:w="146" w:type="dxa"/>
            <w:tcBorders/>
            <w:shd w:fill="auto" w:val="clear"/>
            <w:vAlign w:val="center"/>
          </w:tcPr>
          <w:p>
            <w:pPr>
              <w:pStyle w:val="TableContents"/>
              <w:spacing w:before="0" w:after="0"/>
              <w:ind w:left="0" w:right="0" w:hanging="0"/>
              <w:jc w:val="right"/>
              <w:rPr/>
            </w:pPr>
            <w:r>
              <w:rPr/>
              <w:t> </w:t>
            </w:r>
          </w:p>
        </w:tc>
        <w:tc>
          <w:tcPr>
            <w:tcW w:w="21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7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29,554</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60"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835"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25,365</w:t>
            </w:r>
          </w:p>
        </w:tc>
        <w:tc>
          <w:tcPr>
            <w:tcW w:w="191" w:type="dxa"/>
            <w:tcBorders/>
            <w:shd w:fill="auto" w:val="clear"/>
            <w:vAlign w:val="center"/>
          </w:tcPr>
          <w:p>
            <w:pPr>
              <w:pStyle w:val="TableContents"/>
              <w:spacing w:before="0" w:after="0"/>
              <w:ind w:left="0" w:right="0" w:hanging="0"/>
              <w:jc w:val="left"/>
              <w:rPr/>
            </w:pPr>
            <w:r>
              <w:rPr/>
              <w:t> </w:t>
            </w:r>
          </w:p>
        </w:tc>
      </w:tr>
      <w:tr>
        <w:trPr/>
        <w:tc>
          <w:tcPr>
            <w:tcW w:w="222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Work-in-process</w:t>
            </w:r>
          </w:p>
        </w:tc>
        <w:tc>
          <w:tcPr>
            <w:tcW w:w="146" w:type="dxa"/>
            <w:tcBorders/>
            <w:shd w:fill="auto" w:val="clear"/>
            <w:vAlign w:val="center"/>
          </w:tcPr>
          <w:p>
            <w:pPr>
              <w:pStyle w:val="TableContents"/>
              <w:spacing w:before="0" w:after="0"/>
              <w:ind w:left="0" w:right="0" w:hanging="0"/>
              <w:jc w:val="righ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67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2,220</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60" w:type="dxa"/>
            <w:tcBorders/>
            <w:shd w:fill="auto" w:val="clear"/>
            <w:vAlign w:val="center"/>
          </w:tcPr>
          <w:p>
            <w:pPr>
              <w:pStyle w:val="TableContents"/>
              <w:spacing w:before="0" w:after="0"/>
              <w:ind w:left="0" w:right="0" w:hanging="0"/>
              <w:jc w:val="left"/>
              <w:rPr/>
            </w:pPr>
            <w:r>
              <w:rPr/>
              <w:t> </w:t>
            </w:r>
          </w:p>
        </w:tc>
        <w:tc>
          <w:tcPr>
            <w:tcW w:w="835"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2,034</w:t>
            </w:r>
          </w:p>
        </w:tc>
        <w:tc>
          <w:tcPr>
            <w:tcW w:w="191" w:type="dxa"/>
            <w:tcBorders/>
            <w:shd w:fill="auto" w:val="clear"/>
            <w:vAlign w:val="center"/>
          </w:tcPr>
          <w:p>
            <w:pPr>
              <w:pStyle w:val="TableContents"/>
              <w:spacing w:before="0" w:after="0"/>
              <w:ind w:left="0" w:right="0" w:hanging="0"/>
              <w:jc w:val="left"/>
              <w:rPr/>
            </w:pPr>
            <w:r>
              <w:rPr/>
              <w:t> </w:t>
            </w:r>
          </w:p>
        </w:tc>
      </w:tr>
      <w:tr>
        <w:trPr/>
        <w:tc>
          <w:tcPr>
            <w:tcW w:w="222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Finished goods</w:t>
            </w:r>
          </w:p>
        </w:tc>
        <w:tc>
          <w:tcPr>
            <w:tcW w:w="146" w:type="dxa"/>
            <w:tcBorders/>
            <w:shd w:fill="auto" w:val="clear"/>
            <w:vAlign w:val="center"/>
          </w:tcPr>
          <w:p>
            <w:pPr>
              <w:pStyle w:val="TableContents"/>
              <w:spacing w:before="0" w:after="0"/>
              <w:ind w:left="0" w:right="0" w:hanging="0"/>
              <w:jc w:val="righ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67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5,718</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60"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835"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4,135</w:t>
            </w:r>
          </w:p>
        </w:tc>
        <w:tc>
          <w:tcPr>
            <w:tcW w:w="1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r>
        <w:trPr/>
        <w:tc>
          <w:tcPr>
            <w:tcW w:w="222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21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7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37,492</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60"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835"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31,534</w:t>
            </w:r>
          </w:p>
        </w:tc>
        <w:tc>
          <w:tcPr>
            <w:tcW w:w="19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bl>
    <w:p>
      <w:pPr>
        <w:pStyle w:val="TextBody"/>
        <w:spacing w:before="0" w:after="0"/>
        <w:jc w:val="both"/>
        <w:rPr/>
      </w:pPr>
      <w:r>
        <w:rPr/>
        <w:t> </w:t>
      </w:r>
    </w:p>
    <w:p>
      <w:pPr>
        <w:pStyle w:val="TextBody"/>
        <w:spacing w:before="0" w:after="0"/>
        <w:jc w:val="both"/>
        <w:rPr>
          <w:rFonts w:ascii="Times New Roman" w:hAnsi="Times New Roman"/>
          <w:sz w:val="20"/>
        </w:rPr>
      </w:pPr>
      <w:r>
        <w:rPr>
          <w:rFonts w:ascii="Times New Roman;serif" w:hAnsi="Times New Roman;serif"/>
          <w:b w:val="false"/>
          <w:sz w:val="20"/>
        </w:rPr>
        <w:t>As of March 31, 2023, Inventories include finished goods of $5.3</w:t>
      </w:r>
      <w:r>
        <w:rPr>
          <w:rFonts w:ascii="Times New Roman" w:hAnsi="Times New Roman"/>
          <w:sz w:val="20"/>
        </w:rPr>
        <w:t xml:space="preserve"> </w:t>
      </w:r>
      <w:r>
        <w:rPr>
          <w:rFonts w:ascii="Times New Roman;serif" w:hAnsi="Times New Roman;serif"/>
          <w:b w:val="false"/>
          <w:sz w:val="20"/>
        </w:rPr>
        <w:t>million</w:t>
      </w:r>
      <w:r>
        <w:rPr>
          <w:rFonts w:ascii="Times New Roman" w:hAnsi="Times New Roman"/>
          <w:sz w:val="20"/>
        </w:rPr>
        <w:t xml:space="preserve"> </w:t>
      </w:r>
      <w:r>
        <w:rPr>
          <w:rFonts w:ascii="Times New Roman;serif" w:hAnsi="Times New Roman;serif"/>
          <w:b w:val="false"/>
          <w:sz w:val="20"/>
        </w:rPr>
        <w:t>(December 31, 2022 — $3.5</w:t>
      </w:r>
      <w:r>
        <w:rPr>
          <w:rFonts w:ascii="Times New Roman" w:hAnsi="Times New Roman"/>
          <w:sz w:val="20"/>
        </w:rPr>
        <w:t xml:space="preserve"> </w:t>
      </w:r>
      <w:r>
        <w:rPr>
          <w:rFonts w:ascii="Times New Roman;serif" w:hAnsi="Times New Roman;serif"/>
          <w:b w:val="false"/>
          <w:sz w:val="20"/>
        </w:rPr>
        <w:t>million) for which title had passed to the customer, but the criteria for revenue recognition were not met as of the balance sheet date.</w:t>
      </w:r>
    </w:p>
    <w:p>
      <w:pPr>
        <w:pStyle w:val="TextBody"/>
        <w:spacing w:before="200" w:after="0"/>
        <w:jc w:val="both"/>
        <w:rPr>
          <w:rFonts w:ascii="Times New Roman" w:hAnsi="Times New Roman"/>
          <w:sz w:val="20"/>
        </w:rPr>
      </w:pPr>
      <w:r>
        <w:rPr>
          <w:rFonts w:ascii="Times New Roman;serif" w:hAnsi="Times New Roman;serif"/>
          <w:b w:val="false"/>
          <w:sz w:val="20"/>
        </w:rPr>
        <w:t>During the three months ended March 31, 2023 and 2022, the Company had recorded write-downs of less than $0.1</w:t>
      </w:r>
      <w:r>
        <w:rPr>
          <w:rFonts w:ascii="Times New Roman" w:hAnsi="Times New Roman"/>
          <w:sz w:val="20"/>
        </w:rPr>
        <w:t xml:space="preserve"> </w:t>
      </w:r>
      <w:r>
        <w:rPr>
          <w:rFonts w:ascii="Times New Roman;serif" w:hAnsi="Times New Roman;serif"/>
          <w:b w:val="false"/>
          <w:sz w:val="20"/>
        </w:rPr>
        <w:t>million in Costs and Expenses Applicable to Revenues ― Technology Sales.</w:t>
      </w:r>
    </w:p>
    <w:p>
      <w:pPr>
        <w:pStyle w:val="TextBody"/>
        <w:spacing w:before="200" w:after="0"/>
        <w:jc w:val="both"/>
        <w:rPr>
          <w:rFonts w:ascii="Times New Roman;serif" w:hAnsi="Times New Roman;serif"/>
          <w:b/>
          <w:sz w:val="20"/>
        </w:rPr>
      </w:pPr>
      <w:r>
        <w:rPr>
          <w:rFonts w:ascii="Times New Roman;serif" w:hAnsi="Times New Roman;serif"/>
          <w:b/>
          <w:sz w:val="20"/>
        </w:rPr>
        <w:t>6. Borrowings</w:t>
      </w:r>
    </w:p>
    <w:p>
      <w:pPr>
        <w:pStyle w:val="TextBody"/>
        <w:spacing w:before="200" w:after="0"/>
        <w:jc w:val="both"/>
        <w:rPr>
          <w:rFonts w:ascii="Times New Roman" w:hAnsi="Times New Roman"/>
          <w:b/>
          <w:i/>
          <w:sz w:val="20"/>
        </w:rPr>
      </w:pPr>
      <w:r>
        <w:rPr>
          <w:rFonts w:ascii="Times New Roman" w:hAnsi="Times New Roman"/>
          <w:b/>
          <w:i/>
          <w:sz w:val="20"/>
        </w:rPr>
        <w:t>(a)</w:t>
      </w:r>
    </w:p>
    <w:p>
      <w:pPr>
        <w:pStyle w:val="TextBody"/>
        <w:spacing w:before="200" w:after="283"/>
        <w:jc w:val="both"/>
        <w:rPr>
          <w:rFonts w:ascii="Times New Roman;serif" w:hAnsi="Times New Roman;serif"/>
          <w:b/>
          <w:i/>
          <w:sz w:val="20"/>
        </w:rPr>
      </w:pPr>
      <w:r>
        <w:rPr>
          <w:rFonts w:ascii="Times New Roman;serif" w:hAnsi="Times New Roman;serif"/>
          <w:b/>
          <w:i/>
          <w:sz w:val="20"/>
        </w:rPr>
        <w:t>Revolving Credit Facility Borrowings, Net</w:t>
      </w:r>
    </w:p>
    <w:p>
      <w:pPr>
        <w:pStyle w:val="TextBody"/>
        <w:spacing w:before="200" w:after="200"/>
        <w:jc w:val="both"/>
        <w:rPr>
          <w:rFonts w:ascii="Times New Roman;serif" w:hAnsi="Times New Roman;serif"/>
          <w:b w:val="false"/>
          <w:sz w:val="20"/>
        </w:rPr>
      </w:pPr>
      <w:r>
        <w:rPr>
          <w:rFonts w:ascii="Times New Roman;serif" w:hAnsi="Times New Roman;serif"/>
          <w:b w:val="false"/>
          <w:sz w:val="20"/>
        </w:rPr>
        <w:t>As of March 31, 2023 and December 31, 2022, Revolving Credit Facility Borrowings, Net includes the following:</w:t>
      </w:r>
    </w:p>
    <w:tbl>
      <w:tblPr>
        <w:tblW w:w="6161" w:type="dxa"/>
        <w:jc w:val="left"/>
        <w:tblInd w:w="0" w:type="dxa"/>
        <w:tblCellMar>
          <w:top w:w="28" w:type="dxa"/>
          <w:left w:w="28" w:type="dxa"/>
          <w:bottom w:w="28" w:type="dxa"/>
          <w:right w:w="28" w:type="dxa"/>
        </w:tblCellMar>
      </w:tblPr>
      <w:tblGrid>
        <w:gridCol w:w="3556"/>
        <w:gridCol w:w="211"/>
        <w:gridCol w:w="676"/>
        <w:gridCol w:w="166"/>
        <w:gridCol w:w="146"/>
        <w:gridCol w:w="260"/>
        <w:gridCol w:w="835"/>
        <w:gridCol w:w="311"/>
      </w:tblGrid>
      <w:tr>
        <w:trPr/>
        <w:tc>
          <w:tcPr>
            <w:tcW w:w="3556"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676" w:type="dxa"/>
            <w:tcBorders/>
            <w:shd w:fill="auto" w:val="clear"/>
            <w:vAlign w:val="center"/>
          </w:tcPr>
          <w:p>
            <w:pPr>
              <w:pStyle w:val="TableContents"/>
              <w:spacing w:before="0" w:after="283"/>
              <w:rPr>
                <w:sz w:val="4"/>
                <w:szCs w:val="4"/>
              </w:rPr>
            </w:pPr>
            <w:r>
              <w:rPr>
                <w:sz w:val="4"/>
                <w:szCs w:val="4"/>
              </w:rPr>
            </w:r>
          </w:p>
        </w:tc>
        <w:tc>
          <w:tcPr>
            <w:tcW w:w="16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60" w:type="dxa"/>
            <w:tcBorders/>
            <w:shd w:fill="auto" w:val="clear"/>
            <w:vAlign w:val="center"/>
          </w:tcPr>
          <w:p>
            <w:pPr>
              <w:pStyle w:val="TableContents"/>
              <w:spacing w:before="0" w:after="283"/>
              <w:rPr>
                <w:sz w:val="4"/>
                <w:szCs w:val="4"/>
              </w:rPr>
            </w:pPr>
            <w:r>
              <w:rPr>
                <w:sz w:val="4"/>
                <w:szCs w:val="4"/>
              </w:rPr>
            </w:r>
          </w:p>
        </w:tc>
        <w:tc>
          <w:tcPr>
            <w:tcW w:w="835" w:type="dxa"/>
            <w:tcBorders/>
            <w:shd w:fill="auto" w:val="clear"/>
            <w:vAlign w:val="center"/>
          </w:tcPr>
          <w:p>
            <w:pPr>
              <w:pStyle w:val="TableContents"/>
              <w:spacing w:before="0" w:after="283"/>
              <w:rPr>
                <w:sz w:val="4"/>
                <w:szCs w:val="4"/>
              </w:rPr>
            </w:pPr>
            <w:r>
              <w:rPr>
                <w:sz w:val="4"/>
                <w:szCs w:val="4"/>
              </w:rPr>
            </w:r>
          </w:p>
        </w:tc>
        <w:tc>
          <w:tcPr>
            <w:tcW w:w="311" w:type="dxa"/>
            <w:tcBorders/>
            <w:shd w:fill="auto" w:val="clear"/>
            <w:vAlign w:val="center"/>
          </w:tcPr>
          <w:p>
            <w:pPr>
              <w:pStyle w:val="TableContents"/>
              <w:spacing w:before="0" w:after="283"/>
              <w:rPr>
                <w:sz w:val="4"/>
                <w:szCs w:val="4"/>
              </w:rPr>
            </w:pPr>
            <w:r>
              <w:rPr>
                <w:sz w:val="4"/>
                <w:szCs w:val="4"/>
              </w:rPr>
            </w:r>
          </w:p>
        </w:tc>
      </w:tr>
      <w:tr>
        <w:trPr/>
        <w:tc>
          <w:tcPr>
            <w:tcW w:w="3556" w:type="dxa"/>
            <w:tcBorders/>
            <w:shd w:fill="auto" w:val="clear"/>
            <w:vAlign w:val="center"/>
          </w:tcPr>
          <w:p>
            <w:pPr>
              <w:pStyle w:val="TableContents"/>
              <w:spacing w:before="0" w:after="0"/>
              <w:ind w:left="0" w:right="0" w:hanging="0"/>
              <w:jc w:val="left"/>
              <w:rPr/>
            </w:pPr>
            <w:r>
              <w:rPr/>
              <w:t> </w:t>
            </w:r>
          </w:p>
        </w:tc>
        <w:tc>
          <w:tcPr>
            <w:tcW w:w="887" w:type="dxa"/>
            <w:gridSpan w:val="2"/>
            <w:tcBorders/>
            <w:shd w:fill="auto" w:val="cle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March 31,</w:t>
            </w:r>
          </w:p>
        </w:tc>
        <w:tc>
          <w:tcPr>
            <w:tcW w:w="166"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1095" w:type="dxa"/>
            <w:gridSpan w:val="2"/>
            <w:tcBorders/>
            <w:shd w:fill="auto" w:val="cle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December 31,</w:t>
            </w:r>
          </w:p>
        </w:tc>
        <w:tc>
          <w:tcPr>
            <w:tcW w:w="311" w:type="dxa"/>
            <w:tcBorders/>
            <w:shd w:fill="auto" w:val="clear"/>
            <w:vAlign w:val="center"/>
          </w:tcPr>
          <w:p>
            <w:pPr>
              <w:pStyle w:val="TableContents"/>
              <w:spacing w:before="0" w:after="0"/>
              <w:ind w:left="0" w:right="0" w:hanging="0"/>
              <w:jc w:val="center"/>
              <w:rPr/>
            </w:pPr>
            <w:r>
              <w:rPr/>
              <w:t> </w:t>
            </w:r>
          </w:p>
        </w:tc>
      </w:tr>
      <w:tr>
        <w:trPr/>
        <w:tc>
          <w:tcPr>
            <w:tcW w:w="3556" w:type="dxa"/>
            <w:tcBorders/>
            <w:shd w:fill="auto" w:val="clear"/>
            <w:vAlign w:val="center"/>
          </w:tcPr>
          <w:p>
            <w:pPr>
              <w:pStyle w:val="TableContents"/>
              <w:spacing w:before="0" w:after="0"/>
              <w:ind w:left="0" w:right="0" w:hanging="0"/>
              <w:jc w:val="left"/>
              <w:rPr>
                <w:rFonts w:ascii="Times New Roman;serif" w:hAnsi="Times New Roman;serif"/>
                <w:b w:val="false"/>
                <w:i/>
                <w:sz w:val="16"/>
              </w:rPr>
            </w:pPr>
            <w:r>
              <w:rPr>
                <w:rFonts w:ascii="Times New Roman;serif" w:hAnsi="Times New Roman;serif"/>
                <w:b w:val="false"/>
                <w:i/>
                <w:sz w:val="16"/>
              </w:rPr>
              <w:t>(In thousands of U.S. Dollars)</w:t>
            </w:r>
          </w:p>
        </w:tc>
        <w:tc>
          <w:tcPr>
            <w:tcW w:w="887"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2023</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1095"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2022</w:t>
            </w:r>
          </w:p>
        </w:tc>
        <w:tc>
          <w:tcPr>
            <w:tcW w:w="3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355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Wells Fargo Credit Facility borrowings</w:t>
            </w:r>
          </w:p>
        </w:tc>
        <w:tc>
          <w:tcPr>
            <w:tcW w:w="21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7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20,000</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260"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835"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25,000</w:t>
            </w:r>
          </w:p>
        </w:tc>
        <w:tc>
          <w:tcPr>
            <w:tcW w:w="311" w:type="dxa"/>
            <w:tcBorders/>
            <w:shd w:fill="auto" w:val="clear"/>
            <w:vAlign w:val="center"/>
          </w:tcPr>
          <w:p>
            <w:pPr>
              <w:pStyle w:val="TableContents"/>
              <w:spacing w:before="0" w:after="0"/>
              <w:ind w:left="0" w:right="0" w:hanging="0"/>
              <w:jc w:val="left"/>
              <w:rPr/>
            </w:pPr>
            <w:r>
              <w:rPr/>
              <w:t> </w:t>
            </w:r>
          </w:p>
        </w:tc>
      </w:tr>
      <w:tr>
        <w:trPr/>
        <w:tc>
          <w:tcPr>
            <w:tcW w:w="355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HSBC China Facility borrowings</w:t>
            </w:r>
          </w:p>
        </w:tc>
        <w:tc>
          <w:tcPr>
            <w:tcW w:w="211" w:type="dxa"/>
            <w:tcBorders/>
            <w:shd w:fill="auto" w:val="clear"/>
            <w:vAlign w:val="center"/>
          </w:tcPr>
          <w:p>
            <w:pPr>
              <w:pStyle w:val="TableContents"/>
              <w:spacing w:before="0" w:after="0"/>
              <w:ind w:left="0" w:right="0" w:hanging="0"/>
              <w:jc w:val="left"/>
              <w:rPr/>
            </w:pPr>
            <w:r>
              <w:rPr/>
              <w:t> </w:t>
            </w:r>
          </w:p>
        </w:tc>
        <w:tc>
          <w:tcPr>
            <w:tcW w:w="67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12,165</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260" w:type="dxa"/>
            <w:tcBorders/>
            <w:shd w:fill="auto" w:val="clear"/>
            <w:vAlign w:val="center"/>
          </w:tcPr>
          <w:p>
            <w:pPr>
              <w:pStyle w:val="TableContents"/>
              <w:spacing w:before="0" w:after="0"/>
              <w:ind w:left="0" w:right="0" w:hanging="0"/>
              <w:jc w:val="left"/>
              <w:rPr/>
            </w:pPr>
            <w:r>
              <w:rPr/>
              <w:t> </w:t>
            </w:r>
          </w:p>
        </w:tc>
        <w:tc>
          <w:tcPr>
            <w:tcW w:w="835"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12,496</w:t>
            </w:r>
          </w:p>
        </w:tc>
        <w:tc>
          <w:tcPr>
            <w:tcW w:w="311" w:type="dxa"/>
            <w:tcBorders/>
            <w:shd w:fill="auto" w:val="clear"/>
            <w:vAlign w:val="center"/>
          </w:tcPr>
          <w:p>
            <w:pPr>
              <w:pStyle w:val="TableContents"/>
              <w:spacing w:before="0" w:after="0"/>
              <w:ind w:left="0" w:right="0" w:hanging="0"/>
              <w:jc w:val="left"/>
              <w:rPr/>
            </w:pPr>
            <w:r>
              <w:rPr/>
              <w:t> </w:t>
            </w:r>
          </w:p>
        </w:tc>
      </w:tr>
      <w:tr>
        <w:trPr/>
        <w:tc>
          <w:tcPr>
            <w:tcW w:w="355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Bank of China Facility borrowings</w:t>
            </w:r>
          </w:p>
        </w:tc>
        <w:tc>
          <w:tcPr>
            <w:tcW w:w="211" w:type="dxa"/>
            <w:tcBorders/>
            <w:shd w:fill="auto" w:val="clear"/>
            <w:vAlign w:val="center"/>
          </w:tcPr>
          <w:p>
            <w:pPr>
              <w:pStyle w:val="TableContents"/>
              <w:spacing w:before="0" w:after="0"/>
              <w:ind w:left="0" w:right="0" w:hanging="0"/>
              <w:jc w:val="left"/>
              <w:rPr/>
            </w:pPr>
            <w:r>
              <w:rPr/>
              <w:t> </w:t>
            </w:r>
          </w:p>
        </w:tc>
        <w:tc>
          <w:tcPr>
            <w:tcW w:w="67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379</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260" w:type="dxa"/>
            <w:tcBorders/>
            <w:shd w:fill="auto" w:val="clear"/>
            <w:vAlign w:val="center"/>
          </w:tcPr>
          <w:p>
            <w:pPr>
              <w:pStyle w:val="TableContents"/>
              <w:spacing w:before="0" w:after="0"/>
              <w:ind w:left="0" w:right="0" w:hanging="0"/>
              <w:jc w:val="left"/>
              <w:rPr/>
            </w:pPr>
            <w:r>
              <w:rPr/>
              <w:t> </w:t>
            </w:r>
          </w:p>
        </w:tc>
        <w:tc>
          <w:tcPr>
            <w:tcW w:w="835"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374</w:t>
            </w:r>
          </w:p>
        </w:tc>
        <w:tc>
          <w:tcPr>
            <w:tcW w:w="311" w:type="dxa"/>
            <w:tcBorders/>
            <w:shd w:fill="auto" w:val="clear"/>
            <w:vAlign w:val="center"/>
          </w:tcPr>
          <w:p>
            <w:pPr>
              <w:pStyle w:val="TableContents"/>
              <w:spacing w:before="0" w:after="0"/>
              <w:ind w:left="0" w:right="0" w:hanging="0"/>
              <w:jc w:val="left"/>
              <w:rPr/>
            </w:pPr>
            <w:r>
              <w:rPr/>
              <w:t> </w:t>
            </w:r>
          </w:p>
        </w:tc>
      </w:tr>
      <w:tr>
        <w:trPr/>
        <w:tc>
          <w:tcPr>
            <w:tcW w:w="355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Unamortized debt issuance costs</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67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(1,519</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shd w:fill="auto" w:val="clear"/>
            <w:vAlign w:val="center"/>
          </w:tcPr>
          <w:p>
            <w:pPr>
              <w:pStyle w:val="TableContents"/>
              <w:spacing w:before="0" w:after="0"/>
              <w:ind w:left="0" w:right="0" w:hanging="0"/>
              <w:jc w:val="center"/>
              <w:rPr/>
            </w:pPr>
            <w:r>
              <w:rPr/>
              <w:t> </w:t>
            </w:r>
          </w:p>
        </w:tc>
        <w:tc>
          <w:tcPr>
            <w:tcW w:w="260"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835"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(1,759</w:t>
            </w:r>
          </w:p>
        </w:tc>
        <w:tc>
          <w:tcPr>
            <w:tcW w:w="3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firstLine="100"/>
              <w:jc w:val="left"/>
              <w:rPr>
                <w:rFonts w:ascii="Times New Roman;serif" w:hAnsi="Times New Roman;serif"/>
                <w:b w:val="false"/>
                <w:sz w:val="20"/>
              </w:rPr>
            </w:pPr>
            <w:r>
              <w:rPr>
                <w:rFonts w:ascii="Times New Roman;serif" w:hAnsi="Times New Roman;serif"/>
                <w:b w:val="false"/>
                <w:sz w:val="20"/>
              </w:rPr>
              <w:t>)</w:t>
            </w:r>
          </w:p>
        </w:tc>
      </w:tr>
      <w:tr>
        <w:trPr/>
        <w:tc>
          <w:tcPr>
            <w:tcW w:w="3556" w:type="dxa"/>
            <w:tcBorders/>
            <w:shd w:fill="auto" w:val="clear"/>
            <w:vAlign w:val="center"/>
          </w:tcPr>
          <w:p>
            <w:pPr>
              <w:pStyle w:val="TableContents"/>
              <w:spacing w:before="0" w:after="0"/>
              <w:ind w:left="100" w:right="0" w:hanging="0"/>
              <w:jc w:val="left"/>
              <w:rPr>
                <w:rFonts w:ascii="Times New Roman;serif" w:hAnsi="Times New Roman;serif"/>
                <w:b w:val="false"/>
                <w:sz w:val="20"/>
              </w:rPr>
            </w:pPr>
            <w:r>
              <w:rPr>
                <w:rFonts w:ascii="Times New Roman;serif" w:hAnsi="Times New Roman;serif"/>
                <w:b w:val="false"/>
                <w:sz w:val="20"/>
              </w:rPr>
              <w:t>Revolving Credit Facility Borrowings, net</w:t>
            </w:r>
          </w:p>
        </w:tc>
        <w:tc>
          <w:tcPr>
            <w:tcW w:w="21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7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31,025</w:t>
            </w:r>
          </w:p>
        </w:tc>
        <w:tc>
          <w:tcPr>
            <w:tcW w:w="16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60"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835"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36,111</w:t>
            </w:r>
          </w:p>
        </w:tc>
        <w:tc>
          <w:tcPr>
            <w:tcW w:w="31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bl>
    <w:p>
      <w:pPr>
        <w:pStyle w:val="TextBody"/>
        <w:spacing w:before="0" w:after="0"/>
        <w:jc w:val="left"/>
        <w:rPr/>
      </w:pPr>
      <w:r>
        <w:rPr/>
        <w:t> </w:t>
      </w:r>
    </w:p>
    <w:p>
      <w:pPr>
        <w:pStyle w:val="TextBody"/>
        <w:spacing w:before="240" w:after="0"/>
        <w:jc w:val="center"/>
        <w:rPr>
          <w:rFonts w:ascii="Times New Roman;serif" w:hAnsi="Times New Roman;serif"/>
          <w:b w:val="false"/>
          <w:sz w:val="20"/>
        </w:rPr>
      </w:pPr>
      <w:r>
        <w:rPr>
          <w:rFonts w:ascii="Times New Roman;serif" w:hAnsi="Times New Roman;serif"/>
          <w:b w:val="false"/>
          <w:sz w:val="20"/>
        </w:rPr>
        <w:t>19</w:t>
      </w:r>
    </w:p>
    <w:p>
      <w:pPr>
        <w:pStyle w:val="HorizontalLine"/>
        <w:rPr/>
      </w:pPr>
      <w:r>
        <w:rPr/>
      </w:r>
    </w:p>
    <w:p>
      <w:pPr>
        <w:pStyle w:val="TextBody"/>
        <w:spacing w:before="0" w:after="0"/>
        <w:jc w:val="left"/>
        <w:rPr/>
      </w:pPr>
      <w:r>
        <w:rPr/>
        <w:t> </w:t>
      </w:r>
    </w:p>
    <w:p>
      <w:pPr>
        <w:pStyle w:val="TextBody"/>
        <w:spacing w:before="200" w:after="0"/>
        <w:jc w:val="both"/>
        <w:rPr>
          <w:rFonts w:ascii="Times New Roman;serif" w:hAnsi="Times New Roman;serif"/>
          <w:b w:val="false"/>
          <w:i/>
          <w:sz w:val="20"/>
        </w:rPr>
      </w:pPr>
      <w:r>
        <w:rPr>
          <w:rFonts w:ascii="Times New Roman;serif" w:hAnsi="Times New Roman;serif"/>
          <w:b w:val="false"/>
          <w:i/>
          <w:sz w:val="20"/>
        </w:rPr>
        <w:t>Wells Fargo Credit Agreement</w:t>
      </w:r>
    </w:p>
    <w:p>
      <w:pPr>
        <w:pStyle w:val="TextBody"/>
        <w:spacing w:before="200" w:after="0"/>
        <w:jc w:val="both"/>
        <w:rPr>
          <w:rFonts w:ascii="Times New Roman;serif" w:hAnsi="Times New Roman;serif"/>
          <w:b w:val="false"/>
          <w:sz w:val="20"/>
        </w:rPr>
      </w:pPr>
      <w:r>
        <w:rPr>
          <w:rFonts w:ascii="Times New Roman;serif" w:hAnsi="Times New Roman;serif"/>
          <w:b w:val="false"/>
          <w:sz w:val="20"/>
        </w:rPr>
        <w:t>On March 25, 2022, the Company entered into a Sixth Amended and Restated Credit Agreement with Wells Fargo Bank, National Association, as agent (the “Agent”), and a syndicate of lenders party thereto (the “Credit Agreement”), which extended the maturity date of the credit facility under the Credit Agreement (the “Credit Facility”) from June 28, 2023 to March 25, 2027. The Company’s obligations under the Credit Agreement are guaranteed by certain of the Company’s subsidiaries (the “Guarantors”), and are secured by first-priority security interests in substantially all of the assets of the Company and the Guarantors.</w:t>
      </w:r>
    </w:p>
    <w:p>
      <w:pPr>
        <w:pStyle w:val="TextBody"/>
        <w:spacing w:before="200" w:after="0"/>
        <w:jc w:val="both"/>
        <w:rPr>
          <w:rFonts w:ascii="Times New Roman" w:hAnsi="Times New Roman"/>
          <w:sz w:val="20"/>
        </w:rPr>
      </w:pPr>
      <w:r>
        <w:rPr>
          <w:rFonts w:ascii="Times New Roman;serif" w:hAnsi="Times New Roman;serif"/>
          <w:b w:val="false"/>
          <w:sz w:val="20"/>
        </w:rPr>
        <w:t>The Credit Agreement has a revolving borrowing capacity of $300.0</w:t>
      </w:r>
      <w:r>
        <w:rPr>
          <w:rFonts w:ascii="Times New Roman" w:hAnsi="Times New Roman"/>
          <w:sz w:val="20"/>
        </w:rPr>
        <w:t xml:space="preserve"> </w:t>
      </w:r>
      <w:r>
        <w:rPr>
          <w:rFonts w:ascii="Times New Roman;serif" w:hAnsi="Times New Roman;serif"/>
          <w:b w:val="false"/>
          <w:sz w:val="20"/>
        </w:rPr>
        <w:t>million, and contains an uncommitted accordion feature allowing the Company to further increase its borrowing capacity by the greater of $140.0</w:t>
      </w:r>
      <w:r>
        <w:rPr>
          <w:rFonts w:ascii="Times New Roman" w:hAnsi="Times New Roman"/>
          <w:sz w:val="20"/>
        </w:rPr>
        <w:t xml:space="preserve"> </w:t>
      </w:r>
      <w:r>
        <w:rPr>
          <w:rFonts w:ascii="Times New Roman;serif" w:hAnsi="Times New Roman;serif"/>
          <w:b w:val="false"/>
          <w:sz w:val="20"/>
        </w:rPr>
        <w:t>million, for a total of $440.0</w:t>
      </w:r>
      <w:r>
        <w:rPr>
          <w:rFonts w:ascii="Times New Roman" w:hAnsi="Times New Roman"/>
          <w:sz w:val="20"/>
        </w:rPr>
        <w:t xml:space="preserve"> </w:t>
      </w:r>
      <w:r>
        <w:rPr>
          <w:rFonts w:ascii="Times New Roman;serif" w:hAnsi="Times New Roman;serif"/>
          <w:b w:val="false"/>
          <w:sz w:val="20"/>
        </w:rPr>
        <w:t>million, or by the Company’s EBITDA for the sum of the four most recently ended fiscal quarters, subject to certain conditions, depending on the mix of revolving loans and/or term loans under the incremental facility and subject to conditions set forth in the Credit Agreement.</w:t>
      </w:r>
      <w:r>
        <w:rPr>
          <w:rFonts w:ascii="Times New Roman" w:hAnsi="Times New Roman"/>
          <w:sz w:val="20"/>
        </w:rPr>
        <w:t xml:space="preserve"> </w:t>
      </w:r>
    </w:p>
    <w:p>
      <w:pPr>
        <w:pStyle w:val="TextBody"/>
        <w:spacing w:before="200" w:after="0"/>
        <w:jc w:val="both"/>
        <w:rPr>
          <w:rFonts w:ascii="Times New Roman" w:hAnsi="Times New Roman"/>
          <w:sz w:val="20"/>
        </w:rPr>
      </w:pPr>
      <w:r>
        <w:rPr>
          <w:rFonts w:ascii="Times New Roman;serif" w:hAnsi="Times New Roman;serif"/>
          <w:b w:val="false"/>
          <w:sz w:val="20"/>
        </w:rPr>
        <w:t>The Credit Facility requires that the Company maintain a maximum Senior Secured Net Leverage Ratio (as defined in the Credit Agreement) of no greater than 3.25:1.00, on the last day of each Fiscal Quarter.</w:t>
      </w:r>
      <w:r>
        <w:rPr>
          <w:rFonts w:ascii="Times New Roman" w:hAnsi="Times New Roman"/>
          <w:sz w:val="20"/>
        </w:rPr>
        <w:t xml:space="preserve"> </w:t>
      </w:r>
      <w:r>
        <w:rPr>
          <w:rFonts w:ascii="Times New Roman;serif" w:hAnsi="Times New Roman;serif"/>
          <w:b w:val="false"/>
          <w:sz w:val="20"/>
        </w:rPr>
        <w:t>The Senior Secured Net Leverage Ratio is the ratio of Total Debt (as defined in the Credit Agreement), secured by liens, net of unrestricted cash and cash equivalents held outside of the People's Republic of China (“the PRC”) to a maximum of $75.0</w:t>
      </w:r>
      <w:r>
        <w:rPr>
          <w:rFonts w:ascii="Times New Roman" w:hAnsi="Times New Roman"/>
          <w:sz w:val="20"/>
        </w:rPr>
        <w:t xml:space="preserve"> </w:t>
      </w:r>
      <w:r>
        <w:rPr>
          <w:rFonts w:ascii="Times New Roman;serif" w:hAnsi="Times New Roman;serif"/>
          <w:b w:val="false"/>
          <w:sz w:val="20"/>
        </w:rPr>
        <w:t>million, relative to Adjusted EBITDA per Credit Facility for the four prior quarters. The Senior Secured Net Leverage Ratio is calculated using Adjusted EBITDA per Credit Facility determined on a trailing twelve-month basis. The Company was in compliance with this requirement as of March 31, 2023</w:t>
      </w:r>
      <w:r>
        <w:rPr>
          <w:rFonts w:ascii="Times New Roman" w:hAnsi="Times New Roman"/>
          <w:sz w:val="20"/>
        </w:rPr>
        <w:t xml:space="preserve"> </w:t>
      </w:r>
      <w:r>
        <w:rPr>
          <w:rFonts w:ascii="Times New Roman;serif" w:hAnsi="Times New Roman;serif"/>
          <w:b w:val="false"/>
          <w:sz w:val="20"/>
        </w:rPr>
        <w:t>as the Senior Secured Net Leverage Ratio was 0.00:1.00.</w:t>
      </w:r>
    </w:p>
    <w:p>
      <w:pPr>
        <w:pStyle w:val="TextBody"/>
        <w:spacing w:before="200" w:after="0"/>
        <w:jc w:val="both"/>
        <w:rPr>
          <w:rFonts w:ascii="Times New Roman" w:hAnsi="Times New Roman"/>
          <w:sz w:val="20"/>
        </w:rPr>
      </w:pPr>
      <w:r>
        <w:rPr>
          <w:rFonts w:ascii="Times New Roman;serif" w:hAnsi="Times New Roman;serif"/>
          <w:b w:val="false"/>
          <w:sz w:val="20"/>
        </w:rPr>
        <w:t>Loans under the Credit Facility bear interest, at the Company’s option, at (i) Term Secure Overnight Financing Rate (“SOFR”), Eurocurrency Rate or Canadian Dollar Offered Rate (“CDOR”) plus a margin ranging from 1.00% to 1.75% per annum; or (ii) the U.S. base rate or the Canadian prime rate plus a margin ranging from 0.25% to 1.00% per annum, in each case depending on the Company’s total leverage ratio. In no event will Term SOFR, Eurocurrency Rate or CDOR Rate be less than 0.00% per annum.</w:t>
      </w:r>
      <w:r>
        <w:rPr>
          <w:rFonts w:ascii="Times New Roman" w:hAnsi="Times New Roman"/>
          <w:sz w:val="20"/>
        </w:rPr>
        <w:t xml:space="preserve"> </w:t>
      </w:r>
    </w:p>
    <w:p>
      <w:pPr>
        <w:pStyle w:val="TextBody"/>
        <w:spacing w:before="200" w:after="0"/>
        <w:jc w:val="both"/>
        <w:rPr>
          <w:rFonts w:ascii="Times New Roman" w:hAnsi="Times New Roman"/>
          <w:sz w:val="20"/>
        </w:rPr>
      </w:pPr>
      <w:r>
        <w:rPr>
          <w:rFonts w:ascii="Times New Roman;serif" w:hAnsi="Times New Roman;serif"/>
          <w:b w:val="false"/>
          <w:sz w:val="20"/>
        </w:rPr>
        <w:t>As of March 31, 2023, borrowings under the Credit Facility were $20.0</w:t>
      </w:r>
      <w:r>
        <w:rPr>
          <w:rFonts w:ascii="Times New Roman" w:hAnsi="Times New Roman"/>
          <w:sz w:val="20"/>
        </w:rPr>
        <w:t xml:space="preserve"> </w:t>
      </w:r>
      <w:r>
        <w:rPr>
          <w:rFonts w:ascii="Times New Roman;serif" w:hAnsi="Times New Roman;serif"/>
          <w:b w:val="false"/>
          <w:sz w:val="20"/>
        </w:rPr>
        <w:t>million (December 31, 2022</w:t>
      </w:r>
      <w:r>
        <w:rPr>
          <w:rFonts w:ascii="Times New Roman" w:hAnsi="Times New Roman"/>
          <w:sz w:val="20"/>
        </w:rPr>
        <w:t xml:space="preserve"> — </w:t>
      </w:r>
      <w:r>
        <w:rPr>
          <w:rFonts w:ascii="Times New Roman;serif" w:hAnsi="Times New Roman;serif"/>
          <w:b w:val="false"/>
          <w:sz w:val="20"/>
        </w:rPr>
        <w:t>$25.0</w:t>
      </w:r>
      <w:r>
        <w:rPr>
          <w:rFonts w:ascii="Times New Roman" w:hAnsi="Times New Roman"/>
          <w:sz w:val="20"/>
        </w:rPr>
        <w:t xml:space="preserve"> </w:t>
      </w:r>
      <w:r>
        <w:rPr>
          <w:rFonts w:ascii="Times New Roman;serif" w:hAnsi="Times New Roman;serif"/>
          <w:b w:val="false"/>
          <w:sz w:val="20"/>
        </w:rPr>
        <w:t>million) and bear interest at Term SOFR, plus a margin of 1.75% per annum based on the Company’s total leverage ratio. The effective interest rate for the three months ended March 31, 2023</w:t>
      </w:r>
      <w:r>
        <w:rPr>
          <w:rFonts w:ascii="Times New Roman" w:hAnsi="Times New Roman"/>
          <w:sz w:val="20"/>
        </w:rPr>
        <w:t xml:space="preserve"> </w:t>
      </w:r>
      <w:r>
        <w:rPr>
          <w:rFonts w:ascii="Times New Roman;serif" w:hAnsi="Times New Roman;serif"/>
          <w:b w:val="false"/>
          <w:sz w:val="20"/>
        </w:rPr>
        <w:t>was 6.35%. There were no</w:t>
      </w:r>
      <w:r>
        <w:rPr>
          <w:rFonts w:ascii="Times New Roman" w:hAnsi="Times New Roman"/>
          <w:sz w:val="20"/>
        </w:rPr>
        <w:t xml:space="preserve"> </w:t>
      </w:r>
      <w:r>
        <w:rPr>
          <w:rFonts w:ascii="Times New Roman;serif" w:hAnsi="Times New Roman;serif"/>
          <w:b w:val="false"/>
          <w:sz w:val="20"/>
        </w:rPr>
        <w:t>amounts drawn under the Credit Facility during the three months ended March 31, 2022.</w:t>
      </w:r>
    </w:p>
    <w:p>
      <w:pPr>
        <w:pStyle w:val="TextBody"/>
        <w:spacing w:before="200" w:after="0"/>
        <w:jc w:val="both"/>
        <w:rPr>
          <w:rFonts w:ascii="Times New Roman;serif" w:hAnsi="Times New Roman;serif"/>
          <w:b w:val="false"/>
          <w:sz w:val="20"/>
        </w:rPr>
      </w:pPr>
      <w:r>
        <w:rPr>
          <w:rFonts w:ascii="Times New Roman;serif" w:hAnsi="Times New Roman;serif"/>
          <w:b w:val="false"/>
          <w:sz w:val="20"/>
        </w:rPr>
        <w:t>The Credit Agreement contains customary affirmative and negative covenants, including covenants that limit indebtedness, liens, asset sales, investments and restricted payments, in each case subject to negotiated exceptions and baskets. The Credit Agreement also contains customary representations, warranties and event of default provisions.</w:t>
      </w:r>
    </w:p>
    <w:p>
      <w:pPr>
        <w:pStyle w:val="TextBody"/>
        <w:spacing w:before="200" w:after="0"/>
        <w:jc w:val="both"/>
        <w:rPr>
          <w:rFonts w:ascii="Times New Roman" w:hAnsi="Times New Roman"/>
          <w:sz w:val="20"/>
        </w:rPr>
      </w:pPr>
      <w:r>
        <w:rPr>
          <w:rFonts w:ascii="Times New Roman;serif" w:hAnsi="Times New Roman;serif"/>
          <w:b w:val="false"/>
          <w:sz w:val="20"/>
        </w:rPr>
        <w:t>The Company incurred fees of approximately $2.5</w:t>
      </w:r>
      <w:r>
        <w:rPr>
          <w:rFonts w:ascii="Times New Roman" w:hAnsi="Times New Roman"/>
          <w:sz w:val="20"/>
        </w:rPr>
        <w:t xml:space="preserve"> </w:t>
      </w:r>
      <w:r>
        <w:rPr>
          <w:rFonts w:ascii="Times New Roman;serif" w:hAnsi="Times New Roman;serif"/>
          <w:b w:val="false"/>
          <w:sz w:val="20"/>
        </w:rPr>
        <w:t>million in connection with the March 25, 2022 amendment of the Credit Agreement, which are being amortized on a straight-line basis over the term of the Credit Agreement. In the first quarter of 2022, the Company expensed $0.4</w:t>
      </w:r>
      <w:r>
        <w:rPr>
          <w:rFonts w:ascii="Times New Roman" w:hAnsi="Times New Roman"/>
          <w:sz w:val="20"/>
        </w:rPr>
        <w:t xml:space="preserve"> </w:t>
      </w:r>
      <w:r>
        <w:rPr>
          <w:rFonts w:ascii="Times New Roman;serif" w:hAnsi="Times New Roman;serif"/>
          <w:b w:val="false"/>
          <w:sz w:val="20"/>
        </w:rPr>
        <w:t>million in unamortized deferred financing costs associated with lenders that are no longer parties to the Credit Agreement.</w:t>
      </w:r>
      <w:r>
        <w:rPr>
          <w:rFonts w:ascii="Times New Roman" w:hAnsi="Times New Roman"/>
          <w:sz w:val="20"/>
        </w:rPr>
        <w:t xml:space="preserve"> </w:t>
      </w:r>
    </w:p>
    <w:p>
      <w:pPr>
        <w:pStyle w:val="TextBody"/>
        <w:spacing w:before="200" w:after="0"/>
        <w:jc w:val="both"/>
        <w:rPr>
          <w:rFonts w:ascii="Times New Roman" w:hAnsi="Times New Roman"/>
          <w:sz w:val="20"/>
        </w:rPr>
      </w:pPr>
      <w:r>
        <w:rPr>
          <w:rFonts w:ascii="Times New Roman;serif" w:hAnsi="Times New Roman;serif"/>
          <w:b w:val="false"/>
          <w:sz w:val="20"/>
        </w:rPr>
        <w:t>As of March 31, 2023 and December 31, 2022, the Company did not have any letters of credit or advance payment guarantees outstanding under the Credit Facility. As of March 31, 2023, the amount available for future borrowings under the Credit Facility was $280.0</w:t>
      </w:r>
      <w:r>
        <w:rPr>
          <w:rFonts w:ascii="Times New Roman" w:hAnsi="Times New Roman"/>
          <w:sz w:val="20"/>
        </w:rPr>
        <w:t xml:space="preserve"> </w:t>
      </w:r>
      <w:r>
        <w:rPr>
          <w:rFonts w:ascii="Times New Roman;serif" w:hAnsi="Times New Roman;serif"/>
          <w:b w:val="false"/>
          <w:sz w:val="20"/>
        </w:rPr>
        <w:t>million.</w:t>
      </w:r>
      <w:r>
        <w:rPr>
          <w:rFonts w:ascii="Times New Roman" w:hAnsi="Times New Roman"/>
          <w:sz w:val="20"/>
        </w:rPr>
        <w:t xml:space="preserve"> </w:t>
      </w:r>
    </w:p>
    <w:p>
      <w:pPr>
        <w:pStyle w:val="TextBody"/>
        <w:spacing w:before="200" w:after="0"/>
        <w:jc w:val="both"/>
        <w:rPr>
          <w:rFonts w:ascii="Times New Roman;serif" w:hAnsi="Times New Roman;serif"/>
          <w:b w:val="false"/>
          <w:i/>
          <w:sz w:val="20"/>
        </w:rPr>
      </w:pPr>
      <w:r>
        <w:rPr>
          <w:rFonts w:ascii="Times New Roman;serif" w:hAnsi="Times New Roman;serif"/>
          <w:b w:val="false"/>
          <w:i/>
          <w:sz w:val="20"/>
        </w:rPr>
        <w:t>Foreign Exchange Facility</w:t>
      </w:r>
    </w:p>
    <w:p>
      <w:pPr>
        <w:pStyle w:val="TextBody"/>
        <w:spacing w:before="200" w:after="0"/>
        <w:jc w:val="both"/>
        <w:rPr>
          <w:rFonts w:ascii="Times New Roman" w:hAnsi="Times New Roman"/>
          <w:sz w:val="20"/>
        </w:rPr>
      </w:pPr>
      <w:r>
        <w:rPr>
          <w:rFonts w:ascii="Times New Roman;serif" w:hAnsi="Times New Roman;serif"/>
          <w:b w:val="false"/>
          <w:sz w:val="20"/>
        </w:rPr>
        <w:t>Within the Credit Facility, the Company is able to purchase foreign currency forward contracts and/or other swap arrangements. As of March 31, 2023, the net unrealized loss on the Company’s outstanding foreign currency forward contracts was $(0.2) million, representing the amount by which the notional value of these forward contracts exceeded their fair value (December 31, 2022</w:t>
      </w:r>
      <w:r>
        <w:rPr>
          <w:rFonts w:ascii="Times New Roman" w:hAnsi="Times New Roman"/>
          <w:sz w:val="20"/>
        </w:rPr>
        <w:t xml:space="preserve"> — </w:t>
      </w:r>
      <w:r>
        <w:rPr>
          <w:rFonts w:ascii="Times New Roman;serif" w:hAnsi="Times New Roman;serif"/>
          <w:b w:val="false"/>
          <w:sz w:val="20"/>
        </w:rPr>
        <w:t>net unrealized loss of $(0.6) million). As of March 31, 2023, the notional value of the Company’s outstanding foreign currency forward contracts was $34.4</w:t>
      </w:r>
      <w:r>
        <w:rPr>
          <w:rFonts w:ascii="Times New Roman" w:hAnsi="Times New Roman"/>
          <w:sz w:val="20"/>
        </w:rPr>
        <w:t xml:space="preserve"> </w:t>
      </w:r>
      <w:r>
        <w:rPr>
          <w:rFonts w:ascii="Times New Roman;serif" w:hAnsi="Times New Roman;serif"/>
          <w:b w:val="false"/>
          <w:sz w:val="20"/>
        </w:rPr>
        <w:t>million</w:t>
      </w:r>
      <w:r>
        <w:rPr>
          <w:rFonts w:ascii="Times New Roman" w:hAnsi="Times New Roman"/>
          <w:sz w:val="20"/>
        </w:rPr>
        <w:t xml:space="preserve"> </w:t>
      </w:r>
      <w:r>
        <w:rPr>
          <w:rFonts w:ascii="Times New Roman;serif" w:hAnsi="Times New Roman;serif"/>
          <w:b w:val="false"/>
          <w:sz w:val="20"/>
        </w:rPr>
        <w:t>(December 31, 2022 — $24.7</w:t>
      </w:r>
      <w:r>
        <w:rPr>
          <w:rFonts w:ascii="Times New Roman" w:hAnsi="Times New Roman"/>
          <w:sz w:val="20"/>
        </w:rPr>
        <w:t xml:space="preserve"> </w:t>
      </w:r>
      <w:r>
        <w:rPr>
          <w:rFonts w:ascii="Times New Roman;serif" w:hAnsi="Times New Roman;serif"/>
          <w:b w:val="false"/>
          <w:sz w:val="20"/>
        </w:rPr>
        <w:t>million).</w:t>
      </w:r>
    </w:p>
    <w:p>
      <w:pPr>
        <w:pStyle w:val="TextBody"/>
        <w:spacing w:before="200" w:after="0"/>
        <w:jc w:val="both"/>
        <w:rPr>
          <w:rFonts w:ascii="Times New Roman;serif" w:hAnsi="Times New Roman;serif"/>
          <w:b w:val="false"/>
          <w:i/>
          <w:sz w:val="20"/>
        </w:rPr>
      </w:pPr>
      <w:r>
        <w:rPr>
          <w:rFonts w:ascii="Times New Roman;serif" w:hAnsi="Times New Roman;serif"/>
          <w:b w:val="false"/>
          <w:i/>
          <w:sz w:val="20"/>
        </w:rPr>
        <w:t>Bank of China Facility</w:t>
      </w:r>
    </w:p>
    <w:p>
      <w:pPr>
        <w:pStyle w:val="TextBody"/>
        <w:spacing w:before="200" w:after="0"/>
        <w:jc w:val="both"/>
        <w:rPr>
          <w:rFonts w:ascii="Times New Roman" w:hAnsi="Times New Roman"/>
          <w:sz w:val="20"/>
        </w:rPr>
      </w:pPr>
      <w:r>
        <w:rPr>
          <w:rFonts w:ascii="Times New Roman;serif" w:hAnsi="Times New Roman;serif"/>
          <w:b w:val="false"/>
          <w:sz w:val="20"/>
        </w:rPr>
        <w:t>In June 2022, IMAX (Shanghai) Multimedia Technology Co., Ltd. (“IMAX Shanghai”), one of the Company’s majority-owned subsidiaries in China, renewed its unsecured revolving facility with Bank of China for up to 200.0</w:t>
      </w:r>
      <w:r>
        <w:rPr>
          <w:rFonts w:ascii="Times New Roman;serif" w:hAnsi="Times New Roman;serif"/>
          <w:sz w:val="20"/>
        </w:rPr>
        <w:t xml:space="preserve"> </w:t>
      </w:r>
      <w:r>
        <w:rPr>
          <w:rFonts w:ascii="Times New Roman;serif" w:hAnsi="Times New Roman;serif"/>
          <w:b w:val="false"/>
          <w:sz w:val="20"/>
        </w:rPr>
        <w:t>million Chinese Renminbi (“RMB”) ($29.1</w:t>
      </w:r>
      <w:r>
        <w:rPr>
          <w:rFonts w:ascii="Times New Roman;serif" w:hAnsi="Times New Roman;serif"/>
          <w:sz w:val="20"/>
        </w:rPr>
        <w:t xml:space="preserve"> </w:t>
      </w:r>
      <w:r>
        <w:rPr>
          <w:rFonts w:ascii="Times New Roman;serif" w:hAnsi="Times New Roman;serif"/>
          <w:b w:val="false"/>
          <w:sz w:val="20"/>
        </w:rPr>
        <w:t>million), including RMB 10.0</w:t>
      </w:r>
      <w:r>
        <w:rPr>
          <w:rFonts w:ascii="Times New Roman;serif" w:hAnsi="Times New Roman;serif"/>
          <w:sz w:val="20"/>
        </w:rPr>
        <w:t xml:space="preserve"> </w:t>
      </w:r>
      <w:r>
        <w:rPr>
          <w:rFonts w:ascii="Times New Roman;serif" w:hAnsi="Times New Roman;serif"/>
          <w:b w:val="false"/>
          <w:sz w:val="20"/>
        </w:rPr>
        <w:t>million ($1.4</w:t>
      </w:r>
      <w:r>
        <w:rPr>
          <w:rFonts w:ascii="Times New Roman;serif" w:hAnsi="Times New Roman;serif"/>
          <w:sz w:val="20"/>
        </w:rPr>
        <w:t xml:space="preserve"> </w:t>
      </w:r>
      <w:r>
        <w:rPr>
          <w:rFonts w:ascii="Times New Roman;serif" w:hAnsi="Times New Roman;serif"/>
          <w:b w:val="false"/>
          <w:sz w:val="20"/>
        </w:rPr>
        <w:t>million) for letters of guarantee, to fund ongoing working capital requirements (the “Bank of China Facility”).</w:t>
      </w:r>
      <w:r>
        <w:rPr>
          <w:rFonts w:ascii="Times New Roman" w:hAnsi="Times New Roman"/>
          <w:sz w:val="20"/>
        </w:rPr>
        <w:t xml:space="preserve"> </w:t>
      </w:r>
      <w:r>
        <w:rPr>
          <w:rFonts w:ascii="Times New Roman;serif" w:hAnsi="Times New Roman;serif"/>
          <w:b w:val="false"/>
          <w:sz w:val="20"/>
        </w:rPr>
        <w:t>The Bank of China Facility expires in September 2023.</w:t>
      </w:r>
    </w:p>
    <w:p>
      <w:pPr>
        <w:pStyle w:val="TextBody"/>
        <w:spacing w:before="240" w:after="0"/>
        <w:jc w:val="center"/>
        <w:rPr>
          <w:rFonts w:ascii="Times New Roman;serif" w:hAnsi="Times New Roman;serif"/>
          <w:b w:val="false"/>
          <w:sz w:val="20"/>
        </w:rPr>
      </w:pPr>
      <w:r>
        <w:rPr>
          <w:rFonts w:ascii="Times New Roman;serif" w:hAnsi="Times New Roman;serif"/>
          <w:b w:val="false"/>
          <w:sz w:val="20"/>
        </w:rPr>
        <w:t>20</w:t>
      </w:r>
    </w:p>
    <w:p>
      <w:pPr>
        <w:pStyle w:val="HorizontalLine"/>
        <w:rPr/>
      </w:pPr>
      <w:r>
        <w:rPr/>
      </w:r>
    </w:p>
    <w:p>
      <w:pPr>
        <w:pStyle w:val="TextBody"/>
        <w:spacing w:before="0" w:after="0"/>
        <w:jc w:val="left"/>
        <w:rPr/>
      </w:pPr>
      <w:r>
        <w:rPr/>
        <w:t> </w:t>
      </w:r>
    </w:p>
    <w:p>
      <w:pPr>
        <w:pStyle w:val="TextBody"/>
        <w:spacing w:before="200" w:after="0"/>
        <w:jc w:val="both"/>
        <w:rPr>
          <w:rFonts w:ascii="Times New Roman" w:hAnsi="Times New Roman"/>
          <w:sz w:val="20"/>
        </w:rPr>
      </w:pPr>
      <w:r>
        <w:rPr>
          <w:rFonts w:ascii="Times New Roman;serif" w:hAnsi="Times New Roman;serif"/>
          <w:b w:val="false"/>
          <w:sz w:val="20"/>
        </w:rPr>
        <w:t>As of March 31, 2023, RMB 2.6</w:t>
      </w:r>
      <w:r>
        <w:rPr>
          <w:rFonts w:ascii="Times New Roman" w:hAnsi="Times New Roman"/>
          <w:sz w:val="20"/>
        </w:rPr>
        <w:t xml:space="preserve"> </w:t>
      </w:r>
      <w:r>
        <w:rPr>
          <w:rFonts w:ascii="Times New Roman;serif" w:hAnsi="Times New Roman;serif"/>
          <w:b w:val="false"/>
          <w:sz w:val="20"/>
        </w:rPr>
        <w:t>million ($0.4</w:t>
      </w:r>
      <w:r>
        <w:rPr>
          <w:rFonts w:ascii="Times New Roman" w:hAnsi="Times New Roman"/>
          <w:sz w:val="20"/>
        </w:rPr>
        <w:t xml:space="preserve"> </w:t>
      </w:r>
      <w:r>
        <w:rPr>
          <w:rFonts w:ascii="Times New Roman;serif" w:hAnsi="Times New Roman;serif"/>
          <w:b w:val="false"/>
          <w:sz w:val="20"/>
        </w:rPr>
        <w:t>million) of borrowings were outstanding under the Bank of China Facility and outstanding letters of guarantee were RMB 3.0</w:t>
      </w:r>
      <w:r>
        <w:rPr>
          <w:rFonts w:ascii="Times New Roman" w:hAnsi="Times New Roman"/>
          <w:sz w:val="20"/>
        </w:rPr>
        <w:t xml:space="preserve"> </w:t>
      </w:r>
      <w:r>
        <w:rPr>
          <w:rFonts w:ascii="Times New Roman;serif" w:hAnsi="Times New Roman;serif"/>
          <w:b w:val="false"/>
          <w:sz w:val="20"/>
        </w:rPr>
        <w:t>million ($0.4</w:t>
      </w:r>
      <w:r>
        <w:rPr>
          <w:rFonts w:ascii="Times New Roman" w:hAnsi="Times New Roman"/>
          <w:sz w:val="20"/>
        </w:rPr>
        <w:t xml:space="preserve"> </w:t>
      </w:r>
      <w:r>
        <w:rPr>
          <w:rFonts w:ascii="Times New Roman;serif" w:hAnsi="Times New Roman;serif"/>
          <w:b w:val="false"/>
          <w:sz w:val="20"/>
        </w:rPr>
        <w:t>million). As of December 31, 2022, outstanding Bank of China Facility borrowings were RMB 2.6</w:t>
      </w:r>
      <w:r>
        <w:rPr>
          <w:rFonts w:ascii="Times New Roman" w:hAnsi="Times New Roman"/>
          <w:sz w:val="20"/>
        </w:rPr>
        <w:t xml:space="preserve"> </w:t>
      </w:r>
      <w:r>
        <w:rPr>
          <w:rFonts w:ascii="Times New Roman;serif" w:hAnsi="Times New Roman;serif"/>
          <w:b w:val="false"/>
          <w:sz w:val="20"/>
        </w:rPr>
        <w:t>million</w:t>
      </w:r>
      <w:r>
        <w:rPr>
          <w:rFonts w:ascii="Times New Roman" w:hAnsi="Times New Roman"/>
          <w:sz w:val="20"/>
        </w:rPr>
        <w:t xml:space="preserve"> </w:t>
      </w:r>
      <w:r>
        <w:rPr>
          <w:rFonts w:ascii="Times New Roman;serif" w:hAnsi="Times New Roman;serif"/>
          <w:b w:val="false"/>
          <w:sz w:val="20"/>
        </w:rPr>
        <w:t>($0.4</w:t>
      </w:r>
      <w:r>
        <w:rPr>
          <w:rFonts w:ascii="Times New Roman" w:hAnsi="Times New Roman"/>
          <w:sz w:val="20"/>
        </w:rPr>
        <w:t xml:space="preserve"> </w:t>
      </w:r>
      <w:r>
        <w:rPr>
          <w:rFonts w:ascii="Times New Roman;serif" w:hAnsi="Times New Roman;serif"/>
          <w:b w:val="false"/>
          <w:sz w:val="20"/>
        </w:rPr>
        <w:t>million) and outstanding letters of guarantee were RMB 2.8</w:t>
      </w:r>
      <w:r>
        <w:rPr>
          <w:rFonts w:ascii="Times New Roman" w:hAnsi="Times New Roman"/>
          <w:sz w:val="20"/>
        </w:rPr>
        <w:t xml:space="preserve"> </w:t>
      </w:r>
      <w:r>
        <w:rPr>
          <w:rFonts w:ascii="Times New Roman;serif" w:hAnsi="Times New Roman;serif"/>
          <w:b w:val="false"/>
          <w:sz w:val="20"/>
        </w:rPr>
        <w:t>million</w:t>
      </w:r>
      <w:r>
        <w:rPr>
          <w:rFonts w:ascii="Times New Roman" w:hAnsi="Times New Roman"/>
          <w:sz w:val="20"/>
        </w:rPr>
        <w:t xml:space="preserve"> </w:t>
      </w:r>
      <w:r>
        <w:rPr>
          <w:rFonts w:ascii="Times New Roman;serif" w:hAnsi="Times New Roman;serif"/>
          <w:b w:val="false"/>
          <w:sz w:val="20"/>
        </w:rPr>
        <w:t>($0.4</w:t>
      </w:r>
      <w:r>
        <w:rPr>
          <w:rFonts w:ascii="Times New Roman" w:hAnsi="Times New Roman"/>
          <w:sz w:val="20"/>
        </w:rPr>
        <w:t xml:space="preserve"> </w:t>
      </w:r>
      <w:r>
        <w:rPr>
          <w:rFonts w:ascii="Times New Roman;serif" w:hAnsi="Times New Roman;serif"/>
          <w:b w:val="false"/>
          <w:sz w:val="20"/>
        </w:rPr>
        <w:t>million).</w:t>
      </w:r>
      <w:r>
        <w:rPr>
          <w:rFonts w:ascii="Times New Roman" w:hAnsi="Times New Roman"/>
          <w:sz w:val="20"/>
        </w:rPr>
        <w:t xml:space="preserve"> </w:t>
      </w:r>
    </w:p>
    <w:p>
      <w:pPr>
        <w:pStyle w:val="TextBody"/>
        <w:spacing w:before="200" w:after="0"/>
        <w:jc w:val="both"/>
        <w:rPr>
          <w:rFonts w:ascii="Times New Roman" w:hAnsi="Times New Roman"/>
          <w:sz w:val="20"/>
        </w:rPr>
      </w:pPr>
      <w:r>
        <w:rPr>
          <w:rFonts w:ascii="Times New Roman;serif" w:hAnsi="Times New Roman;serif"/>
          <w:b w:val="false"/>
          <w:sz w:val="20"/>
        </w:rPr>
        <w:t>As of March 31, 2023, the amount available for future borrowings under the Bank of China Facility was RMB 187.4</w:t>
      </w:r>
      <w:r>
        <w:rPr>
          <w:rFonts w:ascii="Times New Roman" w:hAnsi="Times New Roman"/>
          <w:sz w:val="20"/>
        </w:rPr>
        <w:t xml:space="preserve"> </w:t>
      </w:r>
      <w:r>
        <w:rPr>
          <w:rFonts w:ascii="Times New Roman;serif" w:hAnsi="Times New Roman;serif"/>
          <w:b w:val="false"/>
          <w:sz w:val="20"/>
        </w:rPr>
        <w:t>million</w:t>
      </w:r>
      <w:r>
        <w:rPr>
          <w:rFonts w:ascii="Times New Roman" w:hAnsi="Times New Roman"/>
          <w:sz w:val="20"/>
        </w:rPr>
        <w:t xml:space="preserve"> </w:t>
      </w:r>
      <w:r>
        <w:rPr>
          <w:rFonts w:ascii="Times New Roman;serif" w:hAnsi="Times New Roman;serif"/>
          <w:b w:val="false"/>
          <w:sz w:val="20"/>
        </w:rPr>
        <w:t>($27.3</w:t>
      </w:r>
      <w:r>
        <w:rPr>
          <w:rFonts w:ascii="Times New Roman" w:hAnsi="Times New Roman"/>
          <w:sz w:val="20"/>
        </w:rPr>
        <w:t xml:space="preserve"> </w:t>
      </w:r>
      <w:r>
        <w:rPr>
          <w:rFonts w:ascii="Times New Roman;serif" w:hAnsi="Times New Roman;serif"/>
          <w:b w:val="false"/>
          <w:sz w:val="20"/>
        </w:rPr>
        <w:t>million) and the amount available for letters of guarantee was RMB 7.0</w:t>
      </w:r>
      <w:r>
        <w:rPr>
          <w:rFonts w:ascii="Times New Roman" w:hAnsi="Times New Roman"/>
          <w:sz w:val="20"/>
        </w:rPr>
        <w:t xml:space="preserve"> </w:t>
      </w:r>
      <w:r>
        <w:rPr>
          <w:rFonts w:ascii="Times New Roman;serif" w:hAnsi="Times New Roman;serif"/>
          <w:b w:val="false"/>
          <w:sz w:val="20"/>
        </w:rPr>
        <w:t>million</w:t>
      </w:r>
      <w:r>
        <w:rPr>
          <w:rFonts w:ascii="Times New Roman" w:hAnsi="Times New Roman"/>
          <w:sz w:val="20"/>
        </w:rPr>
        <w:t xml:space="preserve"> </w:t>
      </w:r>
      <w:r>
        <w:rPr>
          <w:rFonts w:ascii="Times New Roman;serif" w:hAnsi="Times New Roman;serif"/>
          <w:b w:val="false"/>
          <w:sz w:val="20"/>
        </w:rPr>
        <w:t>($1.0</w:t>
      </w:r>
      <w:r>
        <w:rPr>
          <w:rFonts w:ascii="Times New Roman" w:hAnsi="Times New Roman"/>
          <w:sz w:val="20"/>
        </w:rPr>
        <w:t xml:space="preserve"> </w:t>
      </w:r>
      <w:r>
        <w:rPr>
          <w:rFonts w:ascii="Times New Roman;serif" w:hAnsi="Times New Roman;serif"/>
          <w:b w:val="false"/>
          <w:sz w:val="20"/>
        </w:rPr>
        <w:t>million). The amount available for future borrowings under the Bank of China Facility is not subject to a standby fee. The effective interest rate for the three months ended March 31, 2023 was 3.85%</w:t>
      </w:r>
      <w:r>
        <w:rPr>
          <w:rFonts w:ascii="Times New Roman" w:hAnsi="Times New Roman"/>
          <w:sz w:val="20"/>
        </w:rPr>
        <w:t xml:space="preserve"> </w:t>
      </w:r>
      <w:r>
        <w:rPr>
          <w:rFonts w:ascii="Times New Roman;serif" w:hAnsi="Times New Roman;serif"/>
          <w:b w:val="false"/>
          <w:sz w:val="20"/>
        </w:rPr>
        <w:t>(2022 — 4.15%).</w:t>
      </w:r>
    </w:p>
    <w:p>
      <w:pPr>
        <w:pStyle w:val="TextBody"/>
        <w:spacing w:before="200" w:after="0"/>
        <w:jc w:val="both"/>
        <w:rPr>
          <w:rFonts w:ascii="Times New Roman;serif" w:hAnsi="Times New Roman;serif"/>
          <w:b w:val="false"/>
          <w:i/>
          <w:sz w:val="20"/>
        </w:rPr>
      </w:pPr>
      <w:r>
        <w:rPr>
          <w:rFonts w:ascii="Times New Roman;serif" w:hAnsi="Times New Roman;serif"/>
          <w:b w:val="false"/>
          <w:i/>
          <w:sz w:val="20"/>
        </w:rPr>
        <w:t>HSBC China Facility</w:t>
      </w:r>
    </w:p>
    <w:p>
      <w:pPr>
        <w:pStyle w:val="TextBody"/>
        <w:spacing w:before="200" w:after="0"/>
        <w:jc w:val="both"/>
        <w:rPr>
          <w:rFonts w:ascii="Times New Roman" w:hAnsi="Times New Roman"/>
          <w:sz w:val="20"/>
        </w:rPr>
      </w:pPr>
      <w:r>
        <w:rPr>
          <w:rFonts w:ascii="Times New Roman;serif" w:hAnsi="Times New Roman;serif"/>
          <w:b w:val="false"/>
          <w:sz w:val="20"/>
        </w:rPr>
        <w:t>In June 2022, IMAX Shanghai entered into an unsecured revolving facility for up to RMB 200.0</w:t>
      </w:r>
      <w:r>
        <w:rPr>
          <w:rFonts w:ascii="Times New Roman" w:hAnsi="Times New Roman"/>
          <w:sz w:val="20"/>
        </w:rPr>
        <w:t xml:space="preserve"> </w:t>
      </w:r>
      <w:r>
        <w:rPr>
          <w:rFonts w:ascii="Times New Roman;serif" w:hAnsi="Times New Roman;serif"/>
          <w:b w:val="false"/>
          <w:sz w:val="20"/>
        </w:rPr>
        <w:t>million ($29.1</w:t>
      </w:r>
      <w:r>
        <w:rPr>
          <w:rFonts w:ascii="Times New Roman" w:hAnsi="Times New Roman"/>
          <w:sz w:val="20"/>
        </w:rPr>
        <w:t xml:space="preserve"> </w:t>
      </w:r>
      <w:r>
        <w:rPr>
          <w:rFonts w:ascii="Times New Roman;serif" w:hAnsi="Times New Roman;serif"/>
          <w:b w:val="false"/>
          <w:sz w:val="20"/>
        </w:rPr>
        <w:t>million) with HSBC Bank (China) Company Limited, Shanghai Branch to fund ongoing working capital requirements (the “HSBC China Facility”). As of March 31, 2023, RMB 83.6</w:t>
      </w:r>
      <w:r>
        <w:rPr>
          <w:rFonts w:ascii="Times New Roman" w:hAnsi="Times New Roman"/>
          <w:sz w:val="20"/>
        </w:rPr>
        <w:t xml:space="preserve"> </w:t>
      </w:r>
      <w:r>
        <w:rPr>
          <w:rFonts w:ascii="Times New Roman;serif" w:hAnsi="Times New Roman;serif"/>
          <w:b w:val="false"/>
          <w:sz w:val="20"/>
        </w:rPr>
        <w:t>million ($12.2</w:t>
      </w:r>
      <w:r>
        <w:rPr>
          <w:rFonts w:ascii="Times New Roman" w:hAnsi="Times New Roman"/>
          <w:sz w:val="20"/>
        </w:rPr>
        <w:t xml:space="preserve"> </w:t>
      </w:r>
      <w:r>
        <w:rPr>
          <w:rFonts w:ascii="Times New Roman;serif" w:hAnsi="Times New Roman;serif"/>
          <w:b w:val="false"/>
          <w:sz w:val="20"/>
        </w:rPr>
        <w:t>million) of borrowings were outstanding under the HSBC China Facility. As of December 31, 2022, outstanding HSBC China Facility borrowings were RMB 87.0</w:t>
      </w:r>
      <w:r>
        <w:rPr>
          <w:rFonts w:ascii="Times New Roman" w:hAnsi="Times New Roman"/>
          <w:sz w:val="20"/>
        </w:rPr>
        <w:t xml:space="preserve"> </w:t>
      </w:r>
      <w:r>
        <w:rPr>
          <w:rFonts w:ascii="Times New Roman;serif" w:hAnsi="Times New Roman;serif"/>
          <w:b w:val="false"/>
          <w:sz w:val="20"/>
        </w:rPr>
        <w:t>million ($12.5</w:t>
      </w:r>
      <w:r>
        <w:rPr>
          <w:rFonts w:ascii="Times New Roman" w:hAnsi="Times New Roman"/>
          <w:sz w:val="20"/>
        </w:rPr>
        <w:t xml:space="preserve"> </w:t>
      </w:r>
      <w:r>
        <w:rPr>
          <w:rFonts w:ascii="Times New Roman;serif" w:hAnsi="Times New Roman;serif"/>
          <w:b w:val="false"/>
          <w:sz w:val="20"/>
        </w:rPr>
        <w:t>million). As of March 31, 2023, the amount available for future borrowings under the HSBC China Facility was RMB 116.4</w:t>
      </w:r>
      <w:r>
        <w:rPr>
          <w:rFonts w:ascii="Times New Roman" w:hAnsi="Times New Roman"/>
          <w:sz w:val="20"/>
        </w:rPr>
        <w:t xml:space="preserve"> </w:t>
      </w:r>
      <w:r>
        <w:rPr>
          <w:rFonts w:ascii="Times New Roman;serif" w:hAnsi="Times New Roman;serif"/>
          <w:b w:val="false"/>
          <w:sz w:val="20"/>
        </w:rPr>
        <w:t>million ($16.9</w:t>
      </w:r>
      <w:r>
        <w:rPr>
          <w:rFonts w:ascii="Times New Roman" w:hAnsi="Times New Roman"/>
          <w:sz w:val="20"/>
        </w:rPr>
        <w:t xml:space="preserve"> </w:t>
      </w:r>
      <w:r>
        <w:rPr>
          <w:rFonts w:ascii="Times New Roman;serif" w:hAnsi="Times New Roman;serif"/>
          <w:b w:val="false"/>
          <w:sz w:val="20"/>
        </w:rPr>
        <w:t>million). The effective interest rate for the three months ended March 31, 2023</w:t>
      </w:r>
      <w:r>
        <w:rPr>
          <w:rFonts w:ascii="Times New Roman" w:hAnsi="Times New Roman"/>
          <w:sz w:val="20"/>
        </w:rPr>
        <w:t xml:space="preserve"> </w:t>
      </w:r>
      <w:r>
        <w:rPr>
          <w:rFonts w:ascii="Times New Roman;serif" w:hAnsi="Times New Roman;serif"/>
          <w:b w:val="false"/>
          <w:sz w:val="20"/>
        </w:rPr>
        <w:t>was 3.88% (2022 — 3.91%).</w:t>
      </w:r>
    </w:p>
    <w:p>
      <w:pPr>
        <w:pStyle w:val="TextBody"/>
        <w:spacing w:before="200" w:after="0"/>
        <w:jc w:val="both"/>
        <w:rPr>
          <w:rFonts w:ascii="Times New Roman;serif" w:hAnsi="Times New Roman;serif"/>
          <w:b w:val="false"/>
          <w:i/>
          <w:sz w:val="20"/>
        </w:rPr>
      </w:pPr>
      <w:r>
        <w:rPr>
          <w:rFonts w:ascii="Times New Roman;serif" w:hAnsi="Times New Roman;serif"/>
          <w:b w:val="false"/>
          <w:i/>
          <w:sz w:val="20"/>
        </w:rPr>
        <w:t>NBC Facility</w:t>
      </w:r>
    </w:p>
    <w:p>
      <w:pPr>
        <w:pStyle w:val="TextBody"/>
        <w:spacing w:before="200" w:after="0"/>
        <w:jc w:val="both"/>
        <w:rPr>
          <w:rFonts w:ascii="Times New Roman" w:hAnsi="Times New Roman"/>
          <w:sz w:val="20"/>
        </w:rPr>
      </w:pPr>
      <w:r>
        <w:rPr>
          <w:rFonts w:ascii="Times New Roman;serif" w:hAnsi="Times New Roman;serif"/>
          <w:b w:val="false"/>
          <w:sz w:val="20"/>
        </w:rPr>
        <w:t>In October 2019, the Company entered into a $5.0</w:t>
      </w:r>
      <w:r>
        <w:rPr>
          <w:rFonts w:ascii="Times New Roman" w:hAnsi="Times New Roman"/>
          <w:sz w:val="20"/>
        </w:rPr>
        <w:t xml:space="preserve"> </w:t>
      </w:r>
      <w:r>
        <w:rPr>
          <w:rFonts w:ascii="Times New Roman;serif" w:hAnsi="Times New Roman;serif"/>
          <w:b w:val="false"/>
          <w:sz w:val="20"/>
        </w:rPr>
        <w:t>million facility with National Bank of Canada (the “NBC Facility”) fully insured by Export Development Canada for use solely in conjunction with the issuance of performance guarantees and letters of credit. The NBC Facility will expire on June 30, 2023, and is renewable on the same terms and conditions on an annual basis. The Company did not have any letters of credit or advance payment guarantees outstanding as of March 31, 2023 and December 31, 2022 under the NBC Facility.</w:t>
      </w:r>
      <w:r>
        <w:rPr>
          <w:rFonts w:ascii="Times New Roman" w:hAnsi="Times New Roman"/>
          <w:sz w:val="20"/>
        </w:rPr>
        <w:t xml:space="preserve"> </w:t>
      </w:r>
    </w:p>
    <w:p>
      <w:pPr>
        <w:pStyle w:val="TextBody"/>
        <w:spacing w:before="200" w:after="0"/>
        <w:jc w:val="both"/>
        <w:rPr>
          <w:rFonts w:ascii="Times New Roman" w:hAnsi="Times New Roman"/>
          <w:b/>
          <w:i/>
          <w:sz w:val="20"/>
        </w:rPr>
      </w:pPr>
      <w:r>
        <w:rPr>
          <w:rFonts w:ascii="Times New Roman" w:hAnsi="Times New Roman"/>
          <w:b/>
          <w:i/>
          <w:sz w:val="20"/>
        </w:rPr>
        <w:t>(b)</w:t>
      </w:r>
    </w:p>
    <w:p>
      <w:pPr>
        <w:pStyle w:val="TextBody"/>
        <w:spacing w:before="200" w:after="283"/>
        <w:jc w:val="both"/>
        <w:rPr>
          <w:rFonts w:ascii="Times New Roman;serif" w:hAnsi="Times New Roman;serif"/>
          <w:b/>
          <w:i/>
          <w:sz w:val="20"/>
        </w:rPr>
      </w:pPr>
      <w:r>
        <w:rPr>
          <w:rFonts w:ascii="Times New Roman;serif" w:hAnsi="Times New Roman;serif"/>
          <w:b/>
          <w:i/>
          <w:sz w:val="20"/>
        </w:rPr>
        <w:t>Convertible Notes and Other Borrowings, Net</w:t>
      </w:r>
    </w:p>
    <w:p>
      <w:pPr>
        <w:pStyle w:val="TextBody"/>
        <w:spacing w:before="200" w:after="200"/>
        <w:jc w:val="both"/>
        <w:rPr>
          <w:rFonts w:ascii="Times New Roman;serif" w:hAnsi="Times New Roman;serif"/>
          <w:b w:val="false"/>
          <w:sz w:val="20"/>
        </w:rPr>
      </w:pPr>
      <w:r>
        <w:rPr>
          <w:rFonts w:ascii="Times New Roman;serif" w:hAnsi="Times New Roman;serif"/>
          <w:b w:val="false"/>
          <w:sz w:val="20"/>
        </w:rPr>
        <w:t>As of March 31, 2023 and December 31, 2022, Convertible Notes and Other Borrowings, Net includes the following:</w:t>
      </w:r>
    </w:p>
    <w:tbl>
      <w:tblPr>
        <w:tblW w:w="6541" w:type="dxa"/>
        <w:jc w:val="left"/>
        <w:tblInd w:w="0" w:type="dxa"/>
        <w:tblCellMar>
          <w:top w:w="28" w:type="dxa"/>
          <w:left w:w="28" w:type="dxa"/>
          <w:bottom w:w="28" w:type="dxa"/>
          <w:right w:w="28" w:type="dxa"/>
        </w:tblCellMar>
      </w:tblPr>
      <w:tblGrid>
        <w:gridCol w:w="3931"/>
        <w:gridCol w:w="211"/>
        <w:gridCol w:w="781"/>
        <w:gridCol w:w="166"/>
        <w:gridCol w:w="146"/>
        <w:gridCol w:w="233"/>
        <w:gridCol w:w="862"/>
        <w:gridCol w:w="211"/>
      </w:tblGrid>
      <w:tr>
        <w:trPr/>
        <w:tc>
          <w:tcPr>
            <w:tcW w:w="3931"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81" w:type="dxa"/>
            <w:tcBorders/>
            <w:shd w:fill="auto" w:val="clear"/>
            <w:vAlign w:val="center"/>
          </w:tcPr>
          <w:p>
            <w:pPr>
              <w:pStyle w:val="TableContents"/>
              <w:spacing w:before="0" w:after="283"/>
              <w:rPr>
                <w:sz w:val="4"/>
                <w:szCs w:val="4"/>
              </w:rPr>
            </w:pPr>
            <w:r>
              <w:rPr>
                <w:sz w:val="4"/>
                <w:szCs w:val="4"/>
              </w:rPr>
            </w:r>
          </w:p>
        </w:tc>
        <w:tc>
          <w:tcPr>
            <w:tcW w:w="16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33" w:type="dxa"/>
            <w:tcBorders/>
            <w:shd w:fill="auto" w:val="clear"/>
            <w:vAlign w:val="center"/>
          </w:tcPr>
          <w:p>
            <w:pPr>
              <w:pStyle w:val="TableContents"/>
              <w:spacing w:before="0" w:after="283"/>
              <w:rPr>
                <w:sz w:val="4"/>
                <w:szCs w:val="4"/>
              </w:rPr>
            </w:pPr>
            <w:r>
              <w:rPr>
                <w:sz w:val="4"/>
                <w:szCs w:val="4"/>
              </w:rPr>
            </w:r>
          </w:p>
        </w:tc>
        <w:tc>
          <w:tcPr>
            <w:tcW w:w="862"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r>
      <w:tr>
        <w:trPr/>
        <w:tc>
          <w:tcPr>
            <w:tcW w:w="3931" w:type="dxa"/>
            <w:tcBorders/>
            <w:shd w:fill="auto" w:val="clear"/>
            <w:vAlign w:val="center"/>
          </w:tcPr>
          <w:p>
            <w:pPr>
              <w:pStyle w:val="TableContents"/>
              <w:spacing w:before="0" w:after="0"/>
              <w:ind w:left="0" w:right="0" w:hanging="0"/>
              <w:jc w:val="left"/>
              <w:rPr/>
            </w:pPr>
            <w:r>
              <w:rPr/>
              <w:t> </w:t>
            </w:r>
          </w:p>
        </w:tc>
        <w:tc>
          <w:tcPr>
            <w:tcW w:w="992" w:type="dxa"/>
            <w:gridSpan w:val="2"/>
            <w:tcBorders/>
            <w:shd w:fill="auto" w:val="cle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March 31,</w:t>
            </w:r>
          </w:p>
        </w:tc>
        <w:tc>
          <w:tcPr>
            <w:tcW w:w="166"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1095" w:type="dxa"/>
            <w:gridSpan w:val="2"/>
            <w:tcBorders/>
            <w:shd w:fill="auto" w:val="cle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December 31,</w:t>
            </w:r>
          </w:p>
        </w:tc>
        <w:tc>
          <w:tcPr>
            <w:tcW w:w="211" w:type="dxa"/>
            <w:tcBorders/>
            <w:shd w:fill="auto" w:val="clear"/>
            <w:vAlign w:val="center"/>
          </w:tcPr>
          <w:p>
            <w:pPr>
              <w:pStyle w:val="TableContents"/>
              <w:spacing w:before="0" w:after="0"/>
              <w:ind w:left="0" w:right="0" w:hanging="0"/>
              <w:jc w:val="center"/>
              <w:rPr/>
            </w:pPr>
            <w:r>
              <w:rPr/>
              <w:t> </w:t>
            </w:r>
          </w:p>
        </w:tc>
      </w:tr>
      <w:tr>
        <w:trPr/>
        <w:tc>
          <w:tcPr>
            <w:tcW w:w="3931" w:type="dxa"/>
            <w:tcBorders/>
            <w:shd w:fill="auto" w:val="clear"/>
            <w:vAlign w:val="center"/>
          </w:tcPr>
          <w:p>
            <w:pPr>
              <w:pStyle w:val="TableContents"/>
              <w:spacing w:before="0" w:after="0"/>
              <w:ind w:left="0" w:right="0" w:hanging="0"/>
              <w:jc w:val="left"/>
              <w:rPr>
                <w:rFonts w:ascii="Times New Roman;serif" w:hAnsi="Times New Roman;serif"/>
                <w:b w:val="false"/>
                <w:i/>
                <w:sz w:val="16"/>
              </w:rPr>
            </w:pPr>
            <w:r>
              <w:rPr>
                <w:rFonts w:ascii="Times New Roman;serif" w:hAnsi="Times New Roman;serif"/>
                <w:b w:val="false"/>
                <w:i/>
                <w:sz w:val="16"/>
              </w:rPr>
              <w:t>(In thousands of U.S. Dollars)</w:t>
            </w:r>
          </w:p>
        </w:tc>
        <w:tc>
          <w:tcPr>
            <w:tcW w:w="992"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2023</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1095"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2022</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393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Convertible Notes</w:t>
            </w:r>
          </w:p>
        </w:tc>
        <w:tc>
          <w:tcPr>
            <w:tcW w:w="21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8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230,000</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233"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862"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230,000</w:t>
            </w:r>
          </w:p>
        </w:tc>
        <w:tc>
          <w:tcPr>
            <w:tcW w:w="211" w:type="dxa"/>
            <w:tcBorders/>
            <w:shd w:fill="auto" w:val="clear"/>
            <w:vAlign w:val="center"/>
          </w:tcPr>
          <w:p>
            <w:pPr>
              <w:pStyle w:val="TableContents"/>
              <w:spacing w:before="0" w:after="0"/>
              <w:ind w:left="0" w:right="0" w:hanging="0"/>
              <w:jc w:val="left"/>
              <w:rPr/>
            </w:pPr>
            <w:r>
              <w:rPr/>
              <w:t> </w:t>
            </w:r>
          </w:p>
        </w:tc>
      </w:tr>
      <w:tr>
        <w:trPr/>
        <w:tc>
          <w:tcPr>
            <w:tcW w:w="393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Unamortized discounts and debt issuance costs</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78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(4,494</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shd w:fill="auto" w:val="clear"/>
            <w:vAlign w:val="center"/>
          </w:tcPr>
          <w:p>
            <w:pPr>
              <w:pStyle w:val="TableContents"/>
              <w:spacing w:before="0" w:after="0"/>
              <w:ind w:left="0" w:right="0" w:hanging="0"/>
              <w:jc w:val="center"/>
              <w:rPr/>
            </w:pPr>
            <w:r>
              <w:rPr/>
              <w:t> </w:t>
            </w:r>
          </w:p>
        </w:tc>
        <w:tc>
          <w:tcPr>
            <w:tcW w:w="233"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862"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(4,870</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393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Convertible Notes, net</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78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225,506</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33"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862"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225,130</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r>
        <w:trPr/>
        <w:tc>
          <w:tcPr>
            <w:tcW w:w="3931" w:type="dxa"/>
            <w:tcBorders/>
            <w:shd w:fill="auto" w:val="clear"/>
            <w:vAlign w:val="center"/>
          </w:tcPr>
          <w:p>
            <w:pPr>
              <w:pStyle w:val="TableContents"/>
              <w:spacing w:before="0" w:after="0"/>
              <w:ind w:left="0" w:right="0" w:hanging="0"/>
              <w:jc w:val="left"/>
              <w:rPr/>
            </w:pPr>
            <w:r>
              <w:rPr/>
              <w:t> </w:t>
            </w:r>
          </w:p>
        </w:tc>
        <w:tc>
          <w:tcPr>
            <w:tcW w:w="992" w:type="dxa"/>
            <w:gridSpan w:val="2"/>
            <w:tcBorders/>
            <w:shd w:fill="auto" w:val="clear"/>
            <w:vAlign w:val="center"/>
          </w:tcPr>
          <w:p>
            <w:pPr>
              <w:pStyle w:val="TableContents"/>
              <w:spacing w:before="0" w:after="0"/>
              <w:ind w:left="0" w:right="0" w:hanging="0"/>
              <w:jc w:val="right"/>
              <w:rPr/>
            </w:pPr>
            <w:r>
              <w:rPr/>
              <w:t> </w:t>
            </w:r>
          </w:p>
        </w:tc>
        <w:tc>
          <w:tcPr>
            <w:tcW w:w="16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095" w:type="dxa"/>
            <w:gridSpan w:val="2"/>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r>
      <w:tr>
        <w:trPr/>
        <w:tc>
          <w:tcPr>
            <w:tcW w:w="393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Federal Economic Development Loan</w:t>
            </w:r>
          </w:p>
        </w:tc>
        <w:tc>
          <w:tcPr>
            <w:tcW w:w="211" w:type="dxa"/>
            <w:tcBorders/>
            <w:shd w:fill="auto" w:val="clear"/>
            <w:vAlign w:val="center"/>
          </w:tcPr>
          <w:p>
            <w:pPr>
              <w:pStyle w:val="TableContents"/>
              <w:spacing w:before="0" w:after="0"/>
              <w:ind w:left="0" w:right="0" w:hanging="0"/>
              <w:jc w:val="left"/>
              <w:rPr/>
            </w:pPr>
            <w:r>
              <w:rPr/>
              <w:t> </w:t>
            </w:r>
          </w:p>
        </w:tc>
        <w:tc>
          <w:tcPr>
            <w:tcW w:w="78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3,128</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33" w:type="dxa"/>
            <w:tcBorders/>
            <w:shd w:fill="auto" w:val="clear"/>
            <w:vAlign w:val="center"/>
          </w:tcPr>
          <w:p>
            <w:pPr>
              <w:pStyle w:val="TableContents"/>
              <w:spacing w:before="0" w:after="0"/>
              <w:ind w:left="0" w:right="0" w:hanging="0"/>
              <w:jc w:val="left"/>
              <w:rPr/>
            </w:pPr>
            <w:r>
              <w:rPr/>
              <w:t> </w:t>
            </w:r>
          </w:p>
        </w:tc>
        <w:tc>
          <w:tcPr>
            <w:tcW w:w="862"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2,812</w:t>
            </w:r>
          </w:p>
        </w:tc>
        <w:tc>
          <w:tcPr>
            <w:tcW w:w="211" w:type="dxa"/>
            <w:tcBorders/>
            <w:shd w:fill="auto" w:val="clear"/>
            <w:vAlign w:val="center"/>
          </w:tcPr>
          <w:p>
            <w:pPr>
              <w:pStyle w:val="TableContents"/>
              <w:spacing w:before="0" w:after="0"/>
              <w:ind w:left="0" w:right="0" w:hanging="0"/>
              <w:jc w:val="left"/>
              <w:rPr/>
            </w:pPr>
            <w:r>
              <w:rPr/>
              <w:t> </w:t>
            </w:r>
          </w:p>
        </w:tc>
      </w:tr>
      <w:tr>
        <w:trPr/>
        <w:tc>
          <w:tcPr>
            <w:tcW w:w="393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Unaccreted interest benefit</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78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(1,085</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shd w:fill="auto" w:val="clear"/>
            <w:vAlign w:val="center"/>
          </w:tcPr>
          <w:p>
            <w:pPr>
              <w:pStyle w:val="TableContents"/>
              <w:spacing w:before="0" w:after="0"/>
              <w:ind w:left="0" w:right="0" w:hanging="0"/>
              <w:jc w:val="left"/>
              <w:rPr/>
            </w:pPr>
            <w:r>
              <w:rPr/>
              <w:t> </w:t>
            </w:r>
          </w:p>
        </w:tc>
        <w:tc>
          <w:tcPr>
            <w:tcW w:w="233"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862"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(1,030</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393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Federal Economic Development Loan, net</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78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2,043</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33"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862"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1,782</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r>
        <w:trPr/>
        <w:tc>
          <w:tcPr>
            <w:tcW w:w="3931" w:type="dxa"/>
            <w:tcBorders/>
            <w:shd w:fill="auto" w:val="clear"/>
            <w:vAlign w:val="center"/>
          </w:tcPr>
          <w:p>
            <w:pPr>
              <w:pStyle w:val="TableContents"/>
              <w:spacing w:before="0" w:after="0"/>
              <w:ind w:left="0" w:right="0" w:hanging="0"/>
              <w:jc w:val="left"/>
              <w:rPr/>
            </w:pPr>
            <w:r>
              <w:rPr/>
              <w:t> </w:t>
            </w:r>
          </w:p>
        </w:tc>
        <w:tc>
          <w:tcPr>
            <w:tcW w:w="992"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pPr>
            <w:r>
              <w:rPr/>
              <w:t> </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095"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pPr>
            <w:r>
              <w:rPr/>
              <w:t> </w:t>
            </w:r>
          </w:p>
        </w:tc>
      </w:tr>
      <w:tr>
        <w:trPr/>
        <w:tc>
          <w:tcPr>
            <w:tcW w:w="393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Convertible Notes and Other Borrowings, net</w:t>
            </w:r>
          </w:p>
        </w:tc>
        <w:tc>
          <w:tcPr>
            <w:tcW w:w="21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8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227,549</w:t>
            </w:r>
          </w:p>
        </w:tc>
        <w:tc>
          <w:tcPr>
            <w:tcW w:w="16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233"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862"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226,912</w:t>
            </w:r>
          </w:p>
        </w:tc>
        <w:tc>
          <w:tcPr>
            <w:tcW w:w="21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bl>
    <w:p>
      <w:pPr>
        <w:pStyle w:val="TextBody"/>
        <w:spacing w:before="200" w:after="0"/>
        <w:jc w:val="both"/>
        <w:rPr>
          <w:rFonts w:ascii="Times New Roman;serif" w:hAnsi="Times New Roman;serif"/>
          <w:b w:val="false"/>
          <w:i/>
          <w:sz w:val="20"/>
        </w:rPr>
      </w:pPr>
      <w:r>
        <w:rPr>
          <w:rFonts w:ascii="Times New Roman;serif" w:hAnsi="Times New Roman;serif"/>
          <w:b w:val="false"/>
          <w:i/>
          <w:sz w:val="20"/>
        </w:rPr>
        <w:t>Convertible Notes</w:t>
      </w:r>
    </w:p>
    <w:p>
      <w:pPr>
        <w:pStyle w:val="TextBody"/>
        <w:spacing w:before="200" w:after="0"/>
        <w:jc w:val="both"/>
        <w:rPr>
          <w:rFonts w:ascii="Times New Roman" w:hAnsi="Times New Roman"/>
          <w:sz w:val="20"/>
        </w:rPr>
      </w:pPr>
      <w:r>
        <w:rPr>
          <w:rFonts w:ascii="Times New Roman;serif" w:hAnsi="Times New Roman;serif"/>
          <w:b w:val="false"/>
          <w:sz w:val="20"/>
        </w:rPr>
        <w:t>On March 19, 2021, the Company issued $230.0</w:t>
      </w:r>
      <w:r>
        <w:rPr>
          <w:rFonts w:ascii="Times New Roman" w:hAnsi="Times New Roman"/>
          <w:sz w:val="20"/>
        </w:rPr>
        <w:t xml:space="preserve"> </w:t>
      </w:r>
      <w:r>
        <w:rPr>
          <w:rFonts w:ascii="Times New Roman;serif" w:hAnsi="Times New Roman;serif"/>
          <w:b w:val="false"/>
          <w:sz w:val="20"/>
        </w:rPr>
        <w:t>million of 0.500% Convertible Senior Notes due 2026 (the “Convertible Notes”) in a private placement conducted pursuant to Rule 144A under the Securities Act of 1933, as amended. The net proceeds from the issuance of the Convertible Notes were $223.7</w:t>
      </w:r>
      <w:r>
        <w:rPr>
          <w:rFonts w:ascii="Times New Roman" w:hAnsi="Times New Roman"/>
          <w:sz w:val="20"/>
        </w:rPr>
        <w:t xml:space="preserve"> </w:t>
      </w:r>
      <w:r>
        <w:rPr>
          <w:rFonts w:ascii="Times New Roman;serif" w:hAnsi="Times New Roman;serif"/>
          <w:b w:val="false"/>
          <w:sz w:val="20"/>
        </w:rPr>
        <w:t>million, after deducting the initial purchasers</w:t>
      </w:r>
      <w:r>
        <w:rPr>
          <w:rFonts w:ascii="Times New Roman" w:hAnsi="Times New Roman"/>
          <w:sz w:val="20"/>
        </w:rPr>
        <w:t xml:space="preserve">’ </w:t>
      </w:r>
      <w:r>
        <w:rPr>
          <w:rFonts w:ascii="Times New Roman;serif" w:hAnsi="Times New Roman;serif"/>
          <w:b w:val="false"/>
          <w:sz w:val="20"/>
        </w:rPr>
        <w:t>discounts and commissions.</w:t>
      </w:r>
      <w:r>
        <w:rPr>
          <w:rFonts w:ascii="Times New Roman" w:hAnsi="Times New Roman"/>
          <w:sz w:val="20"/>
        </w:rPr>
        <w:t xml:space="preserve"> </w:t>
      </w:r>
    </w:p>
    <w:p>
      <w:pPr>
        <w:pStyle w:val="TextBody"/>
        <w:spacing w:before="200" w:after="0"/>
        <w:jc w:val="both"/>
        <w:rPr>
          <w:rFonts w:ascii="Times New Roman" w:hAnsi="Times New Roman"/>
          <w:sz w:val="20"/>
        </w:rPr>
      </w:pPr>
      <w:r>
        <w:rPr>
          <w:rFonts w:ascii="Times New Roman;serif" w:hAnsi="Times New Roman;serif"/>
          <w:b w:val="false"/>
          <w:sz w:val="20"/>
        </w:rPr>
        <w:t>The Convertible Notes are senior unsecured obligations of the Company and bear interest at a rate of 0.500% per annum on the principal of $230.0</w:t>
      </w:r>
      <w:r>
        <w:rPr>
          <w:rFonts w:ascii="Times New Roman;serif" w:hAnsi="Times New Roman;serif"/>
          <w:sz w:val="20"/>
        </w:rPr>
        <w:t xml:space="preserve"> </w:t>
      </w:r>
      <w:r>
        <w:rPr>
          <w:rFonts w:ascii="Times New Roman;serif" w:hAnsi="Times New Roman;serif"/>
          <w:b w:val="false"/>
          <w:sz w:val="20"/>
        </w:rPr>
        <w:t>million, payable semi-annually</w:t>
      </w:r>
      <w:r>
        <w:rPr>
          <w:rFonts w:ascii="Times New Roman;serif" w:hAnsi="Times New Roman;serif"/>
          <w:sz w:val="20"/>
        </w:rPr>
        <w:t xml:space="preserve"> </w:t>
      </w:r>
      <w:r>
        <w:rPr>
          <w:rFonts w:ascii="Times New Roman;serif" w:hAnsi="Times New Roman;serif"/>
          <w:b w:val="false"/>
          <w:sz w:val="20"/>
        </w:rPr>
        <w:t>in arrears on April 1 and October 1 of each year, beginning on October 1, 2021.</w:t>
      </w:r>
      <w:r>
        <w:rPr>
          <w:rFonts w:ascii="Times New Roman" w:hAnsi="Times New Roman"/>
          <w:sz w:val="20"/>
        </w:rPr>
        <w:t xml:space="preserve"> </w:t>
      </w:r>
      <w:r>
        <w:rPr>
          <w:rFonts w:ascii="Times New Roman;serif" w:hAnsi="Times New Roman;serif"/>
          <w:b w:val="false"/>
          <w:sz w:val="20"/>
        </w:rPr>
        <w:t>The Convertible Notes will mature on April 1, 2026, unless they are redeemed or repurchased by the Company or converted on an earlier date.</w:t>
      </w:r>
      <w:r>
        <w:rPr>
          <w:rFonts w:ascii="Times New Roman" w:hAnsi="Times New Roman"/>
          <w:sz w:val="20"/>
        </w:rPr>
        <w:t xml:space="preserve"> </w:t>
      </w:r>
    </w:p>
    <w:p>
      <w:pPr>
        <w:pStyle w:val="TextBody"/>
        <w:spacing w:before="240" w:after="0"/>
        <w:jc w:val="center"/>
        <w:rPr>
          <w:rFonts w:ascii="Times New Roman;serif" w:hAnsi="Times New Roman;serif"/>
          <w:b w:val="false"/>
          <w:sz w:val="20"/>
        </w:rPr>
      </w:pPr>
      <w:r>
        <w:rPr>
          <w:rFonts w:ascii="Times New Roman;serif" w:hAnsi="Times New Roman;serif"/>
          <w:b w:val="false"/>
          <w:sz w:val="20"/>
        </w:rPr>
        <w:t>21</w:t>
      </w:r>
    </w:p>
    <w:p>
      <w:pPr>
        <w:pStyle w:val="HorizontalLine"/>
        <w:rPr/>
      </w:pPr>
      <w:r>
        <w:rPr/>
      </w:r>
    </w:p>
    <w:p>
      <w:pPr>
        <w:pStyle w:val="TextBody"/>
        <w:spacing w:before="0" w:after="0"/>
        <w:jc w:val="left"/>
        <w:rPr/>
      </w:pPr>
      <w:r>
        <w:rPr/>
        <w:t> </w:t>
      </w:r>
    </w:p>
    <w:p>
      <w:pPr>
        <w:pStyle w:val="TextBody"/>
        <w:spacing w:before="200" w:after="0"/>
        <w:jc w:val="both"/>
        <w:rPr>
          <w:rFonts w:ascii="Times New Roman;serif" w:hAnsi="Times New Roman;serif"/>
          <w:sz w:val="20"/>
        </w:rPr>
      </w:pPr>
      <w:r>
        <w:rPr>
          <w:rFonts w:ascii="Times New Roman;serif" w:hAnsi="Times New Roman;serif"/>
          <w:b w:val="false"/>
          <w:sz w:val="20"/>
        </w:rPr>
        <w:t>Holders of the Convertible Notes have the right to convert their Convertible Notes in certain circumstances and during specified periods. Before January 1, 2026, holders of the Convertible Notes have the right to convert their Convertible Notes only upon the occurrence of certain events. From and after January 1, 2026, holders of the Convertible Notes may convert their Convertible Notes at any time at their election until the close of business on the second scheduled trading day immediately before the maturity date. Upon conversion, the Company will pay or deliver, as applicable, cash or a combination of cash (in an amount no less than the principal amount of the Convertible Notes being converted) and common shares, at its election, based on the applicable conversion rates. The initial conversion rate is 34.7766</w:t>
      </w:r>
      <w:r>
        <w:rPr>
          <w:rFonts w:ascii="Times New Roman;serif" w:hAnsi="Times New Roman;serif"/>
          <w:sz w:val="20"/>
        </w:rPr>
        <w:t xml:space="preserve"> </w:t>
      </w:r>
      <w:r>
        <w:rPr>
          <w:rFonts w:ascii="Times New Roman;serif" w:hAnsi="Times New Roman;serif"/>
          <w:b w:val="false"/>
          <w:sz w:val="20"/>
        </w:rPr>
        <w:t>common shares per $1,000</w:t>
      </w:r>
      <w:r>
        <w:rPr>
          <w:rFonts w:ascii="Times New Roman;serif" w:hAnsi="Times New Roman;serif"/>
          <w:sz w:val="20"/>
        </w:rPr>
        <w:t xml:space="preserve"> </w:t>
      </w:r>
      <w:r>
        <w:rPr>
          <w:rFonts w:ascii="Times New Roman;serif" w:hAnsi="Times New Roman;serif"/>
          <w:b w:val="false"/>
          <w:sz w:val="20"/>
        </w:rPr>
        <w:t>principal amount of Convertible Notes, which represents an initial conversion price of approximately $28.75</w:t>
      </w:r>
      <w:r>
        <w:rPr>
          <w:rFonts w:ascii="Times New Roman;serif" w:hAnsi="Times New Roman;serif"/>
          <w:sz w:val="20"/>
        </w:rPr>
        <w:t xml:space="preserve"> </w:t>
      </w:r>
      <w:r>
        <w:rPr>
          <w:rFonts w:ascii="Times New Roman;serif" w:hAnsi="Times New Roman;serif"/>
          <w:b w:val="false"/>
          <w:sz w:val="20"/>
        </w:rPr>
        <w:t>per common share, and is subject to adjustment upon the occurrence of certain events.</w:t>
      </w:r>
    </w:p>
    <w:p>
      <w:pPr>
        <w:pStyle w:val="TextBody"/>
        <w:spacing w:before="200" w:after="0"/>
        <w:jc w:val="both"/>
        <w:rPr>
          <w:rFonts w:ascii="Times New Roman;serif" w:hAnsi="Times New Roman;serif"/>
          <w:sz w:val="20"/>
        </w:rPr>
      </w:pPr>
      <w:r>
        <w:rPr>
          <w:rFonts w:ascii="Times New Roman;serif" w:hAnsi="Times New Roman;serif"/>
          <w:b w:val="false"/>
          <w:sz w:val="20"/>
        </w:rPr>
        <w:t>The Convertible Notes are redeemable, in whole or in part, at the Company’s option at any time, and from time to time, on or after April 6, 2024</w:t>
      </w:r>
      <w:r>
        <w:rPr>
          <w:rFonts w:ascii="Times New Roman;serif" w:hAnsi="Times New Roman;serif"/>
          <w:sz w:val="20"/>
        </w:rPr>
        <w:t xml:space="preserve"> </w:t>
      </w:r>
      <w:r>
        <w:rPr>
          <w:rFonts w:ascii="Times New Roman;serif" w:hAnsi="Times New Roman;serif"/>
          <w:b w:val="false"/>
          <w:sz w:val="20"/>
        </w:rPr>
        <w:t>and on or before the 40th scheduled trading day immediately before the maturity date, at a cash redemption price equal to the principal amount of the Convertible Notes to be redeemed, plus accrued and unpaid interest, if any,</w:t>
      </w:r>
      <w:r>
        <w:rPr>
          <w:rFonts w:ascii="Times New Roman;serif" w:hAnsi="Times New Roman;serif"/>
          <w:sz w:val="20"/>
        </w:rPr>
        <w:t xml:space="preserve"> </w:t>
      </w:r>
      <w:r>
        <w:rPr>
          <w:rFonts w:ascii="Times New Roman;serif" w:hAnsi="Times New Roman;serif"/>
          <w:b w:val="false"/>
          <w:sz w:val="20"/>
        </w:rPr>
        <w:t>but only if the last reported sale price per share of the Company’s common stock exceeds 130% of the conversion price for a specified period of time. In addition, calling any Convertible Notes for redemption will constitute a “make-whole fundamental change”</w:t>
      </w:r>
      <w:r>
        <w:rPr>
          <w:rFonts w:ascii="Times New Roman;serif" w:hAnsi="Times New Roman;serif"/>
          <w:sz w:val="20"/>
        </w:rPr>
        <w:t xml:space="preserve"> </w:t>
      </w:r>
      <w:r>
        <w:rPr>
          <w:rFonts w:ascii="Times New Roman;serif" w:hAnsi="Times New Roman;serif"/>
          <w:b w:val="false"/>
          <w:sz w:val="20"/>
        </w:rPr>
        <w:t>with respect to such notes, in which case the conversion rate applicable to the conversion of such notes will be increased in certain circumstances if such notes are converted after they are called for redemption.</w:t>
      </w:r>
    </w:p>
    <w:p>
      <w:pPr>
        <w:pStyle w:val="TextBody"/>
        <w:spacing w:before="200" w:after="0"/>
        <w:jc w:val="both"/>
        <w:rPr>
          <w:rFonts w:ascii="Times New Roman;serif" w:hAnsi="Times New Roman;serif"/>
          <w:b w:val="false"/>
          <w:sz w:val="20"/>
        </w:rPr>
      </w:pPr>
      <w:r>
        <w:rPr>
          <w:rFonts w:ascii="Times New Roman;serif" w:hAnsi="Times New Roman;serif"/>
          <w:b w:val="false"/>
          <w:sz w:val="20"/>
        </w:rPr>
        <w:t>In addition, upon the occurrence of a “fundamental change” (as defined below), holders may require the Company to repurchase their Convertible Notes at a cash repurchase price equal to the principal amount of the Convertible Notes to be repurchased, plus accrued and unpaid interest, if any. Subject to the terms and conditions of the indenture governing the Convertible Notes, a “fundamental change” means, among other things, an event resulting in (i) a change of control, (ii) a transfer of all or substantially all of the assets of the Company, (iii) a merger, (iv) liquidation or dissolution of the Company, or (v) delisting of the Company’s common shares from a national securities exchange.</w:t>
      </w:r>
    </w:p>
    <w:p>
      <w:pPr>
        <w:pStyle w:val="TextBody"/>
        <w:spacing w:before="200" w:after="0"/>
        <w:jc w:val="both"/>
        <w:rPr>
          <w:rFonts w:ascii="Times New Roman;serif" w:hAnsi="Times New Roman;serif"/>
          <w:b w:val="false"/>
          <w:sz w:val="20"/>
        </w:rPr>
      </w:pPr>
      <w:r>
        <w:rPr>
          <w:rFonts w:ascii="Times New Roman;serif" w:hAnsi="Times New Roman;serif"/>
          <w:b w:val="false"/>
          <w:sz w:val="20"/>
        </w:rPr>
        <w:t>The Company recorded the Convertible Notes entirely as a liability in the Condensed Consolidated Balance Sheets, net of initial purchasers’ discounts and commissions and other debt issuance costs, with interest expense reflecting the cash coupon plus the amortization of the discounts and capitalized costs. Additionally, under the “if-converted” method, because the principal amount of the Convertible Notes is settled in cash and the conversion spread is settleable in the Company’s common shares, diluted earnings per share is calculated by including the net number of incremental shares that would be issued upon conversion of the Convertible Notes, using the average market price during the period. Accordingly, the application of the “if-converted” method may reduce the Company’s reported diluted earnings per share.</w:t>
      </w:r>
    </w:p>
    <w:p>
      <w:pPr>
        <w:pStyle w:val="TextBody"/>
        <w:spacing w:before="200" w:after="0"/>
        <w:jc w:val="both"/>
        <w:rPr>
          <w:rFonts w:ascii="Times New Roman" w:hAnsi="Times New Roman"/>
          <w:sz w:val="20"/>
        </w:rPr>
      </w:pPr>
      <w:r>
        <w:rPr>
          <w:rFonts w:ascii="Times New Roman;serif" w:hAnsi="Times New Roman;serif"/>
          <w:b w:val="false"/>
          <w:sz w:val="20"/>
        </w:rPr>
        <w:t>In connection with the pricing of the Convertible Notes, the Company entered into privately negotiated capped call transactions (the “Capped Call Transactions”) with certain financial institutions. The Capped Call Transactions are expected to reduce potential dilution resulting from the common shares the Company is required to issue and/or to offset any potential cash payments the Company is required to make in excess of the principal amount of the Convertible Notes in the event that the market price per share of the Company’s common shares is greater than the strike price of the Capped Call Transactions with such reduction and/or offset subject to a cap. The Capped Call Transactions have an initial cap price of $37.2750</w:t>
      </w:r>
      <w:r>
        <w:rPr>
          <w:rFonts w:ascii="Times New Roman" w:hAnsi="Times New Roman"/>
          <w:sz w:val="20"/>
        </w:rPr>
        <w:t xml:space="preserve"> </w:t>
      </w:r>
      <w:r>
        <w:rPr>
          <w:rFonts w:ascii="Times New Roman;serif" w:hAnsi="Times New Roman;serif"/>
          <w:b w:val="false"/>
          <w:sz w:val="20"/>
        </w:rPr>
        <w:t>per share of the Company’s common shares, which represents a premium of 75% over the last reported sale price of the common shares when they were priced on March 16, 2021, and are subject to certain adjustments under the terms of the Capped Call Transactions. Collectively, the Capped Call Transactions cover, subject to anti-dilution adjustments substantially similar to those applicable to the Convertible Notes, the number of the Company’s common shares underlying the Convertible Notes. The cost of the Capped Call Transactions was approximately $19.1</w:t>
      </w:r>
      <w:r>
        <w:rPr>
          <w:rFonts w:ascii="Times New Roman" w:hAnsi="Times New Roman"/>
          <w:sz w:val="20"/>
        </w:rPr>
        <w:t xml:space="preserve"> </w:t>
      </w:r>
      <w:r>
        <w:rPr>
          <w:rFonts w:ascii="Times New Roman;serif" w:hAnsi="Times New Roman;serif"/>
          <w:b w:val="false"/>
          <w:sz w:val="20"/>
        </w:rPr>
        <w:t>million.</w:t>
      </w:r>
    </w:p>
    <w:p>
      <w:pPr>
        <w:pStyle w:val="TextBody"/>
        <w:spacing w:before="200" w:after="0"/>
        <w:jc w:val="both"/>
        <w:rPr>
          <w:rFonts w:ascii="Times New Roman;serif" w:hAnsi="Times New Roman;serif"/>
          <w:b w:val="false"/>
          <w:sz w:val="20"/>
        </w:rPr>
      </w:pPr>
      <w:r>
        <w:rPr>
          <w:rFonts w:ascii="Times New Roman;serif" w:hAnsi="Times New Roman;serif"/>
          <w:b w:val="false"/>
          <w:sz w:val="20"/>
        </w:rPr>
        <w:t>The Capped Call Transactions are separate transactions, are not part of the terms of the Convertible Notes and will not affect any holder’s rights under the Convertible Notes. Holders of the Convertible Notes will not have any rights with respect to the Capped Call Transactions.</w:t>
      </w:r>
    </w:p>
    <w:p>
      <w:pPr>
        <w:pStyle w:val="TextBody"/>
        <w:spacing w:before="200" w:after="0"/>
        <w:jc w:val="both"/>
        <w:rPr>
          <w:rFonts w:ascii="Times New Roman" w:hAnsi="Times New Roman"/>
          <w:sz w:val="20"/>
        </w:rPr>
      </w:pPr>
      <w:r>
        <w:rPr>
          <w:rFonts w:ascii="Times New Roman;serif" w:hAnsi="Times New Roman;serif"/>
          <w:b w:val="false"/>
          <w:sz w:val="20"/>
        </w:rPr>
        <w:t>The Capped Call Transactions meet all of the applicable criteria for equity classification in accordance with ASC 815-10-15-74(a), “Derivatives and Hedging—Embedded Derivatives—Certain Contracts Involving an Entity’s Own Equity,” and, as a result, the related $19.1</w:t>
      </w:r>
      <w:r>
        <w:rPr>
          <w:rFonts w:ascii="Times New Roman" w:hAnsi="Times New Roman"/>
          <w:sz w:val="20"/>
        </w:rPr>
        <w:t xml:space="preserve"> </w:t>
      </w:r>
      <w:r>
        <w:rPr>
          <w:rFonts w:ascii="Times New Roman;serif" w:hAnsi="Times New Roman;serif"/>
          <w:b w:val="false"/>
          <w:sz w:val="20"/>
        </w:rPr>
        <w:t>million cost was recorded as a reduction to Other Equity within Shareholders’ Equity on the Company’s Condensed Consolidated Statements of Shareholders' Equity and Condensed Consolidated Balance Sheets.</w:t>
      </w:r>
      <w:r>
        <w:rPr>
          <w:rFonts w:ascii="Times New Roman" w:hAnsi="Times New Roman"/>
          <w:sz w:val="20"/>
        </w:rPr>
        <w:t xml:space="preserve"> </w:t>
      </w:r>
    </w:p>
    <w:p>
      <w:pPr>
        <w:pStyle w:val="TextBody"/>
        <w:spacing w:before="240" w:after="0"/>
        <w:jc w:val="center"/>
        <w:rPr>
          <w:rFonts w:ascii="Times New Roman;serif" w:hAnsi="Times New Roman;serif"/>
          <w:b w:val="false"/>
          <w:sz w:val="20"/>
        </w:rPr>
      </w:pPr>
      <w:r>
        <w:rPr>
          <w:rFonts w:ascii="Times New Roman;serif" w:hAnsi="Times New Roman;serif"/>
          <w:b w:val="false"/>
          <w:sz w:val="20"/>
        </w:rPr>
        <w:t>22</w:t>
      </w:r>
    </w:p>
    <w:p>
      <w:pPr>
        <w:pStyle w:val="HorizontalLine"/>
        <w:rPr/>
      </w:pPr>
      <w:r>
        <w:rPr/>
      </w:r>
    </w:p>
    <w:p>
      <w:pPr>
        <w:pStyle w:val="TextBody"/>
        <w:spacing w:before="0" w:after="0"/>
        <w:jc w:val="left"/>
        <w:rPr/>
      </w:pPr>
      <w:r>
        <w:rPr/>
        <w:t> </w:t>
      </w:r>
    </w:p>
    <w:p>
      <w:pPr>
        <w:pStyle w:val="TextBody"/>
        <w:spacing w:before="200" w:after="0"/>
        <w:jc w:val="both"/>
        <w:rPr>
          <w:rFonts w:ascii="Times New Roman;serif" w:hAnsi="Times New Roman;serif"/>
          <w:b w:val="false"/>
          <w:i/>
          <w:sz w:val="20"/>
        </w:rPr>
      </w:pPr>
      <w:r>
        <w:rPr>
          <w:rFonts w:ascii="Times New Roman;serif" w:hAnsi="Times New Roman;serif"/>
          <w:b w:val="false"/>
          <w:i/>
          <w:sz w:val="20"/>
        </w:rPr>
        <w:t>Federal Economic Development Loan</w:t>
      </w:r>
    </w:p>
    <w:p>
      <w:pPr>
        <w:pStyle w:val="TextBody"/>
        <w:spacing w:before="200" w:after="0"/>
        <w:jc w:val="both"/>
        <w:rPr>
          <w:rFonts w:ascii="Times New Roman" w:hAnsi="Times New Roman"/>
          <w:sz w:val="20"/>
        </w:rPr>
      </w:pPr>
      <w:r>
        <w:rPr>
          <w:rFonts w:ascii="Times New Roman;serif" w:hAnsi="Times New Roman;serif"/>
          <w:b w:val="false"/>
          <w:sz w:val="20"/>
        </w:rPr>
        <w:t>The Company's wholly-owned subsidiary, SSIMWAVE, entered into a contribution agreement with the Federal Economic Development Agency for Southern Ontario (the “Federal Economic Development Loan”) on May 29, 2019, under which SSIMWAVE received $4.2</w:t>
      </w:r>
      <w:r>
        <w:rPr>
          <w:rFonts w:ascii="Times New Roman" w:hAnsi="Times New Roman"/>
          <w:sz w:val="20"/>
        </w:rPr>
        <w:t xml:space="preserve"> </w:t>
      </w:r>
      <w:r>
        <w:rPr>
          <w:rFonts w:ascii="Times New Roman;serif" w:hAnsi="Times New Roman;serif"/>
          <w:b w:val="false"/>
          <w:sz w:val="20"/>
        </w:rPr>
        <w:t>million Canadian Dollars (</w:t>
      </w:r>
      <w:r>
        <w:rPr>
          <w:rFonts w:ascii="Times New Roman" w:hAnsi="Times New Roman"/>
          <w:sz w:val="20"/>
        </w:rPr>
        <w:t>“</w:t>
      </w:r>
      <w:r>
        <w:rPr>
          <w:rFonts w:ascii="Times New Roman;serif" w:hAnsi="Times New Roman;serif"/>
          <w:b w:val="false"/>
          <w:sz w:val="20"/>
        </w:rPr>
        <w:t>CAD”) ($3.1</w:t>
      </w:r>
      <w:r>
        <w:rPr>
          <w:rFonts w:ascii="Times New Roman" w:hAnsi="Times New Roman"/>
          <w:sz w:val="20"/>
        </w:rPr>
        <w:t xml:space="preserve"> </w:t>
      </w:r>
      <w:r>
        <w:rPr>
          <w:rFonts w:ascii="Times New Roman;serif" w:hAnsi="Times New Roman;serif"/>
          <w:b w:val="false"/>
          <w:sz w:val="20"/>
        </w:rPr>
        <w:t>million) by way of repayable contributions toward certain eligible projects costs. The contributions under the agreement cover 35% of the eligible and supported costs of SSIMWAVE between January 10, 2019 and December 31, 2022. The contributions are repayable over 60 months, with repayments estimated to begin in January 2024, with an annual interest rate of 0%.</w:t>
      </w:r>
      <w:r>
        <w:rPr>
          <w:rFonts w:ascii="Times New Roman" w:hAnsi="Times New Roman"/>
          <w:sz w:val="20"/>
        </w:rPr>
        <w:t xml:space="preserve"> </w:t>
      </w:r>
    </w:p>
    <w:p>
      <w:pPr>
        <w:pStyle w:val="TextBody"/>
        <w:spacing w:before="200" w:after="0"/>
        <w:jc w:val="both"/>
        <w:rPr>
          <w:rFonts w:ascii="Times New Roman" w:hAnsi="Times New Roman"/>
          <w:sz w:val="20"/>
        </w:rPr>
      </w:pPr>
      <w:r>
        <w:rPr>
          <w:rFonts w:ascii="Times New Roman;serif" w:hAnsi="Times New Roman;serif"/>
          <w:b w:val="false"/>
          <w:sz w:val="20"/>
        </w:rPr>
        <w:t>The benefit of the interest free loan has been determined by calculating the present value of the payments using a market-based interest rate and comparing this to the proceeds received. The benefit is being recorded as the interest free benefit of government funding within Interest Income on the Condensed Consolidated Statements of Operations. The benefit, which was $0.1</w:t>
      </w:r>
      <w:r>
        <w:rPr>
          <w:rFonts w:ascii="Times New Roman" w:hAnsi="Times New Roman"/>
          <w:sz w:val="20"/>
        </w:rPr>
        <w:t xml:space="preserve"> </w:t>
      </w:r>
      <w:r>
        <w:rPr>
          <w:rFonts w:ascii="Times New Roman;serif" w:hAnsi="Times New Roman;serif"/>
          <w:b w:val="false"/>
          <w:sz w:val="20"/>
        </w:rPr>
        <w:t>million for the three months ended March 31, 2023, was recorded as the interest free benefit of government funding within Interest Income on the Condensed Consolidated Statements of Operations. The obligation is being accreted to its maturity amount, resulting in an interest expense of less than $0.1</w:t>
      </w:r>
      <w:r>
        <w:rPr>
          <w:rFonts w:ascii="Times New Roman" w:hAnsi="Times New Roman"/>
          <w:sz w:val="20"/>
        </w:rPr>
        <w:t xml:space="preserve"> </w:t>
      </w:r>
      <w:r>
        <w:rPr>
          <w:rFonts w:ascii="Times New Roman;serif" w:hAnsi="Times New Roman;serif"/>
          <w:b w:val="false"/>
          <w:sz w:val="20"/>
        </w:rPr>
        <w:t>million during the three months ended March 31, 2023 and is being recorded within Interest Expense on the Company’s Condensed Consolidated Statements of Operations.</w:t>
      </w:r>
    </w:p>
    <w:p>
      <w:pPr>
        <w:pStyle w:val="TextBody"/>
        <w:spacing w:before="200" w:after="0"/>
        <w:jc w:val="both"/>
        <w:rPr>
          <w:rFonts w:ascii="Times New Roman" w:hAnsi="Times New Roman"/>
          <w:sz w:val="20"/>
        </w:rPr>
      </w:pPr>
      <w:r>
        <w:rPr>
          <w:rFonts w:ascii="Times New Roman;serif" w:hAnsi="Times New Roman;serif"/>
          <w:b w:val="false"/>
          <w:sz w:val="20"/>
        </w:rPr>
        <w:t>As of March 31, 2023, the Federal Economic Development Loan has a carrying value of $2.0</w:t>
      </w:r>
      <w:r>
        <w:rPr>
          <w:rFonts w:ascii="Times New Roman" w:hAnsi="Times New Roman"/>
          <w:sz w:val="20"/>
        </w:rPr>
        <w:t xml:space="preserve"> </w:t>
      </w:r>
      <w:r>
        <w:rPr>
          <w:rFonts w:ascii="Times New Roman;serif" w:hAnsi="Times New Roman;serif"/>
          <w:b w:val="false"/>
          <w:sz w:val="20"/>
        </w:rPr>
        <w:t>million, net of unaccreted interest benefit and is</w:t>
      </w:r>
      <w:r>
        <w:rPr>
          <w:rFonts w:ascii="Times New Roman" w:hAnsi="Times New Roman"/>
          <w:sz w:val="20"/>
        </w:rPr>
        <w:t xml:space="preserve"> </w:t>
      </w:r>
      <w:r>
        <w:rPr>
          <w:rFonts w:ascii="Times New Roman;serif" w:hAnsi="Times New Roman;serif"/>
          <w:b w:val="false"/>
          <w:sz w:val="20"/>
        </w:rPr>
        <w:t>recorded within Convertible Notes and Other Borrowings, Net on the Company’s Condensed Consolidated Balance Sheets.</w:t>
      </w:r>
    </w:p>
    <w:p>
      <w:pPr>
        <w:pStyle w:val="TextBody"/>
        <w:spacing w:before="200" w:after="0"/>
        <w:jc w:val="both"/>
        <w:rPr>
          <w:rFonts w:ascii="Times New Roman" w:hAnsi="Times New Roman"/>
          <w:sz w:val="20"/>
        </w:rPr>
      </w:pPr>
      <w:r>
        <w:rPr>
          <w:rFonts w:ascii="Times New Roman;serif" w:hAnsi="Times New Roman;serif"/>
          <w:b/>
          <w:sz w:val="20"/>
        </w:rPr>
        <w:t>7. Commitments, Contingencies and Guarantees</w:t>
      </w:r>
      <w:r>
        <w:rPr>
          <w:rFonts w:ascii="Times New Roman" w:hAnsi="Times New Roman"/>
          <w:sz w:val="20"/>
        </w:rPr>
        <w:t xml:space="preserve"> </w:t>
      </w:r>
    </w:p>
    <w:p>
      <w:pPr>
        <w:pStyle w:val="TextBody"/>
        <w:spacing w:before="200" w:after="0"/>
        <w:jc w:val="left"/>
        <w:rPr>
          <w:rFonts w:ascii="Times New Roman" w:hAnsi="Times New Roman"/>
          <w:b/>
          <w:i/>
          <w:sz w:val="20"/>
        </w:rPr>
      </w:pPr>
      <w:r>
        <w:rPr>
          <w:rFonts w:ascii="Times New Roman" w:hAnsi="Times New Roman"/>
          <w:b/>
          <w:i/>
          <w:sz w:val="20"/>
        </w:rPr>
        <w:t>(a)</w:t>
      </w:r>
    </w:p>
    <w:p>
      <w:pPr>
        <w:pStyle w:val="TextBody"/>
        <w:spacing w:before="200" w:after="283"/>
        <w:jc w:val="left"/>
        <w:rPr>
          <w:rFonts w:ascii="Times New Roman;serif" w:hAnsi="Times New Roman;serif"/>
          <w:b/>
          <w:i/>
          <w:sz w:val="20"/>
        </w:rPr>
      </w:pPr>
      <w:r>
        <w:rPr>
          <w:rFonts w:ascii="Times New Roman;serif" w:hAnsi="Times New Roman;serif"/>
          <w:b/>
          <w:i/>
          <w:sz w:val="20"/>
        </w:rPr>
        <w:t>Commitments</w:t>
      </w:r>
    </w:p>
    <w:p>
      <w:pPr>
        <w:pStyle w:val="TextBody"/>
        <w:spacing w:before="200" w:after="0"/>
        <w:jc w:val="both"/>
        <w:rPr>
          <w:rFonts w:ascii="Times New Roman" w:hAnsi="Times New Roman"/>
          <w:sz w:val="20"/>
        </w:rPr>
      </w:pPr>
      <w:r>
        <w:rPr>
          <w:rFonts w:ascii="Times New Roman;serif" w:hAnsi="Times New Roman;serif"/>
          <w:b w:val="false"/>
          <w:sz w:val="20"/>
        </w:rPr>
        <w:t>In the ordinary course of its business, the Company enters into contractual agreements with third parties that include non-cancellable payment obligations, for which it is liable in future periods. These arrangements can include terms binding the Company to minimum payments and/or penalties if it terminates the agreement for any reason other than an event of default as described by the agreement.</w:t>
      </w:r>
      <w:r>
        <w:rPr>
          <w:rFonts w:ascii="Times New Roman" w:hAnsi="Times New Roman"/>
          <w:sz w:val="20"/>
        </w:rPr>
        <w:t xml:space="preserve"> </w:t>
      </w:r>
    </w:p>
    <w:p>
      <w:pPr>
        <w:pStyle w:val="TextBody"/>
        <w:spacing w:before="200" w:after="0"/>
        <w:jc w:val="left"/>
        <w:rPr>
          <w:rFonts w:ascii="Times New Roman" w:hAnsi="Times New Roman"/>
          <w:b/>
          <w:i/>
          <w:sz w:val="20"/>
        </w:rPr>
      </w:pPr>
      <w:r>
        <w:rPr>
          <w:rFonts w:ascii="Times New Roman" w:hAnsi="Times New Roman"/>
          <w:b/>
          <w:i/>
          <w:sz w:val="20"/>
        </w:rPr>
        <w:t>(b)</w:t>
      </w:r>
    </w:p>
    <w:p>
      <w:pPr>
        <w:pStyle w:val="TextBody"/>
        <w:spacing w:before="200" w:after="283"/>
        <w:jc w:val="left"/>
        <w:rPr>
          <w:rFonts w:ascii="Times New Roman;serif" w:hAnsi="Times New Roman;serif"/>
          <w:b/>
          <w:i/>
          <w:sz w:val="20"/>
        </w:rPr>
      </w:pPr>
      <w:r>
        <w:rPr>
          <w:rFonts w:ascii="Times New Roman;serif" w:hAnsi="Times New Roman;serif"/>
          <w:b/>
          <w:i/>
          <w:sz w:val="20"/>
        </w:rPr>
        <w:t>Contingencies and guarantees</w:t>
      </w:r>
    </w:p>
    <w:p>
      <w:pPr>
        <w:pStyle w:val="TextBody"/>
        <w:spacing w:before="200" w:after="0"/>
        <w:jc w:val="both"/>
        <w:rPr>
          <w:rFonts w:ascii="Times New Roman;serif" w:hAnsi="Times New Roman;serif"/>
          <w:b w:val="false"/>
          <w:sz w:val="20"/>
        </w:rPr>
      </w:pPr>
      <w:r>
        <w:rPr>
          <w:rFonts w:ascii="Times New Roman;serif" w:hAnsi="Times New Roman;serif"/>
          <w:b w:val="false"/>
          <w:sz w:val="20"/>
        </w:rPr>
        <w:t>The Company is involved in lawsuits, claims, and proceedings, including those identified below, which arise in the ordinary course of business. Management is required to assess the likelihood of any adverse judgments or outcomes related to these legal contingencies, as well as potential ranges of probable or reasonably possible losses. The Company records a provision for a liability when it is probable that a loss has been incurred and the amount of the loss can be reasonably estimated. The determination of the amount of any liability recorded or disclosed is reviewed at least quarterly based on a careful analysis of each individual exposure with, in some cases, the assistance of outside legal counsel, taking into account the impact of negotiations, settlements, rulings, and other pertinent information related to the case. The amount of liabilities recorded or disclosed for these contingencies may change in the future due to changes in management’s judgments resulting from new developments or changes in settlement strategy. Any resulting adjustment to the liabilities recorded by the Company could have a material adverse effect on its results of operations, cash flows, and financial position in the period or periods in which such changes in judgment occur. The Company believes it has adequate provisions for any such matters. The Company expenses legal costs relating to its lawsuits, claims and proceedings as incurred.</w:t>
      </w:r>
    </w:p>
    <w:p>
      <w:pPr>
        <w:pStyle w:val="TextBody"/>
        <w:spacing w:before="200" w:after="160"/>
        <w:jc w:val="both"/>
        <w:rPr>
          <w:rFonts w:ascii="Times New Roman" w:hAnsi="Times New Roman"/>
          <w:sz w:val="20"/>
        </w:rPr>
      </w:pPr>
      <w:r>
        <w:rPr>
          <w:rFonts w:ascii="Times New Roman;serif" w:hAnsi="Times New Roman;serif"/>
          <w:b w:val="false"/>
          <w:sz w:val="20"/>
        </w:rPr>
        <w:t>(i) In January 2004, the Company and IMAX Theatre Services Ltd., a subsidiary of the Company, commenced an arbitration seeking damages before the International Court of Arbitration of the International Chamber of Commerce (the “ICC”) with respect to the breach by Electronic Media Limited (“EML”) of its December 2000 agreement with the Company. In June 2004, the Company commenced a related arbitration before the ICC against EML’s affiliate, E-City Entertainment (I) PVT Limited (“E-City”). On March 27, 2008, the arbitration panel issued a final award in favor of the Company in the amount of $11.3</w:t>
      </w:r>
      <w:r>
        <w:rPr>
          <w:rFonts w:ascii="Times New Roman;serif" w:hAnsi="Times New Roman;serif"/>
          <w:sz w:val="20"/>
        </w:rPr>
        <w:t xml:space="preserve"> </w:t>
      </w:r>
      <w:r>
        <w:rPr>
          <w:rFonts w:ascii="Times New Roman;serif" w:hAnsi="Times New Roman;serif"/>
          <w:b w:val="false"/>
          <w:sz w:val="20"/>
        </w:rPr>
        <w:t>million, as well as an additional $2,512</w:t>
      </w:r>
      <w:r>
        <w:rPr>
          <w:rFonts w:ascii="Times New Roman;serif" w:hAnsi="Times New Roman;serif"/>
          <w:sz w:val="20"/>
        </w:rPr>
        <w:t xml:space="preserve"> </w:t>
      </w:r>
      <w:r>
        <w:rPr>
          <w:rFonts w:ascii="Times New Roman;serif" w:hAnsi="Times New Roman;serif"/>
          <w:b w:val="false"/>
          <w:sz w:val="20"/>
        </w:rPr>
        <w:t>each day in interest from October 1, 2007 until the date the award is paid. In July 2008, E-City commenced a proceeding in Mumbai, India seeking to prevent recognition of the ICC award in India. On March 10, 2017, the Supreme Court of India dismissed E-City’s petition. On March 29, 2017, the Company filed an Execution Application in the Bombay High Court seeking to enforce the ICC award against E-City and several related parties, which award the Company calculates to be $25.5</w:t>
      </w:r>
      <w:r>
        <w:rPr>
          <w:rFonts w:ascii="Times New Roman" w:hAnsi="Times New Roman"/>
          <w:sz w:val="20"/>
        </w:rPr>
        <w:t xml:space="preserve"> </w:t>
      </w:r>
      <w:r>
        <w:rPr>
          <w:rFonts w:ascii="Times New Roman;serif" w:hAnsi="Times New Roman;serif"/>
          <w:b w:val="false"/>
          <w:sz w:val="20"/>
        </w:rPr>
        <w:t>million, inclusive of interest, as of March 31, 2023. That matter is currently pending. The Company has also taken steps to enforce the ICC final award outside of India. In December 2011, the Ontario Superior Court of Justice issued an order recognizing the final award and requiring E-City to pay the Company $30,000</w:t>
      </w:r>
      <w:r>
        <w:rPr>
          <w:rFonts w:ascii="Times New Roman;serif" w:hAnsi="Times New Roman;serif"/>
          <w:sz w:val="20"/>
        </w:rPr>
        <w:t xml:space="preserve"> </w:t>
      </w:r>
      <w:r>
        <w:rPr>
          <w:rFonts w:ascii="Times New Roman;serif" w:hAnsi="Times New Roman;serif"/>
          <w:b w:val="false"/>
          <w:sz w:val="20"/>
        </w:rPr>
        <w:t>to cover the costs of the application, and in May 2012, the New York Supreme Court recognized the Canadian judgment and entered it as a New York judgment. The Company intends to continue pursuing its rights and seeking to enforce the award, although no assurances can be given with respect to the ultimate outcome.</w:t>
      </w:r>
    </w:p>
    <w:p>
      <w:pPr>
        <w:pStyle w:val="TextBody"/>
        <w:spacing w:before="240" w:after="0"/>
        <w:jc w:val="center"/>
        <w:rPr>
          <w:rFonts w:ascii="Times New Roman;serif" w:hAnsi="Times New Roman;serif"/>
          <w:b w:val="false"/>
          <w:sz w:val="20"/>
        </w:rPr>
      </w:pPr>
      <w:r>
        <w:rPr>
          <w:rFonts w:ascii="Times New Roman;serif" w:hAnsi="Times New Roman;serif"/>
          <w:b w:val="false"/>
          <w:sz w:val="20"/>
        </w:rPr>
        <w:t>23</w:t>
      </w:r>
    </w:p>
    <w:p>
      <w:pPr>
        <w:pStyle w:val="HorizontalLine"/>
        <w:rPr/>
      </w:pPr>
      <w:r>
        <w:rPr/>
      </w:r>
    </w:p>
    <w:p>
      <w:pPr>
        <w:pStyle w:val="TextBody"/>
        <w:spacing w:before="0" w:after="0"/>
        <w:jc w:val="left"/>
        <w:rPr/>
      </w:pPr>
      <w:r>
        <w:rPr/>
        <w:t> </w:t>
      </w:r>
    </w:p>
    <w:p>
      <w:pPr>
        <w:pStyle w:val="TextBody"/>
        <w:spacing w:before="200" w:after="160"/>
        <w:jc w:val="both"/>
        <w:rPr>
          <w:rFonts w:ascii="Times New Roman;serif" w:hAnsi="Times New Roman;serif"/>
          <w:b w:val="false"/>
          <w:sz w:val="20"/>
        </w:rPr>
      </w:pPr>
      <w:r>
        <w:rPr>
          <w:rFonts w:ascii="Times New Roman;serif" w:hAnsi="Times New Roman;serif"/>
          <w:b w:val="false"/>
          <w:sz w:val="20"/>
        </w:rPr>
        <w:t>(ii) In addition to the matters described above, the Company is currently involved in other legal proceedings or governmental inquiries which, in the opinion of the Company’s management, will not materially affect the Company’s financial position or future operating results, although no assurance can be given with respect to the ultimate outcome of any such proceedings.</w:t>
      </w:r>
    </w:p>
    <w:p>
      <w:pPr>
        <w:pStyle w:val="TextBody"/>
        <w:spacing w:before="200" w:after="160"/>
        <w:jc w:val="both"/>
        <w:rPr>
          <w:rFonts w:ascii="Times New Roman;serif" w:hAnsi="Times New Roman;serif"/>
          <w:b w:val="false"/>
          <w:sz w:val="20"/>
        </w:rPr>
      </w:pPr>
      <w:r>
        <w:rPr>
          <w:rFonts w:ascii="Times New Roman;serif" w:hAnsi="Times New Roman;serif"/>
          <w:b w:val="false"/>
          <w:sz w:val="20"/>
        </w:rPr>
        <w:t>(iii) In the normal course of business, the Company enters into agreements that may contain features that meet the definition of a guarantee. A guarantee is a contract (including an indemnity) that contingently requires the Company to make payments (either in cash, financial instruments, other assets, shares of its stock, or provision of services) to a third party based on (a) changes in an underlying interest rate, foreign exchange rate, equity or commodity instrument, index or other variable, that is related to an asset, a liability or an equity security of the counterparty, (b) failure of another party to perform under an obligating agreement or (c) failure of another third party to pay its indebtedness when due.</w:t>
      </w:r>
    </w:p>
    <w:p>
      <w:pPr>
        <w:pStyle w:val="TextBody"/>
        <w:spacing w:before="200" w:after="0"/>
        <w:jc w:val="left"/>
        <w:rPr>
          <w:rFonts w:ascii="Times New Roman" w:hAnsi="Times New Roman"/>
          <w:b/>
          <w:i/>
          <w:sz w:val="20"/>
        </w:rPr>
      </w:pPr>
      <w:r>
        <w:rPr>
          <w:rFonts w:ascii="Times New Roman" w:hAnsi="Times New Roman"/>
          <w:b/>
          <w:i/>
          <w:sz w:val="20"/>
        </w:rPr>
        <w:t>(c)</w:t>
      </w:r>
    </w:p>
    <w:p>
      <w:pPr>
        <w:pStyle w:val="TextBody"/>
        <w:spacing w:before="200" w:after="283"/>
        <w:jc w:val="left"/>
        <w:rPr>
          <w:rFonts w:ascii="Times New Roman;serif" w:hAnsi="Times New Roman;serif"/>
          <w:b/>
          <w:i/>
          <w:sz w:val="20"/>
        </w:rPr>
      </w:pPr>
      <w:r>
        <w:rPr>
          <w:rFonts w:ascii="Times New Roman;serif" w:hAnsi="Times New Roman;serif"/>
          <w:b/>
          <w:i/>
          <w:sz w:val="20"/>
        </w:rPr>
        <w:t>Financial Guarantees</w:t>
      </w:r>
    </w:p>
    <w:p>
      <w:pPr>
        <w:pStyle w:val="TextBody"/>
        <w:spacing w:before="200" w:after="0"/>
        <w:jc w:val="both"/>
        <w:rPr>
          <w:rFonts w:ascii="Times New Roman;serif" w:hAnsi="Times New Roman;serif"/>
          <w:b w:val="false"/>
          <w:sz w:val="20"/>
        </w:rPr>
      </w:pPr>
      <w:r>
        <w:rPr>
          <w:rFonts w:ascii="Times New Roman;serif" w:hAnsi="Times New Roman;serif"/>
          <w:b w:val="false"/>
          <w:sz w:val="20"/>
        </w:rPr>
        <w:t>Certain subsidiaries of the Company have provided significant financial guarantees to third parties under the Credit Agreement.</w:t>
      </w:r>
    </w:p>
    <w:p>
      <w:pPr>
        <w:pStyle w:val="TextBody"/>
        <w:spacing w:before="200" w:after="0"/>
        <w:jc w:val="left"/>
        <w:rPr>
          <w:rFonts w:ascii="Times New Roman" w:hAnsi="Times New Roman"/>
          <w:b/>
          <w:i/>
          <w:sz w:val="20"/>
        </w:rPr>
      </w:pPr>
      <w:r>
        <w:rPr>
          <w:rFonts w:ascii="Times New Roman" w:hAnsi="Times New Roman"/>
          <w:b/>
          <w:i/>
          <w:sz w:val="20"/>
        </w:rPr>
        <w:t>(d)</w:t>
      </w:r>
    </w:p>
    <w:p>
      <w:pPr>
        <w:pStyle w:val="TextBody"/>
        <w:spacing w:before="200" w:after="283"/>
        <w:jc w:val="left"/>
        <w:rPr>
          <w:rFonts w:ascii="Times New Roman;serif" w:hAnsi="Times New Roman;serif"/>
          <w:b/>
          <w:i/>
          <w:sz w:val="20"/>
        </w:rPr>
      </w:pPr>
      <w:r>
        <w:rPr>
          <w:rFonts w:ascii="Times New Roman;serif" w:hAnsi="Times New Roman;serif"/>
          <w:b/>
          <w:i/>
          <w:sz w:val="20"/>
        </w:rPr>
        <w:t>Product Warranties</w:t>
      </w:r>
    </w:p>
    <w:p>
      <w:pPr>
        <w:pStyle w:val="TextBody"/>
        <w:spacing w:before="200" w:after="160"/>
        <w:jc w:val="both"/>
        <w:rPr>
          <w:rFonts w:ascii="Times New Roman" w:hAnsi="Times New Roman"/>
          <w:sz w:val="20"/>
        </w:rPr>
      </w:pPr>
      <w:r>
        <w:rPr>
          <w:rFonts w:ascii="Times New Roman;serif" w:hAnsi="Times New Roman;serif"/>
          <w:b w:val="false"/>
          <w:sz w:val="20"/>
        </w:rPr>
        <w:t>The Company’s accrual for product warranties, which is recorded within Accrued and Other Liabilities in the Condensed Consolidated Balance Sheets, was $0.1</w:t>
      </w:r>
      <w:r>
        <w:rPr>
          <w:rFonts w:ascii="Times New Roman" w:hAnsi="Times New Roman"/>
          <w:sz w:val="20"/>
        </w:rPr>
        <w:t xml:space="preserve"> </w:t>
      </w:r>
      <w:r>
        <w:rPr>
          <w:rFonts w:ascii="Times New Roman;serif" w:hAnsi="Times New Roman;serif"/>
          <w:b w:val="false"/>
          <w:sz w:val="20"/>
        </w:rPr>
        <w:t>million and $nil</w:t>
      </w:r>
      <w:r>
        <w:rPr>
          <w:rFonts w:ascii="Times New Roman" w:hAnsi="Times New Roman"/>
          <w:sz w:val="20"/>
        </w:rPr>
        <w:t xml:space="preserve"> </w:t>
      </w:r>
      <w:r>
        <w:rPr>
          <w:rFonts w:ascii="Times New Roman;serif" w:hAnsi="Times New Roman;serif"/>
          <w:b w:val="false"/>
          <w:sz w:val="20"/>
        </w:rPr>
        <w:t>as of March 31, 2023 and December 31, 2022, respectively.</w:t>
      </w:r>
      <w:r>
        <w:rPr>
          <w:rFonts w:ascii="Times New Roman" w:hAnsi="Times New Roman"/>
          <w:sz w:val="20"/>
        </w:rPr>
        <w:t xml:space="preserve"> </w:t>
      </w:r>
    </w:p>
    <w:p>
      <w:pPr>
        <w:pStyle w:val="TextBody"/>
        <w:spacing w:before="200" w:after="0"/>
        <w:jc w:val="left"/>
        <w:rPr>
          <w:rFonts w:ascii="Times New Roman" w:hAnsi="Times New Roman"/>
          <w:b/>
          <w:i/>
          <w:sz w:val="20"/>
        </w:rPr>
      </w:pPr>
      <w:r>
        <w:rPr>
          <w:rFonts w:ascii="Times New Roman" w:hAnsi="Times New Roman"/>
          <w:b/>
          <w:i/>
          <w:sz w:val="20"/>
        </w:rPr>
        <w:t>(e)</w:t>
      </w:r>
    </w:p>
    <w:p>
      <w:pPr>
        <w:pStyle w:val="TextBody"/>
        <w:spacing w:before="200" w:after="283"/>
        <w:jc w:val="left"/>
        <w:rPr>
          <w:rFonts w:ascii="Times New Roman;serif" w:hAnsi="Times New Roman;serif"/>
          <w:b/>
          <w:i/>
          <w:sz w:val="20"/>
        </w:rPr>
      </w:pPr>
      <w:r>
        <w:rPr>
          <w:rFonts w:ascii="Times New Roman;serif" w:hAnsi="Times New Roman;serif"/>
          <w:b/>
          <w:i/>
          <w:sz w:val="20"/>
        </w:rPr>
        <w:t>Director and Officer Indemnifications</w:t>
      </w:r>
    </w:p>
    <w:p>
      <w:pPr>
        <w:pStyle w:val="TextBody"/>
        <w:spacing w:before="200" w:after="0"/>
        <w:jc w:val="both"/>
        <w:rPr>
          <w:rFonts w:ascii="Times New Roman" w:hAnsi="Times New Roman"/>
          <w:sz w:val="20"/>
        </w:rPr>
      </w:pPr>
      <w:r>
        <w:rPr>
          <w:rFonts w:ascii="Times New Roman;serif" w:hAnsi="Times New Roman;serif"/>
          <w:b w:val="false"/>
          <w:sz w:val="20"/>
        </w:rPr>
        <w:t>The Company’s by-laws contain an indemnification of its current directors and officers, former directors and officers, and persons who have acted at its request to be a director and/or officer of an entity in which the Company is a shareholder or creditor, to indemnify them, to the extent permitted by the</w:t>
      </w:r>
      <w:r>
        <w:rPr>
          <w:rFonts w:ascii="Times New Roman" w:hAnsi="Times New Roman"/>
          <w:sz w:val="20"/>
        </w:rPr>
        <w:t xml:space="preserve"> </w:t>
      </w:r>
      <w:r>
        <w:rPr>
          <w:rFonts w:ascii="Times New Roman;serif" w:hAnsi="Times New Roman;serif"/>
          <w:b w:val="false"/>
          <w:i/>
          <w:sz w:val="20"/>
        </w:rPr>
        <w:t>Canada Business Corporations Act</w:t>
      </w:r>
      <w:r>
        <w:rPr>
          <w:rFonts w:ascii="Times New Roman;serif" w:hAnsi="Times New Roman;serif"/>
          <w:b w:val="false"/>
          <w:sz w:val="20"/>
        </w:rPr>
        <w:t>, against expenses (including legal fees), judgments, fines and any amounts actually and reasonably incurred by them in connection with any action, suit or proceeding in which the directors and/or officers are sued as a result of their service, if they acted honestly and in good faith with a view to the best interests of the Company. In addition, the Company has entered into indemnification agreements with each of its directors in order to effectuate the foregoing. The nature of the indemnification prevents the Company from making a reasonable estimate of the maximum potential amount it could be required to pay to counterparties. The Company has purchased directors’ and officers’ liability insurance. No</w:t>
      </w:r>
      <w:r>
        <w:rPr>
          <w:rFonts w:ascii="Times New Roman" w:hAnsi="Times New Roman"/>
          <w:sz w:val="20"/>
        </w:rPr>
        <w:t xml:space="preserve"> </w:t>
      </w:r>
      <w:r>
        <w:rPr>
          <w:rFonts w:ascii="Times New Roman;serif" w:hAnsi="Times New Roman;serif"/>
          <w:b w:val="false"/>
          <w:sz w:val="20"/>
        </w:rPr>
        <w:t>amount has been accrued in the Company’s Condensed Consolidated Balance Sheets as of March 31, 2023 and December 31, 2022, with respect to this indemnity.</w:t>
      </w:r>
    </w:p>
    <w:p>
      <w:pPr>
        <w:pStyle w:val="TextBody"/>
        <w:spacing w:before="200" w:after="0"/>
        <w:jc w:val="left"/>
        <w:rPr>
          <w:rFonts w:ascii="Times New Roman" w:hAnsi="Times New Roman"/>
          <w:b/>
          <w:i/>
          <w:sz w:val="20"/>
        </w:rPr>
      </w:pPr>
      <w:r>
        <w:rPr>
          <w:rFonts w:ascii="Times New Roman" w:hAnsi="Times New Roman"/>
          <w:b/>
          <w:i/>
          <w:sz w:val="20"/>
        </w:rPr>
        <w:t>(f)</w:t>
      </w:r>
    </w:p>
    <w:p>
      <w:pPr>
        <w:pStyle w:val="TextBody"/>
        <w:spacing w:before="200" w:after="283"/>
        <w:jc w:val="left"/>
        <w:rPr>
          <w:rFonts w:ascii="Times New Roman;serif" w:hAnsi="Times New Roman;serif"/>
          <w:b/>
          <w:i/>
          <w:sz w:val="20"/>
        </w:rPr>
      </w:pPr>
      <w:r>
        <w:rPr>
          <w:rFonts w:ascii="Times New Roman;serif" w:hAnsi="Times New Roman;serif"/>
          <w:b/>
          <w:i/>
          <w:sz w:val="20"/>
        </w:rPr>
        <w:t>Other Indemnification Agreements</w:t>
      </w:r>
    </w:p>
    <w:p>
      <w:pPr>
        <w:pStyle w:val="TextBody"/>
        <w:spacing w:before="200" w:after="0"/>
        <w:jc w:val="both"/>
        <w:rPr>
          <w:rFonts w:ascii="Times New Roman;serif" w:hAnsi="Times New Roman;serif"/>
          <w:b w:val="false"/>
          <w:sz w:val="20"/>
        </w:rPr>
      </w:pPr>
      <w:r>
        <w:rPr>
          <w:rFonts w:ascii="Times New Roman;serif" w:hAnsi="Times New Roman;serif"/>
          <w:b w:val="false"/>
          <w:sz w:val="20"/>
        </w:rPr>
        <w:t>In the normal course of its operations, the Company provides indemnifications to counterparties in transactions such as: IMAX System lease and sale agreements and the supervision of installation or servicing of IMAX Systems; film production, exhibition and distribution agreements; real property lease agreements; and employment agreements. These indemnification agreements require the Company to compensate the counterparties for costs incurred as a result of litigation claims that may be suffered by the counterparty as a consequence of the transaction or the Company’s breach or non-performance under these agreements. While the terms of these indemnification agreements vary based upon the contract, they normally extend for the life of the agreements. A small number of agreements do not provide for any limit on the maximum potential amount of indemnification; however, virtually all of the IMAX System lease and sale agreements limit such maximum potential liability to the purchase price of the system. The fact that the maximum potential amount of indemnification required by the Company is not specified in some cases prevents the Company from making a reasonable estimate of the maximum potential amount it could be required to pay to counterparties. Historically, the Company has not made any significant payments under such indemnifications and no amounts have been accrued in the Condensed Consolidated Financial Statements with respect to the contingent aspect of these indemnities.</w:t>
      </w:r>
    </w:p>
    <w:p>
      <w:pPr>
        <w:pStyle w:val="TextBody"/>
        <w:spacing w:before="240" w:after="0"/>
        <w:jc w:val="center"/>
        <w:rPr>
          <w:rFonts w:ascii="Times New Roman;serif" w:hAnsi="Times New Roman;serif"/>
          <w:b w:val="false"/>
          <w:sz w:val="20"/>
        </w:rPr>
      </w:pPr>
      <w:r>
        <w:rPr>
          <w:rFonts w:ascii="Times New Roman;serif" w:hAnsi="Times New Roman;serif"/>
          <w:b w:val="false"/>
          <w:sz w:val="20"/>
        </w:rPr>
        <w:t>24</w:t>
      </w:r>
    </w:p>
    <w:p>
      <w:pPr>
        <w:pStyle w:val="HorizontalLine"/>
        <w:rPr/>
      </w:pPr>
      <w:r>
        <w:rPr/>
      </w:r>
    </w:p>
    <w:p>
      <w:pPr>
        <w:pStyle w:val="TextBody"/>
        <w:spacing w:before="0" w:after="0"/>
        <w:jc w:val="left"/>
        <w:rPr/>
      </w:pPr>
      <w:r>
        <w:rPr/>
        <w:t> </w:t>
      </w:r>
    </w:p>
    <w:p>
      <w:pPr>
        <w:pStyle w:val="TextBody"/>
        <w:spacing w:before="200" w:after="0"/>
        <w:jc w:val="both"/>
        <w:rPr>
          <w:rFonts w:ascii="Times New Roman;serif" w:hAnsi="Times New Roman;serif"/>
          <w:b/>
          <w:sz w:val="20"/>
        </w:rPr>
      </w:pPr>
      <w:r>
        <w:rPr>
          <w:rFonts w:ascii="Times New Roman;serif" w:hAnsi="Times New Roman;serif"/>
          <w:b/>
          <w:sz w:val="20"/>
        </w:rPr>
        <w:t>8. Condensed Consolidated Statements of Operations – Supplemental Information</w:t>
      </w:r>
    </w:p>
    <w:p>
      <w:pPr>
        <w:pStyle w:val="TextBody"/>
        <w:spacing w:before="200" w:after="0"/>
        <w:jc w:val="both"/>
        <w:rPr>
          <w:rFonts w:ascii="Times New Roman" w:hAnsi="Times New Roman"/>
          <w:b/>
          <w:i/>
          <w:sz w:val="20"/>
        </w:rPr>
      </w:pPr>
      <w:r>
        <w:rPr>
          <w:rFonts w:ascii="Times New Roman" w:hAnsi="Times New Roman"/>
          <w:b/>
          <w:i/>
          <w:sz w:val="20"/>
        </w:rPr>
        <w:t>(a)</w:t>
      </w:r>
    </w:p>
    <w:p>
      <w:pPr>
        <w:pStyle w:val="TextBody"/>
        <w:spacing w:before="200" w:after="283"/>
        <w:jc w:val="both"/>
        <w:rPr>
          <w:rFonts w:ascii="Times New Roman;serif" w:hAnsi="Times New Roman;serif"/>
          <w:b/>
          <w:i/>
          <w:sz w:val="20"/>
        </w:rPr>
      </w:pPr>
      <w:r>
        <w:rPr>
          <w:rFonts w:ascii="Times New Roman;serif" w:hAnsi="Times New Roman;serif"/>
          <w:b/>
          <w:i/>
          <w:sz w:val="20"/>
        </w:rPr>
        <w:t>Selling Expenses</w:t>
      </w:r>
    </w:p>
    <w:p>
      <w:pPr>
        <w:pStyle w:val="TextBody"/>
        <w:spacing w:before="200" w:after="200"/>
        <w:jc w:val="both"/>
        <w:rPr>
          <w:rFonts w:ascii="Times New Roman;serif" w:hAnsi="Times New Roman;serif"/>
          <w:b w:val="false"/>
          <w:sz w:val="20"/>
        </w:rPr>
      </w:pPr>
      <w:r>
        <w:rPr>
          <w:rFonts w:ascii="Times New Roman;serif" w:hAnsi="Times New Roman;serif"/>
          <w:b w:val="false"/>
          <w:sz w:val="20"/>
        </w:rPr>
        <w:t>The following table summarizes the Company’s selling expenses, including sales commissions and marketing and other, which are recognized within Costs and Expenses Applicable to Revenues in the Condensed Consolidated Statements of Operations, for three months ended March 31, 2023 and 2022:</w:t>
      </w:r>
    </w:p>
    <w:tbl>
      <w:tblPr>
        <w:tblW w:w="9016" w:type="dxa"/>
        <w:jc w:val="left"/>
        <w:tblInd w:w="0" w:type="dxa"/>
        <w:tblCellMar>
          <w:top w:w="28" w:type="dxa"/>
          <w:left w:w="28" w:type="dxa"/>
          <w:bottom w:w="28" w:type="dxa"/>
          <w:right w:w="28" w:type="dxa"/>
        </w:tblCellMar>
      </w:tblPr>
      <w:tblGrid>
        <w:gridCol w:w="4021"/>
        <w:gridCol w:w="280"/>
        <w:gridCol w:w="194"/>
        <w:gridCol w:w="562"/>
        <w:gridCol w:w="146"/>
        <w:gridCol w:w="146"/>
        <w:gridCol w:w="211"/>
        <w:gridCol w:w="146"/>
        <w:gridCol w:w="571"/>
        <w:gridCol w:w="146"/>
        <w:gridCol w:w="146"/>
        <w:gridCol w:w="310"/>
        <w:gridCol w:w="215"/>
        <w:gridCol w:w="511"/>
        <w:gridCol w:w="146"/>
        <w:gridCol w:w="146"/>
        <w:gridCol w:w="211"/>
        <w:gridCol w:w="146"/>
        <w:gridCol w:w="571"/>
        <w:gridCol w:w="191"/>
      </w:tblGrid>
      <w:tr>
        <w:trPr/>
        <w:tc>
          <w:tcPr>
            <w:tcW w:w="4021" w:type="dxa"/>
            <w:tcBorders/>
            <w:shd w:fill="auto" w:val="clear"/>
            <w:vAlign w:val="center"/>
          </w:tcPr>
          <w:p>
            <w:pPr>
              <w:pStyle w:val="TableContents"/>
              <w:spacing w:before="0" w:after="283"/>
              <w:rPr>
                <w:sz w:val="4"/>
                <w:szCs w:val="4"/>
              </w:rPr>
            </w:pPr>
            <w:r>
              <w:rPr>
                <w:sz w:val="4"/>
                <w:szCs w:val="4"/>
              </w:rPr>
            </w:r>
          </w:p>
        </w:tc>
        <w:tc>
          <w:tcPr>
            <w:tcW w:w="280" w:type="dxa"/>
            <w:tcBorders/>
            <w:shd w:fill="auto" w:val="clear"/>
            <w:vAlign w:val="center"/>
          </w:tcPr>
          <w:p>
            <w:pPr>
              <w:pStyle w:val="TableContents"/>
              <w:spacing w:before="0" w:after="283"/>
              <w:rPr>
                <w:sz w:val="4"/>
                <w:szCs w:val="4"/>
              </w:rPr>
            </w:pPr>
            <w:r>
              <w:rPr>
                <w:sz w:val="4"/>
                <w:szCs w:val="4"/>
              </w:rPr>
            </w:r>
          </w:p>
        </w:tc>
        <w:tc>
          <w:tcPr>
            <w:tcW w:w="194" w:type="dxa"/>
            <w:tcBorders/>
            <w:shd w:fill="auto" w:val="clear"/>
            <w:vAlign w:val="center"/>
          </w:tcPr>
          <w:p>
            <w:pPr>
              <w:pStyle w:val="TableContents"/>
              <w:spacing w:before="0" w:after="283"/>
              <w:rPr>
                <w:sz w:val="4"/>
                <w:szCs w:val="4"/>
              </w:rPr>
            </w:pPr>
            <w:r>
              <w:rPr>
                <w:sz w:val="4"/>
                <w:szCs w:val="4"/>
              </w:rPr>
            </w:r>
          </w:p>
        </w:tc>
        <w:tc>
          <w:tcPr>
            <w:tcW w:w="562"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571"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310" w:type="dxa"/>
            <w:tcBorders/>
            <w:shd w:fill="auto" w:val="clear"/>
            <w:vAlign w:val="center"/>
          </w:tcPr>
          <w:p>
            <w:pPr>
              <w:pStyle w:val="TableContents"/>
              <w:spacing w:before="0" w:after="283"/>
              <w:rPr>
                <w:sz w:val="4"/>
                <w:szCs w:val="4"/>
              </w:rPr>
            </w:pPr>
            <w:r>
              <w:rPr>
                <w:sz w:val="4"/>
                <w:szCs w:val="4"/>
              </w:rPr>
            </w:r>
          </w:p>
        </w:tc>
        <w:tc>
          <w:tcPr>
            <w:tcW w:w="215" w:type="dxa"/>
            <w:tcBorders/>
            <w:shd w:fill="auto" w:val="clear"/>
            <w:vAlign w:val="center"/>
          </w:tcPr>
          <w:p>
            <w:pPr>
              <w:pStyle w:val="TableContents"/>
              <w:spacing w:before="0" w:after="283"/>
              <w:rPr>
                <w:sz w:val="4"/>
                <w:szCs w:val="4"/>
              </w:rPr>
            </w:pPr>
            <w:r>
              <w:rPr>
                <w:sz w:val="4"/>
                <w:szCs w:val="4"/>
              </w:rPr>
            </w:r>
          </w:p>
        </w:tc>
        <w:tc>
          <w:tcPr>
            <w:tcW w:w="511"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571" w:type="dxa"/>
            <w:tcBorders/>
            <w:shd w:fill="auto" w:val="clear"/>
            <w:vAlign w:val="center"/>
          </w:tcPr>
          <w:p>
            <w:pPr>
              <w:pStyle w:val="TableContents"/>
              <w:spacing w:before="0" w:after="283"/>
              <w:rPr>
                <w:sz w:val="4"/>
                <w:szCs w:val="4"/>
              </w:rPr>
            </w:pPr>
            <w:r>
              <w:rPr>
                <w:sz w:val="4"/>
                <w:szCs w:val="4"/>
              </w:rPr>
            </w:r>
          </w:p>
        </w:tc>
        <w:tc>
          <w:tcPr>
            <w:tcW w:w="191" w:type="dxa"/>
            <w:tcBorders/>
            <w:shd w:fill="auto" w:val="clear"/>
            <w:vAlign w:val="center"/>
          </w:tcPr>
          <w:p>
            <w:pPr>
              <w:pStyle w:val="TableContents"/>
              <w:spacing w:before="0" w:after="283"/>
              <w:rPr>
                <w:sz w:val="4"/>
                <w:szCs w:val="4"/>
              </w:rPr>
            </w:pPr>
            <w:r>
              <w:rPr>
                <w:sz w:val="4"/>
                <w:szCs w:val="4"/>
              </w:rPr>
            </w:r>
          </w:p>
        </w:tc>
      </w:tr>
      <w:tr>
        <w:trPr/>
        <w:tc>
          <w:tcPr>
            <w:tcW w:w="4021" w:type="dxa"/>
            <w:tcBorders/>
            <w:shd w:fill="auto" w:val="clear"/>
            <w:vAlign w:val="center"/>
          </w:tcPr>
          <w:p>
            <w:pPr>
              <w:pStyle w:val="TableContents"/>
              <w:spacing w:before="0" w:after="0"/>
              <w:ind w:left="0" w:right="0" w:hanging="0"/>
              <w:jc w:val="left"/>
              <w:rPr/>
            </w:pPr>
            <w:r>
              <w:rPr/>
              <w:t> </w:t>
            </w:r>
          </w:p>
        </w:tc>
        <w:tc>
          <w:tcPr>
            <w:tcW w:w="4804" w:type="dxa"/>
            <w:gridSpan w:val="18"/>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Three Months Ended March 31,</w:t>
            </w:r>
          </w:p>
        </w:tc>
        <w:tc>
          <w:tcPr>
            <w:tcW w:w="1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4021" w:type="dxa"/>
            <w:tcBorders/>
            <w:shd w:fill="auto" w:val="clear"/>
            <w:vAlign w:val="center"/>
          </w:tcPr>
          <w:p>
            <w:pPr>
              <w:pStyle w:val="TableContents"/>
              <w:spacing w:before="0" w:after="0"/>
              <w:ind w:left="0" w:right="0" w:hanging="0"/>
              <w:jc w:val="left"/>
              <w:rPr/>
            </w:pPr>
            <w:r>
              <w:rPr/>
              <w:t> </w:t>
            </w:r>
          </w:p>
        </w:tc>
        <w:tc>
          <w:tcPr>
            <w:tcW w:w="2256" w:type="dxa"/>
            <w:gridSpan w:val="8"/>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2023</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2256" w:type="dxa"/>
            <w:gridSpan w:val="8"/>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2022</w:t>
            </w:r>
          </w:p>
        </w:tc>
        <w:tc>
          <w:tcPr>
            <w:tcW w:w="1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4021" w:type="dxa"/>
            <w:tcBorders/>
            <w:shd w:fill="auto" w:val="clear"/>
            <w:vAlign w:val="center"/>
          </w:tcPr>
          <w:p>
            <w:pPr>
              <w:pStyle w:val="TableContents"/>
              <w:spacing w:before="0" w:after="0"/>
              <w:ind w:left="0" w:right="0" w:hanging="0"/>
              <w:jc w:val="left"/>
              <w:rPr>
                <w:rFonts w:ascii="Times New Roman;serif" w:hAnsi="Times New Roman;serif"/>
                <w:b w:val="false"/>
                <w:i/>
                <w:sz w:val="16"/>
              </w:rPr>
            </w:pPr>
            <w:r>
              <w:rPr>
                <w:rFonts w:ascii="Times New Roman;serif" w:hAnsi="Times New Roman;serif"/>
                <w:b w:val="false"/>
                <w:i/>
                <w:sz w:val="16"/>
              </w:rPr>
              <w:t>(In thousands of U.S. Dollars)</w:t>
            </w:r>
          </w:p>
        </w:tc>
        <w:tc>
          <w:tcPr>
            <w:tcW w:w="1036" w:type="dxa"/>
            <w:gridSpan w:val="3"/>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 xml:space="preserve">Sales </w:t>
              <w:br/>
              <w:t>Commissions</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928" w:type="dxa"/>
            <w:gridSpan w:val="3"/>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 xml:space="preserve">Marketing </w:t>
              <w:br/>
              <w:t>and Other</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1036" w:type="dxa"/>
            <w:gridSpan w:val="3"/>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 xml:space="preserve">Sales </w:t>
              <w:br/>
              <w:t>Commissions</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928" w:type="dxa"/>
            <w:gridSpan w:val="3"/>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 xml:space="preserve">Marketing </w:t>
              <w:br/>
              <w:t>and Other</w:t>
            </w:r>
          </w:p>
        </w:tc>
        <w:tc>
          <w:tcPr>
            <w:tcW w:w="1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4021" w:type="dxa"/>
            <w:tcBorders/>
            <w:shd w:fill="auto" w:val="clear"/>
            <w:vAlign w:val="center"/>
          </w:tcPr>
          <w:p>
            <w:pPr>
              <w:pStyle w:val="TableContents"/>
              <w:spacing w:before="0" w:after="0"/>
              <w:ind w:left="0" w:right="0" w:hanging="0"/>
              <w:jc w:val="left"/>
              <w:rPr>
                <w:rFonts w:ascii="Times New Roman" w:hAnsi="Times New Roman"/>
                <w:sz w:val="20"/>
              </w:rPr>
            </w:pPr>
            <w:r>
              <w:rPr>
                <w:rFonts w:ascii="Times New Roman;serif" w:hAnsi="Times New Roman;serif"/>
                <w:b w:val="false"/>
                <w:sz w:val="20"/>
              </w:rPr>
              <w:t>Technology sales</w:t>
            </w:r>
            <w:r>
              <w:rPr>
                <w:rFonts w:ascii="Times New Roman;serif" w:hAnsi="Times New Roman;serif"/>
                <w:b w:val="false"/>
                <w:sz w:val="13"/>
              </w:rPr>
              <w:t>(1)</w:t>
            </w:r>
          </w:p>
        </w:tc>
        <w:tc>
          <w:tcPr>
            <w:tcW w:w="280"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94" w:type="dxa"/>
            <w:tcBorders/>
            <w:shd w:fill="auto" w:val="clear"/>
            <w:vAlign w:val="center"/>
          </w:tcPr>
          <w:p>
            <w:pPr>
              <w:pStyle w:val="TableContents"/>
              <w:spacing w:before="0" w:after="0"/>
              <w:ind w:left="0" w:right="0" w:hanging="0"/>
              <w:jc w:val="left"/>
              <w:rPr/>
            </w:pPr>
            <w:r>
              <w:rPr/>
              <w:t> </w:t>
            </w:r>
          </w:p>
        </w:tc>
        <w:tc>
          <w:tcPr>
            <w:tcW w:w="562"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200</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shd w:fill="auto" w:val="clear"/>
            <w:vAlign w:val="center"/>
          </w:tcPr>
          <w:p>
            <w:pPr>
              <w:pStyle w:val="TableContents"/>
              <w:spacing w:before="0" w:after="0"/>
              <w:ind w:left="0" w:right="0" w:hanging="0"/>
              <w:jc w:val="left"/>
              <w:rPr/>
            </w:pPr>
            <w:r>
              <w:rPr/>
              <w:t> </w:t>
            </w:r>
          </w:p>
        </w:tc>
        <w:tc>
          <w:tcPr>
            <w:tcW w:w="57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16</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310"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215" w:type="dxa"/>
            <w:tcBorders/>
            <w:shd w:fill="auto" w:val="clear"/>
            <w:vAlign w:val="center"/>
          </w:tcPr>
          <w:p>
            <w:pPr>
              <w:pStyle w:val="TableContents"/>
              <w:spacing w:before="0" w:after="0"/>
              <w:ind w:left="0" w:right="0" w:hanging="0"/>
              <w:jc w:val="left"/>
              <w:rPr/>
            </w:pPr>
            <w:r>
              <w:rPr/>
              <w:t> </w:t>
            </w:r>
          </w:p>
        </w:tc>
        <w:tc>
          <w:tcPr>
            <w:tcW w:w="511"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shd w:fill="auto" w:val="clear"/>
            <w:vAlign w:val="center"/>
          </w:tcPr>
          <w:p>
            <w:pPr>
              <w:pStyle w:val="TableContents"/>
              <w:spacing w:before="0" w:after="0"/>
              <w:ind w:left="0" w:right="0" w:hanging="0"/>
              <w:jc w:val="left"/>
              <w:rPr/>
            </w:pPr>
            <w:r>
              <w:rPr/>
              <w:t> </w:t>
            </w:r>
          </w:p>
        </w:tc>
        <w:tc>
          <w:tcPr>
            <w:tcW w:w="57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162</w:t>
            </w:r>
          </w:p>
        </w:tc>
        <w:tc>
          <w:tcPr>
            <w:tcW w:w="191" w:type="dxa"/>
            <w:tcBorders/>
            <w:shd w:fill="auto" w:val="clear"/>
            <w:vAlign w:val="center"/>
          </w:tcPr>
          <w:p>
            <w:pPr>
              <w:pStyle w:val="TableContents"/>
              <w:spacing w:before="0" w:after="0"/>
              <w:ind w:left="0" w:right="0" w:hanging="0"/>
              <w:jc w:val="left"/>
              <w:rPr/>
            </w:pPr>
            <w:r>
              <w:rPr/>
              <w:t> </w:t>
            </w:r>
          </w:p>
        </w:tc>
      </w:tr>
      <w:tr>
        <w:trPr/>
        <w:tc>
          <w:tcPr>
            <w:tcW w:w="4021" w:type="dxa"/>
            <w:tcBorders/>
            <w:shd w:fill="auto" w:val="clear"/>
            <w:vAlign w:val="center"/>
          </w:tcPr>
          <w:p>
            <w:pPr>
              <w:pStyle w:val="TableContents"/>
              <w:spacing w:before="0" w:after="0"/>
              <w:ind w:left="0" w:right="0" w:hanging="0"/>
              <w:jc w:val="left"/>
              <w:rPr>
                <w:rFonts w:ascii="Times New Roman" w:hAnsi="Times New Roman"/>
                <w:sz w:val="20"/>
              </w:rPr>
            </w:pPr>
            <w:r>
              <w:rPr>
                <w:rFonts w:ascii="Times New Roman;serif" w:hAnsi="Times New Roman;serif"/>
                <w:b w:val="false"/>
                <w:sz w:val="20"/>
              </w:rPr>
              <w:t>Image enhancement and maintenance services</w:t>
            </w:r>
            <w:r>
              <w:rPr>
                <w:rFonts w:ascii="Times New Roman;serif" w:hAnsi="Times New Roman;serif"/>
                <w:b w:val="false"/>
                <w:sz w:val="13"/>
              </w:rPr>
              <w:t>(2)</w:t>
            </w:r>
          </w:p>
        </w:tc>
        <w:tc>
          <w:tcPr>
            <w:tcW w:w="280" w:type="dxa"/>
            <w:tcBorders/>
            <w:shd w:fill="auto" w:val="clear"/>
            <w:vAlign w:val="center"/>
          </w:tcPr>
          <w:p>
            <w:pPr>
              <w:pStyle w:val="TableContents"/>
              <w:spacing w:before="0" w:after="0"/>
              <w:ind w:left="0" w:right="0" w:hanging="0"/>
              <w:jc w:val="left"/>
              <w:rPr/>
            </w:pPr>
            <w:r>
              <w:rPr/>
              <w:t> </w:t>
            </w:r>
          </w:p>
        </w:tc>
        <w:tc>
          <w:tcPr>
            <w:tcW w:w="194" w:type="dxa"/>
            <w:tcBorders/>
            <w:shd w:fill="auto" w:val="clear"/>
            <w:vAlign w:val="center"/>
          </w:tcPr>
          <w:p>
            <w:pPr>
              <w:pStyle w:val="TableContents"/>
              <w:spacing w:before="0" w:after="0"/>
              <w:ind w:left="0" w:right="0" w:hanging="0"/>
              <w:jc w:val="left"/>
              <w:rPr/>
            </w:pPr>
            <w:r>
              <w:rPr/>
              <w:t> </w:t>
            </w:r>
          </w:p>
        </w:tc>
        <w:tc>
          <w:tcPr>
            <w:tcW w:w="562"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57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6,772</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310" w:type="dxa"/>
            <w:tcBorders/>
            <w:shd w:fill="auto" w:val="clear"/>
            <w:vAlign w:val="center"/>
          </w:tcPr>
          <w:p>
            <w:pPr>
              <w:pStyle w:val="TableContents"/>
              <w:spacing w:before="0" w:after="0"/>
              <w:ind w:left="0" w:right="0" w:hanging="0"/>
              <w:jc w:val="left"/>
              <w:rPr/>
            </w:pPr>
            <w:r>
              <w:rPr/>
              <w:t> </w:t>
            </w:r>
          </w:p>
        </w:tc>
        <w:tc>
          <w:tcPr>
            <w:tcW w:w="215" w:type="dxa"/>
            <w:tcBorders/>
            <w:shd w:fill="auto" w:val="clear"/>
            <w:vAlign w:val="center"/>
          </w:tcPr>
          <w:p>
            <w:pPr>
              <w:pStyle w:val="TableContents"/>
              <w:spacing w:before="0" w:after="0"/>
              <w:ind w:left="0" w:right="0" w:hanging="0"/>
              <w:jc w:val="left"/>
              <w:rPr/>
            </w:pPr>
            <w:r>
              <w:rPr/>
              <w:t> </w:t>
            </w:r>
          </w:p>
        </w:tc>
        <w:tc>
          <w:tcPr>
            <w:tcW w:w="511"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57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2,915</w:t>
            </w:r>
          </w:p>
        </w:tc>
        <w:tc>
          <w:tcPr>
            <w:tcW w:w="191" w:type="dxa"/>
            <w:tcBorders/>
            <w:shd w:fill="auto" w:val="clear"/>
            <w:vAlign w:val="center"/>
          </w:tcPr>
          <w:p>
            <w:pPr>
              <w:pStyle w:val="TableContents"/>
              <w:spacing w:before="0" w:after="0"/>
              <w:ind w:left="0" w:right="0" w:hanging="0"/>
              <w:jc w:val="left"/>
              <w:rPr/>
            </w:pPr>
            <w:r>
              <w:rPr/>
              <w:t> </w:t>
            </w:r>
          </w:p>
        </w:tc>
      </w:tr>
      <w:tr>
        <w:trPr/>
        <w:tc>
          <w:tcPr>
            <w:tcW w:w="4021" w:type="dxa"/>
            <w:tcBorders/>
            <w:shd w:fill="auto" w:val="clear"/>
            <w:vAlign w:val="center"/>
          </w:tcPr>
          <w:p>
            <w:pPr>
              <w:pStyle w:val="TableContents"/>
              <w:spacing w:before="0" w:after="0"/>
              <w:ind w:left="0" w:right="0" w:hanging="0"/>
              <w:jc w:val="left"/>
              <w:rPr>
                <w:rFonts w:ascii="Times New Roman" w:hAnsi="Times New Roman"/>
                <w:sz w:val="20"/>
              </w:rPr>
            </w:pPr>
            <w:r>
              <w:rPr>
                <w:rFonts w:ascii="Times New Roman;serif" w:hAnsi="Times New Roman;serif"/>
                <w:b w:val="false"/>
                <w:sz w:val="20"/>
              </w:rPr>
              <w:t>Technology rentals</w:t>
            </w:r>
            <w:r>
              <w:rPr>
                <w:rFonts w:ascii="Times New Roman;serif" w:hAnsi="Times New Roman;serif"/>
                <w:b w:val="false"/>
                <w:sz w:val="13"/>
              </w:rPr>
              <w:t>(3)</w:t>
            </w:r>
          </w:p>
        </w:tc>
        <w:tc>
          <w:tcPr>
            <w:tcW w:w="280"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94"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562"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73</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57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260</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310"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215"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5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45</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57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465</w:t>
            </w:r>
          </w:p>
        </w:tc>
        <w:tc>
          <w:tcPr>
            <w:tcW w:w="1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r>
        <w:trPr/>
        <w:tc>
          <w:tcPr>
            <w:tcW w:w="402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Total</w:t>
            </w:r>
          </w:p>
        </w:tc>
        <w:tc>
          <w:tcPr>
            <w:tcW w:w="280"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94"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562"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273</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57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7,048</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310"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215"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51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45</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57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3,542</w:t>
            </w:r>
          </w:p>
        </w:tc>
        <w:tc>
          <w:tcPr>
            <w:tcW w:w="19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bl>
    <w:p>
      <w:pPr>
        <w:pStyle w:val="TextBody"/>
        <w:pBdr>
          <w:bottom w:val="single" w:sz="4" w:space="1" w:color="000000"/>
        </w:pBdr>
        <w:spacing w:before="0" w:after="0"/>
        <w:jc w:val="left"/>
        <w:rPr/>
      </w:pPr>
      <w:r>
        <w:rPr/>
        <w:t> </w:t>
      </w:r>
    </w:p>
    <w:p>
      <w:pPr>
        <w:pStyle w:val="TextBody"/>
        <w:spacing w:before="120" w:after="0"/>
        <w:jc w:val="both"/>
        <w:rPr>
          <w:rFonts w:ascii="Times New Roman" w:hAnsi="Times New Roman"/>
          <w:b w:val="false"/>
          <w:sz w:val="20"/>
        </w:rPr>
      </w:pPr>
      <w:r>
        <w:rPr>
          <w:rFonts w:ascii="Times New Roman" w:hAnsi="Times New Roman"/>
          <w:b w:val="false"/>
          <w:sz w:val="20"/>
        </w:rPr>
        <w:t>(1)</w:t>
      </w:r>
    </w:p>
    <w:p>
      <w:pPr>
        <w:pStyle w:val="TextBody"/>
        <w:spacing w:before="120" w:after="0"/>
        <w:jc w:val="both"/>
        <w:rPr>
          <w:rFonts w:ascii="Times New Roman;serif" w:hAnsi="Times New Roman;serif"/>
          <w:b w:val="false"/>
          <w:sz w:val="20"/>
        </w:rPr>
      </w:pPr>
      <w:r>
        <w:rPr>
          <w:rFonts w:ascii="Times New Roman;serif" w:hAnsi="Times New Roman;serif"/>
          <w:b w:val="false"/>
          <w:sz w:val="20"/>
        </w:rPr>
        <w:t>Sales commissions paid prior to the recognition of the related revenue are deferred and recognized upon the client acceptance of the IMAX System. Direct advertising and marketing costs for each IMAX System are expensed as incurred.</w:t>
      </w:r>
    </w:p>
    <w:p>
      <w:pPr>
        <w:pStyle w:val="TextBody"/>
        <w:spacing w:before="120" w:after="0"/>
        <w:jc w:val="both"/>
        <w:rPr>
          <w:rFonts w:ascii="Times New Roman" w:hAnsi="Times New Roman"/>
          <w:b w:val="false"/>
          <w:sz w:val="20"/>
        </w:rPr>
      </w:pPr>
      <w:r>
        <w:rPr>
          <w:rFonts w:ascii="Times New Roman" w:hAnsi="Times New Roman"/>
          <w:b w:val="false"/>
          <w:sz w:val="20"/>
        </w:rPr>
        <w:t>(2)</w:t>
      </w:r>
    </w:p>
    <w:p>
      <w:pPr>
        <w:pStyle w:val="TextBody"/>
        <w:spacing w:before="120" w:after="0"/>
        <w:jc w:val="both"/>
        <w:rPr>
          <w:rFonts w:ascii="Times New Roman;serif" w:hAnsi="Times New Roman;serif"/>
          <w:b w:val="false"/>
          <w:sz w:val="20"/>
        </w:rPr>
      </w:pPr>
      <w:r>
        <w:rPr>
          <w:rFonts w:ascii="Times New Roman;serif" w:hAnsi="Times New Roman;serif"/>
          <w:b w:val="false"/>
          <w:sz w:val="20"/>
        </w:rPr>
        <w:t>Film exploitation costs, including advertising and marketing costs, are expensed as incurred.</w:t>
      </w:r>
    </w:p>
    <w:p>
      <w:pPr>
        <w:pStyle w:val="TextBody"/>
        <w:spacing w:before="120" w:after="0"/>
        <w:jc w:val="both"/>
        <w:rPr>
          <w:rFonts w:ascii="Times New Roman" w:hAnsi="Times New Roman"/>
          <w:b w:val="false"/>
          <w:sz w:val="20"/>
        </w:rPr>
      </w:pPr>
      <w:r>
        <w:rPr>
          <w:rFonts w:ascii="Times New Roman" w:hAnsi="Times New Roman"/>
          <w:b w:val="false"/>
          <w:sz w:val="20"/>
        </w:rPr>
        <w:t>(3)</w:t>
      </w:r>
    </w:p>
    <w:p>
      <w:pPr>
        <w:pStyle w:val="TextBody"/>
        <w:spacing w:before="120" w:after="0"/>
        <w:jc w:val="both"/>
        <w:rPr>
          <w:rFonts w:ascii="Times New Roman;serif" w:hAnsi="Times New Roman;serif"/>
          <w:b w:val="false"/>
          <w:sz w:val="20"/>
        </w:rPr>
      </w:pPr>
      <w:r>
        <w:rPr>
          <w:rFonts w:ascii="Times New Roman;serif" w:hAnsi="Times New Roman;serif"/>
          <w:b w:val="false"/>
          <w:sz w:val="20"/>
        </w:rPr>
        <w:t>Sales commissions related to joint revenue sharing arrangements accounted for operating leases are recognized in the month they are earned by the salesperson, which is typically the month in which the IMAX System is installed. Direct advertising and marketing costs for each IMAX System are expensed as incurred.</w:t>
      </w:r>
    </w:p>
    <w:p>
      <w:pPr>
        <w:pStyle w:val="TextBody"/>
        <w:spacing w:before="200" w:after="0"/>
        <w:jc w:val="left"/>
        <w:rPr>
          <w:rFonts w:ascii="Times New Roman" w:hAnsi="Times New Roman"/>
          <w:b/>
          <w:i/>
          <w:sz w:val="20"/>
        </w:rPr>
      </w:pPr>
      <w:r>
        <w:rPr>
          <w:rFonts w:ascii="Times New Roman" w:hAnsi="Times New Roman"/>
          <w:b/>
          <w:i/>
          <w:sz w:val="20"/>
        </w:rPr>
        <w:t>(b)</w:t>
      </w:r>
    </w:p>
    <w:p>
      <w:pPr>
        <w:pStyle w:val="TextBody"/>
        <w:spacing w:before="200" w:after="283"/>
        <w:jc w:val="left"/>
        <w:rPr>
          <w:rFonts w:ascii="Times New Roman;serif" w:hAnsi="Times New Roman;serif"/>
          <w:b/>
          <w:i/>
          <w:sz w:val="20"/>
        </w:rPr>
      </w:pPr>
      <w:r>
        <w:rPr>
          <w:rFonts w:ascii="Times New Roman;serif" w:hAnsi="Times New Roman;serif"/>
          <w:b/>
          <w:i/>
          <w:sz w:val="20"/>
        </w:rPr>
        <w:t>Foreign Exchange</w:t>
      </w:r>
    </w:p>
    <w:p>
      <w:pPr>
        <w:pStyle w:val="TextBody"/>
        <w:spacing w:before="200" w:after="0"/>
        <w:jc w:val="both"/>
        <w:rPr>
          <w:rFonts w:ascii="Times New Roman;serif" w:hAnsi="Times New Roman;serif"/>
          <w:b w:val="false"/>
          <w:sz w:val="20"/>
        </w:rPr>
      </w:pPr>
      <w:r>
        <w:rPr>
          <w:rFonts w:ascii="Times New Roman;serif" w:hAnsi="Times New Roman;serif"/>
          <w:b w:val="false"/>
          <w:sz w:val="20"/>
        </w:rPr>
        <w:t>Included in Selling, General and Administrative Expenses for the three months ended March 31, 2023 is a foreign currency net loss of $(0.1) million, (2022 — foreign currency net loss of $(0.1) million) resulting from changes in exchange rates related to foreign currency denominated monetary assets and liabilities. (See Note 15(c) for additional information.)</w:t>
      </w:r>
    </w:p>
    <w:p>
      <w:pPr>
        <w:pStyle w:val="TextBody"/>
        <w:spacing w:before="200" w:after="0"/>
        <w:jc w:val="left"/>
        <w:rPr>
          <w:rFonts w:ascii="Times New Roman" w:hAnsi="Times New Roman"/>
          <w:b/>
          <w:i/>
          <w:sz w:val="20"/>
        </w:rPr>
      </w:pPr>
      <w:r>
        <w:rPr>
          <w:rFonts w:ascii="Times New Roman" w:hAnsi="Times New Roman"/>
          <w:b/>
          <w:i/>
          <w:sz w:val="20"/>
        </w:rPr>
        <w:t>(c)</w:t>
      </w:r>
    </w:p>
    <w:p>
      <w:pPr>
        <w:pStyle w:val="TextBody"/>
        <w:spacing w:before="200" w:after="283"/>
        <w:jc w:val="left"/>
        <w:rPr>
          <w:rFonts w:ascii="Times New Roman;serif" w:hAnsi="Times New Roman;serif"/>
          <w:b/>
          <w:i/>
          <w:sz w:val="20"/>
        </w:rPr>
      </w:pPr>
      <w:r>
        <w:rPr>
          <w:rFonts w:ascii="Times New Roman;serif" w:hAnsi="Times New Roman;serif"/>
          <w:b/>
          <w:i/>
          <w:sz w:val="20"/>
        </w:rPr>
        <w:t>Collaborative Arrangements</w:t>
      </w:r>
    </w:p>
    <w:p>
      <w:pPr>
        <w:pStyle w:val="TextBody"/>
        <w:spacing w:before="200" w:after="0"/>
        <w:jc w:val="both"/>
        <w:rPr>
          <w:rFonts w:ascii="Times New Roman;serif" w:hAnsi="Times New Roman;serif"/>
          <w:b w:val="false"/>
          <w:i/>
          <w:sz w:val="20"/>
        </w:rPr>
      </w:pPr>
      <w:r>
        <w:rPr>
          <w:rFonts w:ascii="Times New Roman;serif" w:hAnsi="Times New Roman;serif"/>
          <w:b w:val="false"/>
          <w:i/>
          <w:sz w:val="20"/>
        </w:rPr>
        <w:t>Joint Revenue Sharing Arrangements</w:t>
      </w:r>
    </w:p>
    <w:p>
      <w:pPr>
        <w:pStyle w:val="TextBody"/>
        <w:spacing w:before="200" w:after="200"/>
        <w:jc w:val="both"/>
        <w:rPr>
          <w:rFonts w:ascii="Times New Roman" w:hAnsi="Times New Roman"/>
          <w:sz w:val="20"/>
        </w:rPr>
      </w:pPr>
      <w:r>
        <w:rPr>
          <w:rFonts w:ascii="Times New Roman;serif" w:hAnsi="Times New Roman;serif"/>
          <w:b w:val="false"/>
          <w:sz w:val="20"/>
        </w:rPr>
        <w:t>The accounting policy for the Company’s joint revenue sharing arrangements is disclosed in Note 3(o) of the Company’s audited Consolidated Financial Statements in its 2022 Form 10-K.</w:t>
      </w:r>
      <w:r>
        <w:rPr>
          <w:rFonts w:ascii="Times New Roman" w:hAnsi="Times New Roman"/>
          <w:sz w:val="20"/>
        </w:rPr>
        <w:t xml:space="preserve"> </w:t>
      </w:r>
    </w:p>
    <w:p>
      <w:pPr>
        <w:pStyle w:val="TextBody"/>
        <w:spacing w:before="200" w:after="0"/>
        <w:jc w:val="both"/>
        <w:rPr>
          <w:rFonts w:ascii="Times New Roman" w:hAnsi="Times New Roman"/>
          <w:sz w:val="20"/>
        </w:rPr>
      </w:pPr>
      <w:r>
        <w:rPr>
          <w:rFonts w:ascii="Times New Roman;serif" w:hAnsi="Times New Roman;serif"/>
          <w:b w:val="false"/>
          <w:sz w:val="20"/>
        </w:rPr>
        <w:t>Revenue attributable to transactions arising between the Company and its customers under joint revenue sharing arrangements are recorded within Revenues — Technology Sales (for hybrid joint revenue sharing arrangements) and Revenues — Technology Rentals (for traditional joint revenue sharing arrangements). For the three months ended March 31, 2023, such revenues totaled $20.1</w:t>
      </w:r>
      <w:r>
        <w:rPr>
          <w:rFonts w:ascii="Times New Roman" w:hAnsi="Times New Roman"/>
          <w:sz w:val="20"/>
        </w:rPr>
        <w:t xml:space="preserve"> </w:t>
      </w:r>
      <w:r>
        <w:rPr>
          <w:rFonts w:ascii="Times New Roman;serif" w:hAnsi="Times New Roman;serif"/>
          <w:b w:val="false"/>
          <w:sz w:val="20"/>
        </w:rPr>
        <w:t>million</w:t>
      </w:r>
      <w:r>
        <w:rPr>
          <w:rFonts w:ascii="Times New Roman" w:hAnsi="Times New Roman"/>
          <w:sz w:val="20"/>
        </w:rPr>
        <w:t xml:space="preserve"> </w:t>
      </w:r>
      <w:r>
        <w:rPr>
          <w:rFonts w:ascii="Times New Roman;serif" w:hAnsi="Times New Roman;serif"/>
          <w:b w:val="false"/>
          <w:sz w:val="20"/>
        </w:rPr>
        <w:t>(2022 — $13.6</w:t>
      </w:r>
      <w:r>
        <w:rPr>
          <w:rFonts w:ascii="Times New Roman" w:hAnsi="Times New Roman"/>
          <w:sz w:val="20"/>
        </w:rPr>
        <w:t xml:space="preserve"> </w:t>
      </w:r>
      <w:r>
        <w:rPr>
          <w:rFonts w:ascii="Times New Roman;serif" w:hAnsi="Times New Roman;serif"/>
          <w:b w:val="false"/>
          <w:sz w:val="20"/>
        </w:rPr>
        <w:t>million).</w:t>
      </w:r>
    </w:p>
    <w:p>
      <w:pPr>
        <w:pStyle w:val="TextBody"/>
        <w:spacing w:before="200" w:after="0"/>
        <w:jc w:val="both"/>
        <w:rPr>
          <w:rFonts w:ascii="Times New Roman" w:hAnsi="Times New Roman"/>
          <w:sz w:val="20"/>
        </w:rPr>
      </w:pPr>
      <w:r>
        <w:rPr>
          <w:rFonts w:ascii="Times New Roman;serif" w:hAnsi="Times New Roman;serif"/>
          <w:b w:val="false"/>
          <w:i/>
          <w:sz w:val="20"/>
        </w:rPr>
        <w:t>IMAX Film Remastering and Distribution</w:t>
      </w:r>
      <w:r>
        <w:rPr>
          <w:rFonts w:ascii="Times New Roman" w:hAnsi="Times New Roman"/>
          <w:sz w:val="20"/>
        </w:rPr>
        <w:t xml:space="preserve"> </w:t>
      </w:r>
    </w:p>
    <w:p>
      <w:pPr>
        <w:pStyle w:val="TextBody"/>
        <w:spacing w:before="200" w:after="0"/>
        <w:jc w:val="both"/>
        <w:rPr>
          <w:rFonts w:ascii="Times New Roman;serif" w:hAnsi="Times New Roman;serif"/>
          <w:b w:val="false"/>
          <w:sz w:val="20"/>
        </w:rPr>
      </w:pPr>
      <w:r>
        <w:rPr>
          <w:rFonts w:ascii="Times New Roman;serif" w:hAnsi="Times New Roman;serif"/>
          <w:b w:val="false"/>
          <w:sz w:val="20"/>
        </w:rPr>
        <w:t>In an IMAX film remastering and distribution (formerly known as “IMAX DMR”) arrangement, the Company receives a percentage of the box office receipts from a third party who owns the copyright to a film in exchange for converting the film into IMAX format and distributing it through the IMAX network. The fee earned by the Company in a typical IMAX film remastering and distribution arrangement averages approximately 12.5% of box office receipts (i.e. gross box office receipts less applicable sales taxes), except for within Greater China, where the Company receives a lower percentage of net box office receipts for certain Hollywood films. The accounting policy for the Company’s IMAX film remastering and distribution arrangements is disclosed in Note 3(o) of the Company’s audited Consolidated Financial Statements in its 2022 Form 10-K.</w:t>
      </w:r>
    </w:p>
    <w:p>
      <w:pPr>
        <w:pStyle w:val="TextBody"/>
        <w:spacing w:before="200" w:after="0"/>
        <w:jc w:val="both"/>
        <w:rPr>
          <w:rFonts w:ascii="Times New Roman" w:hAnsi="Times New Roman"/>
          <w:sz w:val="20"/>
        </w:rPr>
      </w:pPr>
      <w:r>
        <w:rPr>
          <w:rFonts w:ascii="Times New Roman;serif" w:hAnsi="Times New Roman;serif"/>
          <w:b w:val="false"/>
          <w:sz w:val="20"/>
        </w:rPr>
        <w:t>Revenue attributable to transactions arising between the Company and its customers under IMAX film remastering and distribution arrangements are included in Revenues – Image Enhancement and Maintenance Services. For the three months ended March 31, 2023, such revenues totaled $30.1</w:t>
      </w:r>
      <w:r>
        <w:rPr>
          <w:rFonts w:ascii="Times New Roman" w:hAnsi="Times New Roman"/>
          <w:sz w:val="20"/>
        </w:rPr>
        <w:t xml:space="preserve"> </w:t>
      </w:r>
      <w:r>
        <w:rPr>
          <w:rFonts w:ascii="Times New Roman;serif" w:hAnsi="Times New Roman;serif"/>
          <w:b w:val="false"/>
          <w:sz w:val="20"/>
        </w:rPr>
        <w:t>million</w:t>
      </w:r>
      <w:r>
        <w:rPr>
          <w:rFonts w:ascii="Times New Roman" w:hAnsi="Times New Roman"/>
          <w:sz w:val="20"/>
        </w:rPr>
        <w:t xml:space="preserve"> </w:t>
      </w:r>
      <w:r>
        <w:rPr>
          <w:rFonts w:ascii="Times New Roman;serif" w:hAnsi="Times New Roman;serif"/>
          <w:b w:val="false"/>
          <w:sz w:val="20"/>
        </w:rPr>
        <w:t>(2022 — $19.6</w:t>
      </w:r>
      <w:r>
        <w:rPr>
          <w:rFonts w:ascii="Times New Roman" w:hAnsi="Times New Roman"/>
          <w:sz w:val="20"/>
        </w:rPr>
        <w:t xml:space="preserve"> </w:t>
      </w:r>
      <w:r>
        <w:rPr>
          <w:rFonts w:ascii="Times New Roman;serif" w:hAnsi="Times New Roman;serif"/>
          <w:b w:val="false"/>
          <w:sz w:val="20"/>
        </w:rPr>
        <w:t>million). (See Note 12(a) for a disaggregated presentation of the Company’s revenues.)</w:t>
      </w:r>
    </w:p>
    <w:p>
      <w:pPr>
        <w:pStyle w:val="TextBody"/>
        <w:spacing w:before="240" w:after="0"/>
        <w:jc w:val="center"/>
        <w:rPr>
          <w:rFonts w:ascii="Times New Roman;serif" w:hAnsi="Times New Roman;serif"/>
          <w:b w:val="false"/>
          <w:sz w:val="20"/>
        </w:rPr>
      </w:pPr>
      <w:r>
        <w:rPr>
          <w:rFonts w:ascii="Times New Roman;serif" w:hAnsi="Times New Roman;serif"/>
          <w:b w:val="false"/>
          <w:sz w:val="20"/>
        </w:rPr>
        <w:t>25</w:t>
      </w:r>
    </w:p>
    <w:p>
      <w:pPr>
        <w:pStyle w:val="HorizontalLine"/>
        <w:rPr/>
      </w:pPr>
      <w:r>
        <w:rPr/>
      </w:r>
    </w:p>
    <w:p>
      <w:pPr>
        <w:pStyle w:val="TextBody"/>
        <w:spacing w:before="0" w:after="0"/>
        <w:jc w:val="left"/>
        <w:rPr/>
      </w:pPr>
      <w:r>
        <w:rPr/>
        <w:t> </w:t>
      </w:r>
    </w:p>
    <w:p>
      <w:pPr>
        <w:pStyle w:val="TextBody"/>
        <w:spacing w:before="200" w:after="0"/>
        <w:jc w:val="both"/>
        <w:rPr>
          <w:rFonts w:ascii="Times New Roman;serif" w:hAnsi="Times New Roman;serif"/>
          <w:b w:val="false"/>
          <w:i/>
          <w:sz w:val="20"/>
        </w:rPr>
      </w:pPr>
      <w:r>
        <w:rPr>
          <w:rFonts w:ascii="Times New Roman;serif" w:hAnsi="Times New Roman;serif"/>
          <w:b w:val="false"/>
          <w:i/>
          <w:sz w:val="20"/>
        </w:rPr>
        <w:t>Co-Produced Film Arrangements</w:t>
      </w:r>
    </w:p>
    <w:p>
      <w:pPr>
        <w:pStyle w:val="TextBody"/>
        <w:spacing w:before="200" w:after="0"/>
        <w:jc w:val="both"/>
        <w:rPr>
          <w:rFonts w:ascii="Times New Roman" w:hAnsi="Times New Roman"/>
          <w:sz w:val="20"/>
        </w:rPr>
      </w:pPr>
      <w:r>
        <w:rPr>
          <w:rFonts w:ascii="Times New Roman;serif" w:hAnsi="Times New Roman;serif"/>
          <w:b w:val="false"/>
          <w:sz w:val="20"/>
        </w:rPr>
        <w:t>In certain film arrangements, the Company co-produces a film with a third party whereby the third party retains the copyright and certain other rights to the film. In some cases, the Company obtains exclusive theatrical distribution rights to the film. Under these arrangements, both parties contribute to the funding of the production, distribution and exploitation costs associated with the film.</w:t>
      </w:r>
      <w:r>
        <w:rPr>
          <w:rFonts w:ascii="Times New Roman" w:hAnsi="Times New Roman"/>
          <w:sz w:val="20"/>
        </w:rPr>
        <w:t xml:space="preserve"> </w:t>
      </w:r>
    </w:p>
    <w:p>
      <w:pPr>
        <w:pStyle w:val="TextBody"/>
        <w:spacing w:before="200" w:after="0"/>
        <w:jc w:val="both"/>
        <w:rPr>
          <w:rFonts w:ascii="Times New Roman" w:hAnsi="Times New Roman"/>
          <w:sz w:val="20"/>
        </w:rPr>
      </w:pPr>
      <w:r>
        <w:rPr>
          <w:rFonts w:ascii="Times New Roman;serif" w:hAnsi="Times New Roman;serif"/>
          <w:b w:val="false"/>
          <w:sz w:val="20"/>
        </w:rPr>
        <w:t>As of March 31, 2023, the Company is party to one</w:t>
      </w:r>
      <w:r>
        <w:rPr>
          <w:rFonts w:ascii="Times New Roman" w:hAnsi="Times New Roman"/>
          <w:sz w:val="20"/>
        </w:rPr>
        <w:t xml:space="preserve"> </w:t>
      </w:r>
      <w:r>
        <w:rPr>
          <w:rFonts w:ascii="Times New Roman;serif" w:hAnsi="Times New Roman;serif"/>
          <w:b w:val="false"/>
          <w:sz w:val="20"/>
        </w:rPr>
        <w:t>co-produced film arrangement, which represents the VIE total assets balance of $1.5</w:t>
      </w:r>
      <w:r>
        <w:rPr>
          <w:rFonts w:ascii="Times New Roman" w:hAnsi="Times New Roman"/>
          <w:sz w:val="20"/>
        </w:rPr>
        <w:t xml:space="preserve"> </w:t>
      </w:r>
      <w:r>
        <w:rPr>
          <w:rFonts w:ascii="Times New Roman;serif" w:hAnsi="Times New Roman;serif"/>
          <w:b w:val="false"/>
          <w:sz w:val="20"/>
        </w:rPr>
        <w:t>million</w:t>
      </w:r>
      <w:r>
        <w:rPr>
          <w:rFonts w:ascii="Times New Roman" w:hAnsi="Times New Roman"/>
          <w:sz w:val="20"/>
        </w:rPr>
        <w:t xml:space="preserve"> </w:t>
      </w:r>
      <w:r>
        <w:rPr>
          <w:rFonts w:ascii="Times New Roman;serif" w:hAnsi="Times New Roman;serif"/>
          <w:b w:val="false"/>
          <w:sz w:val="20"/>
        </w:rPr>
        <w:t>and liabilities balance of $0.2</w:t>
      </w:r>
      <w:r>
        <w:rPr>
          <w:rFonts w:ascii="Times New Roman" w:hAnsi="Times New Roman"/>
          <w:sz w:val="20"/>
        </w:rPr>
        <w:t xml:space="preserve"> </w:t>
      </w:r>
      <w:r>
        <w:rPr>
          <w:rFonts w:ascii="Times New Roman;serif" w:hAnsi="Times New Roman;serif"/>
          <w:b w:val="false"/>
          <w:sz w:val="20"/>
        </w:rPr>
        <w:t>million, and four</w:t>
      </w:r>
      <w:r>
        <w:rPr>
          <w:rFonts w:ascii="Times New Roman" w:hAnsi="Times New Roman"/>
          <w:sz w:val="20"/>
        </w:rPr>
        <w:t xml:space="preserve"> </w:t>
      </w:r>
      <w:r>
        <w:rPr>
          <w:rFonts w:ascii="Times New Roman;serif" w:hAnsi="Times New Roman;serif"/>
          <w:b w:val="false"/>
          <w:sz w:val="20"/>
        </w:rPr>
        <w:t>other co-produced film arrangements, the terms of which are similar. The accounting policies relating to co-produced film arrangements are disclosed in Notes 3(a) and 3(o) of the Company’s 2022 Form 10-K.</w:t>
      </w:r>
    </w:p>
    <w:p>
      <w:pPr>
        <w:pStyle w:val="TextBody"/>
        <w:spacing w:before="200" w:after="0"/>
        <w:jc w:val="both"/>
        <w:rPr>
          <w:rFonts w:ascii="Times New Roman" w:hAnsi="Times New Roman"/>
          <w:sz w:val="20"/>
        </w:rPr>
      </w:pPr>
      <w:r>
        <w:rPr>
          <w:rFonts w:ascii="Times New Roman;serif" w:hAnsi="Times New Roman;serif"/>
          <w:b w:val="false"/>
          <w:sz w:val="20"/>
        </w:rPr>
        <w:t>For the three months ended March 31, 2023, an expense of $0.1</w:t>
      </w:r>
      <w:r>
        <w:rPr>
          <w:rFonts w:ascii="Times New Roman" w:hAnsi="Times New Roman"/>
          <w:sz w:val="20"/>
        </w:rPr>
        <w:t xml:space="preserve"> </w:t>
      </w:r>
      <w:r>
        <w:rPr>
          <w:rFonts w:ascii="Times New Roman;serif" w:hAnsi="Times New Roman;serif"/>
          <w:b w:val="false"/>
          <w:sz w:val="20"/>
        </w:rPr>
        <w:t>million</w:t>
      </w:r>
      <w:r>
        <w:rPr>
          <w:rFonts w:ascii="Times New Roman" w:hAnsi="Times New Roman"/>
          <w:sz w:val="20"/>
        </w:rPr>
        <w:t xml:space="preserve"> </w:t>
      </w:r>
      <w:r>
        <w:rPr>
          <w:rFonts w:ascii="Times New Roman;serif" w:hAnsi="Times New Roman;serif"/>
          <w:b w:val="false"/>
          <w:sz w:val="20"/>
        </w:rPr>
        <w:t>(2022 — $0.1</w:t>
      </w:r>
      <w:r>
        <w:rPr>
          <w:rFonts w:ascii="Times New Roman" w:hAnsi="Times New Roman"/>
          <w:sz w:val="20"/>
        </w:rPr>
        <w:t xml:space="preserve"> </w:t>
      </w:r>
      <w:r>
        <w:rPr>
          <w:rFonts w:ascii="Times New Roman;serif" w:hAnsi="Times New Roman;serif"/>
          <w:b w:val="false"/>
          <w:sz w:val="20"/>
        </w:rPr>
        <w:t>million) attributable to transactions between the Company and other parties involved in the production of the films have been included in Costs and Expenses Applicable to Revenues ― Image Enhancement and Maintenance Services.</w:t>
      </w:r>
    </w:p>
    <w:p>
      <w:pPr>
        <w:pStyle w:val="TextBody"/>
        <w:spacing w:before="200" w:after="0"/>
        <w:jc w:val="both"/>
        <w:rPr>
          <w:rFonts w:ascii="Times New Roman;serif" w:hAnsi="Times New Roman;serif"/>
          <w:b/>
          <w:sz w:val="20"/>
        </w:rPr>
      </w:pPr>
      <w:r>
        <w:rPr>
          <w:rFonts w:ascii="Times New Roman;serif" w:hAnsi="Times New Roman;serif"/>
          <w:b/>
          <w:sz w:val="20"/>
        </w:rPr>
        <w:t>9. Condensed Consolidated Statements of Cash Flows – Supplemental Information</w:t>
      </w:r>
    </w:p>
    <w:p>
      <w:pPr>
        <w:pStyle w:val="TextBody"/>
        <w:spacing w:before="200" w:after="200"/>
        <w:jc w:val="left"/>
        <w:rPr>
          <w:rFonts w:ascii="Times New Roman" w:hAnsi="Times New Roman"/>
          <w:b/>
          <w:i/>
          <w:sz w:val="20"/>
        </w:rPr>
      </w:pPr>
      <w:r>
        <w:rPr>
          <w:rFonts w:ascii="Times New Roman" w:hAnsi="Times New Roman"/>
          <w:b/>
          <w:i/>
          <w:sz w:val="20"/>
        </w:rPr>
        <w:t>(a)</w:t>
      </w:r>
    </w:p>
    <w:p>
      <w:pPr>
        <w:pStyle w:val="TextBody"/>
        <w:spacing w:before="200" w:after="200"/>
        <w:jc w:val="left"/>
        <w:rPr>
          <w:rFonts w:ascii="Times New Roman;serif" w:hAnsi="Times New Roman;serif"/>
          <w:b/>
          <w:i/>
          <w:sz w:val="20"/>
        </w:rPr>
      </w:pPr>
      <w:r>
        <w:rPr>
          <w:rFonts w:ascii="Times New Roman;serif" w:hAnsi="Times New Roman;serif"/>
          <w:b/>
          <w:i/>
          <w:sz w:val="20"/>
        </w:rPr>
        <w:t>Changes in other operating assets and liabilities</w:t>
      </w:r>
    </w:p>
    <w:tbl>
      <w:tblPr>
        <w:tblW w:w="5630" w:type="dxa"/>
        <w:jc w:val="left"/>
        <w:tblInd w:w="0" w:type="dxa"/>
        <w:tblCellMar>
          <w:top w:w="28" w:type="dxa"/>
          <w:left w:w="28" w:type="dxa"/>
          <w:bottom w:w="28" w:type="dxa"/>
          <w:right w:w="28" w:type="dxa"/>
        </w:tblCellMar>
      </w:tblPr>
      <w:tblGrid>
        <w:gridCol w:w="2926"/>
        <w:gridCol w:w="211"/>
        <w:gridCol w:w="146"/>
        <w:gridCol w:w="631"/>
        <w:gridCol w:w="166"/>
        <w:gridCol w:w="146"/>
        <w:gridCol w:w="211"/>
        <w:gridCol w:w="146"/>
        <w:gridCol w:w="736"/>
        <w:gridCol w:w="311"/>
      </w:tblGrid>
      <w:tr>
        <w:trPr/>
        <w:tc>
          <w:tcPr>
            <w:tcW w:w="2926"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631" w:type="dxa"/>
            <w:tcBorders/>
            <w:shd w:fill="auto" w:val="clear"/>
            <w:vAlign w:val="center"/>
          </w:tcPr>
          <w:p>
            <w:pPr>
              <w:pStyle w:val="TableContents"/>
              <w:spacing w:before="0" w:after="283"/>
              <w:rPr>
                <w:sz w:val="4"/>
                <w:szCs w:val="4"/>
              </w:rPr>
            </w:pPr>
            <w:r>
              <w:rPr>
                <w:sz w:val="4"/>
                <w:szCs w:val="4"/>
              </w:rPr>
            </w:r>
          </w:p>
        </w:tc>
        <w:tc>
          <w:tcPr>
            <w:tcW w:w="16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736" w:type="dxa"/>
            <w:tcBorders/>
            <w:shd w:fill="auto" w:val="clear"/>
            <w:vAlign w:val="center"/>
          </w:tcPr>
          <w:p>
            <w:pPr>
              <w:pStyle w:val="TableContents"/>
              <w:spacing w:before="0" w:after="283"/>
              <w:rPr>
                <w:sz w:val="4"/>
                <w:szCs w:val="4"/>
              </w:rPr>
            </w:pPr>
            <w:r>
              <w:rPr>
                <w:sz w:val="4"/>
                <w:szCs w:val="4"/>
              </w:rPr>
            </w:r>
          </w:p>
        </w:tc>
        <w:tc>
          <w:tcPr>
            <w:tcW w:w="311" w:type="dxa"/>
            <w:tcBorders/>
            <w:shd w:fill="auto" w:val="clear"/>
            <w:vAlign w:val="center"/>
          </w:tcPr>
          <w:p>
            <w:pPr>
              <w:pStyle w:val="TableContents"/>
              <w:spacing w:before="0" w:after="283"/>
              <w:rPr>
                <w:sz w:val="4"/>
                <w:szCs w:val="4"/>
              </w:rPr>
            </w:pPr>
            <w:r>
              <w:rPr>
                <w:sz w:val="4"/>
                <w:szCs w:val="4"/>
              </w:rPr>
            </w:r>
          </w:p>
        </w:tc>
      </w:tr>
      <w:tr>
        <w:trPr/>
        <w:tc>
          <w:tcPr>
            <w:tcW w:w="2926" w:type="dxa"/>
            <w:tcBorders/>
            <w:shd w:fill="auto" w:val="clear"/>
            <w:vAlign w:val="center"/>
          </w:tcPr>
          <w:p>
            <w:pPr>
              <w:pStyle w:val="TableContents"/>
              <w:spacing w:before="0" w:after="0"/>
              <w:ind w:left="0" w:right="0" w:hanging="0"/>
              <w:jc w:val="left"/>
              <w:rPr/>
            </w:pPr>
            <w:r>
              <w:rPr/>
              <w:t> </w:t>
            </w:r>
          </w:p>
        </w:tc>
        <w:tc>
          <w:tcPr>
            <w:tcW w:w="2393" w:type="dxa"/>
            <w:gridSpan w:val="8"/>
            <w:tcBorders/>
            <w:shd w:fill="auto" w:val="cle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Three Months Ended</w:t>
            </w:r>
          </w:p>
        </w:tc>
        <w:tc>
          <w:tcPr>
            <w:tcW w:w="311" w:type="dxa"/>
            <w:tcBorders/>
            <w:shd w:fill="auto" w:val="clear"/>
            <w:vAlign w:val="center"/>
          </w:tcPr>
          <w:p>
            <w:pPr>
              <w:pStyle w:val="TableContents"/>
              <w:spacing w:before="0" w:after="0"/>
              <w:ind w:left="0" w:right="0" w:hanging="0"/>
              <w:jc w:val="center"/>
              <w:rPr/>
            </w:pPr>
            <w:r>
              <w:rPr/>
              <w:t> </w:t>
            </w:r>
          </w:p>
        </w:tc>
      </w:tr>
      <w:tr>
        <w:trPr/>
        <w:tc>
          <w:tcPr>
            <w:tcW w:w="2926" w:type="dxa"/>
            <w:tcBorders/>
            <w:shd w:fill="auto" w:val="clear"/>
            <w:vAlign w:val="center"/>
          </w:tcPr>
          <w:p>
            <w:pPr>
              <w:pStyle w:val="TableContents"/>
              <w:spacing w:before="0" w:after="0"/>
              <w:ind w:left="0" w:right="0" w:hanging="0"/>
              <w:jc w:val="left"/>
              <w:rPr/>
            </w:pPr>
            <w:r>
              <w:rPr/>
              <w:t> </w:t>
            </w:r>
          </w:p>
        </w:tc>
        <w:tc>
          <w:tcPr>
            <w:tcW w:w="2393" w:type="dxa"/>
            <w:gridSpan w:val="8"/>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March 31,</w:t>
            </w:r>
          </w:p>
        </w:tc>
        <w:tc>
          <w:tcPr>
            <w:tcW w:w="3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2926" w:type="dxa"/>
            <w:tcBorders/>
            <w:shd w:fill="auto" w:val="clear"/>
            <w:vAlign w:val="center"/>
          </w:tcPr>
          <w:p>
            <w:pPr>
              <w:pStyle w:val="TableContents"/>
              <w:spacing w:before="0" w:after="0"/>
              <w:ind w:left="0" w:right="0" w:hanging="0"/>
              <w:jc w:val="left"/>
              <w:rPr>
                <w:rFonts w:ascii="Times New Roman;serif" w:hAnsi="Times New Roman;serif"/>
                <w:b w:val="false"/>
                <w:i/>
                <w:sz w:val="16"/>
              </w:rPr>
            </w:pPr>
            <w:r>
              <w:rPr>
                <w:rFonts w:ascii="Times New Roman;serif" w:hAnsi="Times New Roman;serif"/>
                <w:b w:val="false"/>
                <w:i/>
                <w:sz w:val="16"/>
              </w:rPr>
              <w:t>(In thousands of U.S. Dollars)</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777"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2023</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882"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2022</w:t>
            </w:r>
          </w:p>
        </w:tc>
        <w:tc>
          <w:tcPr>
            <w:tcW w:w="3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292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(Increase) decrease in:</w:t>
            </w:r>
          </w:p>
        </w:tc>
        <w:tc>
          <w:tcPr>
            <w:tcW w:w="211" w:type="dxa"/>
            <w:tcBorders/>
            <w:shd w:fill="auto" w:val="clear"/>
            <w:vAlign w:val="center"/>
          </w:tcPr>
          <w:p>
            <w:pPr>
              <w:pStyle w:val="TableContents"/>
              <w:spacing w:before="0" w:after="0"/>
              <w:ind w:left="0" w:right="0" w:hanging="0"/>
              <w:jc w:val="left"/>
              <w:rPr/>
            </w:pPr>
            <w:r>
              <w:rPr/>
              <w:t> </w:t>
            </w:r>
          </w:p>
        </w:tc>
        <w:tc>
          <w:tcPr>
            <w:tcW w:w="777" w:type="dxa"/>
            <w:gridSpan w:val="2"/>
            <w:tcBorders/>
            <w:shd w:fill="auto" w:val="clear"/>
            <w:vAlign w:val="center"/>
          </w:tcPr>
          <w:p>
            <w:pPr>
              <w:pStyle w:val="TableContents"/>
              <w:spacing w:before="0" w:after="0"/>
              <w:ind w:left="0" w:right="0" w:hanging="0"/>
              <w:jc w:val="left"/>
              <w:rPr/>
            </w:pPr>
            <w:r>
              <w:rPr/>
              <w:t> </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882" w:type="dxa"/>
            <w:gridSpan w:val="2"/>
            <w:tcBorders/>
            <w:shd w:fill="auto" w:val="clear"/>
            <w:vAlign w:val="center"/>
          </w:tcPr>
          <w:p>
            <w:pPr>
              <w:pStyle w:val="TableContents"/>
              <w:spacing w:before="0" w:after="0"/>
              <w:ind w:left="0" w:right="0" w:hanging="0"/>
              <w:jc w:val="left"/>
              <w:rPr/>
            </w:pPr>
            <w:r>
              <w:rPr/>
              <w:t> </w:t>
            </w:r>
          </w:p>
        </w:tc>
        <w:tc>
          <w:tcPr>
            <w:tcW w:w="311" w:type="dxa"/>
            <w:tcBorders/>
            <w:shd w:fill="auto" w:val="clear"/>
            <w:vAlign w:val="center"/>
          </w:tcPr>
          <w:p>
            <w:pPr>
              <w:pStyle w:val="TableContents"/>
              <w:spacing w:before="0" w:after="0"/>
              <w:ind w:left="0" w:right="0" w:firstLine="100"/>
              <w:jc w:val="left"/>
              <w:rPr/>
            </w:pPr>
            <w:r>
              <w:rPr/>
              <w:t> </w:t>
            </w:r>
          </w:p>
        </w:tc>
      </w:tr>
      <w:tr>
        <w:trPr/>
        <w:tc>
          <w:tcPr>
            <w:tcW w:w="2926" w:type="dxa"/>
            <w:tcBorders/>
            <w:shd w:fill="auto" w:val="clear"/>
            <w:vAlign w:val="center"/>
          </w:tcPr>
          <w:p>
            <w:pPr>
              <w:pStyle w:val="TableContents"/>
              <w:spacing w:before="0" w:after="0"/>
              <w:ind w:left="100" w:right="0" w:hanging="0"/>
              <w:jc w:val="left"/>
              <w:rPr>
                <w:rFonts w:ascii="Times New Roman;serif" w:hAnsi="Times New Roman;serif"/>
                <w:b w:val="false"/>
                <w:sz w:val="20"/>
              </w:rPr>
            </w:pPr>
            <w:r>
              <w:rPr>
                <w:rFonts w:ascii="Times New Roman;serif" w:hAnsi="Times New Roman;serif"/>
                <w:b w:val="false"/>
                <w:sz w:val="20"/>
              </w:rPr>
              <w:t>Financing receivables</w:t>
            </w:r>
          </w:p>
        </w:tc>
        <w:tc>
          <w:tcPr>
            <w:tcW w:w="211" w:type="dxa"/>
            <w:tcBorders/>
            <w:shd w:fill="auto" w:val="clear"/>
            <w:vAlign w:val="center"/>
          </w:tcPr>
          <w:p>
            <w:pPr>
              <w:pStyle w:val="TableContents"/>
              <w:spacing w:before="0" w:after="0"/>
              <w:ind w:left="0" w:right="0" w:hanging="0"/>
              <w:jc w:val="center"/>
              <w:rPr>
                <w:rFonts w:ascii="Times New Roman;serif" w:hAnsi="Times New Roman;serif"/>
                <w:b w:val="false"/>
                <w:sz w:val="20"/>
              </w:rPr>
            </w:pPr>
            <w:r>
              <w:rPr>
                <w:rFonts w:ascii="Times New Roman;serif" w:hAnsi="Times New Roman;serif"/>
                <w:b w:val="false"/>
                <w:sz w:val="20"/>
              </w:rPr>
              <w:t>$</w:t>
            </w:r>
          </w:p>
        </w:tc>
        <w:tc>
          <w:tcPr>
            <w:tcW w:w="146" w:type="dxa"/>
            <w:tcBorders/>
            <w:shd w:fill="auto" w:val="clear"/>
            <w:vAlign w:val="center"/>
          </w:tcPr>
          <w:p>
            <w:pPr>
              <w:pStyle w:val="TableContents"/>
              <w:spacing w:before="0" w:after="0"/>
              <w:ind w:left="0" w:right="0" w:hanging="0"/>
              <w:jc w:val="left"/>
              <w:rPr/>
            </w:pPr>
            <w:r>
              <w:rPr/>
              <w:t> </w:t>
            </w:r>
          </w:p>
        </w:tc>
        <w:tc>
          <w:tcPr>
            <w:tcW w:w="63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(1,625</w:t>
            </w:r>
          </w:p>
        </w:tc>
        <w:tc>
          <w:tcPr>
            <w:tcW w:w="16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center"/>
              <w:rPr>
                <w:rFonts w:ascii="Times New Roman;serif" w:hAnsi="Times New Roman;serif"/>
                <w:b w:val="false"/>
                <w:sz w:val="20"/>
              </w:rPr>
            </w:pPr>
            <w:r>
              <w:rPr>
                <w:rFonts w:ascii="Times New Roman;serif" w:hAnsi="Times New Roman;serif"/>
                <w:b w:val="false"/>
                <w:sz w:val="20"/>
              </w:rPr>
              <w:t>$</w:t>
            </w:r>
          </w:p>
        </w:tc>
        <w:tc>
          <w:tcPr>
            <w:tcW w:w="146" w:type="dxa"/>
            <w:tcBorders/>
            <w:shd w:fill="auto" w:val="clear"/>
            <w:vAlign w:val="center"/>
          </w:tcPr>
          <w:p>
            <w:pPr>
              <w:pStyle w:val="TableContents"/>
              <w:spacing w:before="0" w:after="0"/>
              <w:ind w:left="0" w:right="0" w:hanging="0"/>
              <w:jc w:val="left"/>
              <w:rPr/>
            </w:pPr>
            <w:r>
              <w:rPr/>
              <w:t> </w:t>
            </w:r>
          </w:p>
        </w:tc>
        <w:tc>
          <w:tcPr>
            <w:tcW w:w="73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3,916</w:t>
            </w:r>
          </w:p>
        </w:tc>
        <w:tc>
          <w:tcPr>
            <w:tcW w:w="311" w:type="dxa"/>
            <w:tcBorders/>
            <w:shd w:fill="auto" w:val="clear"/>
            <w:vAlign w:val="center"/>
          </w:tcPr>
          <w:p>
            <w:pPr>
              <w:pStyle w:val="TableContents"/>
              <w:spacing w:before="0" w:after="0"/>
              <w:ind w:left="0" w:right="0" w:firstLine="100"/>
              <w:jc w:val="left"/>
              <w:rPr/>
            </w:pPr>
            <w:r>
              <w:rPr/>
              <w:t> </w:t>
            </w:r>
          </w:p>
        </w:tc>
      </w:tr>
      <w:tr>
        <w:trPr/>
        <w:tc>
          <w:tcPr>
            <w:tcW w:w="2926" w:type="dxa"/>
            <w:tcBorders/>
            <w:shd w:fill="auto" w:val="clear"/>
            <w:vAlign w:val="center"/>
          </w:tcPr>
          <w:p>
            <w:pPr>
              <w:pStyle w:val="TableContents"/>
              <w:spacing w:before="0" w:after="0"/>
              <w:ind w:left="100" w:right="0" w:hanging="0"/>
              <w:jc w:val="left"/>
              <w:rPr>
                <w:rFonts w:ascii="Times New Roman;serif" w:hAnsi="Times New Roman;serif"/>
                <w:b w:val="false"/>
                <w:sz w:val="20"/>
              </w:rPr>
            </w:pPr>
            <w:r>
              <w:rPr>
                <w:rFonts w:ascii="Times New Roman;serif" w:hAnsi="Times New Roman;serif"/>
                <w:b w:val="false"/>
                <w:sz w:val="20"/>
              </w:rPr>
              <w:t>Prepaid expenses</w:t>
            </w:r>
          </w:p>
        </w:tc>
        <w:tc>
          <w:tcPr>
            <w:tcW w:w="211"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63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(2,406</w:t>
            </w:r>
          </w:p>
        </w:tc>
        <w:tc>
          <w:tcPr>
            <w:tcW w:w="16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73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(2,413</w:t>
            </w:r>
          </w:p>
        </w:tc>
        <w:tc>
          <w:tcPr>
            <w:tcW w:w="311" w:type="dxa"/>
            <w:tcBorders/>
            <w:shd w:fill="auto" w:val="clear"/>
            <w:vAlign w:val="center"/>
          </w:tcPr>
          <w:p>
            <w:pPr>
              <w:pStyle w:val="TableContents"/>
              <w:spacing w:before="0" w:after="0"/>
              <w:ind w:left="0" w:right="0" w:firstLine="100"/>
              <w:jc w:val="left"/>
              <w:rPr>
                <w:rFonts w:ascii="Times New Roman;serif" w:hAnsi="Times New Roman;serif"/>
                <w:b w:val="false"/>
                <w:sz w:val="20"/>
              </w:rPr>
            </w:pPr>
            <w:r>
              <w:rPr>
                <w:rFonts w:ascii="Times New Roman;serif" w:hAnsi="Times New Roman;serif"/>
                <w:b w:val="false"/>
                <w:sz w:val="20"/>
              </w:rPr>
              <w:t>)</w:t>
            </w:r>
          </w:p>
        </w:tc>
      </w:tr>
      <w:tr>
        <w:trPr/>
        <w:tc>
          <w:tcPr>
            <w:tcW w:w="2926" w:type="dxa"/>
            <w:tcBorders/>
            <w:shd w:fill="auto" w:val="clear"/>
            <w:vAlign w:val="center"/>
          </w:tcPr>
          <w:p>
            <w:pPr>
              <w:pStyle w:val="TableContents"/>
              <w:spacing w:before="0" w:after="0"/>
              <w:ind w:left="100" w:right="0" w:hanging="0"/>
              <w:jc w:val="left"/>
              <w:rPr>
                <w:rFonts w:ascii="Times New Roman;serif" w:hAnsi="Times New Roman;serif"/>
                <w:b w:val="false"/>
                <w:sz w:val="20"/>
              </w:rPr>
            </w:pPr>
            <w:r>
              <w:rPr>
                <w:rFonts w:ascii="Times New Roman;serif" w:hAnsi="Times New Roman;serif"/>
                <w:b w:val="false"/>
                <w:sz w:val="20"/>
              </w:rPr>
              <w:t>Variable consideration receivables</w:t>
            </w:r>
          </w:p>
        </w:tc>
        <w:tc>
          <w:tcPr>
            <w:tcW w:w="211"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63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(3,440</w:t>
            </w:r>
          </w:p>
        </w:tc>
        <w:tc>
          <w:tcPr>
            <w:tcW w:w="16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73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829</w:t>
            </w:r>
          </w:p>
        </w:tc>
        <w:tc>
          <w:tcPr>
            <w:tcW w:w="311" w:type="dxa"/>
            <w:tcBorders/>
            <w:shd w:fill="auto" w:val="clear"/>
            <w:vAlign w:val="center"/>
          </w:tcPr>
          <w:p>
            <w:pPr>
              <w:pStyle w:val="TableContents"/>
              <w:spacing w:before="0" w:after="0"/>
              <w:ind w:left="0" w:right="0" w:firstLine="100"/>
              <w:jc w:val="left"/>
              <w:rPr/>
            </w:pPr>
            <w:r>
              <w:rPr/>
              <w:t> </w:t>
            </w:r>
          </w:p>
        </w:tc>
      </w:tr>
      <w:tr>
        <w:trPr/>
        <w:tc>
          <w:tcPr>
            <w:tcW w:w="2926" w:type="dxa"/>
            <w:tcBorders/>
            <w:shd w:fill="auto" w:val="clear"/>
            <w:vAlign w:val="center"/>
          </w:tcPr>
          <w:p>
            <w:pPr>
              <w:pStyle w:val="TableContents"/>
              <w:spacing w:before="0" w:after="0"/>
              <w:ind w:left="100" w:right="0" w:hanging="0"/>
              <w:jc w:val="left"/>
              <w:rPr>
                <w:rFonts w:ascii="Times New Roman;serif" w:hAnsi="Times New Roman;serif"/>
                <w:b w:val="false"/>
                <w:sz w:val="20"/>
              </w:rPr>
            </w:pPr>
            <w:r>
              <w:rPr>
                <w:rFonts w:ascii="Times New Roman;serif" w:hAnsi="Times New Roman;serif"/>
                <w:b w:val="false"/>
                <w:sz w:val="20"/>
              </w:rPr>
              <w:t>Other assets</w:t>
            </w:r>
          </w:p>
        </w:tc>
        <w:tc>
          <w:tcPr>
            <w:tcW w:w="211"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63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80</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73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209</w:t>
            </w:r>
          </w:p>
        </w:tc>
        <w:tc>
          <w:tcPr>
            <w:tcW w:w="311" w:type="dxa"/>
            <w:tcBorders/>
            <w:shd w:fill="auto" w:val="clear"/>
            <w:vAlign w:val="center"/>
          </w:tcPr>
          <w:p>
            <w:pPr>
              <w:pStyle w:val="TableContents"/>
              <w:spacing w:before="0" w:after="0"/>
              <w:ind w:left="0" w:right="0" w:hanging="0"/>
              <w:jc w:val="left"/>
              <w:rPr/>
            </w:pPr>
            <w:r>
              <w:rPr/>
              <w:t> </w:t>
            </w:r>
          </w:p>
        </w:tc>
      </w:tr>
      <w:tr>
        <w:trPr/>
        <w:tc>
          <w:tcPr>
            <w:tcW w:w="292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Increase (decrease) in:</w:t>
            </w:r>
          </w:p>
        </w:tc>
        <w:tc>
          <w:tcPr>
            <w:tcW w:w="211" w:type="dxa"/>
            <w:tcBorders/>
            <w:shd w:fill="auto" w:val="clear"/>
            <w:vAlign w:val="center"/>
          </w:tcPr>
          <w:p>
            <w:pPr>
              <w:pStyle w:val="TableContents"/>
              <w:spacing w:before="0" w:after="0"/>
              <w:ind w:left="0" w:right="0" w:hanging="0"/>
              <w:jc w:val="center"/>
              <w:rPr/>
            </w:pPr>
            <w:r>
              <w:rPr/>
              <w:t> </w:t>
            </w:r>
          </w:p>
        </w:tc>
        <w:tc>
          <w:tcPr>
            <w:tcW w:w="777" w:type="dxa"/>
            <w:gridSpan w:val="2"/>
            <w:tcBorders/>
            <w:shd w:fill="auto" w:val="clear"/>
            <w:vAlign w:val="center"/>
          </w:tcPr>
          <w:p>
            <w:pPr>
              <w:pStyle w:val="TableContents"/>
              <w:spacing w:before="0" w:after="0"/>
              <w:ind w:left="0" w:right="0" w:hanging="0"/>
              <w:jc w:val="left"/>
              <w:rPr/>
            </w:pPr>
            <w:r>
              <w:rPr/>
              <w:t> </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center"/>
              <w:rPr/>
            </w:pPr>
            <w:r>
              <w:rPr/>
              <w:t> </w:t>
            </w:r>
          </w:p>
        </w:tc>
        <w:tc>
          <w:tcPr>
            <w:tcW w:w="882" w:type="dxa"/>
            <w:gridSpan w:val="2"/>
            <w:tcBorders/>
            <w:shd w:fill="auto" w:val="clear"/>
            <w:vAlign w:val="center"/>
          </w:tcPr>
          <w:p>
            <w:pPr>
              <w:pStyle w:val="TableContents"/>
              <w:spacing w:before="0" w:after="0"/>
              <w:ind w:left="0" w:right="0" w:hanging="0"/>
              <w:jc w:val="left"/>
              <w:rPr/>
            </w:pPr>
            <w:r>
              <w:rPr/>
              <w:t> </w:t>
            </w:r>
          </w:p>
        </w:tc>
        <w:tc>
          <w:tcPr>
            <w:tcW w:w="311" w:type="dxa"/>
            <w:tcBorders/>
            <w:shd w:fill="auto" w:val="clear"/>
            <w:vAlign w:val="center"/>
          </w:tcPr>
          <w:p>
            <w:pPr>
              <w:pStyle w:val="TableContents"/>
              <w:spacing w:before="0" w:after="0"/>
              <w:ind w:left="0" w:right="0" w:firstLine="100"/>
              <w:jc w:val="left"/>
              <w:rPr/>
            </w:pPr>
            <w:r>
              <w:rPr/>
              <w:t> </w:t>
            </w:r>
          </w:p>
        </w:tc>
      </w:tr>
      <w:tr>
        <w:trPr/>
        <w:tc>
          <w:tcPr>
            <w:tcW w:w="2926" w:type="dxa"/>
            <w:tcBorders/>
            <w:shd w:fill="auto" w:val="clear"/>
            <w:vAlign w:val="center"/>
          </w:tcPr>
          <w:p>
            <w:pPr>
              <w:pStyle w:val="TableContents"/>
              <w:spacing w:before="0" w:after="0"/>
              <w:ind w:left="100" w:right="0" w:hanging="0"/>
              <w:jc w:val="left"/>
              <w:rPr>
                <w:rFonts w:ascii="Times New Roman;serif" w:hAnsi="Times New Roman;serif"/>
                <w:b w:val="false"/>
                <w:sz w:val="20"/>
              </w:rPr>
            </w:pPr>
            <w:r>
              <w:rPr>
                <w:rFonts w:ascii="Times New Roman;serif" w:hAnsi="Times New Roman;serif"/>
                <w:b w:val="false"/>
                <w:sz w:val="20"/>
              </w:rPr>
              <w:t>Accounts payable</w:t>
            </w:r>
          </w:p>
        </w:tc>
        <w:tc>
          <w:tcPr>
            <w:tcW w:w="211"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63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513</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73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2,184</w:t>
            </w:r>
          </w:p>
        </w:tc>
        <w:tc>
          <w:tcPr>
            <w:tcW w:w="311" w:type="dxa"/>
            <w:tcBorders/>
            <w:shd w:fill="auto" w:val="clear"/>
            <w:vAlign w:val="center"/>
          </w:tcPr>
          <w:p>
            <w:pPr>
              <w:pStyle w:val="TableContents"/>
              <w:spacing w:before="0" w:after="0"/>
              <w:ind w:left="0" w:right="0" w:firstLine="100"/>
              <w:jc w:val="left"/>
              <w:rPr/>
            </w:pPr>
            <w:r>
              <w:rPr/>
              <w:t> </w:t>
            </w:r>
          </w:p>
        </w:tc>
      </w:tr>
      <w:tr>
        <w:trPr/>
        <w:tc>
          <w:tcPr>
            <w:tcW w:w="2926" w:type="dxa"/>
            <w:tcBorders/>
            <w:shd w:fill="auto" w:val="clear"/>
            <w:vAlign w:val="center"/>
          </w:tcPr>
          <w:p>
            <w:pPr>
              <w:pStyle w:val="TableContents"/>
              <w:spacing w:before="0" w:after="0"/>
              <w:ind w:left="100" w:right="0" w:hanging="0"/>
              <w:jc w:val="left"/>
              <w:rPr>
                <w:rFonts w:ascii="Times New Roman;serif" w:hAnsi="Times New Roman;serif"/>
                <w:b w:val="false"/>
                <w:sz w:val="20"/>
              </w:rPr>
            </w:pPr>
            <w:r>
              <w:rPr>
                <w:rFonts w:ascii="Times New Roman;serif" w:hAnsi="Times New Roman;serif"/>
                <w:b w:val="false"/>
                <w:sz w:val="20"/>
              </w:rPr>
              <w:t>Accrued and other liabilities</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63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(1,466</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73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(14,911</w:t>
            </w:r>
          </w:p>
        </w:tc>
        <w:tc>
          <w:tcPr>
            <w:tcW w:w="3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2926" w:type="dxa"/>
            <w:tcBorders/>
            <w:shd w:fill="auto" w:val="clear"/>
            <w:vAlign w:val="center"/>
          </w:tcPr>
          <w:p>
            <w:pPr>
              <w:pStyle w:val="TableContents"/>
              <w:spacing w:before="0" w:after="0"/>
              <w:ind w:left="0" w:right="0" w:hanging="0"/>
              <w:jc w:val="left"/>
              <w:rPr/>
            </w:pPr>
            <w:r>
              <w:rPr/>
              <w:t> </w:t>
            </w:r>
          </w:p>
        </w:tc>
        <w:tc>
          <w:tcPr>
            <w:tcW w:w="21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63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(8,344</w:t>
            </w:r>
          </w:p>
        </w:tc>
        <w:tc>
          <w:tcPr>
            <w:tcW w:w="16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73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(10,186</w:t>
            </w:r>
          </w:p>
        </w:tc>
        <w:tc>
          <w:tcPr>
            <w:tcW w:w="31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bl>
    <w:p>
      <w:pPr>
        <w:pStyle w:val="TextBody"/>
        <w:spacing w:before="200" w:after="200"/>
        <w:jc w:val="left"/>
        <w:rPr>
          <w:rFonts w:ascii="Times New Roman" w:hAnsi="Times New Roman"/>
          <w:b/>
          <w:i/>
          <w:sz w:val="20"/>
        </w:rPr>
      </w:pPr>
      <w:r>
        <w:rPr>
          <w:rFonts w:ascii="Times New Roman" w:hAnsi="Times New Roman"/>
          <w:b/>
          <w:i/>
          <w:sz w:val="20"/>
        </w:rPr>
        <w:t>(b)</w:t>
      </w:r>
    </w:p>
    <w:p>
      <w:pPr>
        <w:pStyle w:val="TextBody"/>
        <w:spacing w:before="200" w:after="200"/>
        <w:jc w:val="left"/>
        <w:rPr>
          <w:rFonts w:ascii="Times New Roman;serif" w:hAnsi="Times New Roman;serif"/>
          <w:b/>
          <w:i/>
          <w:sz w:val="20"/>
        </w:rPr>
      </w:pPr>
      <w:r>
        <w:rPr>
          <w:rFonts w:ascii="Times New Roman;serif" w:hAnsi="Times New Roman;serif"/>
          <w:b/>
          <w:i/>
          <w:sz w:val="20"/>
        </w:rPr>
        <w:t xml:space="preserve">Depreciation and amortization </w:t>
      </w:r>
    </w:p>
    <w:tbl>
      <w:tblPr>
        <w:tblW w:w="7495" w:type="dxa"/>
        <w:jc w:val="left"/>
        <w:tblInd w:w="0" w:type="dxa"/>
        <w:tblCellMar>
          <w:top w:w="28" w:type="dxa"/>
          <w:left w:w="28" w:type="dxa"/>
          <w:bottom w:w="28" w:type="dxa"/>
          <w:right w:w="28" w:type="dxa"/>
        </w:tblCellMar>
      </w:tblPr>
      <w:tblGrid>
        <w:gridCol w:w="4846"/>
        <w:gridCol w:w="211"/>
        <w:gridCol w:w="146"/>
        <w:gridCol w:w="676"/>
        <w:gridCol w:w="146"/>
        <w:gridCol w:w="146"/>
        <w:gridCol w:w="211"/>
        <w:gridCol w:w="146"/>
        <w:gridCol w:w="676"/>
        <w:gridCol w:w="291"/>
      </w:tblGrid>
      <w:tr>
        <w:trPr/>
        <w:tc>
          <w:tcPr>
            <w:tcW w:w="4846"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67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676" w:type="dxa"/>
            <w:tcBorders/>
            <w:shd w:fill="auto" w:val="clear"/>
            <w:vAlign w:val="center"/>
          </w:tcPr>
          <w:p>
            <w:pPr>
              <w:pStyle w:val="TableContents"/>
              <w:spacing w:before="0" w:after="283"/>
              <w:rPr>
                <w:sz w:val="4"/>
                <w:szCs w:val="4"/>
              </w:rPr>
            </w:pPr>
            <w:r>
              <w:rPr>
                <w:sz w:val="4"/>
                <w:szCs w:val="4"/>
              </w:rPr>
            </w:r>
          </w:p>
        </w:tc>
        <w:tc>
          <w:tcPr>
            <w:tcW w:w="291" w:type="dxa"/>
            <w:tcBorders/>
            <w:shd w:fill="auto" w:val="clear"/>
            <w:vAlign w:val="center"/>
          </w:tcPr>
          <w:p>
            <w:pPr>
              <w:pStyle w:val="TableContents"/>
              <w:spacing w:before="0" w:after="283"/>
              <w:rPr>
                <w:sz w:val="4"/>
                <w:szCs w:val="4"/>
              </w:rPr>
            </w:pPr>
            <w:r>
              <w:rPr>
                <w:sz w:val="4"/>
                <w:szCs w:val="4"/>
              </w:rPr>
            </w:r>
          </w:p>
        </w:tc>
      </w:tr>
      <w:tr>
        <w:trPr/>
        <w:tc>
          <w:tcPr>
            <w:tcW w:w="4846" w:type="dxa"/>
            <w:tcBorders/>
            <w:shd w:fill="auto" w:val="clear"/>
            <w:vAlign w:val="center"/>
          </w:tcPr>
          <w:p>
            <w:pPr>
              <w:pStyle w:val="TableContents"/>
              <w:spacing w:before="0" w:after="0"/>
              <w:ind w:left="0" w:right="0" w:hanging="0"/>
              <w:jc w:val="left"/>
              <w:rPr/>
            </w:pPr>
            <w:r>
              <w:rPr/>
              <w:t> </w:t>
            </w:r>
          </w:p>
        </w:tc>
        <w:tc>
          <w:tcPr>
            <w:tcW w:w="2358" w:type="dxa"/>
            <w:gridSpan w:val="8"/>
            <w:tcBorders/>
            <w:shd w:fill="auto" w:val="cle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Three Months Ended</w:t>
            </w:r>
          </w:p>
        </w:tc>
        <w:tc>
          <w:tcPr>
            <w:tcW w:w="291" w:type="dxa"/>
            <w:tcBorders/>
            <w:shd w:fill="auto" w:val="clear"/>
            <w:vAlign w:val="center"/>
          </w:tcPr>
          <w:p>
            <w:pPr>
              <w:pStyle w:val="TableContents"/>
              <w:spacing w:before="0" w:after="0"/>
              <w:ind w:left="0" w:right="0" w:hanging="0"/>
              <w:jc w:val="center"/>
              <w:rPr/>
            </w:pPr>
            <w:r>
              <w:rPr/>
              <w:t> </w:t>
            </w:r>
          </w:p>
        </w:tc>
      </w:tr>
      <w:tr>
        <w:trPr/>
        <w:tc>
          <w:tcPr>
            <w:tcW w:w="4846" w:type="dxa"/>
            <w:tcBorders/>
            <w:shd w:fill="auto" w:val="clear"/>
            <w:vAlign w:val="center"/>
          </w:tcPr>
          <w:p>
            <w:pPr>
              <w:pStyle w:val="TableContents"/>
              <w:spacing w:before="0" w:after="0"/>
              <w:ind w:left="0" w:right="0" w:hanging="0"/>
              <w:jc w:val="left"/>
              <w:rPr/>
            </w:pPr>
            <w:r>
              <w:rPr/>
              <w:t> </w:t>
            </w:r>
          </w:p>
        </w:tc>
        <w:tc>
          <w:tcPr>
            <w:tcW w:w="2358" w:type="dxa"/>
            <w:gridSpan w:val="8"/>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March 31,</w:t>
            </w:r>
          </w:p>
        </w:tc>
        <w:tc>
          <w:tcPr>
            <w:tcW w:w="2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4846" w:type="dxa"/>
            <w:tcBorders/>
            <w:shd w:fill="auto" w:val="clear"/>
            <w:vAlign w:val="center"/>
          </w:tcPr>
          <w:p>
            <w:pPr>
              <w:pStyle w:val="TableContents"/>
              <w:spacing w:before="0" w:after="0"/>
              <w:ind w:left="0" w:right="0" w:hanging="0"/>
              <w:jc w:val="left"/>
              <w:rPr>
                <w:rFonts w:ascii="Times New Roman;serif" w:hAnsi="Times New Roman;serif"/>
                <w:b w:val="false"/>
                <w:i/>
                <w:sz w:val="16"/>
              </w:rPr>
            </w:pPr>
            <w:r>
              <w:rPr>
                <w:rFonts w:ascii="Times New Roman;serif" w:hAnsi="Times New Roman;serif"/>
                <w:b w:val="false"/>
                <w:i/>
                <w:sz w:val="16"/>
              </w:rPr>
              <w:t>(In thousands of U.S. Dollars)</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822"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2023</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822"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2022</w:t>
            </w:r>
          </w:p>
        </w:tc>
        <w:tc>
          <w:tcPr>
            <w:tcW w:w="2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484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Film assets</w:t>
            </w:r>
          </w:p>
        </w:tc>
        <w:tc>
          <w:tcPr>
            <w:tcW w:w="21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shd w:fill="auto" w:val="clear"/>
            <w:vAlign w:val="center"/>
          </w:tcPr>
          <w:p>
            <w:pPr>
              <w:pStyle w:val="TableContents"/>
              <w:spacing w:before="0" w:after="0"/>
              <w:ind w:left="0" w:right="0" w:hanging="0"/>
              <w:jc w:val="left"/>
              <w:rPr/>
            </w:pPr>
            <w:r>
              <w:rPr/>
              <w:t> </w:t>
            </w:r>
          </w:p>
        </w:tc>
        <w:tc>
          <w:tcPr>
            <w:tcW w:w="67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3,452</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shd w:fill="auto" w:val="clear"/>
            <w:vAlign w:val="center"/>
          </w:tcPr>
          <w:p>
            <w:pPr>
              <w:pStyle w:val="TableContents"/>
              <w:spacing w:before="0" w:after="0"/>
              <w:ind w:left="0" w:right="0" w:hanging="0"/>
              <w:jc w:val="left"/>
              <w:rPr/>
            </w:pPr>
            <w:r>
              <w:rPr/>
              <w:t> </w:t>
            </w:r>
          </w:p>
        </w:tc>
        <w:tc>
          <w:tcPr>
            <w:tcW w:w="67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3,178</w:t>
            </w:r>
          </w:p>
        </w:tc>
        <w:tc>
          <w:tcPr>
            <w:tcW w:w="291" w:type="dxa"/>
            <w:tcBorders/>
            <w:shd w:fill="auto" w:val="clear"/>
            <w:vAlign w:val="center"/>
          </w:tcPr>
          <w:p>
            <w:pPr>
              <w:pStyle w:val="TableContents"/>
              <w:spacing w:before="0" w:after="0"/>
              <w:ind w:left="0" w:right="0" w:hanging="0"/>
              <w:jc w:val="left"/>
              <w:rPr/>
            </w:pPr>
            <w:r>
              <w:rPr/>
              <w:t> </w:t>
            </w:r>
          </w:p>
        </w:tc>
      </w:tr>
      <w:tr>
        <w:trPr/>
        <w:tc>
          <w:tcPr>
            <w:tcW w:w="484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Property, plant and equipment:</w:t>
            </w:r>
          </w:p>
        </w:tc>
        <w:tc>
          <w:tcPr>
            <w:tcW w:w="211" w:type="dxa"/>
            <w:tcBorders/>
            <w:shd w:fill="auto" w:val="clear"/>
            <w:vAlign w:val="center"/>
          </w:tcPr>
          <w:p>
            <w:pPr>
              <w:pStyle w:val="TableContents"/>
              <w:spacing w:before="0" w:after="0"/>
              <w:ind w:left="0" w:right="0" w:hanging="0"/>
              <w:jc w:val="left"/>
              <w:rPr/>
            </w:pPr>
            <w:r>
              <w:rPr/>
              <w:t> </w:t>
            </w:r>
          </w:p>
        </w:tc>
        <w:tc>
          <w:tcPr>
            <w:tcW w:w="822" w:type="dxa"/>
            <w:gridSpan w:val="2"/>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822" w:type="dxa"/>
            <w:gridSpan w:val="2"/>
            <w:tcBorders/>
            <w:shd w:fill="auto" w:val="clear"/>
            <w:vAlign w:val="center"/>
          </w:tcPr>
          <w:p>
            <w:pPr>
              <w:pStyle w:val="TableContents"/>
              <w:spacing w:before="0" w:after="0"/>
              <w:ind w:left="0" w:right="0" w:hanging="0"/>
              <w:jc w:val="left"/>
              <w:rPr/>
            </w:pPr>
            <w:r>
              <w:rPr/>
              <w:t> </w:t>
            </w:r>
          </w:p>
        </w:tc>
        <w:tc>
          <w:tcPr>
            <w:tcW w:w="291" w:type="dxa"/>
            <w:tcBorders/>
            <w:shd w:fill="auto" w:val="clear"/>
            <w:vAlign w:val="center"/>
          </w:tcPr>
          <w:p>
            <w:pPr>
              <w:pStyle w:val="TableContents"/>
              <w:spacing w:before="0" w:after="0"/>
              <w:ind w:left="0" w:right="0" w:firstLine="100"/>
              <w:jc w:val="left"/>
              <w:rPr/>
            </w:pPr>
            <w:r>
              <w:rPr/>
              <w:t> </w:t>
            </w:r>
          </w:p>
        </w:tc>
      </w:tr>
      <w:tr>
        <w:trPr/>
        <w:tc>
          <w:tcPr>
            <w:tcW w:w="4846" w:type="dxa"/>
            <w:tcBorders/>
            <w:shd w:fill="auto" w:val="clear"/>
            <w:vAlign w:val="center"/>
          </w:tcPr>
          <w:p>
            <w:pPr>
              <w:pStyle w:val="TableContents"/>
              <w:spacing w:before="0" w:after="0"/>
              <w:ind w:left="100" w:right="0" w:hanging="0"/>
              <w:jc w:val="left"/>
              <w:rPr>
                <w:rFonts w:ascii="Times New Roman;serif" w:hAnsi="Times New Roman;serif"/>
                <w:b w:val="false"/>
                <w:sz w:val="20"/>
              </w:rPr>
            </w:pPr>
            <w:r>
              <w:rPr>
                <w:rFonts w:ascii="Times New Roman;serif" w:hAnsi="Times New Roman;serif"/>
                <w:b w:val="false"/>
                <w:sz w:val="20"/>
              </w:rPr>
              <w:t>Equipment supporting joint revenue sharing arrangements</w:t>
            </w:r>
          </w:p>
        </w:tc>
        <w:tc>
          <w:tcPr>
            <w:tcW w:w="21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67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5,772</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67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5,548</w:t>
            </w:r>
          </w:p>
        </w:tc>
        <w:tc>
          <w:tcPr>
            <w:tcW w:w="291" w:type="dxa"/>
            <w:tcBorders/>
            <w:shd w:fill="auto" w:val="clear"/>
            <w:vAlign w:val="center"/>
          </w:tcPr>
          <w:p>
            <w:pPr>
              <w:pStyle w:val="TableContents"/>
              <w:spacing w:before="0" w:after="0"/>
              <w:ind w:left="0" w:right="0" w:firstLine="100"/>
              <w:jc w:val="left"/>
              <w:rPr/>
            </w:pPr>
            <w:r>
              <w:rPr/>
              <w:t> </w:t>
            </w:r>
          </w:p>
        </w:tc>
      </w:tr>
      <w:tr>
        <w:trPr/>
        <w:tc>
          <w:tcPr>
            <w:tcW w:w="4846" w:type="dxa"/>
            <w:tcBorders/>
            <w:shd w:fill="auto" w:val="clear"/>
            <w:vAlign w:val="center"/>
          </w:tcPr>
          <w:p>
            <w:pPr>
              <w:pStyle w:val="TableContents"/>
              <w:spacing w:before="0" w:after="0"/>
              <w:ind w:left="100" w:right="0" w:hanging="0"/>
              <w:jc w:val="left"/>
              <w:rPr>
                <w:rFonts w:ascii="Times New Roman" w:hAnsi="Times New Roman"/>
                <w:sz w:val="20"/>
              </w:rPr>
            </w:pPr>
            <w:r>
              <w:rPr>
                <w:rFonts w:ascii="Times New Roman;serif" w:hAnsi="Times New Roman;serif"/>
                <w:b w:val="false"/>
                <w:sz w:val="20"/>
              </w:rPr>
              <w:t>Other property, plant and equipment</w:t>
            </w:r>
            <w:r>
              <w:rPr>
                <w:rFonts w:ascii="Times New Roman;serif" w:hAnsi="Times New Roman;serif"/>
                <w:b w:val="false"/>
                <w:sz w:val="13"/>
              </w:rPr>
              <w:t>(1)</w:t>
            </w:r>
          </w:p>
        </w:tc>
        <w:tc>
          <w:tcPr>
            <w:tcW w:w="21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67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2,287</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67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2,028</w:t>
            </w:r>
          </w:p>
        </w:tc>
        <w:tc>
          <w:tcPr>
            <w:tcW w:w="291" w:type="dxa"/>
            <w:tcBorders/>
            <w:shd w:fill="auto" w:val="clear"/>
            <w:vAlign w:val="center"/>
          </w:tcPr>
          <w:p>
            <w:pPr>
              <w:pStyle w:val="TableContents"/>
              <w:spacing w:before="0" w:after="0"/>
              <w:ind w:left="0" w:right="0" w:hanging="0"/>
              <w:jc w:val="left"/>
              <w:rPr/>
            </w:pPr>
            <w:r>
              <w:rPr/>
              <w:t> </w:t>
            </w:r>
          </w:p>
        </w:tc>
      </w:tr>
      <w:tr>
        <w:trPr/>
        <w:tc>
          <w:tcPr>
            <w:tcW w:w="4846" w:type="dxa"/>
            <w:tcBorders/>
            <w:shd w:fill="auto" w:val="clear"/>
            <w:vAlign w:val="center"/>
          </w:tcPr>
          <w:p>
            <w:pPr>
              <w:pStyle w:val="TableContents"/>
              <w:spacing w:before="0" w:after="0"/>
              <w:ind w:left="0" w:right="0" w:hanging="0"/>
              <w:jc w:val="left"/>
              <w:rPr>
                <w:rFonts w:ascii="Times New Roman" w:hAnsi="Times New Roman"/>
                <w:sz w:val="20"/>
              </w:rPr>
            </w:pPr>
            <w:r>
              <w:rPr>
                <w:rFonts w:ascii="Times New Roman;serif" w:hAnsi="Times New Roman;serif"/>
                <w:b w:val="false"/>
                <w:sz w:val="20"/>
              </w:rPr>
              <w:t>Other intangible assets</w:t>
            </w:r>
            <w:r>
              <w:rPr>
                <w:rFonts w:ascii="Times New Roman;serif" w:hAnsi="Times New Roman;serif"/>
                <w:b w:val="false"/>
                <w:sz w:val="13"/>
              </w:rPr>
              <w:t>(2)</w:t>
            </w:r>
          </w:p>
        </w:tc>
        <w:tc>
          <w:tcPr>
            <w:tcW w:w="21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67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1,399</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67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1,532</w:t>
            </w:r>
          </w:p>
        </w:tc>
        <w:tc>
          <w:tcPr>
            <w:tcW w:w="291" w:type="dxa"/>
            <w:tcBorders/>
            <w:shd w:fill="auto" w:val="clear"/>
            <w:vAlign w:val="center"/>
          </w:tcPr>
          <w:p>
            <w:pPr>
              <w:pStyle w:val="TableContents"/>
              <w:spacing w:before="0" w:after="0"/>
              <w:ind w:left="0" w:right="0" w:hanging="0"/>
              <w:jc w:val="left"/>
              <w:rPr/>
            </w:pPr>
            <w:r>
              <w:rPr/>
              <w:t> </w:t>
            </w:r>
          </w:p>
        </w:tc>
      </w:tr>
      <w:tr>
        <w:trPr/>
        <w:tc>
          <w:tcPr>
            <w:tcW w:w="4846" w:type="dxa"/>
            <w:tcBorders/>
            <w:shd w:fill="auto" w:val="clear"/>
            <w:vAlign w:val="center"/>
          </w:tcPr>
          <w:p>
            <w:pPr>
              <w:pStyle w:val="TableContents"/>
              <w:spacing w:before="0" w:after="0"/>
              <w:ind w:left="0" w:right="0" w:hanging="0"/>
              <w:jc w:val="left"/>
              <w:rPr>
                <w:rFonts w:ascii="Times New Roman" w:hAnsi="Times New Roman"/>
                <w:sz w:val="20"/>
              </w:rPr>
            </w:pPr>
            <w:r>
              <w:rPr>
                <w:rFonts w:ascii="Times New Roman;serif" w:hAnsi="Times New Roman;serif"/>
                <w:b w:val="false"/>
                <w:sz w:val="20"/>
              </w:rPr>
              <w:t>Other assets</w:t>
            </w:r>
            <w:r>
              <w:rPr>
                <w:rFonts w:ascii="Times New Roman;serif" w:hAnsi="Times New Roman;serif"/>
                <w:b w:val="false"/>
                <w:sz w:val="13"/>
              </w:rPr>
              <w:t>(3)</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67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410</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67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455</w:t>
            </w:r>
          </w:p>
        </w:tc>
        <w:tc>
          <w:tcPr>
            <w:tcW w:w="2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r>
        <w:trPr/>
        <w:tc>
          <w:tcPr>
            <w:tcW w:w="4846" w:type="dxa"/>
            <w:tcBorders/>
            <w:shd w:fill="auto" w:val="clear"/>
            <w:vAlign w:val="center"/>
          </w:tcPr>
          <w:p>
            <w:pPr>
              <w:pStyle w:val="TableContents"/>
              <w:spacing w:before="0" w:after="0"/>
              <w:ind w:left="0" w:right="0" w:hanging="0"/>
              <w:jc w:val="left"/>
              <w:rPr/>
            </w:pPr>
            <w:r>
              <w:rPr/>
              <w:t> </w:t>
            </w:r>
          </w:p>
        </w:tc>
        <w:tc>
          <w:tcPr>
            <w:tcW w:w="21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67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13,320</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67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12,741</w:t>
            </w:r>
          </w:p>
        </w:tc>
        <w:tc>
          <w:tcPr>
            <w:tcW w:w="29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bl>
    <w:p>
      <w:pPr>
        <w:pStyle w:val="TextBody"/>
        <w:pBdr>
          <w:bottom w:val="single" w:sz="4" w:space="1" w:color="000000"/>
        </w:pBdr>
        <w:spacing w:before="0" w:after="0"/>
        <w:jc w:val="left"/>
        <w:rPr/>
      </w:pPr>
      <w:r>
        <w:rPr/>
        <w:t> </w:t>
      </w:r>
    </w:p>
    <w:p>
      <w:pPr>
        <w:pStyle w:val="TextBody"/>
        <w:spacing w:before="0" w:after="0"/>
        <w:jc w:val="left"/>
        <w:rPr/>
      </w:pPr>
      <w:r>
        <w:rPr/>
        <w:t> </w:t>
      </w:r>
    </w:p>
    <w:p>
      <w:pPr>
        <w:pStyle w:val="TextBody"/>
        <w:spacing w:before="0" w:after="0"/>
        <w:jc w:val="both"/>
        <w:rPr>
          <w:rFonts w:ascii="Times New Roman" w:hAnsi="Times New Roman"/>
          <w:b w:val="false"/>
          <w:sz w:val="20"/>
        </w:rPr>
      </w:pPr>
      <w:r>
        <w:rPr>
          <w:rFonts w:ascii="Times New Roman" w:hAnsi="Times New Roman"/>
          <w:b w:val="false"/>
          <w:sz w:val="20"/>
        </w:rPr>
        <w:t>(1)</w:t>
      </w:r>
    </w:p>
    <w:p>
      <w:pPr>
        <w:pStyle w:val="TextBody"/>
        <w:jc w:val="both"/>
        <w:rPr>
          <w:rFonts w:ascii="Times New Roman;serif" w:hAnsi="Times New Roman;serif"/>
          <w:sz w:val="20"/>
        </w:rPr>
      </w:pPr>
      <w:r>
        <w:rPr>
          <w:rFonts w:ascii="Times New Roman;serif" w:hAnsi="Times New Roman;serif"/>
          <w:b w:val="false"/>
          <w:sz w:val="20"/>
        </w:rPr>
        <w:t>Includes the amortization of laser projection systems, camera, and lens upgrades recorded in Research and Development on the Condensed Consolidated Statement of Operations of $0.1</w:t>
      </w:r>
      <w:r>
        <w:rPr>
          <w:rFonts w:ascii="Times New Roman;serif" w:hAnsi="Times New Roman;serif"/>
          <w:sz w:val="20"/>
        </w:rPr>
        <w:t xml:space="preserve"> </w:t>
      </w:r>
      <w:r>
        <w:rPr>
          <w:rFonts w:ascii="Times New Roman;serif" w:hAnsi="Times New Roman;serif"/>
          <w:b w:val="false"/>
          <w:sz w:val="20"/>
        </w:rPr>
        <w:t>million</w:t>
      </w:r>
      <w:r>
        <w:rPr>
          <w:rFonts w:ascii="Times New Roman;serif" w:hAnsi="Times New Roman;serif"/>
          <w:sz w:val="20"/>
        </w:rPr>
        <w:t xml:space="preserve"> </w:t>
      </w:r>
      <w:r>
        <w:rPr>
          <w:rFonts w:ascii="Times New Roman;serif" w:hAnsi="Times New Roman;serif"/>
          <w:b w:val="false"/>
          <w:sz w:val="20"/>
        </w:rPr>
        <w:t>in the three months ended March 31, 2023 (2022 — $0.2</w:t>
      </w:r>
      <w:r>
        <w:rPr>
          <w:rFonts w:ascii="Times New Roman;serif" w:hAnsi="Times New Roman;serif"/>
          <w:sz w:val="20"/>
        </w:rPr>
        <w:t xml:space="preserve"> </w:t>
      </w:r>
      <w:r>
        <w:rPr>
          <w:rFonts w:ascii="Times New Roman;serif" w:hAnsi="Times New Roman;serif"/>
          <w:b w:val="false"/>
          <w:sz w:val="20"/>
        </w:rPr>
        <w:t>million).</w:t>
      </w:r>
    </w:p>
    <w:p>
      <w:pPr>
        <w:pStyle w:val="TextBody"/>
        <w:spacing w:before="0" w:after="0"/>
        <w:jc w:val="both"/>
        <w:rPr/>
      </w:pPr>
      <w:r>
        <w:rPr/>
        <w:t> </w:t>
      </w:r>
    </w:p>
    <w:p>
      <w:pPr>
        <w:pStyle w:val="TextBody"/>
        <w:spacing w:before="0" w:after="0"/>
        <w:jc w:val="both"/>
        <w:rPr>
          <w:rFonts w:ascii="Times New Roman" w:hAnsi="Times New Roman"/>
          <w:b w:val="false"/>
          <w:sz w:val="20"/>
        </w:rPr>
      </w:pPr>
      <w:r>
        <w:rPr>
          <w:rFonts w:ascii="Times New Roman" w:hAnsi="Times New Roman"/>
          <w:b w:val="false"/>
          <w:sz w:val="20"/>
        </w:rPr>
        <w:t>(2)</w:t>
      </w:r>
    </w:p>
    <w:p>
      <w:pPr>
        <w:pStyle w:val="TextBody"/>
        <w:spacing w:before="0" w:after="0"/>
        <w:jc w:val="both"/>
        <w:rPr>
          <w:rFonts w:ascii="Times New Roman;serif" w:hAnsi="Times New Roman;serif"/>
          <w:sz w:val="20"/>
        </w:rPr>
      </w:pPr>
      <w:r>
        <w:rPr>
          <w:rFonts w:ascii="Times New Roman;serif" w:hAnsi="Times New Roman;serif"/>
          <w:b w:val="false"/>
          <w:sz w:val="20"/>
        </w:rPr>
        <w:t>Includes the amortization of licenses and intellectual property recorded in Research and Development on the Condensed Consolidated Statement of Operations of $0.3</w:t>
      </w:r>
      <w:r>
        <w:rPr>
          <w:rFonts w:ascii="Times New Roman;serif" w:hAnsi="Times New Roman;serif"/>
          <w:sz w:val="20"/>
        </w:rPr>
        <w:t xml:space="preserve"> </w:t>
      </w:r>
      <w:r>
        <w:rPr>
          <w:rFonts w:ascii="Times New Roman;serif" w:hAnsi="Times New Roman;serif"/>
          <w:b w:val="false"/>
          <w:sz w:val="20"/>
        </w:rPr>
        <w:t>million</w:t>
      </w:r>
      <w:r>
        <w:rPr>
          <w:rFonts w:ascii="Times New Roman;serif" w:hAnsi="Times New Roman;serif"/>
          <w:sz w:val="20"/>
        </w:rPr>
        <w:t xml:space="preserve"> </w:t>
      </w:r>
      <w:r>
        <w:rPr>
          <w:rFonts w:ascii="Times New Roman;serif" w:hAnsi="Times New Roman;serif"/>
          <w:b w:val="false"/>
          <w:sz w:val="20"/>
        </w:rPr>
        <w:t>in the three months ended March 31, 2023 (2022 — $0.3</w:t>
      </w:r>
      <w:r>
        <w:rPr>
          <w:rFonts w:ascii="Times New Roman;serif" w:hAnsi="Times New Roman;serif"/>
          <w:sz w:val="20"/>
        </w:rPr>
        <w:t xml:space="preserve"> </w:t>
      </w:r>
      <w:r>
        <w:rPr>
          <w:rFonts w:ascii="Times New Roman;serif" w:hAnsi="Times New Roman;serif"/>
          <w:b w:val="false"/>
          <w:sz w:val="20"/>
        </w:rPr>
        <w:t>million).</w:t>
      </w:r>
      <w:r>
        <w:rPr>
          <w:rFonts w:ascii="Times New Roman;serif" w:hAnsi="Times New Roman;serif"/>
          <w:sz w:val="20"/>
        </w:rPr>
        <w:t xml:space="preserve"> </w:t>
      </w:r>
    </w:p>
    <w:p>
      <w:pPr>
        <w:pStyle w:val="TextBody"/>
        <w:spacing w:before="200" w:after="0"/>
        <w:jc w:val="both"/>
        <w:rPr>
          <w:rFonts w:ascii="Times New Roman" w:hAnsi="Times New Roman"/>
          <w:b w:val="false"/>
          <w:sz w:val="20"/>
        </w:rPr>
      </w:pPr>
      <w:r>
        <w:rPr>
          <w:rFonts w:ascii="Times New Roman" w:hAnsi="Times New Roman"/>
          <w:b w:val="false"/>
          <w:sz w:val="20"/>
        </w:rPr>
        <w:t>(3)</w:t>
      </w:r>
    </w:p>
    <w:p>
      <w:pPr>
        <w:pStyle w:val="TextBody"/>
        <w:spacing w:before="200" w:after="283"/>
        <w:jc w:val="both"/>
        <w:rPr>
          <w:rFonts w:ascii="Times New Roman;serif" w:hAnsi="Times New Roman;serif"/>
          <w:b w:val="false"/>
          <w:sz w:val="20"/>
        </w:rPr>
      </w:pPr>
      <w:r>
        <w:rPr>
          <w:rFonts w:ascii="Times New Roman;serif" w:hAnsi="Times New Roman;serif"/>
          <w:b w:val="false"/>
          <w:sz w:val="20"/>
        </w:rPr>
        <w:t>Includes the amortization of lessee incentives provided by the Company to its customers under joint revenue sharing arrangements.</w:t>
      </w:r>
    </w:p>
    <w:p>
      <w:pPr>
        <w:pStyle w:val="TextBody"/>
        <w:spacing w:before="240" w:after="0"/>
        <w:jc w:val="center"/>
        <w:rPr>
          <w:rFonts w:ascii="Times New Roman;serif" w:hAnsi="Times New Roman;serif"/>
          <w:b w:val="false"/>
          <w:sz w:val="20"/>
        </w:rPr>
      </w:pPr>
      <w:r>
        <w:rPr>
          <w:rFonts w:ascii="Times New Roman;serif" w:hAnsi="Times New Roman;serif"/>
          <w:b w:val="false"/>
          <w:sz w:val="20"/>
        </w:rPr>
        <w:t>26</w:t>
      </w:r>
    </w:p>
    <w:p>
      <w:pPr>
        <w:pStyle w:val="HorizontalLine"/>
        <w:rPr/>
      </w:pPr>
      <w:r>
        <w:rPr/>
      </w:r>
    </w:p>
    <w:p>
      <w:pPr>
        <w:pStyle w:val="TextBody"/>
        <w:spacing w:before="0" w:after="0"/>
        <w:jc w:val="left"/>
        <w:rPr/>
      </w:pPr>
      <w:r>
        <w:rPr/>
        <w:t> </w:t>
      </w:r>
    </w:p>
    <w:p>
      <w:pPr>
        <w:pStyle w:val="TextBody"/>
        <w:spacing w:before="200" w:after="0"/>
        <w:jc w:val="left"/>
        <w:rPr>
          <w:rFonts w:ascii="Times New Roman" w:hAnsi="Times New Roman"/>
          <w:b/>
          <w:i/>
          <w:sz w:val="20"/>
        </w:rPr>
      </w:pPr>
      <w:r>
        <w:rPr>
          <w:rFonts w:ascii="Times New Roman" w:hAnsi="Times New Roman"/>
          <w:b/>
          <w:i/>
          <w:sz w:val="20"/>
        </w:rPr>
        <w:t>(c)</w:t>
      </w:r>
    </w:p>
    <w:p>
      <w:pPr>
        <w:pStyle w:val="TextBody"/>
        <w:spacing w:before="200" w:after="283"/>
        <w:jc w:val="left"/>
        <w:rPr>
          <w:rFonts w:ascii="Times New Roman;serif" w:hAnsi="Times New Roman;serif"/>
          <w:b/>
          <w:i/>
          <w:sz w:val="20"/>
        </w:rPr>
      </w:pPr>
      <w:r>
        <w:rPr>
          <w:rFonts w:ascii="Times New Roman;serif" w:hAnsi="Times New Roman;serif"/>
          <w:b/>
          <w:i/>
          <w:sz w:val="20"/>
        </w:rPr>
        <w:t>Write-downs</w:t>
      </w:r>
    </w:p>
    <w:p>
      <w:pPr>
        <w:pStyle w:val="TextBody"/>
        <w:spacing w:before="0" w:after="0"/>
        <w:jc w:val="left"/>
        <w:rPr/>
      </w:pPr>
      <w:r>
        <w:rPr/>
        <w:t> </w:t>
      </w:r>
    </w:p>
    <w:tbl>
      <w:tblPr>
        <w:tblW w:w="7150" w:type="dxa"/>
        <w:jc w:val="left"/>
        <w:tblInd w:w="0" w:type="dxa"/>
        <w:tblCellMar>
          <w:top w:w="28" w:type="dxa"/>
          <w:left w:w="28" w:type="dxa"/>
          <w:bottom w:w="28" w:type="dxa"/>
          <w:right w:w="28" w:type="dxa"/>
        </w:tblCellMar>
      </w:tblPr>
      <w:tblGrid>
        <w:gridCol w:w="5011"/>
        <w:gridCol w:w="211"/>
        <w:gridCol w:w="146"/>
        <w:gridCol w:w="421"/>
        <w:gridCol w:w="146"/>
        <w:gridCol w:w="146"/>
        <w:gridCol w:w="211"/>
        <w:gridCol w:w="146"/>
        <w:gridCol w:w="421"/>
        <w:gridCol w:w="291"/>
      </w:tblGrid>
      <w:tr>
        <w:trPr/>
        <w:tc>
          <w:tcPr>
            <w:tcW w:w="5011"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421"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421" w:type="dxa"/>
            <w:tcBorders/>
            <w:shd w:fill="auto" w:val="clear"/>
            <w:vAlign w:val="center"/>
          </w:tcPr>
          <w:p>
            <w:pPr>
              <w:pStyle w:val="TableContents"/>
              <w:spacing w:before="0" w:after="283"/>
              <w:rPr>
                <w:sz w:val="4"/>
                <w:szCs w:val="4"/>
              </w:rPr>
            </w:pPr>
            <w:r>
              <w:rPr>
                <w:sz w:val="4"/>
                <w:szCs w:val="4"/>
              </w:rPr>
            </w:r>
          </w:p>
        </w:tc>
        <w:tc>
          <w:tcPr>
            <w:tcW w:w="291" w:type="dxa"/>
            <w:tcBorders/>
            <w:shd w:fill="auto" w:val="clear"/>
            <w:vAlign w:val="center"/>
          </w:tcPr>
          <w:p>
            <w:pPr>
              <w:pStyle w:val="TableContents"/>
              <w:spacing w:before="0" w:after="283"/>
              <w:rPr>
                <w:sz w:val="4"/>
                <w:szCs w:val="4"/>
              </w:rPr>
            </w:pPr>
            <w:r>
              <w:rPr>
                <w:sz w:val="4"/>
                <w:szCs w:val="4"/>
              </w:rPr>
            </w:r>
          </w:p>
        </w:tc>
      </w:tr>
      <w:tr>
        <w:trPr/>
        <w:tc>
          <w:tcPr>
            <w:tcW w:w="5011" w:type="dxa"/>
            <w:tcBorders/>
            <w:shd w:fill="auto" w:val="clear"/>
            <w:vAlign w:val="center"/>
          </w:tcPr>
          <w:p>
            <w:pPr>
              <w:pStyle w:val="TableContents"/>
              <w:spacing w:before="0" w:after="0"/>
              <w:ind w:left="0" w:right="0" w:hanging="0"/>
              <w:jc w:val="left"/>
              <w:rPr/>
            </w:pPr>
            <w:r>
              <w:rPr/>
              <w:t> </w:t>
            </w:r>
          </w:p>
        </w:tc>
        <w:tc>
          <w:tcPr>
            <w:tcW w:w="1848" w:type="dxa"/>
            <w:gridSpan w:val="8"/>
            <w:tcBorders/>
            <w:shd w:fill="auto" w:val="cle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Three Months Ended</w:t>
            </w:r>
          </w:p>
        </w:tc>
        <w:tc>
          <w:tcPr>
            <w:tcW w:w="291" w:type="dxa"/>
            <w:tcBorders/>
            <w:shd w:fill="auto" w:val="clear"/>
            <w:vAlign w:val="center"/>
          </w:tcPr>
          <w:p>
            <w:pPr>
              <w:pStyle w:val="TableContents"/>
              <w:spacing w:before="0" w:after="0"/>
              <w:ind w:left="0" w:right="0" w:hanging="0"/>
              <w:jc w:val="center"/>
              <w:rPr/>
            </w:pPr>
            <w:r>
              <w:rPr/>
              <w:t> </w:t>
            </w:r>
          </w:p>
        </w:tc>
      </w:tr>
      <w:tr>
        <w:trPr/>
        <w:tc>
          <w:tcPr>
            <w:tcW w:w="5011" w:type="dxa"/>
            <w:tcBorders/>
            <w:shd w:fill="auto" w:val="clear"/>
            <w:vAlign w:val="center"/>
          </w:tcPr>
          <w:p>
            <w:pPr>
              <w:pStyle w:val="TableContents"/>
              <w:spacing w:before="0" w:after="0"/>
              <w:ind w:left="0" w:right="0" w:hanging="0"/>
              <w:jc w:val="left"/>
              <w:rPr/>
            </w:pPr>
            <w:r>
              <w:rPr/>
              <w:t> </w:t>
            </w:r>
          </w:p>
        </w:tc>
        <w:tc>
          <w:tcPr>
            <w:tcW w:w="1848" w:type="dxa"/>
            <w:gridSpan w:val="8"/>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March 31,</w:t>
            </w:r>
          </w:p>
        </w:tc>
        <w:tc>
          <w:tcPr>
            <w:tcW w:w="2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5011" w:type="dxa"/>
            <w:tcBorders/>
            <w:shd w:fill="auto" w:val="clear"/>
            <w:vAlign w:val="center"/>
          </w:tcPr>
          <w:p>
            <w:pPr>
              <w:pStyle w:val="TableContents"/>
              <w:spacing w:before="0" w:after="0"/>
              <w:ind w:left="0" w:right="0" w:hanging="0"/>
              <w:jc w:val="left"/>
              <w:rPr>
                <w:rFonts w:ascii="Times New Roman;serif" w:hAnsi="Times New Roman;serif"/>
                <w:b w:val="false"/>
                <w:i/>
                <w:sz w:val="16"/>
              </w:rPr>
            </w:pPr>
            <w:r>
              <w:rPr>
                <w:rFonts w:ascii="Times New Roman;serif" w:hAnsi="Times New Roman;serif"/>
                <w:b w:val="false"/>
                <w:i/>
                <w:sz w:val="16"/>
              </w:rPr>
              <w:t>(In thousands of U.S. Dollars)</w:t>
            </w:r>
          </w:p>
        </w:tc>
        <w:tc>
          <w:tcPr>
            <w:tcW w:w="211" w:type="dxa"/>
            <w:tcBorders/>
            <w:shd w:fill="auto" w:val="clear"/>
            <w:vAlign w:val="center"/>
          </w:tcPr>
          <w:p>
            <w:pPr>
              <w:pStyle w:val="TableContents"/>
              <w:spacing w:before="0" w:after="0"/>
              <w:ind w:left="0" w:right="0" w:hanging="0"/>
              <w:jc w:val="center"/>
              <w:rPr/>
            </w:pPr>
            <w:r>
              <w:rPr/>
              <w:t> </w:t>
            </w:r>
          </w:p>
        </w:tc>
        <w:tc>
          <w:tcPr>
            <w:tcW w:w="567"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2023</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211" w:type="dxa"/>
            <w:tcBorders/>
            <w:shd w:fill="auto" w:val="clear"/>
            <w:vAlign w:val="center"/>
          </w:tcPr>
          <w:p>
            <w:pPr>
              <w:pStyle w:val="TableContents"/>
              <w:spacing w:before="0" w:after="0"/>
              <w:ind w:left="0" w:right="0" w:hanging="0"/>
              <w:jc w:val="center"/>
              <w:rPr/>
            </w:pPr>
            <w:r>
              <w:rPr/>
              <w:t> </w:t>
            </w:r>
          </w:p>
        </w:tc>
        <w:tc>
          <w:tcPr>
            <w:tcW w:w="567"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2022</w:t>
            </w:r>
          </w:p>
        </w:tc>
        <w:tc>
          <w:tcPr>
            <w:tcW w:w="2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501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Property, plant and equipment:</w:t>
            </w:r>
          </w:p>
        </w:tc>
        <w:tc>
          <w:tcPr>
            <w:tcW w:w="211" w:type="dxa"/>
            <w:tcBorders/>
            <w:shd w:fill="auto" w:val="clear"/>
            <w:vAlign w:val="center"/>
          </w:tcPr>
          <w:p>
            <w:pPr>
              <w:pStyle w:val="TableContents"/>
              <w:spacing w:before="0" w:after="0"/>
              <w:ind w:left="0" w:right="0" w:hanging="0"/>
              <w:jc w:val="left"/>
              <w:rPr/>
            </w:pPr>
            <w:r>
              <w:rPr/>
              <w:t> </w:t>
            </w:r>
          </w:p>
        </w:tc>
        <w:tc>
          <w:tcPr>
            <w:tcW w:w="567" w:type="dxa"/>
            <w:gridSpan w:val="2"/>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567" w:type="dxa"/>
            <w:gridSpan w:val="2"/>
            <w:tcBorders/>
            <w:shd w:fill="auto" w:val="clear"/>
            <w:vAlign w:val="center"/>
          </w:tcPr>
          <w:p>
            <w:pPr>
              <w:pStyle w:val="TableContents"/>
              <w:spacing w:before="0" w:after="0"/>
              <w:ind w:left="0" w:right="0" w:hanging="0"/>
              <w:jc w:val="left"/>
              <w:rPr/>
            </w:pPr>
            <w:r>
              <w:rPr/>
              <w:t> </w:t>
            </w:r>
          </w:p>
        </w:tc>
        <w:tc>
          <w:tcPr>
            <w:tcW w:w="291" w:type="dxa"/>
            <w:tcBorders/>
            <w:shd w:fill="auto" w:val="clear"/>
            <w:vAlign w:val="center"/>
          </w:tcPr>
          <w:p>
            <w:pPr>
              <w:pStyle w:val="TableContents"/>
              <w:spacing w:before="0" w:after="0"/>
              <w:ind w:left="0" w:right="0" w:firstLine="100"/>
              <w:jc w:val="left"/>
              <w:rPr/>
            </w:pPr>
            <w:r>
              <w:rPr/>
              <w:t> </w:t>
            </w:r>
          </w:p>
        </w:tc>
      </w:tr>
      <w:tr>
        <w:trPr/>
        <w:tc>
          <w:tcPr>
            <w:tcW w:w="5011" w:type="dxa"/>
            <w:tcBorders/>
            <w:shd w:fill="auto" w:val="clear"/>
            <w:vAlign w:val="center"/>
          </w:tcPr>
          <w:p>
            <w:pPr>
              <w:pStyle w:val="TableContents"/>
              <w:spacing w:before="0" w:after="0"/>
              <w:ind w:left="100" w:right="0" w:hanging="0"/>
              <w:jc w:val="left"/>
              <w:rPr>
                <w:rFonts w:ascii="Times New Roman" w:hAnsi="Times New Roman"/>
                <w:sz w:val="20"/>
              </w:rPr>
            </w:pPr>
            <w:r>
              <w:rPr>
                <w:rFonts w:ascii="Times New Roman;serif" w:hAnsi="Times New Roman;serif"/>
                <w:b w:val="false"/>
                <w:sz w:val="20"/>
              </w:rPr>
              <w:t>Equipment supporting joint revenue sharing arrangements</w:t>
            </w:r>
            <w:r>
              <w:rPr>
                <w:rFonts w:ascii="Times New Roman;serif" w:hAnsi="Times New Roman;serif"/>
                <w:b w:val="false"/>
                <w:sz w:val="13"/>
              </w:rPr>
              <w:t>(1)</w:t>
            </w:r>
          </w:p>
        </w:tc>
        <w:tc>
          <w:tcPr>
            <w:tcW w:w="21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shd w:fill="auto" w:val="clear"/>
            <w:vAlign w:val="center"/>
          </w:tcPr>
          <w:p>
            <w:pPr>
              <w:pStyle w:val="TableContents"/>
              <w:spacing w:before="0" w:after="0"/>
              <w:ind w:left="0" w:right="0" w:hanging="0"/>
              <w:jc w:val="left"/>
              <w:rPr/>
            </w:pPr>
            <w:r>
              <w:rPr/>
              <w:t> </w:t>
            </w:r>
          </w:p>
        </w:tc>
        <w:tc>
          <w:tcPr>
            <w:tcW w:w="42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297</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shd w:fill="auto" w:val="clear"/>
            <w:vAlign w:val="center"/>
          </w:tcPr>
          <w:p>
            <w:pPr>
              <w:pStyle w:val="TableContents"/>
              <w:spacing w:before="0" w:after="0"/>
              <w:ind w:left="0" w:right="0" w:hanging="0"/>
              <w:jc w:val="left"/>
              <w:rPr/>
            </w:pPr>
            <w:r>
              <w:rPr/>
              <w:t> </w:t>
            </w:r>
          </w:p>
        </w:tc>
        <w:tc>
          <w:tcPr>
            <w:tcW w:w="42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202</w:t>
            </w:r>
          </w:p>
        </w:tc>
        <w:tc>
          <w:tcPr>
            <w:tcW w:w="291" w:type="dxa"/>
            <w:tcBorders/>
            <w:shd w:fill="auto" w:val="clear"/>
            <w:vAlign w:val="center"/>
          </w:tcPr>
          <w:p>
            <w:pPr>
              <w:pStyle w:val="TableContents"/>
              <w:spacing w:before="0" w:after="0"/>
              <w:ind w:left="0" w:right="0" w:firstLine="100"/>
              <w:jc w:val="left"/>
              <w:rPr/>
            </w:pPr>
            <w:r>
              <w:rPr/>
              <w:t> </w:t>
            </w:r>
          </w:p>
        </w:tc>
      </w:tr>
      <w:tr>
        <w:trPr/>
        <w:tc>
          <w:tcPr>
            <w:tcW w:w="5011" w:type="dxa"/>
            <w:tcBorders/>
            <w:shd w:fill="auto" w:val="clear"/>
            <w:vAlign w:val="center"/>
          </w:tcPr>
          <w:p>
            <w:pPr>
              <w:pStyle w:val="TableContents"/>
              <w:spacing w:before="0" w:after="0"/>
              <w:ind w:left="100" w:right="0" w:hanging="0"/>
              <w:jc w:val="left"/>
              <w:rPr>
                <w:rFonts w:ascii="Times New Roman;serif" w:hAnsi="Times New Roman;serif"/>
                <w:b w:val="false"/>
                <w:sz w:val="20"/>
              </w:rPr>
            </w:pPr>
            <w:r>
              <w:rPr>
                <w:rFonts w:ascii="Times New Roman;serif" w:hAnsi="Times New Roman;serif"/>
                <w:b w:val="false"/>
                <w:sz w:val="20"/>
              </w:rPr>
              <w:t>Other property, plant and equipment</w:t>
            </w:r>
          </w:p>
        </w:tc>
        <w:tc>
          <w:tcPr>
            <w:tcW w:w="21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42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42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w:t>
            </w:r>
          </w:p>
        </w:tc>
        <w:tc>
          <w:tcPr>
            <w:tcW w:w="291" w:type="dxa"/>
            <w:tcBorders/>
            <w:shd w:fill="auto" w:val="clear"/>
            <w:vAlign w:val="center"/>
          </w:tcPr>
          <w:p>
            <w:pPr>
              <w:pStyle w:val="TableContents"/>
              <w:spacing w:before="0" w:after="0"/>
              <w:ind w:left="0" w:right="0" w:hanging="0"/>
              <w:jc w:val="left"/>
              <w:rPr/>
            </w:pPr>
            <w:r>
              <w:rPr/>
              <w:t> </w:t>
            </w:r>
          </w:p>
        </w:tc>
      </w:tr>
      <w:tr>
        <w:trPr/>
        <w:tc>
          <w:tcPr>
            <w:tcW w:w="501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Inventories</w:t>
            </w:r>
          </w:p>
        </w:tc>
        <w:tc>
          <w:tcPr>
            <w:tcW w:w="21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42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6</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42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12</w:t>
            </w:r>
          </w:p>
        </w:tc>
        <w:tc>
          <w:tcPr>
            <w:tcW w:w="291" w:type="dxa"/>
            <w:tcBorders/>
            <w:shd w:fill="auto" w:val="clear"/>
            <w:vAlign w:val="center"/>
          </w:tcPr>
          <w:p>
            <w:pPr>
              <w:pStyle w:val="TableContents"/>
              <w:spacing w:before="0" w:after="0"/>
              <w:ind w:left="0" w:right="0" w:hanging="0"/>
              <w:jc w:val="left"/>
              <w:rPr/>
            </w:pPr>
            <w:r>
              <w:rPr/>
              <w:t> </w:t>
            </w:r>
          </w:p>
        </w:tc>
      </w:tr>
      <w:tr>
        <w:trPr/>
        <w:tc>
          <w:tcPr>
            <w:tcW w:w="501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Film assets</w:t>
            </w:r>
          </w:p>
        </w:tc>
        <w:tc>
          <w:tcPr>
            <w:tcW w:w="21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421"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42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165</w:t>
            </w:r>
          </w:p>
        </w:tc>
        <w:tc>
          <w:tcPr>
            <w:tcW w:w="291" w:type="dxa"/>
            <w:tcBorders/>
            <w:shd w:fill="auto" w:val="clear"/>
            <w:vAlign w:val="center"/>
          </w:tcPr>
          <w:p>
            <w:pPr>
              <w:pStyle w:val="TableContents"/>
              <w:spacing w:before="0" w:after="0"/>
              <w:ind w:left="0" w:right="0" w:hanging="0"/>
              <w:jc w:val="left"/>
              <w:rPr/>
            </w:pPr>
            <w:r>
              <w:rPr/>
              <w:t> </w:t>
            </w:r>
          </w:p>
        </w:tc>
      </w:tr>
      <w:tr>
        <w:trPr/>
        <w:tc>
          <w:tcPr>
            <w:tcW w:w="5011" w:type="dxa"/>
            <w:tcBorders/>
            <w:shd w:fill="auto" w:val="clear"/>
            <w:vAlign w:val="center"/>
          </w:tcPr>
          <w:p>
            <w:pPr>
              <w:pStyle w:val="TableContents"/>
              <w:spacing w:before="0" w:after="0"/>
              <w:ind w:left="0" w:right="0" w:hanging="0"/>
              <w:jc w:val="left"/>
              <w:rPr/>
            </w:pPr>
            <w:r>
              <w:rPr/>
              <w:t> </w:t>
            </w:r>
          </w:p>
        </w:tc>
        <w:tc>
          <w:tcPr>
            <w:tcW w:w="211" w:type="dxa"/>
            <w:tcBorders>
              <w:top w:val="single" w:sz="4" w:space="0" w:color="000000"/>
              <w:bottom w:val="double" w:sz="6" w:space="0" w:color="000000"/>
            </w:tcBorders>
            <w:shd w:fill="auto" w:val="clear"/>
            <w:tcMar>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top w:val="single" w:sz="4" w:space="0" w:color="000000"/>
              <w:bottom w:val="double" w:sz="6" w:space="0" w:color="000000"/>
            </w:tcBorders>
            <w:shd w:fill="auto" w:val="clear"/>
            <w:tcMar>
              <w:left w:w="0" w:type="dxa"/>
              <w:right w:w="0" w:type="dxa"/>
            </w:tcMar>
            <w:vAlign w:val="center"/>
          </w:tcPr>
          <w:p>
            <w:pPr>
              <w:pStyle w:val="TableContents"/>
              <w:spacing w:before="0" w:after="0"/>
              <w:ind w:left="0" w:right="0" w:hanging="0"/>
              <w:jc w:val="left"/>
              <w:rPr/>
            </w:pPr>
            <w:r>
              <w:rPr/>
              <w:t> </w:t>
            </w:r>
          </w:p>
        </w:tc>
        <w:tc>
          <w:tcPr>
            <w:tcW w:w="421" w:type="dxa"/>
            <w:tcBorders>
              <w:top w:val="single" w:sz="4" w:space="0" w:color="000000"/>
              <w:bottom w:val="double" w:sz="6" w:space="0" w:color="000000"/>
            </w:tcBorders>
            <w:shd w:fill="auto" w:val="clear"/>
            <w:tcMar>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304</w:t>
            </w:r>
          </w:p>
        </w:tc>
        <w:tc>
          <w:tcPr>
            <w:tcW w:w="146" w:type="dxa"/>
            <w:tcBorders>
              <w:top w:val="single" w:sz="4" w:space="0" w:color="000000"/>
              <w:bottom w:val="double" w:sz="6" w:space="0" w:color="000000"/>
            </w:tcBorders>
            <w:shd w:fill="auto" w:val="clear"/>
            <w:tcMar>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top w:val="single" w:sz="4" w:space="0" w:color="000000"/>
              <w:bottom w:val="double" w:sz="6" w:space="0" w:color="000000"/>
            </w:tcBorders>
            <w:shd w:fill="auto" w:val="clear"/>
            <w:tcMar>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top w:val="single" w:sz="4" w:space="0" w:color="000000"/>
              <w:bottom w:val="double" w:sz="6" w:space="0" w:color="000000"/>
            </w:tcBorders>
            <w:shd w:fill="auto" w:val="clear"/>
            <w:tcMar>
              <w:left w:w="0" w:type="dxa"/>
              <w:right w:w="0" w:type="dxa"/>
            </w:tcMar>
            <w:vAlign w:val="center"/>
          </w:tcPr>
          <w:p>
            <w:pPr>
              <w:pStyle w:val="TableContents"/>
              <w:spacing w:before="0" w:after="0"/>
              <w:ind w:left="0" w:right="0" w:hanging="0"/>
              <w:jc w:val="left"/>
              <w:rPr/>
            </w:pPr>
            <w:r>
              <w:rPr/>
              <w:t> </w:t>
            </w:r>
          </w:p>
        </w:tc>
        <w:tc>
          <w:tcPr>
            <w:tcW w:w="421" w:type="dxa"/>
            <w:tcBorders>
              <w:top w:val="single" w:sz="4" w:space="0" w:color="000000"/>
              <w:bottom w:val="double" w:sz="6" w:space="0" w:color="000000"/>
            </w:tcBorders>
            <w:shd w:fill="auto" w:val="clear"/>
            <w:tcMar>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381</w:t>
            </w:r>
          </w:p>
        </w:tc>
        <w:tc>
          <w:tcPr>
            <w:tcW w:w="291" w:type="dxa"/>
            <w:tcBorders>
              <w:top w:val="single" w:sz="4" w:space="0" w:color="000000"/>
              <w:bottom w:val="double" w:sz="6" w:space="0" w:color="000000"/>
            </w:tcBorders>
            <w:shd w:fill="auto" w:val="clear"/>
            <w:tcMar>
              <w:left w:w="0" w:type="dxa"/>
              <w:right w:w="0" w:type="dxa"/>
            </w:tcMar>
            <w:vAlign w:val="center"/>
          </w:tcPr>
          <w:p>
            <w:pPr>
              <w:pStyle w:val="TableContents"/>
              <w:spacing w:before="0" w:after="0"/>
              <w:ind w:left="0" w:right="0" w:hanging="0"/>
              <w:jc w:val="left"/>
              <w:rPr/>
            </w:pPr>
            <w:r>
              <w:rPr/>
              <w:t> </w:t>
            </w:r>
          </w:p>
        </w:tc>
      </w:tr>
    </w:tbl>
    <w:p>
      <w:pPr>
        <w:pStyle w:val="TextBody"/>
        <w:pBdr>
          <w:bottom w:val="single" w:sz="4" w:space="1" w:color="000000"/>
        </w:pBdr>
        <w:spacing w:before="0" w:after="0"/>
        <w:jc w:val="left"/>
        <w:rPr/>
      </w:pPr>
      <w:r>
        <w:rPr/>
        <w:t> </w:t>
      </w:r>
    </w:p>
    <w:p>
      <w:pPr>
        <w:pStyle w:val="TextBody"/>
        <w:spacing w:before="200" w:after="0"/>
        <w:jc w:val="both"/>
        <w:rPr>
          <w:rFonts w:ascii="Times New Roman" w:hAnsi="Times New Roman"/>
          <w:b w:val="false"/>
          <w:sz w:val="20"/>
        </w:rPr>
      </w:pPr>
      <w:r>
        <w:rPr>
          <w:rFonts w:ascii="Times New Roman" w:hAnsi="Times New Roman"/>
          <w:b w:val="false"/>
          <w:sz w:val="20"/>
        </w:rPr>
        <w:t>(1)</w:t>
      </w:r>
    </w:p>
    <w:p>
      <w:pPr>
        <w:pStyle w:val="TextBody"/>
        <w:spacing w:before="200" w:after="0"/>
        <w:jc w:val="both"/>
        <w:rPr>
          <w:rFonts w:ascii="Times New Roman;serif" w:hAnsi="Times New Roman;serif"/>
          <w:sz w:val="20"/>
        </w:rPr>
      </w:pPr>
      <w:r>
        <w:rPr>
          <w:rFonts w:ascii="Times New Roman;serif" w:hAnsi="Times New Roman;serif"/>
          <w:b w:val="false"/>
          <w:sz w:val="20"/>
        </w:rPr>
        <w:t>In the three months ended March 31, 2023, the Company recorded charges of $0.3</w:t>
      </w:r>
      <w:r>
        <w:rPr>
          <w:rFonts w:ascii="Times New Roman;serif" w:hAnsi="Times New Roman;serif"/>
          <w:sz w:val="20"/>
        </w:rPr>
        <w:t xml:space="preserve"> </w:t>
      </w:r>
      <w:r>
        <w:rPr>
          <w:rFonts w:ascii="Times New Roman;serif" w:hAnsi="Times New Roman;serif"/>
          <w:b w:val="false"/>
          <w:sz w:val="20"/>
        </w:rPr>
        <w:t>million</w:t>
      </w:r>
      <w:r>
        <w:rPr>
          <w:rFonts w:ascii="Times New Roman;serif" w:hAnsi="Times New Roman;serif"/>
          <w:sz w:val="20"/>
        </w:rPr>
        <w:t xml:space="preserve"> </w:t>
      </w:r>
      <w:r>
        <w:rPr>
          <w:rFonts w:ascii="Times New Roman;serif" w:hAnsi="Times New Roman;serif"/>
          <w:b w:val="false"/>
          <w:sz w:val="20"/>
        </w:rPr>
        <w:t>(2022 — $0.2</w:t>
      </w:r>
      <w:r>
        <w:rPr>
          <w:rFonts w:ascii="Times New Roman;serif" w:hAnsi="Times New Roman;serif"/>
          <w:sz w:val="20"/>
        </w:rPr>
        <w:t xml:space="preserve"> </w:t>
      </w:r>
      <w:r>
        <w:rPr>
          <w:rFonts w:ascii="Times New Roman;serif" w:hAnsi="Times New Roman;serif"/>
          <w:b w:val="false"/>
          <w:sz w:val="20"/>
        </w:rPr>
        <w:t xml:space="preserve">million) in Costs and Expenses Applicable to Revenues ― Technology Rentals mostly related to the write-down of leased xenon-based digital systems which were taken out of service in connection with customer upgrades to laser-based digital systems, as well as the closure of one IMAX System. </w:t>
      </w:r>
    </w:p>
    <w:p>
      <w:pPr>
        <w:pStyle w:val="TextBody"/>
        <w:spacing w:before="200" w:after="0"/>
        <w:jc w:val="left"/>
        <w:rPr>
          <w:rFonts w:ascii="Times New Roman" w:hAnsi="Times New Roman"/>
          <w:b/>
          <w:i/>
          <w:sz w:val="20"/>
        </w:rPr>
      </w:pPr>
      <w:r>
        <w:rPr>
          <w:rFonts w:ascii="Times New Roman" w:hAnsi="Times New Roman"/>
          <w:b/>
          <w:i/>
          <w:sz w:val="20"/>
        </w:rPr>
        <w:t>(d)</w:t>
      </w:r>
    </w:p>
    <w:p>
      <w:pPr>
        <w:pStyle w:val="TextBody"/>
        <w:spacing w:before="200" w:after="283"/>
        <w:jc w:val="left"/>
        <w:rPr>
          <w:rFonts w:ascii="Times New Roman;serif" w:hAnsi="Times New Roman;serif"/>
          <w:b/>
          <w:i/>
          <w:sz w:val="20"/>
        </w:rPr>
      </w:pPr>
      <w:r>
        <w:rPr>
          <w:rFonts w:ascii="Times New Roman;serif" w:hAnsi="Times New Roman;serif"/>
          <w:b/>
          <w:i/>
          <w:sz w:val="20"/>
        </w:rPr>
        <w:t>Significant non-cash investing activities</w:t>
      </w:r>
    </w:p>
    <w:p>
      <w:pPr>
        <w:pStyle w:val="TextBody"/>
        <w:spacing w:before="0" w:after="0"/>
        <w:jc w:val="left"/>
        <w:rPr/>
      </w:pPr>
      <w:r>
        <w:rPr/>
        <w:t> </w:t>
      </w:r>
    </w:p>
    <w:tbl>
      <w:tblPr>
        <w:tblW w:w="8340" w:type="dxa"/>
        <w:jc w:val="left"/>
        <w:tblInd w:w="0" w:type="dxa"/>
        <w:tblCellMar>
          <w:top w:w="28" w:type="dxa"/>
          <w:left w:w="28" w:type="dxa"/>
          <w:bottom w:w="28" w:type="dxa"/>
          <w:right w:w="28" w:type="dxa"/>
        </w:tblCellMar>
      </w:tblPr>
      <w:tblGrid>
        <w:gridCol w:w="5971"/>
        <w:gridCol w:w="211"/>
        <w:gridCol w:w="146"/>
        <w:gridCol w:w="481"/>
        <w:gridCol w:w="166"/>
        <w:gridCol w:w="146"/>
        <w:gridCol w:w="211"/>
        <w:gridCol w:w="146"/>
        <w:gridCol w:w="571"/>
        <w:gridCol w:w="291"/>
      </w:tblGrid>
      <w:tr>
        <w:trPr/>
        <w:tc>
          <w:tcPr>
            <w:tcW w:w="5971"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481" w:type="dxa"/>
            <w:tcBorders/>
            <w:shd w:fill="auto" w:val="clear"/>
            <w:vAlign w:val="center"/>
          </w:tcPr>
          <w:p>
            <w:pPr>
              <w:pStyle w:val="TableContents"/>
              <w:spacing w:before="0" w:after="283"/>
              <w:rPr>
                <w:sz w:val="4"/>
                <w:szCs w:val="4"/>
              </w:rPr>
            </w:pPr>
            <w:r>
              <w:rPr>
                <w:sz w:val="4"/>
                <w:szCs w:val="4"/>
              </w:rPr>
            </w:r>
          </w:p>
        </w:tc>
        <w:tc>
          <w:tcPr>
            <w:tcW w:w="16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571" w:type="dxa"/>
            <w:tcBorders/>
            <w:shd w:fill="auto" w:val="clear"/>
            <w:vAlign w:val="center"/>
          </w:tcPr>
          <w:p>
            <w:pPr>
              <w:pStyle w:val="TableContents"/>
              <w:spacing w:before="0" w:after="283"/>
              <w:rPr>
                <w:sz w:val="4"/>
                <w:szCs w:val="4"/>
              </w:rPr>
            </w:pPr>
            <w:r>
              <w:rPr>
                <w:sz w:val="4"/>
                <w:szCs w:val="4"/>
              </w:rPr>
            </w:r>
          </w:p>
        </w:tc>
        <w:tc>
          <w:tcPr>
            <w:tcW w:w="291" w:type="dxa"/>
            <w:tcBorders/>
            <w:shd w:fill="auto" w:val="clear"/>
            <w:vAlign w:val="center"/>
          </w:tcPr>
          <w:p>
            <w:pPr>
              <w:pStyle w:val="TableContents"/>
              <w:spacing w:before="0" w:after="283"/>
              <w:rPr>
                <w:sz w:val="4"/>
                <w:szCs w:val="4"/>
              </w:rPr>
            </w:pPr>
            <w:r>
              <w:rPr>
                <w:sz w:val="4"/>
                <w:szCs w:val="4"/>
              </w:rPr>
            </w:r>
          </w:p>
        </w:tc>
      </w:tr>
      <w:tr>
        <w:trPr/>
        <w:tc>
          <w:tcPr>
            <w:tcW w:w="5971" w:type="dxa"/>
            <w:tcBorders/>
            <w:shd w:fill="auto" w:val="clear"/>
            <w:vAlign w:val="center"/>
          </w:tcPr>
          <w:p>
            <w:pPr>
              <w:pStyle w:val="TableContents"/>
              <w:spacing w:before="0" w:after="0"/>
              <w:ind w:left="0" w:right="0" w:hanging="0"/>
              <w:jc w:val="left"/>
              <w:rPr/>
            </w:pPr>
            <w:r>
              <w:rPr/>
              <w:t> </w:t>
            </w:r>
          </w:p>
        </w:tc>
        <w:tc>
          <w:tcPr>
            <w:tcW w:w="2078" w:type="dxa"/>
            <w:gridSpan w:val="8"/>
            <w:tcBorders/>
            <w:shd w:fill="auto" w:val="cle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Three Months Ended</w:t>
            </w:r>
          </w:p>
        </w:tc>
        <w:tc>
          <w:tcPr>
            <w:tcW w:w="291" w:type="dxa"/>
            <w:tcBorders/>
            <w:shd w:fill="auto" w:val="clear"/>
            <w:vAlign w:val="center"/>
          </w:tcPr>
          <w:p>
            <w:pPr>
              <w:pStyle w:val="TableContents"/>
              <w:spacing w:before="0" w:after="0"/>
              <w:ind w:left="0" w:right="0" w:hanging="0"/>
              <w:jc w:val="center"/>
              <w:rPr/>
            </w:pPr>
            <w:r>
              <w:rPr/>
              <w:t> </w:t>
            </w:r>
          </w:p>
        </w:tc>
      </w:tr>
      <w:tr>
        <w:trPr/>
        <w:tc>
          <w:tcPr>
            <w:tcW w:w="5971" w:type="dxa"/>
            <w:tcBorders/>
            <w:shd w:fill="auto" w:val="clear"/>
            <w:vAlign w:val="center"/>
          </w:tcPr>
          <w:p>
            <w:pPr>
              <w:pStyle w:val="TableContents"/>
              <w:spacing w:before="0" w:after="0"/>
              <w:ind w:left="0" w:right="0" w:hanging="0"/>
              <w:jc w:val="left"/>
              <w:rPr/>
            </w:pPr>
            <w:r>
              <w:rPr/>
              <w:t> </w:t>
            </w:r>
          </w:p>
        </w:tc>
        <w:tc>
          <w:tcPr>
            <w:tcW w:w="2078" w:type="dxa"/>
            <w:gridSpan w:val="8"/>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March 31,</w:t>
            </w:r>
          </w:p>
        </w:tc>
        <w:tc>
          <w:tcPr>
            <w:tcW w:w="2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5971" w:type="dxa"/>
            <w:tcBorders/>
            <w:shd w:fill="auto" w:val="clear"/>
            <w:vAlign w:val="center"/>
          </w:tcPr>
          <w:p>
            <w:pPr>
              <w:pStyle w:val="TableContents"/>
              <w:spacing w:before="0" w:after="0"/>
              <w:ind w:left="0" w:right="0" w:hanging="0"/>
              <w:jc w:val="left"/>
              <w:rPr>
                <w:rFonts w:ascii="Times New Roman;serif" w:hAnsi="Times New Roman;serif"/>
                <w:b w:val="false"/>
                <w:i/>
                <w:sz w:val="16"/>
              </w:rPr>
            </w:pPr>
            <w:r>
              <w:rPr>
                <w:rFonts w:ascii="Times New Roman;serif" w:hAnsi="Times New Roman;serif"/>
                <w:b w:val="false"/>
                <w:i/>
                <w:sz w:val="16"/>
              </w:rPr>
              <w:t>(In thousands of U.S. Dollars)</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627"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2023</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717"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2022</w:t>
            </w:r>
          </w:p>
        </w:tc>
        <w:tc>
          <w:tcPr>
            <w:tcW w:w="2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597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Net (decrease) increase in accruals related to:</w:t>
            </w:r>
          </w:p>
        </w:tc>
        <w:tc>
          <w:tcPr>
            <w:tcW w:w="211" w:type="dxa"/>
            <w:tcBorders/>
            <w:shd w:fill="auto" w:val="clear"/>
            <w:vAlign w:val="center"/>
          </w:tcPr>
          <w:p>
            <w:pPr>
              <w:pStyle w:val="TableContents"/>
              <w:spacing w:before="0" w:after="0"/>
              <w:ind w:left="0" w:right="0" w:hanging="0"/>
              <w:jc w:val="left"/>
              <w:rPr/>
            </w:pPr>
            <w:r>
              <w:rPr/>
              <w:t> </w:t>
            </w:r>
          </w:p>
        </w:tc>
        <w:tc>
          <w:tcPr>
            <w:tcW w:w="627" w:type="dxa"/>
            <w:gridSpan w:val="2"/>
            <w:tcBorders/>
            <w:shd w:fill="auto" w:val="clear"/>
            <w:vAlign w:val="center"/>
          </w:tcPr>
          <w:p>
            <w:pPr>
              <w:pStyle w:val="TableContents"/>
              <w:spacing w:before="0" w:after="0"/>
              <w:ind w:left="0" w:right="0" w:hanging="0"/>
              <w:jc w:val="left"/>
              <w:rPr/>
            </w:pPr>
            <w:r>
              <w:rPr/>
              <w:t> </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717" w:type="dxa"/>
            <w:gridSpan w:val="2"/>
            <w:tcBorders/>
            <w:shd w:fill="auto" w:val="clear"/>
            <w:vAlign w:val="center"/>
          </w:tcPr>
          <w:p>
            <w:pPr>
              <w:pStyle w:val="TableContents"/>
              <w:spacing w:before="0" w:after="0"/>
              <w:ind w:left="0" w:right="0" w:hanging="0"/>
              <w:jc w:val="left"/>
              <w:rPr/>
            </w:pPr>
            <w:r>
              <w:rPr/>
              <w:t> </w:t>
            </w:r>
          </w:p>
        </w:tc>
        <w:tc>
          <w:tcPr>
            <w:tcW w:w="291" w:type="dxa"/>
            <w:tcBorders/>
            <w:shd w:fill="auto" w:val="clear"/>
            <w:vAlign w:val="center"/>
          </w:tcPr>
          <w:p>
            <w:pPr>
              <w:pStyle w:val="TableContents"/>
              <w:spacing w:before="0" w:after="0"/>
              <w:ind w:left="0" w:right="0" w:firstLine="100"/>
              <w:jc w:val="left"/>
              <w:rPr/>
            </w:pPr>
            <w:r>
              <w:rPr/>
              <w:t> </w:t>
            </w:r>
          </w:p>
        </w:tc>
      </w:tr>
      <w:tr>
        <w:trPr/>
        <w:tc>
          <w:tcPr>
            <w:tcW w:w="5971" w:type="dxa"/>
            <w:tcBorders/>
            <w:shd w:fill="auto" w:val="clear"/>
            <w:vAlign w:val="center"/>
          </w:tcPr>
          <w:p>
            <w:pPr>
              <w:pStyle w:val="TableContents"/>
              <w:spacing w:before="0" w:after="0"/>
              <w:ind w:left="100" w:right="0" w:hanging="0"/>
              <w:jc w:val="left"/>
              <w:rPr>
                <w:rFonts w:ascii="Times New Roman;serif" w:hAnsi="Times New Roman;serif"/>
                <w:b w:val="false"/>
                <w:sz w:val="20"/>
              </w:rPr>
            </w:pPr>
            <w:r>
              <w:rPr>
                <w:rFonts w:ascii="Times New Roman;serif" w:hAnsi="Times New Roman;serif"/>
                <w:b w:val="false"/>
                <w:sz w:val="20"/>
              </w:rPr>
              <w:t>Investment in equipment supporting joint revenue sharing arrangements</w:t>
            </w:r>
          </w:p>
        </w:tc>
        <w:tc>
          <w:tcPr>
            <w:tcW w:w="21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shd w:fill="auto" w:val="clear"/>
            <w:vAlign w:val="center"/>
          </w:tcPr>
          <w:p>
            <w:pPr>
              <w:pStyle w:val="TableContents"/>
              <w:spacing w:before="0" w:after="0"/>
              <w:ind w:left="0" w:right="0" w:hanging="0"/>
              <w:jc w:val="left"/>
              <w:rPr/>
            </w:pPr>
            <w:r>
              <w:rPr/>
              <w:t> </w:t>
            </w:r>
          </w:p>
        </w:tc>
        <w:tc>
          <w:tcPr>
            <w:tcW w:w="48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(764</w:t>
            </w:r>
          </w:p>
        </w:tc>
        <w:tc>
          <w:tcPr>
            <w:tcW w:w="16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shd w:fill="auto" w:val="clear"/>
            <w:vAlign w:val="center"/>
          </w:tcPr>
          <w:p>
            <w:pPr>
              <w:pStyle w:val="TableContents"/>
              <w:spacing w:before="0" w:after="0"/>
              <w:ind w:left="0" w:right="0" w:hanging="0"/>
              <w:jc w:val="left"/>
              <w:rPr/>
            </w:pPr>
            <w:r>
              <w:rPr/>
              <w:t> </w:t>
            </w:r>
          </w:p>
        </w:tc>
        <w:tc>
          <w:tcPr>
            <w:tcW w:w="57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1,133</w:t>
            </w:r>
          </w:p>
        </w:tc>
        <w:tc>
          <w:tcPr>
            <w:tcW w:w="291" w:type="dxa"/>
            <w:tcBorders/>
            <w:shd w:fill="auto" w:val="clear"/>
            <w:vAlign w:val="center"/>
          </w:tcPr>
          <w:p>
            <w:pPr>
              <w:pStyle w:val="TableContents"/>
              <w:spacing w:before="0" w:after="0"/>
              <w:ind w:left="0" w:right="0" w:firstLine="100"/>
              <w:jc w:val="left"/>
              <w:rPr/>
            </w:pPr>
            <w:r>
              <w:rPr/>
              <w:t> </w:t>
            </w:r>
          </w:p>
        </w:tc>
      </w:tr>
      <w:tr>
        <w:trPr/>
        <w:tc>
          <w:tcPr>
            <w:tcW w:w="5971" w:type="dxa"/>
            <w:tcBorders/>
            <w:shd w:fill="auto" w:val="clear"/>
            <w:vAlign w:val="center"/>
          </w:tcPr>
          <w:p>
            <w:pPr>
              <w:pStyle w:val="TableContents"/>
              <w:spacing w:before="0" w:after="0"/>
              <w:ind w:left="100" w:right="0" w:hanging="0"/>
              <w:jc w:val="left"/>
              <w:rPr>
                <w:rFonts w:ascii="Times New Roman;serif" w:hAnsi="Times New Roman;serif"/>
                <w:b w:val="false"/>
                <w:sz w:val="20"/>
              </w:rPr>
            </w:pPr>
            <w:r>
              <w:rPr>
                <w:rFonts w:ascii="Times New Roman;serif" w:hAnsi="Times New Roman;serif"/>
                <w:b w:val="false"/>
                <w:sz w:val="20"/>
              </w:rPr>
              <w:t>Acquisition of other intangible assets</w:t>
            </w:r>
          </w:p>
        </w:tc>
        <w:tc>
          <w:tcPr>
            <w:tcW w:w="211"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48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(22</w:t>
            </w:r>
          </w:p>
        </w:tc>
        <w:tc>
          <w:tcPr>
            <w:tcW w:w="16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57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32</w:t>
            </w:r>
          </w:p>
        </w:tc>
        <w:tc>
          <w:tcPr>
            <w:tcW w:w="291" w:type="dxa"/>
            <w:tcBorders/>
            <w:shd w:fill="auto" w:val="clear"/>
            <w:vAlign w:val="center"/>
          </w:tcPr>
          <w:p>
            <w:pPr>
              <w:pStyle w:val="TableContents"/>
              <w:spacing w:before="0" w:after="0"/>
              <w:ind w:left="0" w:right="0" w:firstLine="100"/>
              <w:jc w:val="left"/>
              <w:rPr/>
            </w:pPr>
            <w:r>
              <w:rPr/>
              <w:t> </w:t>
            </w:r>
          </w:p>
        </w:tc>
      </w:tr>
      <w:tr>
        <w:trPr/>
        <w:tc>
          <w:tcPr>
            <w:tcW w:w="5971" w:type="dxa"/>
            <w:tcBorders/>
            <w:shd w:fill="auto" w:val="clear"/>
            <w:vAlign w:val="center"/>
          </w:tcPr>
          <w:p>
            <w:pPr>
              <w:pStyle w:val="TableContents"/>
              <w:spacing w:before="0" w:after="0"/>
              <w:ind w:left="100" w:right="0" w:hanging="0"/>
              <w:jc w:val="left"/>
              <w:rPr>
                <w:rFonts w:ascii="Times New Roman;serif" w:hAnsi="Times New Roman;serif"/>
                <w:b w:val="false"/>
                <w:sz w:val="20"/>
              </w:rPr>
            </w:pPr>
            <w:r>
              <w:rPr>
                <w:rFonts w:ascii="Times New Roman;serif" w:hAnsi="Times New Roman;serif"/>
                <w:b w:val="false"/>
                <w:sz w:val="20"/>
              </w:rPr>
              <w:t>Purchases of property, plant and equipment</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48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548</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57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pPr>
            <w:r>
              <w:rPr/>
              <w:t>—</w:t>
            </w:r>
          </w:p>
        </w:tc>
        <w:tc>
          <w:tcPr>
            <w:tcW w:w="2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r>
        <w:trPr/>
        <w:tc>
          <w:tcPr>
            <w:tcW w:w="5971" w:type="dxa"/>
            <w:tcBorders/>
            <w:shd w:fill="auto" w:val="clear"/>
            <w:vAlign w:val="center"/>
          </w:tcPr>
          <w:p>
            <w:pPr>
              <w:pStyle w:val="TableContents"/>
              <w:spacing w:before="0" w:after="0"/>
              <w:ind w:left="0" w:right="0" w:hanging="0"/>
              <w:jc w:val="left"/>
              <w:rPr/>
            </w:pPr>
            <w:r>
              <w:rPr/>
              <w:t> </w:t>
            </w:r>
          </w:p>
        </w:tc>
        <w:tc>
          <w:tcPr>
            <w:tcW w:w="21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48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(238</w:t>
            </w:r>
          </w:p>
        </w:tc>
        <w:tc>
          <w:tcPr>
            <w:tcW w:w="16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57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1,165</w:t>
            </w:r>
          </w:p>
        </w:tc>
        <w:tc>
          <w:tcPr>
            <w:tcW w:w="29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bl>
    <w:p>
      <w:pPr>
        <w:pStyle w:val="TextBody"/>
        <w:spacing w:before="0" w:after="0"/>
        <w:jc w:val="left"/>
        <w:rPr/>
      </w:pPr>
      <w:r>
        <w:rPr/>
        <w:t> </w:t>
      </w:r>
    </w:p>
    <w:p>
      <w:pPr>
        <w:pStyle w:val="TextBody"/>
        <w:spacing w:before="200" w:after="0"/>
        <w:jc w:val="both"/>
        <w:rPr>
          <w:rFonts w:ascii="Times New Roman;serif" w:hAnsi="Times New Roman;serif"/>
          <w:b/>
          <w:sz w:val="20"/>
        </w:rPr>
      </w:pPr>
      <w:r>
        <w:rPr>
          <w:rFonts w:ascii="Times New Roman;serif" w:hAnsi="Times New Roman;serif"/>
          <w:b/>
          <w:sz w:val="20"/>
        </w:rPr>
        <w:t>10. Income Taxes</w:t>
      </w:r>
    </w:p>
    <w:p>
      <w:pPr>
        <w:pStyle w:val="TextBody"/>
        <w:spacing w:before="0" w:after="0"/>
        <w:jc w:val="both"/>
        <w:rPr/>
      </w:pPr>
      <w:r>
        <w:rPr/>
        <w:t> </w:t>
      </w:r>
    </w:p>
    <w:p>
      <w:pPr>
        <w:pStyle w:val="TextBody"/>
        <w:spacing w:before="0" w:after="0"/>
        <w:jc w:val="both"/>
        <w:rPr>
          <w:rFonts w:ascii="Times New Roman" w:hAnsi="Times New Roman"/>
          <w:b/>
          <w:i/>
          <w:sz w:val="20"/>
        </w:rPr>
      </w:pPr>
      <w:r>
        <w:rPr>
          <w:rFonts w:ascii="Times New Roman" w:hAnsi="Times New Roman"/>
          <w:b/>
          <w:i/>
          <w:sz w:val="20"/>
        </w:rPr>
        <w:t>(a)</w:t>
      </w:r>
    </w:p>
    <w:p>
      <w:pPr>
        <w:pStyle w:val="TextBody"/>
        <w:jc w:val="both"/>
        <w:rPr>
          <w:rFonts w:ascii="Times New Roman;serif" w:hAnsi="Times New Roman;serif"/>
          <w:b/>
          <w:i/>
          <w:sz w:val="20"/>
        </w:rPr>
      </w:pPr>
      <w:r>
        <w:rPr>
          <w:rFonts w:ascii="Times New Roman;serif" w:hAnsi="Times New Roman;serif"/>
          <w:b/>
          <w:i/>
          <w:sz w:val="20"/>
        </w:rPr>
        <w:t xml:space="preserve">Income Tax Expense </w:t>
      </w:r>
    </w:p>
    <w:p>
      <w:pPr>
        <w:pStyle w:val="TextBody"/>
        <w:spacing w:before="200" w:after="200"/>
        <w:jc w:val="both"/>
        <w:rPr>
          <w:rFonts w:ascii="Times New Roman" w:hAnsi="Times New Roman"/>
          <w:sz w:val="20"/>
        </w:rPr>
      </w:pPr>
      <w:r>
        <w:rPr>
          <w:rFonts w:ascii="Times New Roman;serif" w:hAnsi="Times New Roman;serif"/>
          <w:b w:val="false"/>
          <w:sz w:val="20"/>
        </w:rPr>
        <w:t>For the three months ended March 31, 2023, the Company recorded income tax expense of $4.9</w:t>
      </w:r>
      <w:r>
        <w:rPr>
          <w:rFonts w:ascii="Times New Roman" w:hAnsi="Times New Roman"/>
          <w:sz w:val="20"/>
        </w:rPr>
        <w:t xml:space="preserve"> </w:t>
      </w:r>
      <w:r>
        <w:rPr>
          <w:rFonts w:ascii="Times New Roman;serif" w:hAnsi="Times New Roman;serif"/>
          <w:b w:val="false"/>
          <w:sz w:val="20"/>
        </w:rPr>
        <w:t>million</w:t>
      </w:r>
      <w:r>
        <w:rPr>
          <w:rFonts w:ascii="Times New Roman" w:hAnsi="Times New Roman"/>
          <w:sz w:val="20"/>
        </w:rPr>
        <w:t xml:space="preserve"> </w:t>
      </w:r>
      <w:r>
        <w:rPr>
          <w:rFonts w:ascii="Times New Roman;serif" w:hAnsi="Times New Roman;serif"/>
          <w:b w:val="false"/>
          <w:sz w:val="20"/>
        </w:rPr>
        <w:t>(2022 — $2.6</w:t>
      </w:r>
      <w:r>
        <w:rPr>
          <w:rFonts w:ascii="Times New Roman" w:hAnsi="Times New Roman"/>
          <w:sz w:val="20"/>
        </w:rPr>
        <w:t xml:space="preserve"> </w:t>
      </w:r>
      <w:r>
        <w:rPr>
          <w:rFonts w:ascii="Times New Roman;serif" w:hAnsi="Times New Roman;serif"/>
          <w:b w:val="false"/>
          <w:sz w:val="20"/>
        </w:rPr>
        <w:t>million). For the three months ended March 31, 2023, the Company’s effective tax rate differs from the combined Canadian federal and provincial statutory income tax rate due to the following factors:</w:t>
      </w:r>
      <w:r>
        <w:rPr>
          <w:rFonts w:ascii="Times New Roman" w:hAnsi="Times New Roman"/>
          <w:sz w:val="20"/>
        </w:rPr>
        <w:t xml:space="preserve"> </w:t>
      </w:r>
    </w:p>
    <w:tbl>
      <w:tblPr>
        <w:tblW w:w="8882" w:type="dxa"/>
        <w:jc w:val="left"/>
        <w:tblInd w:w="0" w:type="dxa"/>
        <w:tblCellMar>
          <w:top w:w="28" w:type="dxa"/>
          <w:left w:w="28" w:type="dxa"/>
          <w:bottom w:w="28" w:type="dxa"/>
          <w:right w:w="28" w:type="dxa"/>
        </w:tblCellMar>
      </w:tblPr>
      <w:tblGrid>
        <w:gridCol w:w="4801"/>
        <w:gridCol w:w="211"/>
        <w:gridCol w:w="631"/>
        <w:gridCol w:w="166"/>
        <w:gridCol w:w="146"/>
        <w:gridCol w:w="631"/>
        <w:gridCol w:w="146"/>
        <w:gridCol w:w="211"/>
        <w:gridCol w:w="631"/>
        <w:gridCol w:w="166"/>
        <w:gridCol w:w="146"/>
        <w:gridCol w:w="996"/>
      </w:tblGrid>
      <w:tr>
        <w:trPr/>
        <w:tc>
          <w:tcPr>
            <w:tcW w:w="4801"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631" w:type="dxa"/>
            <w:tcBorders/>
            <w:shd w:fill="auto" w:val="clear"/>
            <w:vAlign w:val="center"/>
          </w:tcPr>
          <w:p>
            <w:pPr>
              <w:pStyle w:val="TableContents"/>
              <w:spacing w:before="0" w:after="283"/>
              <w:rPr>
                <w:sz w:val="4"/>
                <w:szCs w:val="4"/>
              </w:rPr>
            </w:pPr>
            <w:r>
              <w:rPr>
                <w:sz w:val="4"/>
                <w:szCs w:val="4"/>
              </w:rPr>
            </w:r>
          </w:p>
        </w:tc>
        <w:tc>
          <w:tcPr>
            <w:tcW w:w="16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631"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631" w:type="dxa"/>
            <w:tcBorders/>
            <w:shd w:fill="auto" w:val="clear"/>
            <w:vAlign w:val="center"/>
          </w:tcPr>
          <w:p>
            <w:pPr>
              <w:pStyle w:val="TableContents"/>
              <w:spacing w:before="0" w:after="283"/>
              <w:rPr>
                <w:sz w:val="4"/>
                <w:szCs w:val="4"/>
              </w:rPr>
            </w:pPr>
            <w:r>
              <w:rPr>
                <w:sz w:val="4"/>
                <w:szCs w:val="4"/>
              </w:rPr>
            </w:r>
          </w:p>
        </w:tc>
        <w:tc>
          <w:tcPr>
            <w:tcW w:w="16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996" w:type="dxa"/>
            <w:tcBorders/>
            <w:shd w:fill="auto" w:val="clear"/>
            <w:vAlign w:val="center"/>
          </w:tcPr>
          <w:p>
            <w:pPr>
              <w:pStyle w:val="TableContents"/>
              <w:spacing w:before="0" w:after="283"/>
              <w:rPr>
                <w:sz w:val="4"/>
                <w:szCs w:val="4"/>
              </w:rPr>
            </w:pPr>
            <w:r>
              <w:rPr>
                <w:sz w:val="4"/>
                <w:szCs w:val="4"/>
              </w:rPr>
            </w:r>
          </w:p>
        </w:tc>
      </w:tr>
      <w:tr>
        <w:trPr/>
        <w:tc>
          <w:tcPr>
            <w:tcW w:w="4801" w:type="dxa"/>
            <w:tcBorders/>
            <w:shd w:fill="auto" w:val="clear"/>
            <w:vAlign w:val="center"/>
          </w:tcPr>
          <w:p>
            <w:pPr>
              <w:pStyle w:val="TableContents"/>
              <w:spacing w:before="0" w:after="0"/>
              <w:ind w:left="0" w:right="0" w:hanging="0"/>
              <w:jc w:val="left"/>
              <w:rPr/>
            </w:pPr>
            <w:r>
              <w:rPr/>
              <w:t> </w:t>
            </w:r>
          </w:p>
        </w:tc>
        <w:tc>
          <w:tcPr>
            <w:tcW w:w="1785" w:type="dxa"/>
            <w:gridSpan w:val="5"/>
            <w:tcBorders/>
            <w:shd w:fill="auto" w:val="cle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Three Months Ended</w:t>
            </w:r>
          </w:p>
        </w:tc>
        <w:tc>
          <w:tcPr>
            <w:tcW w:w="146" w:type="dxa"/>
            <w:tcBorders/>
            <w:shd w:fill="auto" w:val="clear"/>
            <w:vAlign w:val="center"/>
          </w:tcPr>
          <w:p>
            <w:pPr>
              <w:pStyle w:val="TableContents"/>
              <w:spacing w:before="0" w:after="0"/>
              <w:ind w:left="0" w:right="0" w:hanging="0"/>
              <w:jc w:val="center"/>
              <w:rPr/>
            </w:pPr>
            <w:r>
              <w:rPr/>
              <w:t> </w:t>
            </w:r>
          </w:p>
        </w:tc>
        <w:tc>
          <w:tcPr>
            <w:tcW w:w="2150" w:type="dxa"/>
            <w:gridSpan w:val="5"/>
            <w:tcBorders/>
            <w:shd w:fill="auto" w:val="cle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Three Months Ended</w:t>
            </w:r>
          </w:p>
        </w:tc>
      </w:tr>
      <w:tr>
        <w:trPr/>
        <w:tc>
          <w:tcPr>
            <w:tcW w:w="4801" w:type="dxa"/>
            <w:tcBorders/>
            <w:shd w:fill="auto" w:val="clear"/>
            <w:vAlign w:val="center"/>
          </w:tcPr>
          <w:p>
            <w:pPr>
              <w:pStyle w:val="TableContents"/>
              <w:spacing w:before="0" w:after="0"/>
              <w:ind w:left="0" w:right="0" w:hanging="0"/>
              <w:jc w:val="left"/>
              <w:rPr/>
            </w:pPr>
            <w:r>
              <w:rPr/>
              <w:t> </w:t>
            </w:r>
          </w:p>
        </w:tc>
        <w:tc>
          <w:tcPr>
            <w:tcW w:w="1785" w:type="dxa"/>
            <w:gridSpan w:val="5"/>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March 31, 2023</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2150" w:type="dxa"/>
            <w:gridSpan w:val="5"/>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March 31, 2022</w:t>
            </w:r>
          </w:p>
        </w:tc>
      </w:tr>
      <w:tr>
        <w:trPr/>
        <w:tc>
          <w:tcPr>
            <w:tcW w:w="4801" w:type="dxa"/>
            <w:tcBorders/>
            <w:shd w:fill="auto" w:val="clear"/>
            <w:vAlign w:val="center"/>
          </w:tcPr>
          <w:p>
            <w:pPr>
              <w:pStyle w:val="TableContents"/>
              <w:spacing w:before="0" w:after="0"/>
              <w:ind w:left="0" w:right="0" w:hanging="0"/>
              <w:jc w:val="left"/>
              <w:rPr>
                <w:rFonts w:ascii="Times New Roman;serif" w:hAnsi="Times New Roman;serif"/>
                <w:b w:val="false"/>
                <w:i/>
                <w:sz w:val="16"/>
              </w:rPr>
            </w:pPr>
            <w:r>
              <w:rPr>
                <w:rFonts w:ascii="Times New Roman;serif" w:hAnsi="Times New Roman;serif"/>
                <w:b w:val="false"/>
                <w:i/>
                <w:sz w:val="16"/>
              </w:rPr>
              <w:t>(In thousands of U.S. Dollars, except rates)</w:t>
            </w:r>
          </w:p>
        </w:tc>
        <w:tc>
          <w:tcPr>
            <w:tcW w:w="842"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Amount</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63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Rate</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842"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Amount</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99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Rate</w:t>
            </w:r>
          </w:p>
        </w:tc>
      </w:tr>
      <w:tr>
        <w:trPr/>
        <w:tc>
          <w:tcPr>
            <w:tcW w:w="480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Income tax (expense) benefit at combined statutory rates</w:t>
            </w:r>
          </w:p>
        </w:tc>
        <w:tc>
          <w:tcPr>
            <w:tcW w:w="21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3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(2,652</w:t>
            </w:r>
          </w:p>
        </w:tc>
        <w:tc>
          <w:tcPr>
            <w:tcW w:w="16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shd w:fill="auto" w:val="clear"/>
            <w:vAlign w:val="center"/>
          </w:tcPr>
          <w:p>
            <w:pPr>
              <w:pStyle w:val="TableContents"/>
              <w:spacing w:before="0" w:after="0"/>
              <w:ind w:left="0" w:right="0" w:hanging="0"/>
              <w:jc w:val="left"/>
              <w:rPr/>
            </w:pPr>
            <w:r>
              <w:rPr/>
              <w:t> </w:t>
            </w:r>
          </w:p>
        </w:tc>
        <w:tc>
          <w:tcPr>
            <w:tcW w:w="63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26.5%</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3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2,475</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99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26.5%</w:t>
            </w:r>
          </w:p>
        </w:tc>
      </w:tr>
      <w:tr>
        <w:trPr/>
        <w:tc>
          <w:tcPr>
            <w:tcW w:w="480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Adjustments resulting from:</w:t>
            </w:r>
          </w:p>
        </w:tc>
        <w:tc>
          <w:tcPr>
            <w:tcW w:w="842" w:type="dxa"/>
            <w:gridSpan w:val="2"/>
            <w:tcBorders/>
            <w:shd w:fill="auto" w:val="clear"/>
            <w:vAlign w:val="center"/>
          </w:tcPr>
          <w:p>
            <w:pPr>
              <w:pStyle w:val="TableContents"/>
              <w:spacing w:before="0" w:after="0"/>
              <w:ind w:left="0" w:right="0" w:hanging="0"/>
              <w:jc w:val="left"/>
              <w:rPr/>
            </w:pPr>
            <w:r>
              <w:rPr/>
              <w:t> </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63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842" w:type="dxa"/>
            <w:gridSpan w:val="2"/>
            <w:tcBorders/>
            <w:shd w:fill="auto" w:val="clear"/>
            <w:vAlign w:val="center"/>
          </w:tcPr>
          <w:p>
            <w:pPr>
              <w:pStyle w:val="TableContents"/>
              <w:spacing w:before="0" w:after="0"/>
              <w:ind w:left="0" w:right="0" w:hanging="0"/>
              <w:jc w:val="left"/>
              <w:rPr/>
            </w:pPr>
            <w:r>
              <w:rPr/>
              <w:t> </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996" w:type="dxa"/>
            <w:tcBorders/>
            <w:shd w:fill="auto" w:val="clear"/>
            <w:vAlign w:val="center"/>
          </w:tcPr>
          <w:p>
            <w:pPr>
              <w:pStyle w:val="TableContents"/>
              <w:spacing w:before="0" w:after="0"/>
              <w:ind w:left="0" w:right="0" w:firstLine="200"/>
              <w:jc w:val="left"/>
              <w:rPr/>
            </w:pPr>
            <w:r>
              <w:rPr/>
              <w:t> </w:t>
            </w:r>
          </w:p>
        </w:tc>
      </w:tr>
      <w:tr>
        <w:trPr/>
        <w:tc>
          <w:tcPr>
            <w:tcW w:w="4801" w:type="dxa"/>
            <w:tcBorders/>
            <w:shd w:fill="auto" w:val="clear"/>
            <w:vAlign w:val="center"/>
          </w:tcPr>
          <w:p>
            <w:pPr>
              <w:pStyle w:val="TableContents"/>
              <w:spacing w:before="0" w:after="0"/>
              <w:ind w:left="200" w:right="0" w:hanging="0"/>
              <w:jc w:val="left"/>
              <w:rPr>
                <w:rFonts w:ascii="Times New Roman;serif" w:hAnsi="Times New Roman;serif"/>
                <w:b w:val="false"/>
                <w:sz w:val="20"/>
              </w:rPr>
            </w:pPr>
            <w:r>
              <w:rPr>
                <w:rFonts w:ascii="Times New Roman;serif" w:hAnsi="Times New Roman;serif"/>
                <w:b w:val="false"/>
                <w:sz w:val="20"/>
              </w:rPr>
              <w:t>Increase in valuation allowance</w:t>
            </w:r>
          </w:p>
        </w:tc>
        <w:tc>
          <w:tcPr>
            <w:tcW w:w="211" w:type="dxa"/>
            <w:tcBorders/>
            <w:shd w:fill="auto" w:val="clear"/>
            <w:vAlign w:val="center"/>
          </w:tcPr>
          <w:p>
            <w:pPr>
              <w:pStyle w:val="TableContents"/>
              <w:spacing w:before="0" w:after="0"/>
              <w:ind w:left="0" w:right="0" w:hanging="0"/>
              <w:jc w:val="left"/>
              <w:rPr/>
            </w:pPr>
            <w:r>
              <w:rPr/>
              <w:t> </w:t>
            </w:r>
          </w:p>
        </w:tc>
        <w:tc>
          <w:tcPr>
            <w:tcW w:w="63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(1,610</w:t>
            </w:r>
          </w:p>
        </w:tc>
        <w:tc>
          <w:tcPr>
            <w:tcW w:w="16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shd w:fill="auto" w:val="clear"/>
            <w:vAlign w:val="center"/>
          </w:tcPr>
          <w:p>
            <w:pPr>
              <w:pStyle w:val="TableContents"/>
              <w:spacing w:before="0" w:after="0"/>
              <w:ind w:left="0" w:right="0" w:hanging="0"/>
              <w:jc w:val="left"/>
              <w:rPr/>
            </w:pPr>
            <w:r>
              <w:rPr/>
              <w:t> </w:t>
            </w:r>
          </w:p>
        </w:tc>
        <w:tc>
          <w:tcPr>
            <w:tcW w:w="63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16.1%</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63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(5,009</w:t>
            </w:r>
          </w:p>
        </w:tc>
        <w:tc>
          <w:tcPr>
            <w:tcW w:w="16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shd w:fill="auto" w:val="clear"/>
            <w:vAlign w:val="center"/>
          </w:tcPr>
          <w:p>
            <w:pPr>
              <w:pStyle w:val="TableContents"/>
              <w:spacing w:before="0" w:after="0"/>
              <w:ind w:left="0" w:right="0" w:hanging="0"/>
              <w:jc w:val="left"/>
              <w:rPr/>
            </w:pPr>
            <w:r>
              <w:rPr/>
              <w:t> </w:t>
            </w:r>
          </w:p>
        </w:tc>
        <w:tc>
          <w:tcPr>
            <w:tcW w:w="996" w:type="dxa"/>
            <w:tcBorders/>
            <w:shd w:fill="auto" w:val="clear"/>
            <w:vAlign w:val="center"/>
          </w:tcPr>
          <w:p>
            <w:pPr>
              <w:pStyle w:val="TableContents"/>
              <w:spacing w:before="0" w:after="0"/>
              <w:ind w:left="0" w:right="0" w:firstLine="200"/>
              <w:jc w:val="right"/>
              <w:rPr>
                <w:rFonts w:ascii="Times New Roman;serif" w:hAnsi="Times New Roman;serif"/>
                <w:b w:val="false"/>
                <w:sz w:val="20"/>
              </w:rPr>
            </w:pPr>
            <w:r>
              <w:rPr>
                <w:rFonts w:ascii="Times New Roman;serif" w:hAnsi="Times New Roman;serif"/>
                <w:b w:val="false"/>
                <w:sz w:val="20"/>
              </w:rPr>
              <w:t>(53.6%)</w:t>
            </w:r>
          </w:p>
        </w:tc>
      </w:tr>
      <w:tr>
        <w:trPr/>
        <w:tc>
          <w:tcPr>
            <w:tcW w:w="4801" w:type="dxa"/>
            <w:tcBorders/>
            <w:shd w:fill="auto" w:val="clear"/>
            <w:vAlign w:val="center"/>
          </w:tcPr>
          <w:p>
            <w:pPr>
              <w:pStyle w:val="TableContents"/>
              <w:spacing w:before="0" w:after="0"/>
              <w:ind w:left="200" w:right="0" w:hanging="0"/>
              <w:jc w:val="left"/>
              <w:rPr>
                <w:rFonts w:ascii="Times New Roman;serif" w:hAnsi="Times New Roman;serif"/>
                <w:b w:val="false"/>
                <w:sz w:val="20"/>
              </w:rPr>
            </w:pPr>
            <w:r>
              <w:rPr>
                <w:rFonts w:ascii="Times New Roman;serif" w:hAnsi="Times New Roman;serif"/>
                <w:b w:val="false"/>
                <w:sz w:val="20"/>
              </w:rPr>
              <w:t>Shortfall tax benefits related to share-based compensation</w:t>
            </w:r>
          </w:p>
        </w:tc>
        <w:tc>
          <w:tcPr>
            <w:tcW w:w="211" w:type="dxa"/>
            <w:tcBorders/>
            <w:shd w:fill="auto" w:val="clear"/>
            <w:vAlign w:val="center"/>
          </w:tcPr>
          <w:p>
            <w:pPr>
              <w:pStyle w:val="TableContents"/>
              <w:spacing w:before="0" w:after="0"/>
              <w:ind w:left="0" w:right="0" w:hanging="0"/>
              <w:jc w:val="left"/>
              <w:rPr/>
            </w:pPr>
            <w:r>
              <w:rPr/>
              <w:t> </w:t>
            </w:r>
          </w:p>
        </w:tc>
        <w:tc>
          <w:tcPr>
            <w:tcW w:w="63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(83</w:t>
            </w:r>
          </w:p>
        </w:tc>
        <w:tc>
          <w:tcPr>
            <w:tcW w:w="16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shd w:fill="auto" w:val="clear"/>
            <w:vAlign w:val="center"/>
          </w:tcPr>
          <w:p>
            <w:pPr>
              <w:pStyle w:val="TableContents"/>
              <w:spacing w:before="0" w:after="0"/>
              <w:ind w:left="0" w:right="0" w:hanging="0"/>
              <w:jc w:val="left"/>
              <w:rPr/>
            </w:pPr>
            <w:r>
              <w:rPr/>
              <w:t> </w:t>
            </w:r>
          </w:p>
        </w:tc>
        <w:tc>
          <w:tcPr>
            <w:tcW w:w="63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0.8%</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63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(129</w:t>
            </w:r>
          </w:p>
        </w:tc>
        <w:tc>
          <w:tcPr>
            <w:tcW w:w="16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shd w:fill="auto" w:val="clear"/>
            <w:vAlign w:val="center"/>
          </w:tcPr>
          <w:p>
            <w:pPr>
              <w:pStyle w:val="TableContents"/>
              <w:spacing w:before="0" w:after="0"/>
              <w:ind w:left="0" w:right="0" w:hanging="0"/>
              <w:jc w:val="left"/>
              <w:rPr/>
            </w:pPr>
            <w:r>
              <w:rPr/>
              <w:t> </w:t>
            </w:r>
          </w:p>
        </w:tc>
        <w:tc>
          <w:tcPr>
            <w:tcW w:w="996" w:type="dxa"/>
            <w:tcBorders/>
            <w:shd w:fill="auto" w:val="clear"/>
            <w:vAlign w:val="center"/>
          </w:tcPr>
          <w:p>
            <w:pPr>
              <w:pStyle w:val="TableContents"/>
              <w:spacing w:before="0" w:after="0"/>
              <w:ind w:left="0" w:right="0" w:firstLine="200"/>
              <w:jc w:val="right"/>
              <w:rPr>
                <w:rFonts w:ascii="Times New Roman;serif" w:hAnsi="Times New Roman;serif"/>
                <w:b w:val="false"/>
                <w:sz w:val="20"/>
              </w:rPr>
            </w:pPr>
            <w:r>
              <w:rPr>
                <w:rFonts w:ascii="Times New Roman;serif" w:hAnsi="Times New Roman;serif"/>
                <w:b w:val="false"/>
                <w:sz w:val="20"/>
              </w:rPr>
              <w:t>(1.4%)</w:t>
            </w:r>
          </w:p>
        </w:tc>
      </w:tr>
      <w:tr>
        <w:trPr/>
        <w:tc>
          <w:tcPr>
            <w:tcW w:w="4801" w:type="dxa"/>
            <w:tcBorders/>
            <w:shd w:fill="auto" w:val="clear"/>
            <w:vAlign w:val="center"/>
          </w:tcPr>
          <w:p>
            <w:pPr>
              <w:pStyle w:val="TableContents"/>
              <w:spacing w:before="0" w:after="0"/>
              <w:ind w:left="200" w:right="0" w:hanging="0"/>
              <w:jc w:val="left"/>
              <w:rPr>
                <w:rFonts w:ascii="Times New Roman;serif" w:hAnsi="Times New Roman;serif"/>
                <w:b w:val="false"/>
                <w:sz w:val="20"/>
              </w:rPr>
            </w:pPr>
            <w:r>
              <w:rPr>
                <w:rFonts w:ascii="Times New Roman;serif" w:hAnsi="Times New Roman;serif"/>
                <w:b w:val="false"/>
                <w:sz w:val="20"/>
              </w:rPr>
              <w:t>Changes to tax reserves</w:t>
            </w:r>
          </w:p>
        </w:tc>
        <w:tc>
          <w:tcPr>
            <w:tcW w:w="211" w:type="dxa"/>
            <w:tcBorders/>
            <w:shd w:fill="auto" w:val="clear"/>
            <w:vAlign w:val="center"/>
          </w:tcPr>
          <w:p>
            <w:pPr>
              <w:pStyle w:val="TableContents"/>
              <w:spacing w:before="0" w:after="0"/>
              <w:ind w:left="0" w:right="0" w:hanging="0"/>
              <w:jc w:val="left"/>
              <w:rPr/>
            </w:pPr>
            <w:r>
              <w:rPr/>
              <w:t> </w:t>
            </w:r>
          </w:p>
        </w:tc>
        <w:tc>
          <w:tcPr>
            <w:tcW w:w="63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(258</w:t>
            </w:r>
          </w:p>
        </w:tc>
        <w:tc>
          <w:tcPr>
            <w:tcW w:w="16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shd w:fill="auto" w:val="clear"/>
            <w:vAlign w:val="center"/>
          </w:tcPr>
          <w:p>
            <w:pPr>
              <w:pStyle w:val="TableContents"/>
              <w:spacing w:before="0" w:after="0"/>
              <w:ind w:left="0" w:right="0" w:hanging="0"/>
              <w:jc w:val="left"/>
              <w:rPr/>
            </w:pPr>
            <w:r>
              <w:rPr/>
              <w:t> </w:t>
            </w:r>
          </w:p>
        </w:tc>
        <w:tc>
          <w:tcPr>
            <w:tcW w:w="63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2.6%</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63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(160</w:t>
            </w:r>
          </w:p>
        </w:tc>
        <w:tc>
          <w:tcPr>
            <w:tcW w:w="16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shd w:fill="auto" w:val="clear"/>
            <w:vAlign w:val="center"/>
          </w:tcPr>
          <w:p>
            <w:pPr>
              <w:pStyle w:val="TableContents"/>
              <w:spacing w:before="0" w:after="0"/>
              <w:ind w:left="0" w:right="0" w:hanging="0"/>
              <w:jc w:val="left"/>
              <w:rPr/>
            </w:pPr>
            <w:r>
              <w:rPr/>
              <w:t> </w:t>
            </w:r>
          </w:p>
        </w:tc>
        <w:tc>
          <w:tcPr>
            <w:tcW w:w="996" w:type="dxa"/>
            <w:tcBorders/>
            <w:shd w:fill="auto" w:val="clear"/>
            <w:vAlign w:val="center"/>
          </w:tcPr>
          <w:p>
            <w:pPr>
              <w:pStyle w:val="TableContents"/>
              <w:spacing w:before="0" w:after="0"/>
              <w:ind w:left="0" w:right="0" w:firstLine="200"/>
              <w:jc w:val="right"/>
              <w:rPr>
                <w:rFonts w:ascii="Times New Roman;serif" w:hAnsi="Times New Roman;serif"/>
                <w:b w:val="false"/>
                <w:sz w:val="20"/>
              </w:rPr>
            </w:pPr>
            <w:r>
              <w:rPr>
                <w:rFonts w:ascii="Times New Roman;serif" w:hAnsi="Times New Roman;serif"/>
                <w:b w:val="false"/>
                <w:sz w:val="20"/>
              </w:rPr>
              <w:t>(1.7%)</w:t>
            </w:r>
          </w:p>
        </w:tc>
      </w:tr>
      <w:tr>
        <w:trPr/>
        <w:tc>
          <w:tcPr>
            <w:tcW w:w="4801" w:type="dxa"/>
            <w:tcBorders/>
            <w:shd w:fill="auto" w:val="clear"/>
            <w:vAlign w:val="center"/>
          </w:tcPr>
          <w:p>
            <w:pPr>
              <w:pStyle w:val="TableContents"/>
              <w:spacing w:before="0" w:after="0"/>
              <w:ind w:left="200" w:right="0" w:hanging="0"/>
              <w:jc w:val="left"/>
              <w:rPr>
                <w:rFonts w:ascii="Times New Roman;serif" w:hAnsi="Times New Roman;serif"/>
                <w:b w:val="false"/>
                <w:sz w:val="20"/>
              </w:rPr>
            </w:pPr>
            <w:r>
              <w:rPr>
                <w:rFonts w:ascii="Times New Roman;serif" w:hAnsi="Times New Roman;serif"/>
                <w:b w:val="false"/>
                <w:sz w:val="20"/>
              </w:rPr>
              <w:t>Other</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63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(282</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shd w:fill="auto" w:val="clear"/>
            <w:vAlign w:val="center"/>
          </w:tcPr>
          <w:p>
            <w:pPr>
              <w:pStyle w:val="TableContents"/>
              <w:spacing w:before="0" w:after="0"/>
              <w:ind w:left="0" w:right="0" w:hanging="0"/>
              <w:jc w:val="left"/>
              <w:rPr/>
            </w:pPr>
            <w:r>
              <w:rPr/>
              <w:t> </w:t>
            </w:r>
          </w:p>
        </w:tc>
        <w:tc>
          <w:tcPr>
            <w:tcW w:w="63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2.8%</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63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213</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99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2.3%</w:t>
            </w:r>
          </w:p>
        </w:tc>
      </w:tr>
      <w:tr>
        <w:trPr/>
        <w:tc>
          <w:tcPr>
            <w:tcW w:w="480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Income tax expense</w:t>
            </w:r>
          </w:p>
        </w:tc>
        <w:tc>
          <w:tcPr>
            <w:tcW w:w="21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3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(4,885</w:t>
            </w:r>
          </w:p>
        </w:tc>
        <w:tc>
          <w:tcPr>
            <w:tcW w:w="16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shd w:fill="auto" w:val="clear"/>
            <w:vAlign w:val="center"/>
          </w:tcPr>
          <w:p>
            <w:pPr>
              <w:pStyle w:val="TableContents"/>
              <w:spacing w:before="0" w:after="0"/>
              <w:ind w:left="0" w:right="0" w:hanging="0"/>
              <w:jc w:val="left"/>
              <w:rPr/>
            </w:pPr>
            <w:r>
              <w:rPr/>
              <w:t> </w:t>
            </w:r>
          </w:p>
        </w:tc>
        <w:tc>
          <w:tcPr>
            <w:tcW w:w="63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48.8%</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21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3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(2,610</w:t>
            </w:r>
          </w:p>
        </w:tc>
        <w:tc>
          <w:tcPr>
            <w:tcW w:w="16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shd w:fill="auto" w:val="clear"/>
            <w:vAlign w:val="center"/>
          </w:tcPr>
          <w:p>
            <w:pPr>
              <w:pStyle w:val="TableContents"/>
              <w:spacing w:before="0" w:after="0"/>
              <w:ind w:left="0" w:right="0" w:hanging="0"/>
              <w:jc w:val="left"/>
              <w:rPr/>
            </w:pPr>
            <w:r>
              <w:rPr/>
              <w:t> </w:t>
            </w:r>
          </w:p>
        </w:tc>
        <w:tc>
          <w:tcPr>
            <w:tcW w:w="99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(27.9%)</w:t>
            </w:r>
          </w:p>
        </w:tc>
      </w:tr>
    </w:tbl>
    <w:p>
      <w:pPr>
        <w:pStyle w:val="TextBody"/>
        <w:spacing w:before="200" w:after="0"/>
        <w:jc w:val="both"/>
        <w:rPr>
          <w:rFonts w:ascii="Times New Roman" w:hAnsi="Times New Roman"/>
          <w:sz w:val="20"/>
        </w:rPr>
      </w:pPr>
      <w:r>
        <w:rPr>
          <w:rFonts w:ascii="Times New Roman;serif" w:hAnsi="Times New Roman;serif"/>
          <w:b w:val="false"/>
          <w:sz w:val="20"/>
        </w:rPr>
        <w:t>As of March 31, 2023, the Company’s Condensed Consolidated Balance Sheets include deferred income tax assets of $11.2</w:t>
      </w:r>
      <w:r>
        <w:rPr>
          <w:rFonts w:ascii="Times New Roman" w:hAnsi="Times New Roman"/>
          <w:sz w:val="20"/>
        </w:rPr>
        <w:t xml:space="preserve"> </w:t>
      </w:r>
      <w:r>
        <w:rPr>
          <w:rFonts w:ascii="Times New Roman;serif" w:hAnsi="Times New Roman;serif"/>
          <w:b w:val="false"/>
          <w:sz w:val="20"/>
        </w:rPr>
        <w:t>million, net of a valuation allowance of $64.5</w:t>
      </w:r>
      <w:r>
        <w:rPr>
          <w:rFonts w:ascii="Times New Roman" w:hAnsi="Times New Roman"/>
          <w:sz w:val="20"/>
        </w:rPr>
        <w:t xml:space="preserve"> </w:t>
      </w:r>
      <w:r>
        <w:rPr>
          <w:rFonts w:ascii="Times New Roman;serif" w:hAnsi="Times New Roman;serif"/>
          <w:b w:val="false"/>
          <w:sz w:val="20"/>
        </w:rPr>
        <w:t>million</w:t>
      </w:r>
      <w:r>
        <w:rPr>
          <w:rFonts w:ascii="Times New Roman" w:hAnsi="Times New Roman"/>
          <w:sz w:val="20"/>
        </w:rPr>
        <w:t xml:space="preserve"> </w:t>
      </w:r>
      <w:r>
        <w:rPr>
          <w:rFonts w:ascii="Times New Roman;serif" w:hAnsi="Times New Roman;serif"/>
          <w:b w:val="false"/>
          <w:sz w:val="20"/>
        </w:rPr>
        <w:t>(December 31, 2022 — $9.9</w:t>
      </w:r>
      <w:r>
        <w:rPr>
          <w:rFonts w:ascii="Times New Roman" w:hAnsi="Times New Roman"/>
          <w:sz w:val="20"/>
        </w:rPr>
        <w:t xml:space="preserve"> </w:t>
      </w:r>
      <w:r>
        <w:rPr>
          <w:rFonts w:ascii="Times New Roman;serif" w:hAnsi="Times New Roman;serif"/>
          <w:b w:val="false"/>
          <w:sz w:val="20"/>
        </w:rPr>
        <w:t>million, net of a valuation allowance of $62.9</w:t>
      </w:r>
      <w:r>
        <w:rPr>
          <w:rFonts w:ascii="Times New Roman" w:hAnsi="Times New Roman"/>
          <w:sz w:val="20"/>
        </w:rPr>
        <w:t xml:space="preserve"> </w:t>
      </w:r>
      <w:r>
        <w:rPr>
          <w:rFonts w:ascii="Times New Roman;serif" w:hAnsi="Times New Roman;serif"/>
          <w:b w:val="false"/>
          <w:sz w:val="20"/>
        </w:rPr>
        <w:t>million). For the three months ended March 31, 2023, the Company recorded an additional $1.6</w:t>
      </w:r>
      <w:r>
        <w:rPr>
          <w:rFonts w:ascii="Times New Roman" w:hAnsi="Times New Roman"/>
          <w:sz w:val="20"/>
        </w:rPr>
        <w:t xml:space="preserve"> </w:t>
      </w:r>
      <w:r>
        <w:rPr>
          <w:rFonts w:ascii="Times New Roman;serif" w:hAnsi="Times New Roman;serif"/>
          <w:b w:val="false"/>
          <w:sz w:val="20"/>
        </w:rPr>
        <w:t>million</w:t>
      </w:r>
      <w:r>
        <w:rPr>
          <w:rFonts w:ascii="Times New Roman" w:hAnsi="Times New Roman"/>
          <w:sz w:val="20"/>
        </w:rPr>
        <w:t xml:space="preserve"> </w:t>
      </w:r>
      <w:r>
        <w:rPr>
          <w:rFonts w:ascii="Times New Roman;serif" w:hAnsi="Times New Roman;serif"/>
          <w:b w:val="false"/>
          <w:sz w:val="20"/>
        </w:rPr>
        <w:t>(2022 — $5.0</w:t>
      </w:r>
      <w:r>
        <w:rPr>
          <w:rFonts w:ascii="Times New Roman" w:hAnsi="Times New Roman"/>
          <w:sz w:val="20"/>
        </w:rPr>
        <w:t xml:space="preserve"> </w:t>
      </w:r>
      <w:r>
        <w:rPr>
          <w:rFonts w:ascii="Times New Roman;serif" w:hAnsi="Times New Roman;serif"/>
          <w:b w:val="false"/>
          <w:sz w:val="20"/>
        </w:rPr>
        <w:t>million) valuation allowance where management cannot determine that the tax benefits will be realizable based on available evidence. The increase in the valuation allowance recorded in the three months ended March 31, 2023 and 2022 is reflected within Income Tax Expense in the Company's Condensed Consolidated Statements of Operations. The valuation allowance is expected to reverse at the point in time when management determines it is more likely than not that the Company will incur sufficient tax liabilities to allow it to utilize the deferred tax assets against which the valuation allowance is recorded.</w:t>
      </w:r>
      <w:r>
        <w:rPr>
          <w:rFonts w:ascii="Times New Roman" w:hAnsi="Times New Roman"/>
          <w:sz w:val="20"/>
        </w:rPr>
        <w:t xml:space="preserve"> </w:t>
      </w:r>
    </w:p>
    <w:p>
      <w:pPr>
        <w:pStyle w:val="TextBody"/>
        <w:spacing w:before="240" w:after="0"/>
        <w:jc w:val="center"/>
        <w:rPr>
          <w:rFonts w:ascii="Times New Roman;serif" w:hAnsi="Times New Roman;serif"/>
          <w:b w:val="false"/>
          <w:sz w:val="20"/>
        </w:rPr>
      </w:pPr>
      <w:r>
        <w:rPr>
          <w:rFonts w:ascii="Times New Roman;serif" w:hAnsi="Times New Roman;serif"/>
          <w:b w:val="false"/>
          <w:sz w:val="20"/>
        </w:rPr>
        <w:t>27</w:t>
      </w:r>
    </w:p>
    <w:p>
      <w:pPr>
        <w:pStyle w:val="HorizontalLine"/>
        <w:rPr/>
      </w:pPr>
      <w:r>
        <w:rPr/>
      </w:r>
    </w:p>
    <w:p>
      <w:pPr>
        <w:pStyle w:val="TextBody"/>
        <w:spacing w:before="0" w:after="0"/>
        <w:jc w:val="left"/>
        <w:rPr/>
      </w:pPr>
      <w:r>
        <w:rPr/>
        <w:t> </w:t>
      </w:r>
    </w:p>
    <w:p>
      <w:pPr>
        <w:pStyle w:val="TextBody"/>
        <w:spacing w:before="200" w:after="0"/>
        <w:jc w:val="both"/>
        <w:rPr>
          <w:rFonts w:ascii="Times New Roman" w:hAnsi="Times New Roman"/>
          <w:sz w:val="20"/>
        </w:rPr>
      </w:pPr>
      <w:r>
        <w:rPr>
          <w:rFonts w:ascii="Times New Roman;serif" w:hAnsi="Times New Roman;serif"/>
          <w:b w:val="false"/>
          <w:sz w:val="20"/>
        </w:rPr>
        <w:t>As of March 31, 2023, the Company's Condensed Consolidated Balance Sheets also include deferred tax liabilities of $16.0</w:t>
      </w:r>
      <w:r>
        <w:rPr>
          <w:rFonts w:ascii="Times New Roman" w:hAnsi="Times New Roman"/>
          <w:sz w:val="20"/>
        </w:rPr>
        <w:t xml:space="preserve"> </w:t>
      </w:r>
      <w:r>
        <w:rPr>
          <w:rFonts w:ascii="Times New Roman;serif" w:hAnsi="Times New Roman;serif"/>
          <w:b w:val="false"/>
          <w:sz w:val="20"/>
        </w:rPr>
        <w:t>million</w:t>
      </w:r>
      <w:r>
        <w:rPr>
          <w:rFonts w:ascii="Times New Roman" w:hAnsi="Times New Roman"/>
          <w:sz w:val="20"/>
        </w:rPr>
        <w:t xml:space="preserve"> </w:t>
      </w:r>
      <w:r>
        <w:rPr>
          <w:rFonts w:ascii="Times New Roman;serif" w:hAnsi="Times New Roman;serif"/>
          <w:b w:val="false"/>
          <w:sz w:val="20"/>
        </w:rPr>
        <w:t>(December 31, 2022 — $14.9</w:t>
      </w:r>
      <w:r>
        <w:rPr>
          <w:rFonts w:ascii="Times New Roman" w:hAnsi="Times New Roman"/>
          <w:sz w:val="20"/>
        </w:rPr>
        <w:t xml:space="preserve"> </w:t>
      </w:r>
      <w:r>
        <w:rPr>
          <w:rFonts w:ascii="Times New Roman;serif" w:hAnsi="Times New Roman;serif"/>
          <w:b w:val="false"/>
          <w:sz w:val="20"/>
        </w:rPr>
        <w:t>million).</w:t>
      </w:r>
    </w:p>
    <w:p>
      <w:pPr>
        <w:pStyle w:val="TextBody"/>
        <w:spacing w:before="200" w:after="0"/>
        <w:jc w:val="both"/>
        <w:rPr>
          <w:rFonts w:ascii="Times New Roman" w:hAnsi="Times New Roman"/>
          <w:b/>
          <w:i/>
          <w:sz w:val="20"/>
        </w:rPr>
      </w:pPr>
      <w:r>
        <w:rPr>
          <w:rFonts w:ascii="Times New Roman" w:hAnsi="Times New Roman"/>
          <w:b/>
          <w:i/>
          <w:sz w:val="20"/>
        </w:rPr>
        <w:t>(b)</w:t>
      </w:r>
    </w:p>
    <w:p>
      <w:pPr>
        <w:pStyle w:val="TextBody"/>
        <w:spacing w:before="200" w:after="283"/>
        <w:jc w:val="both"/>
        <w:rPr>
          <w:rFonts w:ascii="Times New Roman;serif" w:hAnsi="Times New Roman;serif"/>
          <w:b/>
          <w:i/>
          <w:sz w:val="20"/>
        </w:rPr>
      </w:pPr>
      <w:r>
        <w:rPr>
          <w:rFonts w:ascii="Times New Roman;serif" w:hAnsi="Times New Roman;serif"/>
          <w:b/>
          <w:i/>
          <w:sz w:val="20"/>
        </w:rPr>
        <w:t>Income Tax Effect on Other Comprehensive Income</w:t>
      </w:r>
    </w:p>
    <w:p>
      <w:pPr>
        <w:pStyle w:val="TextBody"/>
        <w:spacing w:before="0" w:after="0"/>
        <w:jc w:val="both"/>
        <w:rPr/>
      </w:pPr>
      <w:r>
        <w:rPr/>
        <w:t> </w:t>
      </w:r>
    </w:p>
    <w:p>
      <w:pPr>
        <w:pStyle w:val="TextBody"/>
        <w:spacing w:before="0" w:after="0"/>
        <w:jc w:val="both"/>
        <w:rPr>
          <w:rFonts w:ascii="Times New Roman;serif" w:hAnsi="Times New Roman;serif"/>
          <w:b w:val="false"/>
          <w:sz w:val="20"/>
        </w:rPr>
      </w:pPr>
      <w:r>
        <w:rPr>
          <w:rFonts w:ascii="Times New Roman;serif" w:hAnsi="Times New Roman;serif"/>
          <w:b w:val="false"/>
          <w:sz w:val="20"/>
        </w:rPr>
        <w:t>For the three months ended March 31, 2023 and 2022, the Income Tax Expense related to the components of Other Comprehensive Income (“OCI”) is as follows:</w:t>
      </w:r>
    </w:p>
    <w:p>
      <w:pPr>
        <w:pStyle w:val="TextBody"/>
        <w:spacing w:before="0" w:after="0"/>
        <w:jc w:val="left"/>
        <w:rPr/>
      </w:pPr>
      <w:r>
        <w:rPr/>
        <w:t> </w:t>
      </w:r>
    </w:p>
    <w:tbl>
      <w:tblPr>
        <w:tblW w:w="6314" w:type="dxa"/>
        <w:jc w:val="left"/>
        <w:tblInd w:w="0" w:type="dxa"/>
        <w:tblCellMar>
          <w:top w:w="28" w:type="dxa"/>
          <w:left w:w="28" w:type="dxa"/>
          <w:bottom w:w="28" w:type="dxa"/>
          <w:right w:w="28" w:type="dxa"/>
        </w:tblCellMar>
      </w:tblPr>
      <w:tblGrid>
        <w:gridCol w:w="4366"/>
        <w:gridCol w:w="146"/>
        <w:gridCol w:w="211"/>
        <w:gridCol w:w="376"/>
        <w:gridCol w:w="166"/>
        <w:gridCol w:w="146"/>
        <w:gridCol w:w="211"/>
        <w:gridCol w:w="481"/>
        <w:gridCol w:w="211"/>
      </w:tblGrid>
      <w:tr>
        <w:trPr/>
        <w:tc>
          <w:tcPr>
            <w:tcW w:w="436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376" w:type="dxa"/>
            <w:tcBorders/>
            <w:shd w:fill="auto" w:val="clear"/>
            <w:vAlign w:val="center"/>
          </w:tcPr>
          <w:p>
            <w:pPr>
              <w:pStyle w:val="TableContents"/>
              <w:spacing w:before="0" w:after="283"/>
              <w:rPr>
                <w:sz w:val="4"/>
                <w:szCs w:val="4"/>
              </w:rPr>
            </w:pPr>
            <w:r>
              <w:rPr>
                <w:sz w:val="4"/>
                <w:szCs w:val="4"/>
              </w:rPr>
            </w:r>
          </w:p>
        </w:tc>
        <w:tc>
          <w:tcPr>
            <w:tcW w:w="16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481"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r>
      <w:tr>
        <w:trPr/>
        <w:tc>
          <w:tcPr>
            <w:tcW w:w="4366" w:type="dxa"/>
            <w:tcBorders/>
            <w:shd w:fill="auto" w:val="clear"/>
            <w:vAlign w:val="center"/>
          </w:tcPr>
          <w:p>
            <w:pPr>
              <w:pStyle w:val="TableContents"/>
              <w:spacing w:before="0" w:after="0"/>
              <w:ind w:left="0" w:right="0" w:hanging="0"/>
              <w:jc w:val="left"/>
              <w:rPr/>
            </w:pPr>
            <w:r>
              <w:rPr/>
              <w:t> </w:t>
            </w:r>
          </w:p>
        </w:tc>
        <w:tc>
          <w:tcPr>
            <w:tcW w:w="1737" w:type="dxa"/>
            <w:gridSpan w:val="7"/>
            <w:tcBorders/>
            <w:shd w:fill="auto" w:val="cle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Three Months Ended</w:t>
            </w:r>
          </w:p>
        </w:tc>
        <w:tc>
          <w:tcPr>
            <w:tcW w:w="211" w:type="dxa"/>
            <w:tcBorders/>
            <w:shd w:fill="auto" w:val="clear"/>
            <w:vAlign w:val="center"/>
          </w:tcPr>
          <w:p>
            <w:pPr>
              <w:pStyle w:val="TableContents"/>
              <w:spacing w:before="0" w:after="0"/>
              <w:ind w:left="0" w:right="0" w:hanging="0"/>
              <w:jc w:val="center"/>
              <w:rPr/>
            </w:pPr>
            <w:r>
              <w:rPr/>
              <w:t> </w:t>
            </w:r>
          </w:p>
        </w:tc>
      </w:tr>
      <w:tr>
        <w:trPr/>
        <w:tc>
          <w:tcPr>
            <w:tcW w:w="43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591" w:type="dxa"/>
            <w:gridSpan w:val="6"/>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March 31,</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4366" w:type="dxa"/>
            <w:tcBorders/>
            <w:shd w:fill="auto" w:val="clear"/>
            <w:vAlign w:val="center"/>
          </w:tcPr>
          <w:p>
            <w:pPr>
              <w:pStyle w:val="TableContents"/>
              <w:spacing w:before="0" w:after="0"/>
              <w:ind w:left="0" w:right="0" w:hanging="0"/>
              <w:jc w:val="left"/>
              <w:rPr>
                <w:rFonts w:ascii="Times New Roman;serif" w:hAnsi="Times New Roman;serif"/>
                <w:b w:val="false"/>
                <w:i/>
                <w:sz w:val="16"/>
              </w:rPr>
            </w:pPr>
            <w:r>
              <w:rPr>
                <w:rFonts w:ascii="Times New Roman;serif" w:hAnsi="Times New Roman;serif"/>
                <w:b w:val="false"/>
                <w:i/>
                <w:sz w:val="16"/>
              </w:rPr>
              <w:t>(In thousands of U.S. Dollars)</w:t>
            </w:r>
          </w:p>
        </w:tc>
        <w:tc>
          <w:tcPr>
            <w:tcW w:w="146" w:type="dxa"/>
            <w:tcBorders/>
            <w:shd w:fill="auto" w:val="clear"/>
            <w:vAlign w:val="center"/>
          </w:tcPr>
          <w:p>
            <w:pPr>
              <w:pStyle w:val="TableContents"/>
              <w:spacing w:before="0" w:after="0"/>
              <w:ind w:left="0" w:right="0" w:hanging="0"/>
              <w:jc w:val="left"/>
              <w:rPr/>
            </w:pPr>
            <w:r>
              <w:rPr/>
              <w:t> </w:t>
            </w:r>
          </w:p>
        </w:tc>
        <w:tc>
          <w:tcPr>
            <w:tcW w:w="587"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2023</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692"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2022</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436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Unrealized change in cash flow hedging instruments</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37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(35</w:t>
            </w:r>
          </w:p>
        </w:tc>
        <w:tc>
          <w:tcPr>
            <w:tcW w:w="16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48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(82</w:t>
            </w:r>
          </w:p>
        </w:tc>
        <w:tc>
          <w:tcPr>
            <w:tcW w:w="21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436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Realized change in cash flow hedging instruments</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37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(89</w:t>
            </w:r>
          </w:p>
        </w:tc>
        <w:tc>
          <w:tcPr>
            <w:tcW w:w="16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48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(8</w:t>
            </w:r>
          </w:p>
        </w:tc>
        <w:tc>
          <w:tcPr>
            <w:tcW w:w="21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436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Defined benefit and postretirement benefit plans</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37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46</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48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(12</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4366" w:type="dxa"/>
            <w:tcBorders/>
            <w:shd w:fill="auto" w:val="clear"/>
            <w:vAlign w:val="center"/>
          </w:tcPr>
          <w:p>
            <w:pPr>
              <w:pStyle w:val="TableContents"/>
              <w:spacing w:before="0" w:after="283"/>
              <w:ind w:left="0" w:right="0" w:hanging="0"/>
              <w:rPr>
                <w:sz w:val="4"/>
                <w:szCs w:val="4"/>
              </w:rPr>
            </w:pPr>
            <w:r>
              <w:rPr>
                <w:sz w:val="4"/>
                <w:szCs w:val="4"/>
              </w:rPr>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37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(78</w:t>
            </w:r>
          </w:p>
        </w:tc>
        <w:tc>
          <w:tcPr>
            <w:tcW w:w="16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21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48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(102</w:t>
            </w:r>
          </w:p>
        </w:tc>
        <w:tc>
          <w:tcPr>
            <w:tcW w:w="21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bl>
    <w:p>
      <w:pPr>
        <w:pStyle w:val="TextBody"/>
        <w:spacing w:before="0" w:after="0"/>
        <w:jc w:val="left"/>
        <w:rPr/>
      </w:pPr>
      <w:r>
        <w:rPr/>
        <w:t> </w:t>
      </w:r>
    </w:p>
    <w:p>
      <w:pPr>
        <w:pStyle w:val="TextBody"/>
        <w:spacing w:before="0" w:after="0"/>
        <w:jc w:val="both"/>
        <w:rPr>
          <w:rFonts w:ascii="Times New Roman;serif" w:hAnsi="Times New Roman;serif"/>
          <w:b/>
          <w:sz w:val="20"/>
        </w:rPr>
      </w:pPr>
      <w:r>
        <w:rPr>
          <w:rFonts w:ascii="Times New Roman;serif" w:hAnsi="Times New Roman;serif"/>
          <w:b/>
          <w:sz w:val="20"/>
        </w:rPr>
        <w:t>11. Capital Stock and Reserves</w:t>
      </w:r>
    </w:p>
    <w:p>
      <w:pPr>
        <w:pStyle w:val="TextBody"/>
        <w:spacing w:before="200" w:after="0"/>
        <w:jc w:val="both"/>
        <w:rPr>
          <w:rFonts w:ascii="Times New Roman" w:hAnsi="Times New Roman"/>
          <w:b/>
          <w:i/>
          <w:sz w:val="20"/>
        </w:rPr>
      </w:pPr>
      <w:r>
        <w:rPr>
          <w:rFonts w:ascii="Times New Roman" w:hAnsi="Times New Roman"/>
          <w:b/>
          <w:i/>
          <w:sz w:val="20"/>
        </w:rPr>
        <w:t>(a)</w:t>
      </w:r>
    </w:p>
    <w:p>
      <w:pPr>
        <w:pStyle w:val="TextBody"/>
        <w:spacing w:before="200" w:after="283"/>
        <w:jc w:val="both"/>
        <w:rPr>
          <w:rFonts w:ascii="Times New Roman;serif" w:hAnsi="Times New Roman;serif"/>
          <w:b/>
          <w:i/>
          <w:sz w:val="20"/>
        </w:rPr>
      </w:pPr>
      <w:r>
        <w:rPr>
          <w:rFonts w:ascii="Times New Roman;serif" w:hAnsi="Times New Roman;serif"/>
          <w:b/>
          <w:i/>
          <w:sz w:val="20"/>
        </w:rPr>
        <w:t xml:space="preserve">Share-Based Compensation </w:t>
      </w:r>
    </w:p>
    <w:p>
      <w:pPr>
        <w:pStyle w:val="TextBody"/>
        <w:spacing w:before="200" w:after="0"/>
        <w:jc w:val="both"/>
        <w:rPr>
          <w:rFonts w:ascii="Times New Roman" w:hAnsi="Times New Roman"/>
          <w:sz w:val="20"/>
        </w:rPr>
      </w:pPr>
      <w:r>
        <w:rPr>
          <w:rFonts w:ascii="Times New Roman;serif" w:hAnsi="Times New Roman;serif"/>
          <w:b w:val="false"/>
          <w:sz w:val="20"/>
        </w:rPr>
        <w:t>For the three months ended March 31, 2023, share-based compensation expense totaled $5.1</w:t>
      </w:r>
      <w:r>
        <w:rPr>
          <w:rFonts w:ascii="Times New Roman" w:hAnsi="Times New Roman"/>
          <w:sz w:val="20"/>
        </w:rPr>
        <w:t xml:space="preserve"> </w:t>
      </w:r>
      <w:r>
        <w:rPr>
          <w:rFonts w:ascii="Times New Roman;serif" w:hAnsi="Times New Roman;serif"/>
          <w:b w:val="false"/>
          <w:sz w:val="20"/>
        </w:rPr>
        <w:t>million</w:t>
      </w:r>
      <w:r>
        <w:rPr>
          <w:rFonts w:ascii="Times New Roman" w:hAnsi="Times New Roman"/>
          <w:sz w:val="20"/>
        </w:rPr>
        <w:t xml:space="preserve"> </w:t>
      </w:r>
      <w:r>
        <w:rPr>
          <w:rFonts w:ascii="Times New Roman;serif" w:hAnsi="Times New Roman;serif"/>
          <w:b w:val="false"/>
          <w:sz w:val="20"/>
        </w:rPr>
        <w:t>(2022 — $6.1</w:t>
      </w:r>
      <w:r>
        <w:rPr>
          <w:rFonts w:ascii="Times New Roman" w:hAnsi="Times New Roman"/>
          <w:sz w:val="20"/>
        </w:rPr>
        <w:t xml:space="preserve"> </w:t>
      </w:r>
      <w:r>
        <w:rPr>
          <w:rFonts w:ascii="Times New Roman;serif" w:hAnsi="Times New Roman;serif"/>
          <w:b w:val="false"/>
          <w:sz w:val="20"/>
        </w:rPr>
        <w:t>million) and is reflected in the following accounts in the Condensed Consolidated Statements of Operations:</w:t>
      </w:r>
    </w:p>
    <w:p>
      <w:pPr>
        <w:pStyle w:val="TextBody"/>
        <w:spacing w:before="0" w:after="0"/>
        <w:jc w:val="both"/>
        <w:rPr/>
      </w:pPr>
      <w:r>
        <w:rPr/>
        <w:t> </w:t>
      </w:r>
    </w:p>
    <w:tbl>
      <w:tblPr>
        <w:tblW w:w="6095" w:type="dxa"/>
        <w:jc w:val="left"/>
        <w:tblInd w:w="0" w:type="dxa"/>
        <w:tblCellMar>
          <w:top w:w="28" w:type="dxa"/>
          <w:left w:w="28" w:type="dxa"/>
          <w:bottom w:w="28" w:type="dxa"/>
          <w:right w:w="28" w:type="dxa"/>
        </w:tblCellMar>
      </w:tblPr>
      <w:tblGrid>
        <w:gridCol w:w="3736"/>
        <w:gridCol w:w="211"/>
        <w:gridCol w:w="146"/>
        <w:gridCol w:w="571"/>
        <w:gridCol w:w="166"/>
        <w:gridCol w:w="146"/>
        <w:gridCol w:w="211"/>
        <w:gridCol w:w="146"/>
        <w:gridCol w:w="571"/>
        <w:gridCol w:w="191"/>
      </w:tblGrid>
      <w:tr>
        <w:trPr/>
        <w:tc>
          <w:tcPr>
            <w:tcW w:w="3736"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571" w:type="dxa"/>
            <w:tcBorders/>
            <w:shd w:fill="auto" w:val="clear"/>
            <w:vAlign w:val="center"/>
          </w:tcPr>
          <w:p>
            <w:pPr>
              <w:pStyle w:val="TableContents"/>
              <w:spacing w:before="0" w:after="283"/>
              <w:rPr>
                <w:sz w:val="4"/>
                <w:szCs w:val="4"/>
              </w:rPr>
            </w:pPr>
            <w:r>
              <w:rPr>
                <w:sz w:val="4"/>
                <w:szCs w:val="4"/>
              </w:rPr>
            </w:r>
          </w:p>
        </w:tc>
        <w:tc>
          <w:tcPr>
            <w:tcW w:w="16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571" w:type="dxa"/>
            <w:tcBorders/>
            <w:shd w:fill="auto" w:val="clear"/>
            <w:vAlign w:val="center"/>
          </w:tcPr>
          <w:p>
            <w:pPr>
              <w:pStyle w:val="TableContents"/>
              <w:spacing w:before="0" w:after="283"/>
              <w:rPr>
                <w:sz w:val="4"/>
                <w:szCs w:val="4"/>
              </w:rPr>
            </w:pPr>
            <w:r>
              <w:rPr>
                <w:sz w:val="4"/>
                <w:szCs w:val="4"/>
              </w:rPr>
            </w:r>
          </w:p>
        </w:tc>
        <w:tc>
          <w:tcPr>
            <w:tcW w:w="191" w:type="dxa"/>
            <w:tcBorders/>
            <w:shd w:fill="auto" w:val="clear"/>
            <w:vAlign w:val="center"/>
          </w:tcPr>
          <w:p>
            <w:pPr>
              <w:pStyle w:val="TableContents"/>
              <w:spacing w:before="0" w:after="283"/>
              <w:rPr>
                <w:sz w:val="4"/>
                <w:szCs w:val="4"/>
              </w:rPr>
            </w:pPr>
            <w:r>
              <w:rPr>
                <w:sz w:val="4"/>
                <w:szCs w:val="4"/>
              </w:rPr>
            </w:r>
          </w:p>
        </w:tc>
      </w:tr>
      <w:tr>
        <w:trPr/>
        <w:tc>
          <w:tcPr>
            <w:tcW w:w="3736" w:type="dxa"/>
            <w:tcBorders/>
            <w:shd w:fill="auto" w:val="clear"/>
            <w:vAlign w:val="center"/>
          </w:tcPr>
          <w:p>
            <w:pPr>
              <w:pStyle w:val="TableContents"/>
              <w:spacing w:before="0" w:after="0"/>
              <w:ind w:left="0" w:right="0" w:hanging="0"/>
              <w:jc w:val="left"/>
              <w:rPr/>
            </w:pPr>
            <w:r>
              <w:rPr/>
              <w:t> </w:t>
            </w:r>
          </w:p>
        </w:tc>
        <w:tc>
          <w:tcPr>
            <w:tcW w:w="2168" w:type="dxa"/>
            <w:gridSpan w:val="8"/>
            <w:tcBorders/>
            <w:shd w:fill="auto" w:val="cle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Three Months Ended</w:t>
            </w:r>
          </w:p>
        </w:tc>
        <w:tc>
          <w:tcPr>
            <w:tcW w:w="191" w:type="dxa"/>
            <w:tcBorders/>
            <w:shd w:fill="auto" w:val="clear"/>
            <w:vAlign w:val="center"/>
          </w:tcPr>
          <w:p>
            <w:pPr>
              <w:pStyle w:val="TableContents"/>
              <w:spacing w:before="0" w:after="0"/>
              <w:ind w:left="0" w:right="0" w:hanging="0"/>
              <w:jc w:val="center"/>
              <w:rPr/>
            </w:pPr>
            <w:r>
              <w:rPr/>
              <w:t> </w:t>
            </w:r>
          </w:p>
        </w:tc>
      </w:tr>
      <w:tr>
        <w:trPr/>
        <w:tc>
          <w:tcPr>
            <w:tcW w:w="3736" w:type="dxa"/>
            <w:tcBorders/>
            <w:shd w:fill="auto" w:val="clear"/>
            <w:vAlign w:val="center"/>
          </w:tcPr>
          <w:p>
            <w:pPr>
              <w:pStyle w:val="TableContents"/>
              <w:spacing w:before="0" w:after="0"/>
              <w:ind w:left="0" w:right="0" w:hanging="0"/>
              <w:jc w:val="left"/>
              <w:rPr/>
            </w:pPr>
            <w:r>
              <w:rPr/>
              <w:t> </w:t>
            </w:r>
          </w:p>
        </w:tc>
        <w:tc>
          <w:tcPr>
            <w:tcW w:w="2168" w:type="dxa"/>
            <w:gridSpan w:val="8"/>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March 31,</w:t>
            </w:r>
          </w:p>
        </w:tc>
        <w:tc>
          <w:tcPr>
            <w:tcW w:w="1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3736" w:type="dxa"/>
            <w:tcBorders/>
            <w:shd w:fill="auto" w:val="clear"/>
            <w:vAlign w:val="center"/>
          </w:tcPr>
          <w:p>
            <w:pPr>
              <w:pStyle w:val="TableContents"/>
              <w:spacing w:before="0" w:after="0"/>
              <w:ind w:left="0" w:right="0" w:hanging="0"/>
              <w:jc w:val="left"/>
              <w:rPr>
                <w:rFonts w:ascii="Times New Roman;serif" w:hAnsi="Times New Roman;serif"/>
                <w:b w:val="false"/>
                <w:i/>
                <w:sz w:val="16"/>
              </w:rPr>
            </w:pPr>
            <w:r>
              <w:rPr>
                <w:rFonts w:ascii="Times New Roman;serif" w:hAnsi="Times New Roman;serif"/>
                <w:b w:val="false"/>
                <w:i/>
                <w:sz w:val="16"/>
              </w:rPr>
              <w:t>(In thousands of U.S. Dollars)</w:t>
            </w:r>
          </w:p>
        </w:tc>
        <w:tc>
          <w:tcPr>
            <w:tcW w:w="928" w:type="dxa"/>
            <w:gridSpan w:val="3"/>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2023</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928" w:type="dxa"/>
            <w:gridSpan w:val="3"/>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2022</w:t>
            </w:r>
          </w:p>
        </w:tc>
        <w:tc>
          <w:tcPr>
            <w:tcW w:w="1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373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Costs and expenses applicable to revenues</w:t>
            </w:r>
          </w:p>
        </w:tc>
        <w:tc>
          <w:tcPr>
            <w:tcW w:w="211" w:type="dxa"/>
            <w:tcBorders/>
            <w:shd w:fill="auto" w:val="clear"/>
            <w:vAlign w:val="center"/>
          </w:tcPr>
          <w:p>
            <w:pPr>
              <w:pStyle w:val="TableContents"/>
              <w:spacing w:before="0" w:after="0"/>
              <w:ind w:left="0" w:right="0" w:hanging="0"/>
              <w:jc w:val="center"/>
              <w:rPr>
                <w:rFonts w:ascii="Times New Roman;serif" w:hAnsi="Times New Roman;serif"/>
                <w:b w:val="false"/>
                <w:sz w:val="20"/>
              </w:rPr>
            </w:pPr>
            <w:r>
              <w:rPr>
                <w:rFonts w:ascii="Times New Roman;serif" w:hAnsi="Times New Roman;serif"/>
                <w:b w:val="false"/>
                <w:sz w:val="20"/>
              </w:rPr>
              <w:t>$</w:t>
            </w:r>
          </w:p>
        </w:tc>
        <w:tc>
          <w:tcPr>
            <w:tcW w:w="146" w:type="dxa"/>
            <w:tcBorders/>
            <w:shd w:fill="auto" w:val="clear"/>
            <w:vAlign w:val="center"/>
          </w:tcPr>
          <w:p>
            <w:pPr>
              <w:pStyle w:val="TableContents"/>
              <w:spacing w:before="0" w:after="0"/>
              <w:ind w:left="0" w:right="0" w:hanging="0"/>
              <w:jc w:val="left"/>
              <w:rPr/>
            </w:pPr>
            <w:r>
              <w:rPr/>
              <w:t> </w:t>
            </w:r>
          </w:p>
        </w:tc>
        <w:tc>
          <w:tcPr>
            <w:tcW w:w="57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263</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shd w:fill="auto" w:val="clear"/>
            <w:vAlign w:val="center"/>
          </w:tcPr>
          <w:p>
            <w:pPr>
              <w:pStyle w:val="TableContents"/>
              <w:spacing w:before="0" w:after="0"/>
              <w:ind w:left="0" w:right="0" w:hanging="0"/>
              <w:jc w:val="left"/>
              <w:rPr/>
            </w:pPr>
            <w:r>
              <w:rPr/>
              <w:t> </w:t>
            </w:r>
          </w:p>
        </w:tc>
        <w:tc>
          <w:tcPr>
            <w:tcW w:w="57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239</w:t>
            </w:r>
          </w:p>
        </w:tc>
        <w:tc>
          <w:tcPr>
            <w:tcW w:w="191" w:type="dxa"/>
            <w:tcBorders/>
            <w:shd w:fill="auto" w:val="clear"/>
            <w:vAlign w:val="center"/>
          </w:tcPr>
          <w:p>
            <w:pPr>
              <w:pStyle w:val="TableContents"/>
              <w:spacing w:before="0" w:after="0"/>
              <w:ind w:left="0" w:right="0" w:hanging="0"/>
              <w:jc w:val="left"/>
              <w:rPr/>
            </w:pPr>
            <w:r>
              <w:rPr/>
              <w:t> </w:t>
            </w:r>
          </w:p>
        </w:tc>
      </w:tr>
      <w:tr>
        <w:trPr/>
        <w:tc>
          <w:tcPr>
            <w:tcW w:w="373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Selling, general and administrative expenses</w:t>
            </w:r>
          </w:p>
        </w:tc>
        <w:tc>
          <w:tcPr>
            <w:tcW w:w="21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57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5,196</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57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5,726</w:t>
            </w:r>
          </w:p>
        </w:tc>
        <w:tc>
          <w:tcPr>
            <w:tcW w:w="191" w:type="dxa"/>
            <w:tcBorders/>
            <w:shd w:fill="auto" w:val="clear"/>
            <w:vAlign w:val="center"/>
          </w:tcPr>
          <w:p>
            <w:pPr>
              <w:pStyle w:val="TableContents"/>
              <w:spacing w:before="0" w:after="0"/>
              <w:ind w:left="0" w:right="0" w:hanging="0"/>
              <w:jc w:val="left"/>
              <w:rPr/>
            </w:pPr>
            <w:r>
              <w:rPr/>
              <w:t> </w:t>
            </w:r>
          </w:p>
        </w:tc>
      </w:tr>
      <w:tr>
        <w:trPr/>
        <w:tc>
          <w:tcPr>
            <w:tcW w:w="373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Research and development</w:t>
            </w:r>
          </w:p>
        </w:tc>
        <w:tc>
          <w:tcPr>
            <w:tcW w:w="21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57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99</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57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87</w:t>
            </w:r>
          </w:p>
        </w:tc>
        <w:tc>
          <w:tcPr>
            <w:tcW w:w="191" w:type="dxa"/>
            <w:tcBorders/>
            <w:shd w:fill="auto" w:val="clear"/>
            <w:vAlign w:val="center"/>
          </w:tcPr>
          <w:p>
            <w:pPr>
              <w:pStyle w:val="TableContents"/>
              <w:spacing w:before="0" w:after="0"/>
              <w:ind w:left="0" w:right="0" w:hanging="0"/>
              <w:jc w:val="left"/>
              <w:rPr/>
            </w:pPr>
            <w:r>
              <w:rPr/>
              <w:t> </w:t>
            </w:r>
          </w:p>
        </w:tc>
      </w:tr>
      <w:tr>
        <w:trPr/>
        <w:tc>
          <w:tcPr>
            <w:tcW w:w="373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Executive transition costs</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57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(499</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57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pPr>
            <w:r>
              <w:rPr/>
              <w:t>—</w:t>
            </w:r>
          </w:p>
        </w:tc>
        <w:tc>
          <w:tcPr>
            <w:tcW w:w="1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r>
        <w:trPr/>
        <w:tc>
          <w:tcPr>
            <w:tcW w:w="3736" w:type="dxa"/>
            <w:tcBorders/>
            <w:shd w:fill="auto" w:val="clear"/>
            <w:vAlign w:val="center"/>
          </w:tcPr>
          <w:p>
            <w:pPr>
              <w:pStyle w:val="TableContents"/>
              <w:spacing w:before="0" w:after="283"/>
              <w:ind w:left="0" w:right="0" w:hanging="0"/>
              <w:rPr>
                <w:sz w:val="4"/>
                <w:szCs w:val="4"/>
              </w:rPr>
            </w:pPr>
            <w:r>
              <w:rPr>
                <w:sz w:val="4"/>
                <w:szCs w:val="4"/>
              </w:rPr>
            </w:r>
          </w:p>
        </w:tc>
        <w:tc>
          <w:tcPr>
            <w:tcW w:w="21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val="false"/>
                <w:sz w:val="20"/>
              </w:rPr>
            </w:pPr>
            <w:r>
              <w:rPr>
                <w:rFonts w:ascii="Times New Roman;serif" w:hAnsi="Times New Roman;serif"/>
                <w:b w:val="false"/>
                <w:sz w:val="20"/>
              </w:rPr>
              <w:t>$</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57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5,059</w:t>
            </w:r>
          </w:p>
        </w:tc>
        <w:tc>
          <w:tcPr>
            <w:tcW w:w="16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57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6,052</w:t>
            </w:r>
          </w:p>
        </w:tc>
        <w:tc>
          <w:tcPr>
            <w:tcW w:w="19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bl>
    <w:p>
      <w:pPr>
        <w:pStyle w:val="TextBody"/>
        <w:spacing w:before="200" w:after="0"/>
        <w:jc w:val="both"/>
        <w:rPr>
          <w:rFonts w:ascii="Times New Roman" w:hAnsi="Times New Roman"/>
          <w:sz w:val="20"/>
        </w:rPr>
      </w:pPr>
      <w:r>
        <w:rPr>
          <w:rFonts w:ascii="Times New Roman;serif" w:hAnsi="Times New Roman;serif"/>
          <w:b w:val="false"/>
          <w:sz w:val="20"/>
        </w:rPr>
        <w:t>The following table summarizes the Company’s share-based compensation expense by each award type:</w:t>
      </w:r>
      <w:r>
        <w:rPr>
          <w:rFonts w:ascii="Times New Roman" w:hAnsi="Times New Roman"/>
          <w:sz w:val="20"/>
        </w:rPr>
        <w:t xml:space="preserve"> </w:t>
      </w:r>
    </w:p>
    <w:p>
      <w:pPr>
        <w:pStyle w:val="TextBody"/>
        <w:spacing w:before="0" w:after="0"/>
        <w:jc w:val="both"/>
        <w:rPr/>
      </w:pPr>
      <w:r>
        <w:rPr/>
        <w:t> </w:t>
      </w:r>
    </w:p>
    <w:tbl>
      <w:tblPr>
        <w:tblW w:w="7856" w:type="dxa"/>
        <w:jc w:val="left"/>
        <w:tblInd w:w="0" w:type="dxa"/>
        <w:tblCellMar>
          <w:top w:w="28" w:type="dxa"/>
          <w:left w:w="28" w:type="dxa"/>
          <w:bottom w:w="28" w:type="dxa"/>
          <w:right w:w="28" w:type="dxa"/>
        </w:tblCellMar>
      </w:tblPr>
      <w:tblGrid>
        <w:gridCol w:w="5371"/>
        <w:gridCol w:w="211"/>
        <w:gridCol w:w="146"/>
        <w:gridCol w:w="571"/>
        <w:gridCol w:w="146"/>
        <w:gridCol w:w="146"/>
        <w:gridCol w:w="211"/>
        <w:gridCol w:w="146"/>
        <w:gridCol w:w="571"/>
        <w:gridCol w:w="146"/>
        <w:gridCol w:w="191"/>
      </w:tblGrid>
      <w:tr>
        <w:trPr/>
        <w:tc>
          <w:tcPr>
            <w:tcW w:w="5371"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571"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571"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91" w:type="dxa"/>
            <w:tcBorders/>
            <w:shd w:fill="auto" w:val="clear"/>
            <w:vAlign w:val="center"/>
          </w:tcPr>
          <w:p>
            <w:pPr>
              <w:pStyle w:val="TableContents"/>
              <w:spacing w:before="0" w:after="283"/>
              <w:rPr>
                <w:sz w:val="4"/>
                <w:szCs w:val="4"/>
              </w:rPr>
            </w:pPr>
            <w:r>
              <w:rPr>
                <w:sz w:val="4"/>
                <w:szCs w:val="4"/>
              </w:rPr>
            </w:r>
          </w:p>
        </w:tc>
      </w:tr>
      <w:tr>
        <w:trPr/>
        <w:tc>
          <w:tcPr>
            <w:tcW w:w="5371" w:type="dxa"/>
            <w:tcBorders/>
            <w:shd w:fill="auto" w:val="clear"/>
            <w:vAlign w:val="center"/>
          </w:tcPr>
          <w:p>
            <w:pPr>
              <w:pStyle w:val="TableContents"/>
              <w:spacing w:before="0" w:after="0"/>
              <w:ind w:left="0" w:right="0" w:hanging="0"/>
              <w:jc w:val="left"/>
              <w:rPr/>
            </w:pPr>
            <w:r>
              <w:rPr/>
              <w:t> </w:t>
            </w:r>
          </w:p>
        </w:tc>
        <w:tc>
          <w:tcPr>
            <w:tcW w:w="2148" w:type="dxa"/>
            <w:gridSpan w:val="8"/>
            <w:tcBorders/>
            <w:shd w:fill="auto" w:val="cle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Three Months Ended</w:t>
            </w:r>
          </w:p>
        </w:tc>
        <w:tc>
          <w:tcPr>
            <w:tcW w:w="146" w:type="dxa"/>
            <w:tcBorders/>
            <w:shd w:fill="auto" w:val="clear"/>
            <w:vAlign w:val="center"/>
          </w:tcPr>
          <w:p>
            <w:pPr>
              <w:pStyle w:val="TableContents"/>
              <w:spacing w:before="0" w:after="0"/>
              <w:ind w:left="0" w:right="0" w:hanging="0"/>
              <w:jc w:val="center"/>
              <w:rPr/>
            </w:pPr>
            <w:r>
              <w:rPr/>
              <w:t> </w:t>
            </w:r>
          </w:p>
        </w:tc>
        <w:tc>
          <w:tcPr>
            <w:tcW w:w="191" w:type="dxa"/>
            <w:tcBorders/>
            <w:shd w:fill="auto" w:val="clear"/>
            <w:vAlign w:val="center"/>
          </w:tcPr>
          <w:p>
            <w:pPr>
              <w:pStyle w:val="TableContents"/>
              <w:spacing w:before="0" w:after="0"/>
              <w:ind w:left="0" w:right="0" w:hanging="0"/>
              <w:jc w:val="left"/>
              <w:rPr/>
            </w:pPr>
            <w:r>
              <w:rPr/>
              <w:t> </w:t>
            </w:r>
          </w:p>
        </w:tc>
      </w:tr>
      <w:tr>
        <w:trPr/>
        <w:tc>
          <w:tcPr>
            <w:tcW w:w="5371" w:type="dxa"/>
            <w:tcBorders/>
            <w:shd w:fill="auto" w:val="clear"/>
            <w:vAlign w:val="center"/>
          </w:tcPr>
          <w:p>
            <w:pPr>
              <w:pStyle w:val="TableContents"/>
              <w:spacing w:before="0" w:after="0"/>
              <w:ind w:left="0" w:right="0" w:hanging="0"/>
              <w:jc w:val="left"/>
              <w:rPr/>
            </w:pPr>
            <w:r>
              <w:rPr/>
              <w:t> </w:t>
            </w:r>
          </w:p>
        </w:tc>
        <w:tc>
          <w:tcPr>
            <w:tcW w:w="2148" w:type="dxa"/>
            <w:gridSpan w:val="8"/>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March 31,</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r>
        <w:trPr/>
        <w:tc>
          <w:tcPr>
            <w:tcW w:w="5371" w:type="dxa"/>
            <w:tcBorders/>
            <w:shd w:fill="auto" w:val="clear"/>
            <w:vAlign w:val="center"/>
          </w:tcPr>
          <w:p>
            <w:pPr>
              <w:pStyle w:val="TableContents"/>
              <w:spacing w:before="0" w:after="0"/>
              <w:ind w:left="0" w:right="0" w:hanging="0"/>
              <w:jc w:val="left"/>
              <w:rPr>
                <w:rFonts w:ascii="Times New Roman;serif" w:hAnsi="Times New Roman;serif"/>
                <w:b w:val="false"/>
                <w:i/>
                <w:sz w:val="16"/>
              </w:rPr>
            </w:pPr>
            <w:r>
              <w:rPr>
                <w:rFonts w:ascii="Times New Roman;serif" w:hAnsi="Times New Roman;serif"/>
                <w:b w:val="false"/>
                <w:i/>
                <w:sz w:val="16"/>
              </w:rPr>
              <w:t>(In thousands of U.S. Dollars)</w:t>
            </w:r>
          </w:p>
        </w:tc>
        <w:tc>
          <w:tcPr>
            <w:tcW w:w="928" w:type="dxa"/>
            <w:gridSpan w:val="3"/>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2023</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928" w:type="dxa"/>
            <w:gridSpan w:val="3"/>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2022</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r>
        <w:trPr/>
        <w:tc>
          <w:tcPr>
            <w:tcW w:w="537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Stock Options</w:t>
            </w:r>
          </w:p>
        </w:tc>
        <w:tc>
          <w:tcPr>
            <w:tcW w:w="21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shd w:fill="auto" w:val="clear"/>
            <w:vAlign w:val="center"/>
          </w:tcPr>
          <w:p>
            <w:pPr>
              <w:pStyle w:val="TableContents"/>
              <w:spacing w:before="0" w:after="0"/>
              <w:ind w:left="0" w:right="0" w:hanging="0"/>
              <w:jc w:val="left"/>
              <w:rPr/>
            </w:pPr>
            <w:r>
              <w:rPr/>
              <w:t> </w:t>
            </w:r>
          </w:p>
        </w:tc>
        <w:tc>
          <w:tcPr>
            <w:tcW w:w="57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84</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shd w:fill="auto" w:val="clear"/>
            <w:vAlign w:val="center"/>
          </w:tcPr>
          <w:p>
            <w:pPr>
              <w:pStyle w:val="TableContents"/>
              <w:spacing w:before="0" w:after="0"/>
              <w:ind w:left="0" w:right="0" w:hanging="0"/>
              <w:jc w:val="left"/>
              <w:rPr/>
            </w:pPr>
            <w:r>
              <w:rPr/>
              <w:t> </w:t>
            </w:r>
          </w:p>
        </w:tc>
        <w:tc>
          <w:tcPr>
            <w:tcW w:w="57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207</w:t>
            </w:r>
          </w:p>
        </w:tc>
        <w:tc>
          <w:tcPr>
            <w:tcW w:w="146" w:type="dxa"/>
            <w:tcBorders/>
            <w:shd w:fill="auto" w:val="clear"/>
            <w:vAlign w:val="center"/>
          </w:tcPr>
          <w:p>
            <w:pPr>
              <w:pStyle w:val="TableContents"/>
              <w:spacing w:before="0" w:after="0"/>
              <w:ind w:left="0" w:right="0" w:hanging="0"/>
              <w:jc w:val="left"/>
              <w:rPr/>
            </w:pPr>
            <w:r>
              <w:rPr/>
              <w:t> </w:t>
            </w:r>
          </w:p>
        </w:tc>
        <w:tc>
          <w:tcPr>
            <w:tcW w:w="191" w:type="dxa"/>
            <w:tcBorders/>
            <w:shd w:fill="auto" w:val="clear"/>
            <w:vAlign w:val="center"/>
          </w:tcPr>
          <w:p>
            <w:pPr>
              <w:pStyle w:val="TableContents"/>
              <w:spacing w:before="0" w:after="0"/>
              <w:ind w:left="0" w:right="0" w:hanging="0"/>
              <w:jc w:val="left"/>
              <w:rPr/>
            </w:pPr>
            <w:r>
              <w:rPr/>
              <w:t> </w:t>
            </w:r>
          </w:p>
        </w:tc>
      </w:tr>
      <w:tr>
        <w:trPr/>
        <w:tc>
          <w:tcPr>
            <w:tcW w:w="537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Restricted Share Units</w:t>
            </w:r>
          </w:p>
        </w:tc>
        <w:tc>
          <w:tcPr>
            <w:tcW w:w="21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57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3,365</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57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3,411</w:t>
            </w:r>
          </w:p>
        </w:tc>
        <w:tc>
          <w:tcPr>
            <w:tcW w:w="146" w:type="dxa"/>
            <w:tcBorders/>
            <w:shd w:fill="auto" w:val="clear"/>
            <w:vAlign w:val="center"/>
          </w:tcPr>
          <w:p>
            <w:pPr>
              <w:pStyle w:val="TableContents"/>
              <w:spacing w:before="0" w:after="0"/>
              <w:ind w:left="0" w:right="0" w:hanging="0"/>
              <w:jc w:val="left"/>
              <w:rPr/>
            </w:pPr>
            <w:r>
              <w:rPr/>
              <w:t> </w:t>
            </w:r>
          </w:p>
        </w:tc>
        <w:tc>
          <w:tcPr>
            <w:tcW w:w="191" w:type="dxa"/>
            <w:tcBorders/>
            <w:shd w:fill="auto" w:val="clear"/>
            <w:vAlign w:val="center"/>
          </w:tcPr>
          <w:p>
            <w:pPr>
              <w:pStyle w:val="TableContents"/>
              <w:spacing w:before="0" w:after="0"/>
              <w:ind w:left="0" w:right="0" w:hanging="0"/>
              <w:jc w:val="left"/>
              <w:rPr/>
            </w:pPr>
            <w:r>
              <w:rPr/>
              <w:t> </w:t>
            </w:r>
          </w:p>
        </w:tc>
      </w:tr>
      <w:tr>
        <w:trPr/>
        <w:tc>
          <w:tcPr>
            <w:tcW w:w="537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Performance Stock Units</w:t>
            </w:r>
          </w:p>
        </w:tc>
        <w:tc>
          <w:tcPr>
            <w:tcW w:w="21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57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924</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57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1,729</w:t>
            </w:r>
          </w:p>
        </w:tc>
        <w:tc>
          <w:tcPr>
            <w:tcW w:w="146" w:type="dxa"/>
            <w:tcBorders/>
            <w:shd w:fill="auto" w:val="clear"/>
            <w:vAlign w:val="center"/>
          </w:tcPr>
          <w:p>
            <w:pPr>
              <w:pStyle w:val="TableContents"/>
              <w:spacing w:before="0" w:after="0"/>
              <w:ind w:left="0" w:right="0" w:hanging="0"/>
              <w:jc w:val="left"/>
              <w:rPr/>
            </w:pPr>
            <w:r>
              <w:rPr/>
              <w:t> </w:t>
            </w:r>
          </w:p>
        </w:tc>
        <w:tc>
          <w:tcPr>
            <w:tcW w:w="191" w:type="dxa"/>
            <w:tcBorders/>
            <w:shd w:fill="auto" w:val="clear"/>
            <w:vAlign w:val="center"/>
          </w:tcPr>
          <w:p>
            <w:pPr>
              <w:pStyle w:val="TableContents"/>
              <w:spacing w:before="0" w:after="0"/>
              <w:ind w:left="0" w:right="0" w:hanging="0"/>
              <w:jc w:val="left"/>
              <w:rPr/>
            </w:pPr>
            <w:r>
              <w:rPr/>
              <w:t> </w:t>
            </w:r>
          </w:p>
        </w:tc>
      </w:tr>
      <w:tr>
        <w:trPr/>
        <w:tc>
          <w:tcPr>
            <w:tcW w:w="537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IMAX China Stock Options</w:t>
            </w:r>
          </w:p>
        </w:tc>
        <w:tc>
          <w:tcPr>
            <w:tcW w:w="21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57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10</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57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34</w:t>
            </w:r>
          </w:p>
        </w:tc>
        <w:tc>
          <w:tcPr>
            <w:tcW w:w="146" w:type="dxa"/>
            <w:tcBorders/>
            <w:shd w:fill="auto" w:val="clear"/>
            <w:vAlign w:val="center"/>
          </w:tcPr>
          <w:p>
            <w:pPr>
              <w:pStyle w:val="TableContents"/>
              <w:spacing w:before="0" w:after="0"/>
              <w:ind w:left="0" w:right="0" w:hanging="0"/>
              <w:jc w:val="left"/>
              <w:rPr/>
            </w:pPr>
            <w:r>
              <w:rPr/>
              <w:t> </w:t>
            </w:r>
          </w:p>
        </w:tc>
        <w:tc>
          <w:tcPr>
            <w:tcW w:w="191" w:type="dxa"/>
            <w:tcBorders/>
            <w:shd w:fill="auto" w:val="clear"/>
            <w:vAlign w:val="center"/>
          </w:tcPr>
          <w:p>
            <w:pPr>
              <w:pStyle w:val="TableContents"/>
              <w:spacing w:before="0" w:after="0"/>
              <w:ind w:left="0" w:right="0" w:hanging="0"/>
              <w:jc w:val="left"/>
              <w:rPr/>
            </w:pPr>
            <w:r>
              <w:rPr/>
              <w:t> </w:t>
            </w:r>
          </w:p>
        </w:tc>
      </w:tr>
      <w:tr>
        <w:trPr/>
        <w:tc>
          <w:tcPr>
            <w:tcW w:w="537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IMAX China Long Term Incentive Plan Restricted Share Units</w:t>
            </w:r>
          </w:p>
        </w:tc>
        <w:tc>
          <w:tcPr>
            <w:tcW w:w="21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57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541</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57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497</w:t>
            </w:r>
          </w:p>
        </w:tc>
        <w:tc>
          <w:tcPr>
            <w:tcW w:w="146" w:type="dxa"/>
            <w:tcBorders/>
            <w:shd w:fill="auto" w:val="clear"/>
            <w:vAlign w:val="center"/>
          </w:tcPr>
          <w:p>
            <w:pPr>
              <w:pStyle w:val="TableContents"/>
              <w:spacing w:before="0" w:after="0"/>
              <w:ind w:left="0" w:right="0" w:hanging="0"/>
              <w:jc w:val="left"/>
              <w:rPr/>
            </w:pPr>
            <w:r>
              <w:rPr/>
              <w:t> </w:t>
            </w:r>
          </w:p>
        </w:tc>
        <w:tc>
          <w:tcPr>
            <w:tcW w:w="191" w:type="dxa"/>
            <w:tcBorders/>
            <w:shd w:fill="auto" w:val="clear"/>
            <w:vAlign w:val="center"/>
          </w:tcPr>
          <w:p>
            <w:pPr>
              <w:pStyle w:val="TableContents"/>
              <w:spacing w:before="0" w:after="0"/>
              <w:ind w:left="0" w:right="0" w:hanging="0"/>
              <w:jc w:val="left"/>
              <w:rPr/>
            </w:pPr>
            <w:r>
              <w:rPr/>
              <w:t> </w:t>
            </w:r>
          </w:p>
        </w:tc>
      </w:tr>
      <w:tr>
        <w:trPr/>
        <w:tc>
          <w:tcPr>
            <w:tcW w:w="537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IMAX China Long Term Incentive Plan Performance Stock Units</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57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135</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57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174</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r>
        <w:trPr/>
        <w:tc>
          <w:tcPr>
            <w:tcW w:w="5371" w:type="dxa"/>
            <w:tcBorders/>
            <w:shd w:fill="auto" w:val="clear"/>
            <w:vAlign w:val="center"/>
          </w:tcPr>
          <w:p>
            <w:pPr>
              <w:pStyle w:val="TableContents"/>
              <w:spacing w:before="0" w:after="283"/>
              <w:ind w:left="0" w:right="0" w:hanging="0"/>
              <w:rPr>
                <w:sz w:val="4"/>
                <w:szCs w:val="4"/>
              </w:rPr>
            </w:pPr>
            <w:r>
              <w:rPr>
                <w:sz w:val="4"/>
                <w:szCs w:val="4"/>
              </w:rPr>
            </w:r>
          </w:p>
        </w:tc>
        <w:tc>
          <w:tcPr>
            <w:tcW w:w="21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57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5,059</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21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57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6,052</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9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bl>
    <w:p>
      <w:pPr>
        <w:pStyle w:val="TextBody"/>
        <w:spacing w:before="200" w:after="0"/>
        <w:jc w:val="both"/>
        <w:rPr>
          <w:rFonts w:ascii="Times New Roman;serif" w:hAnsi="Times New Roman;serif"/>
          <w:b w:val="false"/>
          <w:sz w:val="20"/>
        </w:rPr>
      </w:pPr>
      <w:r>
        <w:rPr>
          <w:rFonts w:ascii="Times New Roman;serif" w:hAnsi="Times New Roman;serif"/>
          <w:b w:val="false"/>
          <w:sz w:val="20"/>
        </w:rPr>
        <w:t>For the three months ended March 31, 2023 and 2022, the Company did not record any expenses related to restricted share units granted to non-employees.</w:t>
      </w:r>
    </w:p>
    <w:p>
      <w:pPr>
        <w:pStyle w:val="TextBody"/>
        <w:spacing w:before="240" w:after="0"/>
        <w:jc w:val="center"/>
        <w:rPr>
          <w:rFonts w:ascii="Times New Roman;serif" w:hAnsi="Times New Roman;serif"/>
          <w:b w:val="false"/>
          <w:sz w:val="20"/>
        </w:rPr>
      </w:pPr>
      <w:r>
        <w:rPr>
          <w:rFonts w:ascii="Times New Roman;serif" w:hAnsi="Times New Roman;serif"/>
          <w:b w:val="false"/>
          <w:sz w:val="20"/>
        </w:rPr>
        <w:t>28</w:t>
      </w:r>
    </w:p>
    <w:p>
      <w:pPr>
        <w:pStyle w:val="HorizontalLine"/>
        <w:rPr/>
      </w:pPr>
      <w:r>
        <w:rPr/>
      </w:r>
    </w:p>
    <w:p>
      <w:pPr>
        <w:pStyle w:val="TextBody"/>
        <w:spacing w:before="0" w:after="0"/>
        <w:jc w:val="left"/>
        <w:rPr/>
      </w:pPr>
      <w:r>
        <w:rPr/>
        <w:t> </w:t>
      </w:r>
    </w:p>
    <w:p>
      <w:pPr>
        <w:pStyle w:val="TextBody"/>
        <w:spacing w:before="200" w:after="0"/>
        <w:jc w:val="both"/>
        <w:rPr>
          <w:rFonts w:ascii="Times New Roman;serif" w:hAnsi="Times New Roman;serif"/>
          <w:b w:val="false"/>
          <w:i/>
          <w:sz w:val="20"/>
        </w:rPr>
      </w:pPr>
      <w:r>
        <w:rPr>
          <w:rFonts w:ascii="Times New Roman;serif" w:hAnsi="Times New Roman;serif"/>
          <w:b w:val="false"/>
          <w:i/>
          <w:sz w:val="20"/>
        </w:rPr>
        <w:t>Stock Option Summary</w:t>
      </w:r>
    </w:p>
    <w:p>
      <w:pPr>
        <w:pStyle w:val="TextBody"/>
        <w:spacing w:before="200" w:after="0"/>
        <w:jc w:val="both"/>
        <w:rPr>
          <w:rFonts w:ascii="Times New Roman;serif" w:hAnsi="Times New Roman;serif"/>
          <w:b w:val="false"/>
          <w:sz w:val="20"/>
        </w:rPr>
      </w:pPr>
      <w:r>
        <w:rPr>
          <w:rFonts w:ascii="Times New Roman;serif" w:hAnsi="Times New Roman;serif"/>
          <w:b w:val="false"/>
          <w:sz w:val="20"/>
        </w:rPr>
        <w:t>The following table summarizes the activity under the Company’s Stock Option Plan (“SOP”) and the IMAX Corporation Second Amended and Restated Long-Term Incentive Plan (as may be amended, “IMAX LTIP”) for the three months ended March 31, 2023 and 2022:</w:t>
      </w:r>
    </w:p>
    <w:p>
      <w:pPr>
        <w:pStyle w:val="TextBody"/>
        <w:spacing w:before="0" w:after="0"/>
        <w:jc w:val="both"/>
        <w:rPr/>
      </w:pPr>
      <w:r>
        <w:rPr/>
        <w:t> </w:t>
      </w:r>
    </w:p>
    <w:tbl>
      <w:tblPr>
        <w:tblW w:w="9400" w:type="dxa"/>
        <w:jc w:val="left"/>
        <w:tblInd w:w="0" w:type="dxa"/>
        <w:tblCellMar>
          <w:top w:w="28" w:type="dxa"/>
          <w:left w:w="28" w:type="dxa"/>
          <w:bottom w:w="28" w:type="dxa"/>
          <w:right w:w="28" w:type="dxa"/>
        </w:tblCellMar>
      </w:tblPr>
      <w:tblGrid>
        <w:gridCol w:w="3976"/>
        <w:gridCol w:w="146"/>
        <w:gridCol w:w="146"/>
        <w:gridCol w:w="931"/>
        <w:gridCol w:w="166"/>
        <w:gridCol w:w="146"/>
        <w:gridCol w:w="146"/>
        <w:gridCol w:w="931"/>
        <w:gridCol w:w="166"/>
        <w:gridCol w:w="146"/>
        <w:gridCol w:w="211"/>
        <w:gridCol w:w="158"/>
        <w:gridCol w:w="619"/>
        <w:gridCol w:w="158"/>
        <w:gridCol w:w="158"/>
        <w:gridCol w:w="228"/>
        <w:gridCol w:w="158"/>
        <w:gridCol w:w="619"/>
        <w:gridCol w:w="191"/>
      </w:tblGrid>
      <w:tr>
        <w:trPr/>
        <w:tc>
          <w:tcPr>
            <w:tcW w:w="397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931" w:type="dxa"/>
            <w:tcBorders/>
            <w:shd w:fill="auto" w:val="clear"/>
            <w:vAlign w:val="center"/>
          </w:tcPr>
          <w:p>
            <w:pPr>
              <w:pStyle w:val="TableContents"/>
              <w:spacing w:before="0" w:after="283"/>
              <w:rPr>
                <w:sz w:val="4"/>
                <w:szCs w:val="4"/>
              </w:rPr>
            </w:pPr>
            <w:r>
              <w:rPr>
                <w:sz w:val="4"/>
                <w:szCs w:val="4"/>
              </w:rPr>
            </w:r>
          </w:p>
        </w:tc>
        <w:tc>
          <w:tcPr>
            <w:tcW w:w="16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931" w:type="dxa"/>
            <w:tcBorders/>
            <w:shd w:fill="auto" w:val="clear"/>
            <w:vAlign w:val="center"/>
          </w:tcPr>
          <w:p>
            <w:pPr>
              <w:pStyle w:val="TableContents"/>
              <w:spacing w:before="0" w:after="283"/>
              <w:rPr>
                <w:sz w:val="4"/>
                <w:szCs w:val="4"/>
              </w:rPr>
            </w:pPr>
            <w:r>
              <w:rPr>
                <w:sz w:val="4"/>
                <w:szCs w:val="4"/>
              </w:rPr>
            </w:r>
          </w:p>
        </w:tc>
        <w:tc>
          <w:tcPr>
            <w:tcW w:w="16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158" w:type="dxa"/>
            <w:tcBorders/>
            <w:shd w:fill="auto" w:val="clear"/>
            <w:vAlign w:val="center"/>
          </w:tcPr>
          <w:p>
            <w:pPr>
              <w:pStyle w:val="TableContents"/>
              <w:spacing w:before="0" w:after="283"/>
              <w:rPr>
                <w:sz w:val="4"/>
                <w:szCs w:val="4"/>
              </w:rPr>
            </w:pPr>
            <w:r>
              <w:rPr>
                <w:sz w:val="4"/>
                <w:szCs w:val="4"/>
              </w:rPr>
            </w:r>
          </w:p>
        </w:tc>
        <w:tc>
          <w:tcPr>
            <w:tcW w:w="619" w:type="dxa"/>
            <w:tcBorders/>
            <w:shd w:fill="auto" w:val="clear"/>
            <w:vAlign w:val="center"/>
          </w:tcPr>
          <w:p>
            <w:pPr>
              <w:pStyle w:val="TableContents"/>
              <w:spacing w:before="0" w:after="283"/>
              <w:rPr>
                <w:sz w:val="4"/>
                <w:szCs w:val="4"/>
              </w:rPr>
            </w:pPr>
            <w:r>
              <w:rPr>
                <w:sz w:val="4"/>
                <w:szCs w:val="4"/>
              </w:rPr>
            </w:r>
          </w:p>
        </w:tc>
        <w:tc>
          <w:tcPr>
            <w:tcW w:w="158" w:type="dxa"/>
            <w:tcBorders/>
            <w:shd w:fill="auto" w:val="clear"/>
            <w:vAlign w:val="center"/>
          </w:tcPr>
          <w:p>
            <w:pPr>
              <w:pStyle w:val="TableContents"/>
              <w:spacing w:before="0" w:after="283"/>
              <w:rPr>
                <w:sz w:val="4"/>
                <w:szCs w:val="4"/>
              </w:rPr>
            </w:pPr>
            <w:r>
              <w:rPr>
                <w:sz w:val="4"/>
                <w:szCs w:val="4"/>
              </w:rPr>
            </w:r>
          </w:p>
        </w:tc>
        <w:tc>
          <w:tcPr>
            <w:tcW w:w="158" w:type="dxa"/>
            <w:tcBorders/>
            <w:shd w:fill="auto" w:val="clear"/>
            <w:vAlign w:val="center"/>
          </w:tcPr>
          <w:p>
            <w:pPr>
              <w:pStyle w:val="TableContents"/>
              <w:spacing w:before="0" w:after="283"/>
              <w:rPr>
                <w:sz w:val="4"/>
                <w:szCs w:val="4"/>
              </w:rPr>
            </w:pPr>
            <w:r>
              <w:rPr>
                <w:sz w:val="4"/>
                <w:szCs w:val="4"/>
              </w:rPr>
            </w:r>
          </w:p>
        </w:tc>
        <w:tc>
          <w:tcPr>
            <w:tcW w:w="228" w:type="dxa"/>
            <w:tcBorders/>
            <w:shd w:fill="auto" w:val="clear"/>
            <w:vAlign w:val="center"/>
          </w:tcPr>
          <w:p>
            <w:pPr>
              <w:pStyle w:val="TableContents"/>
              <w:spacing w:before="0" w:after="283"/>
              <w:rPr>
                <w:sz w:val="4"/>
                <w:szCs w:val="4"/>
              </w:rPr>
            </w:pPr>
            <w:r>
              <w:rPr>
                <w:sz w:val="4"/>
                <w:szCs w:val="4"/>
              </w:rPr>
            </w:r>
          </w:p>
        </w:tc>
        <w:tc>
          <w:tcPr>
            <w:tcW w:w="158" w:type="dxa"/>
            <w:tcBorders/>
            <w:shd w:fill="auto" w:val="clear"/>
            <w:vAlign w:val="center"/>
          </w:tcPr>
          <w:p>
            <w:pPr>
              <w:pStyle w:val="TableContents"/>
              <w:spacing w:before="0" w:after="283"/>
              <w:rPr>
                <w:sz w:val="4"/>
                <w:szCs w:val="4"/>
              </w:rPr>
            </w:pPr>
            <w:r>
              <w:rPr>
                <w:sz w:val="4"/>
                <w:szCs w:val="4"/>
              </w:rPr>
            </w:r>
          </w:p>
        </w:tc>
        <w:tc>
          <w:tcPr>
            <w:tcW w:w="619" w:type="dxa"/>
            <w:tcBorders/>
            <w:shd w:fill="auto" w:val="clear"/>
            <w:vAlign w:val="center"/>
          </w:tcPr>
          <w:p>
            <w:pPr>
              <w:pStyle w:val="TableContents"/>
              <w:spacing w:before="0" w:after="283"/>
              <w:rPr>
                <w:sz w:val="4"/>
                <w:szCs w:val="4"/>
              </w:rPr>
            </w:pPr>
            <w:r>
              <w:rPr>
                <w:sz w:val="4"/>
                <w:szCs w:val="4"/>
              </w:rPr>
            </w:r>
          </w:p>
        </w:tc>
        <w:tc>
          <w:tcPr>
            <w:tcW w:w="191" w:type="dxa"/>
            <w:tcBorders/>
            <w:shd w:fill="auto" w:val="clear"/>
            <w:vAlign w:val="center"/>
          </w:tcPr>
          <w:p>
            <w:pPr>
              <w:pStyle w:val="TableContents"/>
              <w:spacing w:before="0" w:after="283"/>
              <w:rPr>
                <w:sz w:val="4"/>
                <w:szCs w:val="4"/>
              </w:rPr>
            </w:pPr>
            <w:r>
              <w:rPr>
                <w:sz w:val="4"/>
                <w:szCs w:val="4"/>
              </w:rPr>
            </w:r>
          </w:p>
        </w:tc>
      </w:tr>
      <w:tr>
        <w:trPr/>
        <w:tc>
          <w:tcPr>
            <w:tcW w:w="397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466" w:type="dxa"/>
            <w:gridSpan w:val="6"/>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Number of Shares</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2098" w:type="dxa"/>
            <w:gridSpan w:val="7"/>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Weighted Average Exercise</w:t>
              <w:br/>
              <w:t>Price Per Share</w:t>
            </w:r>
          </w:p>
        </w:tc>
        <w:tc>
          <w:tcPr>
            <w:tcW w:w="1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397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077"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2023</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077"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2022</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988" w:type="dxa"/>
            <w:gridSpan w:val="3"/>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2023</w:t>
            </w:r>
          </w:p>
        </w:tc>
        <w:tc>
          <w:tcPr>
            <w:tcW w:w="158"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58"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005" w:type="dxa"/>
            <w:gridSpan w:val="3"/>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2022</w:t>
            </w:r>
          </w:p>
        </w:tc>
        <w:tc>
          <w:tcPr>
            <w:tcW w:w="1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397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Stock options outstanding, beginning of period</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93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3,604,739</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93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3,736,157</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58" w:type="dxa"/>
            <w:tcBorders/>
            <w:shd w:fill="auto" w:val="clear"/>
            <w:vAlign w:val="center"/>
          </w:tcPr>
          <w:p>
            <w:pPr>
              <w:pStyle w:val="TableContents"/>
              <w:spacing w:before="0" w:after="0"/>
              <w:ind w:left="0" w:right="0" w:hanging="0"/>
              <w:jc w:val="left"/>
              <w:rPr/>
            </w:pPr>
            <w:r>
              <w:rPr/>
              <w:t> </w:t>
            </w:r>
          </w:p>
        </w:tc>
        <w:tc>
          <w:tcPr>
            <w:tcW w:w="619"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26.36</w:t>
            </w:r>
          </w:p>
        </w:tc>
        <w:tc>
          <w:tcPr>
            <w:tcW w:w="158" w:type="dxa"/>
            <w:tcBorders/>
            <w:shd w:fill="auto" w:val="clear"/>
            <w:vAlign w:val="center"/>
          </w:tcPr>
          <w:p>
            <w:pPr>
              <w:pStyle w:val="TableContents"/>
              <w:spacing w:before="0" w:after="0"/>
              <w:ind w:left="0" w:right="0" w:hanging="0"/>
              <w:jc w:val="left"/>
              <w:rPr/>
            </w:pPr>
            <w:r>
              <w:rPr/>
              <w:t> </w:t>
            </w:r>
          </w:p>
        </w:tc>
        <w:tc>
          <w:tcPr>
            <w:tcW w:w="158" w:type="dxa"/>
            <w:tcBorders/>
            <w:shd w:fill="auto" w:val="clear"/>
            <w:vAlign w:val="center"/>
          </w:tcPr>
          <w:p>
            <w:pPr>
              <w:pStyle w:val="TableContents"/>
              <w:spacing w:before="0" w:after="0"/>
              <w:ind w:left="0" w:right="0" w:hanging="0"/>
              <w:jc w:val="left"/>
              <w:rPr/>
            </w:pPr>
            <w:r>
              <w:rPr/>
              <w:t> </w:t>
            </w:r>
          </w:p>
        </w:tc>
        <w:tc>
          <w:tcPr>
            <w:tcW w:w="228"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58" w:type="dxa"/>
            <w:tcBorders/>
            <w:shd w:fill="auto" w:val="clear"/>
            <w:vAlign w:val="center"/>
          </w:tcPr>
          <w:p>
            <w:pPr>
              <w:pStyle w:val="TableContents"/>
              <w:spacing w:before="0" w:after="0"/>
              <w:ind w:left="0" w:right="0" w:hanging="0"/>
              <w:jc w:val="left"/>
              <w:rPr/>
            </w:pPr>
            <w:r>
              <w:rPr/>
              <w:t> </w:t>
            </w:r>
          </w:p>
        </w:tc>
        <w:tc>
          <w:tcPr>
            <w:tcW w:w="619"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26.61</w:t>
            </w:r>
          </w:p>
        </w:tc>
        <w:tc>
          <w:tcPr>
            <w:tcW w:w="191" w:type="dxa"/>
            <w:tcBorders/>
            <w:shd w:fill="auto" w:val="clear"/>
            <w:vAlign w:val="center"/>
          </w:tcPr>
          <w:p>
            <w:pPr>
              <w:pStyle w:val="TableContents"/>
              <w:spacing w:before="0" w:after="0"/>
              <w:ind w:left="0" w:right="0" w:hanging="0"/>
              <w:jc w:val="left"/>
              <w:rPr/>
            </w:pPr>
            <w:r>
              <w:rPr/>
              <w:t> </w:t>
            </w:r>
          </w:p>
        </w:tc>
      </w:tr>
      <w:tr>
        <w:trPr/>
        <w:tc>
          <w:tcPr>
            <w:tcW w:w="397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Granted</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931" w:type="dxa"/>
            <w:tcBorders/>
            <w:shd w:fill="auto" w:val="clear"/>
            <w:vAlign w:val="center"/>
          </w:tcPr>
          <w:p>
            <w:pPr>
              <w:pStyle w:val="TableContents"/>
              <w:spacing w:before="0" w:after="0"/>
              <w:ind w:left="0" w:right="0" w:hanging="0"/>
              <w:jc w:val="right"/>
              <w:rPr/>
            </w:pPr>
            <w:r>
              <w:rPr/>
              <w:t>—</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931" w:type="dxa"/>
            <w:tcBorders/>
            <w:shd w:fill="auto" w:val="clear"/>
            <w:vAlign w:val="center"/>
          </w:tcPr>
          <w:p>
            <w:pPr>
              <w:pStyle w:val="TableContents"/>
              <w:spacing w:before="0" w:after="0"/>
              <w:ind w:left="0" w:right="0" w:hanging="0"/>
              <w:jc w:val="right"/>
              <w:rPr/>
            </w:pPr>
            <w:r>
              <w:rPr/>
              <w:t>—</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158" w:type="dxa"/>
            <w:tcBorders/>
            <w:shd w:fill="auto" w:val="clear"/>
            <w:vAlign w:val="center"/>
          </w:tcPr>
          <w:p>
            <w:pPr>
              <w:pStyle w:val="TableContents"/>
              <w:spacing w:before="0" w:after="0"/>
              <w:ind w:left="0" w:right="0" w:hanging="0"/>
              <w:jc w:val="left"/>
              <w:rPr/>
            </w:pPr>
            <w:r>
              <w:rPr/>
              <w:t> </w:t>
            </w:r>
          </w:p>
        </w:tc>
        <w:tc>
          <w:tcPr>
            <w:tcW w:w="619" w:type="dxa"/>
            <w:tcBorders/>
            <w:shd w:fill="auto" w:val="clear"/>
            <w:vAlign w:val="center"/>
          </w:tcPr>
          <w:p>
            <w:pPr>
              <w:pStyle w:val="TableContents"/>
              <w:spacing w:before="0" w:after="0"/>
              <w:ind w:left="0" w:right="0" w:hanging="0"/>
              <w:jc w:val="right"/>
              <w:rPr/>
            </w:pPr>
            <w:r>
              <w:rPr/>
              <w:t>—</w:t>
            </w:r>
          </w:p>
        </w:tc>
        <w:tc>
          <w:tcPr>
            <w:tcW w:w="158" w:type="dxa"/>
            <w:tcBorders/>
            <w:shd w:fill="auto" w:val="clear"/>
            <w:vAlign w:val="center"/>
          </w:tcPr>
          <w:p>
            <w:pPr>
              <w:pStyle w:val="TableContents"/>
              <w:spacing w:before="0" w:after="0"/>
              <w:ind w:left="0" w:right="0" w:hanging="0"/>
              <w:jc w:val="left"/>
              <w:rPr/>
            </w:pPr>
            <w:r>
              <w:rPr/>
              <w:t> </w:t>
            </w:r>
          </w:p>
        </w:tc>
        <w:tc>
          <w:tcPr>
            <w:tcW w:w="158" w:type="dxa"/>
            <w:tcBorders/>
            <w:shd w:fill="auto" w:val="clear"/>
            <w:vAlign w:val="center"/>
          </w:tcPr>
          <w:p>
            <w:pPr>
              <w:pStyle w:val="TableContents"/>
              <w:spacing w:before="0" w:after="0"/>
              <w:ind w:left="0" w:right="0" w:hanging="0"/>
              <w:jc w:val="left"/>
              <w:rPr/>
            </w:pPr>
            <w:r>
              <w:rPr/>
              <w:t> </w:t>
            </w:r>
          </w:p>
        </w:tc>
        <w:tc>
          <w:tcPr>
            <w:tcW w:w="228" w:type="dxa"/>
            <w:tcBorders/>
            <w:shd w:fill="auto" w:val="clear"/>
            <w:vAlign w:val="center"/>
          </w:tcPr>
          <w:p>
            <w:pPr>
              <w:pStyle w:val="TableContents"/>
              <w:spacing w:before="0" w:after="0"/>
              <w:ind w:left="0" w:right="0" w:hanging="0"/>
              <w:jc w:val="left"/>
              <w:rPr/>
            </w:pPr>
            <w:r>
              <w:rPr/>
              <w:t> </w:t>
            </w:r>
          </w:p>
        </w:tc>
        <w:tc>
          <w:tcPr>
            <w:tcW w:w="158" w:type="dxa"/>
            <w:tcBorders/>
            <w:shd w:fill="auto" w:val="clear"/>
            <w:vAlign w:val="center"/>
          </w:tcPr>
          <w:p>
            <w:pPr>
              <w:pStyle w:val="TableContents"/>
              <w:spacing w:before="0" w:after="0"/>
              <w:ind w:left="0" w:right="0" w:hanging="0"/>
              <w:jc w:val="left"/>
              <w:rPr/>
            </w:pPr>
            <w:r>
              <w:rPr/>
              <w:t> </w:t>
            </w:r>
          </w:p>
        </w:tc>
        <w:tc>
          <w:tcPr>
            <w:tcW w:w="619" w:type="dxa"/>
            <w:tcBorders/>
            <w:shd w:fill="auto" w:val="clear"/>
            <w:vAlign w:val="center"/>
          </w:tcPr>
          <w:p>
            <w:pPr>
              <w:pStyle w:val="TableContents"/>
              <w:spacing w:before="0" w:after="0"/>
              <w:ind w:left="0" w:right="0" w:hanging="0"/>
              <w:jc w:val="right"/>
              <w:rPr/>
            </w:pPr>
            <w:r>
              <w:rPr/>
              <w:t>—</w:t>
            </w:r>
          </w:p>
        </w:tc>
        <w:tc>
          <w:tcPr>
            <w:tcW w:w="191" w:type="dxa"/>
            <w:tcBorders/>
            <w:shd w:fill="auto" w:val="clear"/>
            <w:vAlign w:val="center"/>
          </w:tcPr>
          <w:p>
            <w:pPr>
              <w:pStyle w:val="TableContents"/>
              <w:spacing w:before="0" w:after="0"/>
              <w:ind w:left="0" w:right="0" w:hanging="0"/>
              <w:jc w:val="left"/>
              <w:rPr/>
            </w:pPr>
            <w:r>
              <w:rPr/>
              <w:t> </w:t>
            </w:r>
          </w:p>
        </w:tc>
      </w:tr>
      <w:tr>
        <w:trPr/>
        <w:tc>
          <w:tcPr>
            <w:tcW w:w="397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Exercised</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931" w:type="dxa"/>
            <w:tcBorders/>
            <w:shd w:fill="auto" w:val="clear"/>
            <w:vAlign w:val="center"/>
          </w:tcPr>
          <w:p>
            <w:pPr>
              <w:pStyle w:val="TableContents"/>
              <w:spacing w:before="0" w:after="0"/>
              <w:ind w:left="0" w:right="0" w:hanging="0"/>
              <w:jc w:val="right"/>
              <w:rPr/>
            </w:pPr>
            <w:r>
              <w:rPr/>
              <w:t>—</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931" w:type="dxa"/>
            <w:tcBorders/>
            <w:shd w:fill="auto" w:val="clear"/>
            <w:vAlign w:val="center"/>
          </w:tcPr>
          <w:p>
            <w:pPr>
              <w:pStyle w:val="TableContents"/>
              <w:spacing w:before="0" w:after="0"/>
              <w:ind w:left="0" w:right="0" w:hanging="0"/>
              <w:jc w:val="right"/>
              <w:rPr/>
            </w:pPr>
            <w:r>
              <w:rPr/>
              <w:t>—</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158" w:type="dxa"/>
            <w:tcBorders/>
            <w:shd w:fill="auto" w:val="clear"/>
            <w:vAlign w:val="center"/>
          </w:tcPr>
          <w:p>
            <w:pPr>
              <w:pStyle w:val="TableContents"/>
              <w:spacing w:before="0" w:after="0"/>
              <w:ind w:left="0" w:right="0" w:hanging="0"/>
              <w:jc w:val="left"/>
              <w:rPr/>
            </w:pPr>
            <w:r>
              <w:rPr/>
              <w:t> </w:t>
            </w:r>
          </w:p>
        </w:tc>
        <w:tc>
          <w:tcPr>
            <w:tcW w:w="619" w:type="dxa"/>
            <w:tcBorders/>
            <w:shd w:fill="auto" w:val="clear"/>
            <w:vAlign w:val="center"/>
          </w:tcPr>
          <w:p>
            <w:pPr>
              <w:pStyle w:val="TableContents"/>
              <w:spacing w:before="0" w:after="0"/>
              <w:ind w:left="0" w:right="0" w:hanging="0"/>
              <w:jc w:val="right"/>
              <w:rPr/>
            </w:pPr>
            <w:r>
              <w:rPr/>
              <w:t>—</w:t>
            </w:r>
          </w:p>
        </w:tc>
        <w:tc>
          <w:tcPr>
            <w:tcW w:w="158" w:type="dxa"/>
            <w:tcBorders/>
            <w:shd w:fill="auto" w:val="clear"/>
            <w:vAlign w:val="center"/>
          </w:tcPr>
          <w:p>
            <w:pPr>
              <w:pStyle w:val="TableContents"/>
              <w:spacing w:before="0" w:after="0"/>
              <w:ind w:left="0" w:right="0" w:hanging="0"/>
              <w:jc w:val="left"/>
              <w:rPr/>
            </w:pPr>
            <w:r>
              <w:rPr/>
              <w:t> </w:t>
            </w:r>
          </w:p>
        </w:tc>
        <w:tc>
          <w:tcPr>
            <w:tcW w:w="158" w:type="dxa"/>
            <w:tcBorders/>
            <w:shd w:fill="auto" w:val="clear"/>
            <w:vAlign w:val="center"/>
          </w:tcPr>
          <w:p>
            <w:pPr>
              <w:pStyle w:val="TableContents"/>
              <w:spacing w:before="0" w:after="0"/>
              <w:ind w:left="0" w:right="0" w:hanging="0"/>
              <w:jc w:val="left"/>
              <w:rPr/>
            </w:pPr>
            <w:r>
              <w:rPr/>
              <w:t> </w:t>
            </w:r>
          </w:p>
        </w:tc>
        <w:tc>
          <w:tcPr>
            <w:tcW w:w="228" w:type="dxa"/>
            <w:tcBorders/>
            <w:shd w:fill="auto" w:val="clear"/>
            <w:vAlign w:val="center"/>
          </w:tcPr>
          <w:p>
            <w:pPr>
              <w:pStyle w:val="TableContents"/>
              <w:spacing w:before="0" w:after="0"/>
              <w:ind w:left="0" w:right="0" w:hanging="0"/>
              <w:jc w:val="left"/>
              <w:rPr/>
            </w:pPr>
            <w:r>
              <w:rPr/>
              <w:t> </w:t>
            </w:r>
          </w:p>
        </w:tc>
        <w:tc>
          <w:tcPr>
            <w:tcW w:w="158" w:type="dxa"/>
            <w:tcBorders/>
            <w:shd w:fill="auto" w:val="clear"/>
            <w:vAlign w:val="center"/>
          </w:tcPr>
          <w:p>
            <w:pPr>
              <w:pStyle w:val="TableContents"/>
              <w:spacing w:before="0" w:after="0"/>
              <w:ind w:left="0" w:right="0" w:hanging="0"/>
              <w:jc w:val="left"/>
              <w:rPr/>
            </w:pPr>
            <w:r>
              <w:rPr/>
              <w:t> </w:t>
            </w:r>
          </w:p>
        </w:tc>
        <w:tc>
          <w:tcPr>
            <w:tcW w:w="619" w:type="dxa"/>
            <w:tcBorders/>
            <w:shd w:fill="auto" w:val="clear"/>
            <w:vAlign w:val="center"/>
          </w:tcPr>
          <w:p>
            <w:pPr>
              <w:pStyle w:val="TableContents"/>
              <w:spacing w:before="0" w:after="0"/>
              <w:ind w:left="0" w:right="0" w:hanging="0"/>
              <w:jc w:val="right"/>
              <w:rPr/>
            </w:pPr>
            <w:r>
              <w:rPr/>
              <w:t>—</w:t>
            </w:r>
          </w:p>
        </w:tc>
        <w:tc>
          <w:tcPr>
            <w:tcW w:w="191" w:type="dxa"/>
            <w:tcBorders/>
            <w:shd w:fill="auto" w:val="clear"/>
            <w:vAlign w:val="center"/>
          </w:tcPr>
          <w:p>
            <w:pPr>
              <w:pStyle w:val="TableContents"/>
              <w:spacing w:before="0" w:after="0"/>
              <w:ind w:left="0" w:right="0" w:hanging="0"/>
              <w:jc w:val="left"/>
              <w:rPr/>
            </w:pPr>
            <w:r>
              <w:rPr/>
              <w:t> </w:t>
            </w:r>
          </w:p>
        </w:tc>
      </w:tr>
      <w:tr>
        <w:trPr/>
        <w:tc>
          <w:tcPr>
            <w:tcW w:w="397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Forfeited</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931" w:type="dxa"/>
            <w:tcBorders/>
            <w:shd w:fill="auto" w:val="clear"/>
            <w:vAlign w:val="center"/>
          </w:tcPr>
          <w:p>
            <w:pPr>
              <w:pStyle w:val="TableContents"/>
              <w:spacing w:before="0" w:after="0"/>
              <w:ind w:left="0" w:right="0" w:hanging="0"/>
              <w:jc w:val="right"/>
              <w:rPr/>
            </w:pPr>
            <w:r>
              <w:rPr/>
              <w:t>—</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931" w:type="dxa"/>
            <w:tcBorders/>
            <w:shd w:fill="auto" w:val="clear"/>
            <w:vAlign w:val="center"/>
          </w:tcPr>
          <w:p>
            <w:pPr>
              <w:pStyle w:val="TableContents"/>
              <w:spacing w:before="0" w:after="0"/>
              <w:ind w:left="0" w:right="0" w:hanging="0"/>
              <w:jc w:val="right"/>
              <w:rPr/>
            </w:pPr>
            <w:r>
              <w:rPr/>
              <w:t>—</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158" w:type="dxa"/>
            <w:tcBorders/>
            <w:shd w:fill="auto" w:val="clear"/>
            <w:vAlign w:val="center"/>
          </w:tcPr>
          <w:p>
            <w:pPr>
              <w:pStyle w:val="TableContents"/>
              <w:spacing w:before="0" w:after="0"/>
              <w:ind w:left="0" w:right="0" w:hanging="0"/>
              <w:jc w:val="left"/>
              <w:rPr/>
            </w:pPr>
            <w:r>
              <w:rPr/>
              <w:t> </w:t>
            </w:r>
          </w:p>
        </w:tc>
        <w:tc>
          <w:tcPr>
            <w:tcW w:w="619" w:type="dxa"/>
            <w:tcBorders/>
            <w:shd w:fill="auto" w:val="clear"/>
            <w:vAlign w:val="center"/>
          </w:tcPr>
          <w:p>
            <w:pPr>
              <w:pStyle w:val="TableContents"/>
              <w:spacing w:before="0" w:after="0"/>
              <w:ind w:left="0" w:right="0" w:hanging="0"/>
              <w:jc w:val="right"/>
              <w:rPr/>
            </w:pPr>
            <w:r>
              <w:rPr/>
              <w:t>—</w:t>
            </w:r>
          </w:p>
        </w:tc>
        <w:tc>
          <w:tcPr>
            <w:tcW w:w="158" w:type="dxa"/>
            <w:tcBorders/>
            <w:shd w:fill="auto" w:val="clear"/>
            <w:vAlign w:val="center"/>
          </w:tcPr>
          <w:p>
            <w:pPr>
              <w:pStyle w:val="TableContents"/>
              <w:spacing w:before="0" w:after="0"/>
              <w:ind w:left="0" w:right="0" w:hanging="0"/>
              <w:jc w:val="left"/>
              <w:rPr/>
            </w:pPr>
            <w:r>
              <w:rPr/>
              <w:t> </w:t>
            </w:r>
          </w:p>
        </w:tc>
        <w:tc>
          <w:tcPr>
            <w:tcW w:w="158" w:type="dxa"/>
            <w:tcBorders/>
            <w:shd w:fill="auto" w:val="clear"/>
            <w:vAlign w:val="center"/>
          </w:tcPr>
          <w:p>
            <w:pPr>
              <w:pStyle w:val="TableContents"/>
              <w:spacing w:before="0" w:after="0"/>
              <w:ind w:left="0" w:right="0" w:hanging="0"/>
              <w:jc w:val="left"/>
              <w:rPr/>
            </w:pPr>
            <w:r>
              <w:rPr/>
              <w:t> </w:t>
            </w:r>
          </w:p>
        </w:tc>
        <w:tc>
          <w:tcPr>
            <w:tcW w:w="228" w:type="dxa"/>
            <w:tcBorders/>
            <w:shd w:fill="auto" w:val="clear"/>
            <w:vAlign w:val="center"/>
          </w:tcPr>
          <w:p>
            <w:pPr>
              <w:pStyle w:val="TableContents"/>
              <w:spacing w:before="0" w:after="0"/>
              <w:ind w:left="0" w:right="0" w:hanging="0"/>
              <w:jc w:val="left"/>
              <w:rPr/>
            </w:pPr>
            <w:r>
              <w:rPr/>
              <w:t> </w:t>
            </w:r>
          </w:p>
        </w:tc>
        <w:tc>
          <w:tcPr>
            <w:tcW w:w="158" w:type="dxa"/>
            <w:tcBorders/>
            <w:shd w:fill="auto" w:val="clear"/>
            <w:vAlign w:val="center"/>
          </w:tcPr>
          <w:p>
            <w:pPr>
              <w:pStyle w:val="TableContents"/>
              <w:spacing w:before="0" w:after="0"/>
              <w:ind w:left="0" w:right="0" w:hanging="0"/>
              <w:jc w:val="left"/>
              <w:rPr/>
            </w:pPr>
            <w:r>
              <w:rPr/>
              <w:t> </w:t>
            </w:r>
          </w:p>
        </w:tc>
        <w:tc>
          <w:tcPr>
            <w:tcW w:w="619" w:type="dxa"/>
            <w:tcBorders/>
            <w:shd w:fill="auto" w:val="clear"/>
            <w:vAlign w:val="center"/>
          </w:tcPr>
          <w:p>
            <w:pPr>
              <w:pStyle w:val="TableContents"/>
              <w:spacing w:before="0" w:after="0"/>
              <w:ind w:left="0" w:right="0" w:hanging="0"/>
              <w:jc w:val="right"/>
              <w:rPr/>
            </w:pPr>
            <w:r>
              <w:rPr/>
              <w:t>—</w:t>
            </w:r>
          </w:p>
        </w:tc>
        <w:tc>
          <w:tcPr>
            <w:tcW w:w="191" w:type="dxa"/>
            <w:tcBorders/>
            <w:shd w:fill="auto" w:val="clear"/>
            <w:vAlign w:val="center"/>
          </w:tcPr>
          <w:p>
            <w:pPr>
              <w:pStyle w:val="TableContents"/>
              <w:spacing w:before="0" w:after="0"/>
              <w:ind w:left="0" w:right="0" w:hanging="0"/>
              <w:jc w:val="left"/>
              <w:rPr/>
            </w:pPr>
            <w:r>
              <w:rPr/>
              <w:t> </w:t>
            </w:r>
          </w:p>
        </w:tc>
      </w:tr>
      <w:tr>
        <w:trPr/>
        <w:tc>
          <w:tcPr>
            <w:tcW w:w="397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Expired</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93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(144,366</w:t>
            </w:r>
          </w:p>
        </w:tc>
        <w:tc>
          <w:tcPr>
            <w:tcW w:w="16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93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(126,569</w:t>
            </w:r>
          </w:p>
        </w:tc>
        <w:tc>
          <w:tcPr>
            <w:tcW w:w="16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158" w:type="dxa"/>
            <w:tcBorders/>
            <w:shd w:fill="auto" w:val="clear"/>
            <w:vAlign w:val="center"/>
          </w:tcPr>
          <w:p>
            <w:pPr>
              <w:pStyle w:val="TableContents"/>
              <w:spacing w:before="0" w:after="0"/>
              <w:ind w:left="0" w:right="0" w:hanging="0"/>
              <w:jc w:val="left"/>
              <w:rPr/>
            </w:pPr>
            <w:r>
              <w:rPr/>
              <w:t> </w:t>
            </w:r>
          </w:p>
        </w:tc>
        <w:tc>
          <w:tcPr>
            <w:tcW w:w="619"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31.85</w:t>
            </w:r>
          </w:p>
        </w:tc>
        <w:tc>
          <w:tcPr>
            <w:tcW w:w="158" w:type="dxa"/>
            <w:tcBorders/>
            <w:shd w:fill="auto" w:val="clear"/>
            <w:vAlign w:val="center"/>
          </w:tcPr>
          <w:p>
            <w:pPr>
              <w:pStyle w:val="TableContents"/>
              <w:spacing w:before="0" w:after="0"/>
              <w:ind w:left="0" w:right="0" w:hanging="0"/>
              <w:jc w:val="left"/>
              <w:rPr/>
            </w:pPr>
            <w:r>
              <w:rPr/>
              <w:t> </w:t>
            </w:r>
          </w:p>
        </w:tc>
        <w:tc>
          <w:tcPr>
            <w:tcW w:w="158" w:type="dxa"/>
            <w:tcBorders/>
            <w:shd w:fill="auto" w:val="clear"/>
            <w:vAlign w:val="center"/>
          </w:tcPr>
          <w:p>
            <w:pPr>
              <w:pStyle w:val="TableContents"/>
              <w:spacing w:before="0" w:after="0"/>
              <w:ind w:left="0" w:right="0" w:hanging="0"/>
              <w:jc w:val="left"/>
              <w:rPr/>
            </w:pPr>
            <w:r>
              <w:rPr/>
              <w:t> </w:t>
            </w:r>
          </w:p>
        </w:tc>
        <w:tc>
          <w:tcPr>
            <w:tcW w:w="228" w:type="dxa"/>
            <w:tcBorders/>
            <w:shd w:fill="auto" w:val="clear"/>
            <w:vAlign w:val="center"/>
          </w:tcPr>
          <w:p>
            <w:pPr>
              <w:pStyle w:val="TableContents"/>
              <w:spacing w:before="0" w:after="0"/>
              <w:ind w:left="0" w:right="0" w:hanging="0"/>
              <w:jc w:val="left"/>
              <w:rPr/>
            </w:pPr>
            <w:r>
              <w:rPr/>
              <w:t> </w:t>
            </w:r>
          </w:p>
        </w:tc>
        <w:tc>
          <w:tcPr>
            <w:tcW w:w="158" w:type="dxa"/>
            <w:tcBorders/>
            <w:shd w:fill="auto" w:val="clear"/>
            <w:vAlign w:val="center"/>
          </w:tcPr>
          <w:p>
            <w:pPr>
              <w:pStyle w:val="TableContents"/>
              <w:spacing w:before="0" w:after="0"/>
              <w:ind w:left="0" w:right="0" w:hanging="0"/>
              <w:jc w:val="left"/>
              <w:rPr/>
            </w:pPr>
            <w:r>
              <w:rPr/>
              <w:t> </w:t>
            </w:r>
          </w:p>
        </w:tc>
        <w:tc>
          <w:tcPr>
            <w:tcW w:w="619"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33.61</w:t>
            </w:r>
          </w:p>
        </w:tc>
        <w:tc>
          <w:tcPr>
            <w:tcW w:w="191" w:type="dxa"/>
            <w:tcBorders/>
            <w:shd w:fill="auto" w:val="clear"/>
            <w:vAlign w:val="center"/>
          </w:tcPr>
          <w:p>
            <w:pPr>
              <w:pStyle w:val="TableContents"/>
              <w:spacing w:before="0" w:after="0"/>
              <w:ind w:left="0" w:right="0" w:hanging="0"/>
              <w:jc w:val="left"/>
              <w:rPr/>
            </w:pPr>
            <w:r>
              <w:rPr/>
              <w:t> </w:t>
            </w:r>
          </w:p>
        </w:tc>
      </w:tr>
      <w:tr>
        <w:trPr/>
        <w:tc>
          <w:tcPr>
            <w:tcW w:w="397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Cancelled</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93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pPr>
            <w:r>
              <w:rPr/>
              <w:t>—</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93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(2,197</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158" w:type="dxa"/>
            <w:tcBorders/>
            <w:shd w:fill="auto" w:val="clear"/>
            <w:vAlign w:val="center"/>
          </w:tcPr>
          <w:p>
            <w:pPr>
              <w:pStyle w:val="TableContents"/>
              <w:spacing w:before="0" w:after="0"/>
              <w:ind w:left="0" w:right="0" w:hanging="0"/>
              <w:jc w:val="left"/>
              <w:rPr/>
            </w:pPr>
            <w:r>
              <w:rPr/>
              <w:t> </w:t>
            </w:r>
          </w:p>
        </w:tc>
        <w:tc>
          <w:tcPr>
            <w:tcW w:w="619" w:type="dxa"/>
            <w:tcBorders/>
            <w:shd w:fill="auto" w:val="clear"/>
            <w:vAlign w:val="center"/>
          </w:tcPr>
          <w:p>
            <w:pPr>
              <w:pStyle w:val="TableContents"/>
              <w:spacing w:before="0" w:after="0"/>
              <w:ind w:left="0" w:right="0" w:hanging="0"/>
              <w:jc w:val="right"/>
              <w:rPr/>
            </w:pPr>
            <w:r>
              <w:rPr/>
              <w:t>—</w:t>
            </w:r>
          </w:p>
        </w:tc>
        <w:tc>
          <w:tcPr>
            <w:tcW w:w="158" w:type="dxa"/>
            <w:tcBorders/>
            <w:shd w:fill="auto" w:val="clear"/>
            <w:vAlign w:val="center"/>
          </w:tcPr>
          <w:p>
            <w:pPr>
              <w:pStyle w:val="TableContents"/>
              <w:spacing w:before="0" w:after="0"/>
              <w:ind w:left="0" w:right="0" w:hanging="0"/>
              <w:jc w:val="left"/>
              <w:rPr/>
            </w:pPr>
            <w:r>
              <w:rPr/>
              <w:t> </w:t>
            </w:r>
          </w:p>
        </w:tc>
        <w:tc>
          <w:tcPr>
            <w:tcW w:w="158" w:type="dxa"/>
            <w:tcBorders/>
            <w:shd w:fill="auto" w:val="clear"/>
            <w:vAlign w:val="center"/>
          </w:tcPr>
          <w:p>
            <w:pPr>
              <w:pStyle w:val="TableContents"/>
              <w:spacing w:before="0" w:after="0"/>
              <w:ind w:left="0" w:right="0" w:hanging="0"/>
              <w:jc w:val="left"/>
              <w:rPr/>
            </w:pPr>
            <w:r>
              <w:rPr/>
              <w:t> </w:t>
            </w:r>
          </w:p>
        </w:tc>
        <w:tc>
          <w:tcPr>
            <w:tcW w:w="228" w:type="dxa"/>
            <w:tcBorders/>
            <w:shd w:fill="auto" w:val="clear"/>
            <w:vAlign w:val="center"/>
          </w:tcPr>
          <w:p>
            <w:pPr>
              <w:pStyle w:val="TableContents"/>
              <w:spacing w:before="0" w:after="0"/>
              <w:ind w:left="0" w:right="0" w:hanging="0"/>
              <w:jc w:val="left"/>
              <w:rPr/>
            </w:pPr>
            <w:r>
              <w:rPr/>
              <w:t> </w:t>
            </w:r>
          </w:p>
        </w:tc>
        <w:tc>
          <w:tcPr>
            <w:tcW w:w="158" w:type="dxa"/>
            <w:tcBorders/>
            <w:shd w:fill="auto" w:val="clear"/>
            <w:vAlign w:val="center"/>
          </w:tcPr>
          <w:p>
            <w:pPr>
              <w:pStyle w:val="TableContents"/>
              <w:spacing w:before="0" w:after="0"/>
              <w:ind w:left="0" w:right="0" w:hanging="0"/>
              <w:jc w:val="left"/>
              <w:rPr/>
            </w:pPr>
            <w:r>
              <w:rPr/>
              <w:t> </w:t>
            </w:r>
          </w:p>
        </w:tc>
        <w:tc>
          <w:tcPr>
            <w:tcW w:w="619"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32.50</w:t>
            </w:r>
          </w:p>
        </w:tc>
        <w:tc>
          <w:tcPr>
            <w:tcW w:w="191" w:type="dxa"/>
            <w:tcBorders/>
            <w:shd w:fill="auto" w:val="clear"/>
            <w:vAlign w:val="center"/>
          </w:tcPr>
          <w:p>
            <w:pPr>
              <w:pStyle w:val="TableContents"/>
              <w:spacing w:before="0" w:after="0"/>
              <w:ind w:left="0" w:right="0" w:hanging="0"/>
              <w:jc w:val="left"/>
              <w:rPr/>
            </w:pPr>
            <w:r>
              <w:rPr/>
              <w:t> </w:t>
            </w:r>
          </w:p>
        </w:tc>
      </w:tr>
      <w:tr>
        <w:trPr/>
        <w:tc>
          <w:tcPr>
            <w:tcW w:w="397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Stock options outstanding, end of period</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93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3,460,373</w:t>
            </w:r>
          </w:p>
        </w:tc>
        <w:tc>
          <w:tcPr>
            <w:tcW w:w="16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pPr>
            <w:r>
              <w:rPr/>
              <w:t> </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93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3,607,391</w:t>
            </w:r>
          </w:p>
        </w:tc>
        <w:tc>
          <w:tcPr>
            <w:tcW w:w="16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158" w:type="dxa"/>
            <w:tcBorders/>
            <w:shd w:fill="auto" w:val="clear"/>
            <w:vAlign w:val="center"/>
          </w:tcPr>
          <w:p>
            <w:pPr>
              <w:pStyle w:val="TableContents"/>
              <w:spacing w:before="0" w:after="0"/>
              <w:ind w:left="0" w:right="0" w:hanging="0"/>
              <w:jc w:val="left"/>
              <w:rPr/>
            </w:pPr>
            <w:r>
              <w:rPr/>
              <w:t> </w:t>
            </w:r>
          </w:p>
        </w:tc>
        <w:tc>
          <w:tcPr>
            <w:tcW w:w="619"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26.13</w:t>
            </w:r>
          </w:p>
        </w:tc>
        <w:tc>
          <w:tcPr>
            <w:tcW w:w="158" w:type="dxa"/>
            <w:tcBorders/>
            <w:shd w:fill="auto" w:val="clear"/>
            <w:vAlign w:val="center"/>
          </w:tcPr>
          <w:p>
            <w:pPr>
              <w:pStyle w:val="TableContents"/>
              <w:spacing w:before="0" w:after="0"/>
              <w:ind w:left="0" w:right="0" w:hanging="0"/>
              <w:jc w:val="left"/>
              <w:rPr/>
            </w:pPr>
            <w:r>
              <w:rPr/>
              <w:t> </w:t>
            </w:r>
          </w:p>
        </w:tc>
        <w:tc>
          <w:tcPr>
            <w:tcW w:w="158" w:type="dxa"/>
            <w:tcBorders/>
            <w:shd w:fill="auto" w:val="clear"/>
            <w:vAlign w:val="center"/>
          </w:tcPr>
          <w:p>
            <w:pPr>
              <w:pStyle w:val="TableContents"/>
              <w:spacing w:before="0" w:after="0"/>
              <w:ind w:left="0" w:right="0" w:hanging="0"/>
              <w:jc w:val="left"/>
              <w:rPr/>
            </w:pPr>
            <w:r>
              <w:rPr/>
              <w:t> </w:t>
            </w:r>
          </w:p>
        </w:tc>
        <w:tc>
          <w:tcPr>
            <w:tcW w:w="228" w:type="dxa"/>
            <w:tcBorders/>
            <w:shd w:fill="auto" w:val="clear"/>
            <w:vAlign w:val="center"/>
          </w:tcPr>
          <w:p>
            <w:pPr>
              <w:pStyle w:val="TableContents"/>
              <w:spacing w:before="0" w:after="0"/>
              <w:ind w:left="0" w:right="0" w:hanging="0"/>
              <w:jc w:val="left"/>
              <w:rPr/>
            </w:pPr>
            <w:r>
              <w:rPr/>
              <w:t> </w:t>
            </w:r>
          </w:p>
        </w:tc>
        <w:tc>
          <w:tcPr>
            <w:tcW w:w="158" w:type="dxa"/>
            <w:tcBorders/>
            <w:shd w:fill="auto" w:val="clear"/>
            <w:vAlign w:val="center"/>
          </w:tcPr>
          <w:p>
            <w:pPr>
              <w:pStyle w:val="TableContents"/>
              <w:spacing w:before="0" w:after="0"/>
              <w:ind w:left="0" w:right="0" w:hanging="0"/>
              <w:jc w:val="left"/>
              <w:rPr/>
            </w:pPr>
            <w:r>
              <w:rPr/>
              <w:t> </w:t>
            </w:r>
          </w:p>
        </w:tc>
        <w:tc>
          <w:tcPr>
            <w:tcW w:w="619"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26.36</w:t>
            </w:r>
          </w:p>
        </w:tc>
        <w:tc>
          <w:tcPr>
            <w:tcW w:w="191" w:type="dxa"/>
            <w:tcBorders/>
            <w:shd w:fill="auto" w:val="clear"/>
            <w:vAlign w:val="center"/>
          </w:tcPr>
          <w:p>
            <w:pPr>
              <w:pStyle w:val="TableContents"/>
              <w:spacing w:before="0" w:after="0"/>
              <w:ind w:left="0" w:right="0" w:hanging="0"/>
              <w:jc w:val="left"/>
              <w:rPr/>
            </w:pPr>
            <w:r>
              <w:rPr/>
              <w:t> </w:t>
            </w:r>
          </w:p>
        </w:tc>
      </w:tr>
      <w:tr>
        <w:trPr/>
        <w:tc>
          <w:tcPr>
            <w:tcW w:w="397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Stock options exercisable, end of period</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93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3,460,373</w:t>
            </w:r>
          </w:p>
        </w:tc>
        <w:tc>
          <w:tcPr>
            <w:tcW w:w="16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pPr>
            <w:r>
              <w:rPr/>
              <w:t> </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93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3,524,298</w:t>
            </w:r>
          </w:p>
        </w:tc>
        <w:tc>
          <w:tcPr>
            <w:tcW w:w="16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158" w:type="dxa"/>
            <w:tcBorders/>
            <w:shd w:fill="auto" w:val="clear"/>
            <w:vAlign w:val="center"/>
          </w:tcPr>
          <w:p>
            <w:pPr>
              <w:pStyle w:val="TableContents"/>
              <w:spacing w:before="0" w:after="0"/>
              <w:ind w:left="0" w:right="0" w:hanging="0"/>
              <w:jc w:val="left"/>
              <w:rPr/>
            </w:pPr>
            <w:r>
              <w:rPr/>
              <w:t> </w:t>
            </w:r>
          </w:p>
        </w:tc>
        <w:tc>
          <w:tcPr>
            <w:tcW w:w="619"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26.13</w:t>
            </w:r>
          </w:p>
        </w:tc>
        <w:tc>
          <w:tcPr>
            <w:tcW w:w="158" w:type="dxa"/>
            <w:tcBorders/>
            <w:shd w:fill="auto" w:val="clear"/>
            <w:vAlign w:val="center"/>
          </w:tcPr>
          <w:p>
            <w:pPr>
              <w:pStyle w:val="TableContents"/>
              <w:spacing w:before="0" w:after="0"/>
              <w:ind w:left="0" w:right="0" w:hanging="0"/>
              <w:jc w:val="left"/>
              <w:rPr/>
            </w:pPr>
            <w:r>
              <w:rPr/>
              <w:t> </w:t>
            </w:r>
          </w:p>
        </w:tc>
        <w:tc>
          <w:tcPr>
            <w:tcW w:w="158" w:type="dxa"/>
            <w:tcBorders/>
            <w:shd w:fill="auto" w:val="clear"/>
            <w:vAlign w:val="center"/>
          </w:tcPr>
          <w:p>
            <w:pPr>
              <w:pStyle w:val="TableContents"/>
              <w:spacing w:before="0" w:after="0"/>
              <w:ind w:left="0" w:right="0" w:hanging="0"/>
              <w:jc w:val="left"/>
              <w:rPr/>
            </w:pPr>
            <w:r>
              <w:rPr/>
              <w:t> </w:t>
            </w:r>
          </w:p>
        </w:tc>
        <w:tc>
          <w:tcPr>
            <w:tcW w:w="228" w:type="dxa"/>
            <w:tcBorders/>
            <w:shd w:fill="auto" w:val="clear"/>
            <w:vAlign w:val="center"/>
          </w:tcPr>
          <w:p>
            <w:pPr>
              <w:pStyle w:val="TableContents"/>
              <w:spacing w:before="0" w:after="0"/>
              <w:ind w:left="0" w:right="0" w:hanging="0"/>
              <w:jc w:val="left"/>
              <w:rPr/>
            </w:pPr>
            <w:r>
              <w:rPr/>
              <w:t> </w:t>
            </w:r>
          </w:p>
        </w:tc>
        <w:tc>
          <w:tcPr>
            <w:tcW w:w="158" w:type="dxa"/>
            <w:tcBorders/>
            <w:shd w:fill="auto" w:val="clear"/>
            <w:vAlign w:val="center"/>
          </w:tcPr>
          <w:p>
            <w:pPr>
              <w:pStyle w:val="TableContents"/>
              <w:spacing w:before="0" w:after="0"/>
              <w:ind w:left="0" w:right="0" w:hanging="0"/>
              <w:jc w:val="left"/>
              <w:rPr/>
            </w:pPr>
            <w:r>
              <w:rPr/>
              <w:t> </w:t>
            </w:r>
          </w:p>
        </w:tc>
        <w:tc>
          <w:tcPr>
            <w:tcW w:w="619"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26.45</w:t>
            </w:r>
          </w:p>
        </w:tc>
        <w:tc>
          <w:tcPr>
            <w:tcW w:w="191" w:type="dxa"/>
            <w:tcBorders/>
            <w:shd w:fill="auto" w:val="clear"/>
            <w:vAlign w:val="center"/>
          </w:tcPr>
          <w:p>
            <w:pPr>
              <w:pStyle w:val="TableContents"/>
              <w:spacing w:before="0" w:after="0"/>
              <w:ind w:left="0" w:right="0" w:hanging="0"/>
              <w:jc w:val="left"/>
              <w:rPr/>
            </w:pPr>
            <w:r>
              <w:rPr/>
              <w:t> </w:t>
            </w:r>
          </w:p>
        </w:tc>
      </w:tr>
    </w:tbl>
    <w:p>
      <w:pPr>
        <w:pStyle w:val="TextBody"/>
        <w:spacing w:before="0" w:after="0"/>
        <w:jc w:val="both"/>
        <w:rPr/>
      </w:pPr>
      <w:r>
        <w:rPr/>
        <w:t> </w:t>
      </w:r>
    </w:p>
    <w:p>
      <w:pPr>
        <w:pStyle w:val="TextBody"/>
        <w:spacing w:before="0" w:after="0"/>
        <w:jc w:val="both"/>
        <w:rPr>
          <w:rFonts w:ascii="Times New Roman;serif" w:hAnsi="Times New Roman;serif"/>
          <w:b w:val="false"/>
          <w:sz w:val="20"/>
        </w:rPr>
      </w:pPr>
      <w:r>
        <w:rPr>
          <w:rFonts w:ascii="Times New Roman;serif" w:hAnsi="Times New Roman;serif"/>
          <w:b w:val="false"/>
          <w:sz w:val="20"/>
        </w:rPr>
        <w:t>Stock options are no longer granted under the Company’s previously approved SOP.</w:t>
      </w:r>
    </w:p>
    <w:p>
      <w:pPr>
        <w:pStyle w:val="TextBody"/>
        <w:spacing w:before="200" w:after="0"/>
        <w:jc w:val="both"/>
        <w:rPr>
          <w:rFonts w:ascii="Times New Roman;serif" w:hAnsi="Times New Roman;serif"/>
          <w:b w:val="false"/>
          <w:i/>
          <w:sz w:val="20"/>
        </w:rPr>
      </w:pPr>
      <w:r>
        <w:rPr>
          <w:rFonts w:ascii="Times New Roman;serif" w:hAnsi="Times New Roman;serif"/>
          <w:b w:val="false"/>
          <w:i/>
          <w:sz w:val="20"/>
        </w:rPr>
        <w:t>IMAX LTIP Restricted Share Units (“RSU”) Summary</w:t>
      </w:r>
    </w:p>
    <w:p>
      <w:pPr>
        <w:pStyle w:val="TextBody"/>
        <w:spacing w:before="200" w:after="0"/>
        <w:jc w:val="both"/>
        <w:rPr>
          <w:rFonts w:ascii="Times New Roman;serif" w:hAnsi="Times New Roman;serif"/>
          <w:b w:val="false"/>
          <w:sz w:val="20"/>
        </w:rPr>
      </w:pPr>
      <w:r>
        <w:rPr>
          <w:rFonts w:ascii="Times New Roman;serif" w:hAnsi="Times New Roman;serif"/>
          <w:b w:val="false"/>
          <w:sz w:val="20"/>
        </w:rPr>
        <w:t>The following table summarizes the activity in respect of RSUs issued under the IMAX LTIP for the three months ended March 31, 2023 and 2022:</w:t>
      </w:r>
    </w:p>
    <w:p>
      <w:pPr>
        <w:pStyle w:val="TextBody"/>
        <w:spacing w:before="0" w:after="0"/>
        <w:jc w:val="both"/>
        <w:rPr/>
      </w:pPr>
      <w:r>
        <w:rPr/>
        <w:t> </w:t>
      </w:r>
    </w:p>
    <w:tbl>
      <w:tblPr>
        <w:tblW w:w="8754" w:type="dxa"/>
        <w:jc w:val="left"/>
        <w:tblInd w:w="0" w:type="dxa"/>
        <w:tblCellMar>
          <w:top w:w="28" w:type="dxa"/>
          <w:left w:w="28" w:type="dxa"/>
          <w:bottom w:w="28" w:type="dxa"/>
          <w:right w:w="28" w:type="dxa"/>
        </w:tblCellMar>
      </w:tblPr>
      <w:tblGrid>
        <w:gridCol w:w="3301"/>
        <w:gridCol w:w="146"/>
        <w:gridCol w:w="146"/>
        <w:gridCol w:w="931"/>
        <w:gridCol w:w="166"/>
        <w:gridCol w:w="146"/>
        <w:gridCol w:w="146"/>
        <w:gridCol w:w="931"/>
        <w:gridCol w:w="166"/>
        <w:gridCol w:w="146"/>
        <w:gridCol w:w="229"/>
        <w:gridCol w:w="159"/>
        <w:gridCol w:w="622"/>
        <w:gridCol w:w="159"/>
        <w:gridCol w:w="159"/>
        <w:gridCol w:w="229"/>
        <w:gridCol w:w="159"/>
        <w:gridCol w:w="622"/>
        <w:gridCol w:w="191"/>
      </w:tblGrid>
      <w:tr>
        <w:trPr/>
        <w:tc>
          <w:tcPr>
            <w:tcW w:w="3301"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931" w:type="dxa"/>
            <w:tcBorders/>
            <w:shd w:fill="auto" w:val="clear"/>
            <w:vAlign w:val="center"/>
          </w:tcPr>
          <w:p>
            <w:pPr>
              <w:pStyle w:val="TableContents"/>
              <w:spacing w:before="0" w:after="283"/>
              <w:rPr>
                <w:sz w:val="4"/>
                <w:szCs w:val="4"/>
              </w:rPr>
            </w:pPr>
            <w:r>
              <w:rPr>
                <w:sz w:val="4"/>
                <w:szCs w:val="4"/>
              </w:rPr>
            </w:r>
          </w:p>
        </w:tc>
        <w:tc>
          <w:tcPr>
            <w:tcW w:w="16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931" w:type="dxa"/>
            <w:tcBorders/>
            <w:shd w:fill="auto" w:val="clear"/>
            <w:vAlign w:val="center"/>
          </w:tcPr>
          <w:p>
            <w:pPr>
              <w:pStyle w:val="TableContents"/>
              <w:spacing w:before="0" w:after="283"/>
              <w:rPr>
                <w:sz w:val="4"/>
                <w:szCs w:val="4"/>
              </w:rPr>
            </w:pPr>
            <w:r>
              <w:rPr>
                <w:sz w:val="4"/>
                <w:szCs w:val="4"/>
              </w:rPr>
            </w:r>
          </w:p>
        </w:tc>
        <w:tc>
          <w:tcPr>
            <w:tcW w:w="16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29" w:type="dxa"/>
            <w:tcBorders/>
            <w:shd w:fill="auto" w:val="clear"/>
            <w:vAlign w:val="center"/>
          </w:tcPr>
          <w:p>
            <w:pPr>
              <w:pStyle w:val="TableContents"/>
              <w:spacing w:before="0" w:after="283"/>
              <w:rPr>
                <w:sz w:val="4"/>
                <w:szCs w:val="4"/>
              </w:rPr>
            </w:pPr>
            <w:r>
              <w:rPr>
                <w:sz w:val="4"/>
                <w:szCs w:val="4"/>
              </w:rPr>
            </w:r>
          </w:p>
        </w:tc>
        <w:tc>
          <w:tcPr>
            <w:tcW w:w="159" w:type="dxa"/>
            <w:tcBorders/>
            <w:shd w:fill="auto" w:val="clear"/>
            <w:vAlign w:val="center"/>
          </w:tcPr>
          <w:p>
            <w:pPr>
              <w:pStyle w:val="TableContents"/>
              <w:spacing w:before="0" w:after="283"/>
              <w:rPr>
                <w:sz w:val="4"/>
                <w:szCs w:val="4"/>
              </w:rPr>
            </w:pPr>
            <w:r>
              <w:rPr>
                <w:sz w:val="4"/>
                <w:szCs w:val="4"/>
              </w:rPr>
            </w:r>
          </w:p>
        </w:tc>
        <w:tc>
          <w:tcPr>
            <w:tcW w:w="622" w:type="dxa"/>
            <w:tcBorders/>
            <w:shd w:fill="auto" w:val="clear"/>
            <w:vAlign w:val="center"/>
          </w:tcPr>
          <w:p>
            <w:pPr>
              <w:pStyle w:val="TableContents"/>
              <w:spacing w:before="0" w:after="283"/>
              <w:rPr>
                <w:sz w:val="4"/>
                <w:szCs w:val="4"/>
              </w:rPr>
            </w:pPr>
            <w:r>
              <w:rPr>
                <w:sz w:val="4"/>
                <w:szCs w:val="4"/>
              </w:rPr>
            </w:r>
          </w:p>
        </w:tc>
        <w:tc>
          <w:tcPr>
            <w:tcW w:w="159" w:type="dxa"/>
            <w:tcBorders/>
            <w:shd w:fill="auto" w:val="clear"/>
            <w:vAlign w:val="center"/>
          </w:tcPr>
          <w:p>
            <w:pPr>
              <w:pStyle w:val="TableContents"/>
              <w:spacing w:before="0" w:after="283"/>
              <w:rPr>
                <w:sz w:val="4"/>
                <w:szCs w:val="4"/>
              </w:rPr>
            </w:pPr>
            <w:r>
              <w:rPr>
                <w:sz w:val="4"/>
                <w:szCs w:val="4"/>
              </w:rPr>
            </w:r>
          </w:p>
        </w:tc>
        <w:tc>
          <w:tcPr>
            <w:tcW w:w="159" w:type="dxa"/>
            <w:tcBorders/>
            <w:shd w:fill="auto" w:val="clear"/>
            <w:vAlign w:val="center"/>
          </w:tcPr>
          <w:p>
            <w:pPr>
              <w:pStyle w:val="TableContents"/>
              <w:spacing w:before="0" w:after="283"/>
              <w:rPr>
                <w:sz w:val="4"/>
                <w:szCs w:val="4"/>
              </w:rPr>
            </w:pPr>
            <w:r>
              <w:rPr>
                <w:sz w:val="4"/>
                <w:szCs w:val="4"/>
              </w:rPr>
            </w:r>
          </w:p>
        </w:tc>
        <w:tc>
          <w:tcPr>
            <w:tcW w:w="229" w:type="dxa"/>
            <w:tcBorders/>
            <w:shd w:fill="auto" w:val="clear"/>
            <w:vAlign w:val="center"/>
          </w:tcPr>
          <w:p>
            <w:pPr>
              <w:pStyle w:val="TableContents"/>
              <w:spacing w:before="0" w:after="283"/>
              <w:rPr>
                <w:sz w:val="4"/>
                <w:szCs w:val="4"/>
              </w:rPr>
            </w:pPr>
            <w:r>
              <w:rPr>
                <w:sz w:val="4"/>
                <w:szCs w:val="4"/>
              </w:rPr>
            </w:r>
          </w:p>
        </w:tc>
        <w:tc>
          <w:tcPr>
            <w:tcW w:w="159" w:type="dxa"/>
            <w:tcBorders/>
            <w:shd w:fill="auto" w:val="clear"/>
            <w:vAlign w:val="center"/>
          </w:tcPr>
          <w:p>
            <w:pPr>
              <w:pStyle w:val="TableContents"/>
              <w:spacing w:before="0" w:after="283"/>
              <w:rPr>
                <w:sz w:val="4"/>
                <w:szCs w:val="4"/>
              </w:rPr>
            </w:pPr>
            <w:r>
              <w:rPr>
                <w:sz w:val="4"/>
                <w:szCs w:val="4"/>
              </w:rPr>
            </w:r>
          </w:p>
        </w:tc>
        <w:tc>
          <w:tcPr>
            <w:tcW w:w="622" w:type="dxa"/>
            <w:tcBorders/>
            <w:shd w:fill="auto" w:val="clear"/>
            <w:vAlign w:val="center"/>
          </w:tcPr>
          <w:p>
            <w:pPr>
              <w:pStyle w:val="TableContents"/>
              <w:spacing w:before="0" w:after="283"/>
              <w:rPr>
                <w:sz w:val="4"/>
                <w:szCs w:val="4"/>
              </w:rPr>
            </w:pPr>
            <w:r>
              <w:rPr>
                <w:sz w:val="4"/>
                <w:szCs w:val="4"/>
              </w:rPr>
            </w:r>
          </w:p>
        </w:tc>
        <w:tc>
          <w:tcPr>
            <w:tcW w:w="191" w:type="dxa"/>
            <w:tcBorders/>
            <w:shd w:fill="auto" w:val="clear"/>
            <w:vAlign w:val="center"/>
          </w:tcPr>
          <w:p>
            <w:pPr>
              <w:pStyle w:val="TableContents"/>
              <w:spacing w:before="0" w:after="283"/>
              <w:rPr>
                <w:sz w:val="4"/>
                <w:szCs w:val="4"/>
              </w:rPr>
            </w:pPr>
            <w:r>
              <w:rPr>
                <w:sz w:val="4"/>
                <w:szCs w:val="4"/>
              </w:rPr>
            </w:r>
          </w:p>
        </w:tc>
      </w:tr>
      <w:tr>
        <w:trPr/>
        <w:tc>
          <w:tcPr>
            <w:tcW w:w="330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466" w:type="dxa"/>
            <w:gridSpan w:val="6"/>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Number of Awards</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2338" w:type="dxa"/>
            <w:gridSpan w:val="8"/>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Weighted Average Grant Date</w:t>
              <w:br/>
              <w:t>Fair Value Per Share</w:t>
            </w:r>
          </w:p>
        </w:tc>
        <w:tc>
          <w:tcPr>
            <w:tcW w:w="1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330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077"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2023</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077"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2022</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229"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781"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2023</w:t>
            </w:r>
          </w:p>
        </w:tc>
        <w:tc>
          <w:tcPr>
            <w:tcW w:w="159"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59"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229"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781"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2022</w:t>
            </w:r>
          </w:p>
        </w:tc>
        <w:tc>
          <w:tcPr>
            <w:tcW w:w="1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330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RSUs outstanding, beginning of period</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93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1,252,044</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93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1,457,883</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29"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59" w:type="dxa"/>
            <w:tcBorders/>
            <w:shd w:fill="auto" w:val="clear"/>
            <w:vAlign w:val="center"/>
          </w:tcPr>
          <w:p>
            <w:pPr>
              <w:pStyle w:val="TableContents"/>
              <w:spacing w:before="0" w:after="0"/>
              <w:ind w:left="0" w:right="0" w:hanging="0"/>
              <w:jc w:val="left"/>
              <w:rPr/>
            </w:pPr>
            <w:r>
              <w:rPr/>
              <w:t> </w:t>
            </w:r>
          </w:p>
        </w:tc>
        <w:tc>
          <w:tcPr>
            <w:tcW w:w="622"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19.16</w:t>
            </w:r>
          </w:p>
        </w:tc>
        <w:tc>
          <w:tcPr>
            <w:tcW w:w="159" w:type="dxa"/>
            <w:tcBorders/>
            <w:shd w:fill="auto" w:val="clear"/>
            <w:vAlign w:val="center"/>
          </w:tcPr>
          <w:p>
            <w:pPr>
              <w:pStyle w:val="TableContents"/>
              <w:spacing w:before="0" w:after="0"/>
              <w:ind w:left="0" w:right="0" w:hanging="0"/>
              <w:jc w:val="left"/>
              <w:rPr/>
            </w:pPr>
            <w:r>
              <w:rPr/>
              <w:t> </w:t>
            </w:r>
          </w:p>
        </w:tc>
        <w:tc>
          <w:tcPr>
            <w:tcW w:w="159" w:type="dxa"/>
            <w:tcBorders/>
            <w:shd w:fill="auto" w:val="clear"/>
            <w:vAlign w:val="center"/>
          </w:tcPr>
          <w:p>
            <w:pPr>
              <w:pStyle w:val="TableContents"/>
              <w:spacing w:before="0" w:after="0"/>
              <w:ind w:left="0" w:right="0" w:hanging="0"/>
              <w:jc w:val="left"/>
              <w:rPr/>
            </w:pPr>
            <w:r>
              <w:rPr/>
              <w:t> </w:t>
            </w:r>
          </w:p>
        </w:tc>
        <w:tc>
          <w:tcPr>
            <w:tcW w:w="229"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59" w:type="dxa"/>
            <w:tcBorders/>
            <w:shd w:fill="auto" w:val="clear"/>
            <w:vAlign w:val="center"/>
          </w:tcPr>
          <w:p>
            <w:pPr>
              <w:pStyle w:val="TableContents"/>
              <w:spacing w:before="0" w:after="0"/>
              <w:ind w:left="0" w:right="0" w:hanging="0"/>
              <w:jc w:val="left"/>
              <w:rPr/>
            </w:pPr>
            <w:r>
              <w:rPr/>
              <w:t> </w:t>
            </w:r>
          </w:p>
        </w:tc>
        <w:tc>
          <w:tcPr>
            <w:tcW w:w="622"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19.16</w:t>
            </w:r>
          </w:p>
        </w:tc>
        <w:tc>
          <w:tcPr>
            <w:tcW w:w="191" w:type="dxa"/>
            <w:tcBorders/>
            <w:shd w:fill="auto" w:val="clear"/>
            <w:vAlign w:val="center"/>
          </w:tcPr>
          <w:p>
            <w:pPr>
              <w:pStyle w:val="TableContents"/>
              <w:spacing w:before="0" w:after="0"/>
              <w:ind w:left="0" w:right="0" w:hanging="0"/>
              <w:jc w:val="left"/>
              <w:rPr/>
            </w:pPr>
            <w:r>
              <w:rPr/>
              <w:t> </w:t>
            </w:r>
          </w:p>
        </w:tc>
      </w:tr>
      <w:tr>
        <w:trPr/>
        <w:tc>
          <w:tcPr>
            <w:tcW w:w="330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Granted</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93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811,529</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93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636,427</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29" w:type="dxa"/>
            <w:tcBorders/>
            <w:shd w:fill="auto" w:val="clear"/>
            <w:vAlign w:val="center"/>
          </w:tcPr>
          <w:p>
            <w:pPr>
              <w:pStyle w:val="TableContents"/>
              <w:spacing w:before="0" w:after="0"/>
              <w:ind w:left="0" w:right="0" w:hanging="0"/>
              <w:jc w:val="left"/>
              <w:rPr/>
            </w:pPr>
            <w:r>
              <w:rPr/>
              <w:t> </w:t>
            </w:r>
          </w:p>
        </w:tc>
        <w:tc>
          <w:tcPr>
            <w:tcW w:w="159" w:type="dxa"/>
            <w:tcBorders/>
            <w:shd w:fill="auto" w:val="clear"/>
            <w:vAlign w:val="center"/>
          </w:tcPr>
          <w:p>
            <w:pPr>
              <w:pStyle w:val="TableContents"/>
              <w:spacing w:before="0" w:after="0"/>
              <w:ind w:left="0" w:right="0" w:hanging="0"/>
              <w:jc w:val="left"/>
              <w:rPr/>
            </w:pPr>
            <w:r>
              <w:rPr/>
              <w:t> </w:t>
            </w:r>
          </w:p>
        </w:tc>
        <w:tc>
          <w:tcPr>
            <w:tcW w:w="622"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17.73</w:t>
            </w:r>
          </w:p>
        </w:tc>
        <w:tc>
          <w:tcPr>
            <w:tcW w:w="159" w:type="dxa"/>
            <w:tcBorders/>
            <w:shd w:fill="auto" w:val="clear"/>
            <w:vAlign w:val="center"/>
          </w:tcPr>
          <w:p>
            <w:pPr>
              <w:pStyle w:val="TableContents"/>
              <w:spacing w:before="0" w:after="0"/>
              <w:ind w:left="0" w:right="0" w:hanging="0"/>
              <w:jc w:val="left"/>
              <w:rPr/>
            </w:pPr>
            <w:r>
              <w:rPr/>
              <w:t> </w:t>
            </w:r>
          </w:p>
        </w:tc>
        <w:tc>
          <w:tcPr>
            <w:tcW w:w="159" w:type="dxa"/>
            <w:tcBorders/>
            <w:shd w:fill="auto" w:val="clear"/>
            <w:vAlign w:val="center"/>
          </w:tcPr>
          <w:p>
            <w:pPr>
              <w:pStyle w:val="TableContents"/>
              <w:spacing w:before="0" w:after="0"/>
              <w:ind w:left="0" w:right="0" w:hanging="0"/>
              <w:jc w:val="left"/>
              <w:rPr/>
            </w:pPr>
            <w:r>
              <w:rPr/>
              <w:t> </w:t>
            </w:r>
          </w:p>
        </w:tc>
        <w:tc>
          <w:tcPr>
            <w:tcW w:w="229" w:type="dxa"/>
            <w:tcBorders/>
            <w:shd w:fill="auto" w:val="clear"/>
            <w:vAlign w:val="center"/>
          </w:tcPr>
          <w:p>
            <w:pPr>
              <w:pStyle w:val="TableContents"/>
              <w:spacing w:before="0" w:after="0"/>
              <w:ind w:left="0" w:right="0" w:hanging="0"/>
              <w:jc w:val="left"/>
              <w:rPr/>
            </w:pPr>
            <w:r>
              <w:rPr/>
              <w:t> </w:t>
            </w:r>
          </w:p>
        </w:tc>
        <w:tc>
          <w:tcPr>
            <w:tcW w:w="159" w:type="dxa"/>
            <w:tcBorders/>
            <w:shd w:fill="auto" w:val="clear"/>
            <w:vAlign w:val="center"/>
          </w:tcPr>
          <w:p>
            <w:pPr>
              <w:pStyle w:val="TableContents"/>
              <w:spacing w:before="0" w:after="0"/>
              <w:ind w:left="0" w:right="0" w:hanging="0"/>
              <w:jc w:val="left"/>
              <w:rPr/>
            </w:pPr>
            <w:r>
              <w:rPr/>
              <w:t> </w:t>
            </w:r>
          </w:p>
        </w:tc>
        <w:tc>
          <w:tcPr>
            <w:tcW w:w="622"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19.64</w:t>
            </w:r>
          </w:p>
        </w:tc>
        <w:tc>
          <w:tcPr>
            <w:tcW w:w="191" w:type="dxa"/>
            <w:tcBorders/>
            <w:shd w:fill="auto" w:val="clear"/>
            <w:vAlign w:val="center"/>
          </w:tcPr>
          <w:p>
            <w:pPr>
              <w:pStyle w:val="TableContents"/>
              <w:spacing w:before="0" w:after="0"/>
              <w:ind w:left="0" w:right="0" w:hanging="0"/>
              <w:jc w:val="left"/>
              <w:rPr/>
            </w:pPr>
            <w:r>
              <w:rPr/>
              <w:t> </w:t>
            </w:r>
          </w:p>
        </w:tc>
      </w:tr>
      <w:tr>
        <w:trPr/>
        <w:tc>
          <w:tcPr>
            <w:tcW w:w="330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Vested and settled</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93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(677,611</w:t>
            </w:r>
          </w:p>
        </w:tc>
        <w:tc>
          <w:tcPr>
            <w:tcW w:w="16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93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(648,527</w:t>
            </w:r>
          </w:p>
        </w:tc>
        <w:tc>
          <w:tcPr>
            <w:tcW w:w="16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shd w:fill="auto" w:val="clear"/>
            <w:vAlign w:val="center"/>
          </w:tcPr>
          <w:p>
            <w:pPr>
              <w:pStyle w:val="TableContents"/>
              <w:spacing w:before="0" w:after="0"/>
              <w:ind w:left="0" w:right="0" w:hanging="0"/>
              <w:jc w:val="left"/>
              <w:rPr/>
            </w:pPr>
            <w:r>
              <w:rPr/>
              <w:t> </w:t>
            </w:r>
          </w:p>
        </w:tc>
        <w:tc>
          <w:tcPr>
            <w:tcW w:w="229" w:type="dxa"/>
            <w:tcBorders/>
            <w:shd w:fill="auto" w:val="clear"/>
            <w:vAlign w:val="center"/>
          </w:tcPr>
          <w:p>
            <w:pPr>
              <w:pStyle w:val="TableContents"/>
              <w:spacing w:before="0" w:after="0"/>
              <w:ind w:left="0" w:right="0" w:hanging="0"/>
              <w:jc w:val="left"/>
              <w:rPr/>
            </w:pPr>
            <w:r>
              <w:rPr/>
              <w:t> </w:t>
            </w:r>
          </w:p>
        </w:tc>
        <w:tc>
          <w:tcPr>
            <w:tcW w:w="159" w:type="dxa"/>
            <w:tcBorders/>
            <w:shd w:fill="auto" w:val="clear"/>
            <w:vAlign w:val="center"/>
          </w:tcPr>
          <w:p>
            <w:pPr>
              <w:pStyle w:val="TableContents"/>
              <w:spacing w:before="0" w:after="0"/>
              <w:ind w:left="0" w:right="0" w:hanging="0"/>
              <w:jc w:val="left"/>
              <w:rPr/>
            </w:pPr>
            <w:r>
              <w:rPr/>
              <w:t> </w:t>
            </w:r>
          </w:p>
        </w:tc>
        <w:tc>
          <w:tcPr>
            <w:tcW w:w="622"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18.70</w:t>
            </w:r>
          </w:p>
        </w:tc>
        <w:tc>
          <w:tcPr>
            <w:tcW w:w="159" w:type="dxa"/>
            <w:tcBorders/>
            <w:shd w:fill="auto" w:val="clear"/>
            <w:vAlign w:val="center"/>
          </w:tcPr>
          <w:p>
            <w:pPr>
              <w:pStyle w:val="TableContents"/>
              <w:spacing w:before="0" w:after="0"/>
              <w:ind w:left="0" w:right="0" w:hanging="0"/>
              <w:jc w:val="left"/>
              <w:rPr/>
            </w:pPr>
            <w:r>
              <w:rPr/>
              <w:t> </w:t>
            </w:r>
          </w:p>
        </w:tc>
        <w:tc>
          <w:tcPr>
            <w:tcW w:w="159" w:type="dxa"/>
            <w:tcBorders/>
            <w:shd w:fill="auto" w:val="clear"/>
            <w:vAlign w:val="center"/>
          </w:tcPr>
          <w:p>
            <w:pPr>
              <w:pStyle w:val="TableContents"/>
              <w:spacing w:before="0" w:after="0"/>
              <w:ind w:left="0" w:right="0" w:hanging="0"/>
              <w:jc w:val="left"/>
              <w:rPr/>
            </w:pPr>
            <w:r>
              <w:rPr/>
              <w:t> </w:t>
            </w:r>
          </w:p>
        </w:tc>
        <w:tc>
          <w:tcPr>
            <w:tcW w:w="229" w:type="dxa"/>
            <w:tcBorders/>
            <w:shd w:fill="auto" w:val="clear"/>
            <w:vAlign w:val="center"/>
          </w:tcPr>
          <w:p>
            <w:pPr>
              <w:pStyle w:val="TableContents"/>
              <w:spacing w:before="0" w:after="0"/>
              <w:ind w:left="0" w:right="0" w:hanging="0"/>
              <w:jc w:val="left"/>
              <w:rPr/>
            </w:pPr>
            <w:r>
              <w:rPr/>
              <w:t> </w:t>
            </w:r>
          </w:p>
        </w:tc>
        <w:tc>
          <w:tcPr>
            <w:tcW w:w="159" w:type="dxa"/>
            <w:tcBorders/>
            <w:shd w:fill="auto" w:val="clear"/>
            <w:vAlign w:val="center"/>
          </w:tcPr>
          <w:p>
            <w:pPr>
              <w:pStyle w:val="TableContents"/>
              <w:spacing w:before="0" w:after="0"/>
              <w:ind w:left="0" w:right="0" w:hanging="0"/>
              <w:jc w:val="left"/>
              <w:rPr/>
            </w:pPr>
            <w:r>
              <w:rPr/>
              <w:t> </w:t>
            </w:r>
          </w:p>
        </w:tc>
        <w:tc>
          <w:tcPr>
            <w:tcW w:w="622"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18.78</w:t>
            </w:r>
          </w:p>
        </w:tc>
        <w:tc>
          <w:tcPr>
            <w:tcW w:w="191" w:type="dxa"/>
            <w:tcBorders/>
            <w:shd w:fill="auto" w:val="clear"/>
            <w:vAlign w:val="center"/>
          </w:tcPr>
          <w:p>
            <w:pPr>
              <w:pStyle w:val="TableContents"/>
              <w:spacing w:before="0" w:after="0"/>
              <w:ind w:left="0" w:right="0" w:hanging="0"/>
              <w:jc w:val="left"/>
              <w:rPr/>
            </w:pPr>
            <w:r>
              <w:rPr/>
              <w:t> </w:t>
            </w:r>
          </w:p>
        </w:tc>
      </w:tr>
      <w:tr>
        <w:trPr/>
        <w:tc>
          <w:tcPr>
            <w:tcW w:w="330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Forfeited</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93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(19,509</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93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(1,328</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229" w:type="dxa"/>
            <w:tcBorders/>
            <w:shd w:fill="auto" w:val="clear"/>
            <w:vAlign w:val="center"/>
          </w:tcPr>
          <w:p>
            <w:pPr>
              <w:pStyle w:val="TableContents"/>
              <w:spacing w:before="0" w:after="0"/>
              <w:ind w:left="0" w:right="0" w:hanging="0"/>
              <w:jc w:val="left"/>
              <w:rPr/>
            </w:pPr>
            <w:r>
              <w:rPr/>
              <w:t> </w:t>
            </w:r>
          </w:p>
        </w:tc>
        <w:tc>
          <w:tcPr>
            <w:tcW w:w="159" w:type="dxa"/>
            <w:tcBorders/>
            <w:shd w:fill="auto" w:val="clear"/>
            <w:vAlign w:val="center"/>
          </w:tcPr>
          <w:p>
            <w:pPr>
              <w:pStyle w:val="TableContents"/>
              <w:spacing w:before="0" w:after="0"/>
              <w:ind w:left="0" w:right="0" w:hanging="0"/>
              <w:jc w:val="left"/>
              <w:rPr/>
            </w:pPr>
            <w:r>
              <w:rPr/>
              <w:t> </w:t>
            </w:r>
          </w:p>
        </w:tc>
        <w:tc>
          <w:tcPr>
            <w:tcW w:w="622"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19.80</w:t>
            </w:r>
          </w:p>
        </w:tc>
        <w:tc>
          <w:tcPr>
            <w:tcW w:w="159" w:type="dxa"/>
            <w:tcBorders/>
            <w:shd w:fill="auto" w:val="clear"/>
            <w:vAlign w:val="center"/>
          </w:tcPr>
          <w:p>
            <w:pPr>
              <w:pStyle w:val="TableContents"/>
              <w:spacing w:before="0" w:after="0"/>
              <w:ind w:left="0" w:right="0" w:hanging="0"/>
              <w:jc w:val="left"/>
              <w:rPr/>
            </w:pPr>
            <w:r>
              <w:rPr/>
              <w:t> </w:t>
            </w:r>
          </w:p>
        </w:tc>
        <w:tc>
          <w:tcPr>
            <w:tcW w:w="159" w:type="dxa"/>
            <w:tcBorders/>
            <w:shd w:fill="auto" w:val="clear"/>
            <w:vAlign w:val="center"/>
          </w:tcPr>
          <w:p>
            <w:pPr>
              <w:pStyle w:val="TableContents"/>
              <w:spacing w:before="0" w:after="0"/>
              <w:ind w:left="0" w:right="0" w:hanging="0"/>
              <w:jc w:val="left"/>
              <w:rPr/>
            </w:pPr>
            <w:r>
              <w:rPr/>
              <w:t> </w:t>
            </w:r>
          </w:p>
        </w:tc>
        <w:tc>
          <w:tcPr>
            <w:tcW w:w="229" w:type="dxa"/>
            <w:tcBorders/>
            <w:shd w:fill="auto" w:val="clear"/>
            <w:vAlign w:val="center"/>
          </w:tcPr>
          <w:p>
            <w:pPr>
              <w:pStyle w:val="TableContents"/>
              <w:spacing w:before="0" w:after="0"/>
              <w:ind w:left="0" w:right="0" w:hanging="0"/>
              <w:jc w:val="left"/>
              <w:rPr/>
            </w:pPr>
            <w:r>
              <w:rPr/>
              <w:t> </w:t>
            </w:r>
          </w:p>
        </w:tc>
        <w:tc>
          <w:tcPr>
            <w:tcW w:w="159" w:type="dxa"/>
            <w:tcBorders/>
            <w:shd w:fill="auto" w:val="clear"/>
            <w:vAlign w:val="center"/>
          </w:tcPr>
          <w:p>
            <w:pPr>
              <w:pStyle w:val="TableContents"/>
              <w:spacing w:before="0" w:after="0"/>
              <w:ind w:left="0" w:right="0" w:hanging="0"/>
              <w:jc w:val="left"/>
              <w:rPr/>
            </w:pPr>
            <w:r>
              <w:rPr/>
              <w:t> </w:t>
            </w:r>
          </w:p>
        </w:tc>
        <w:tc>
          <w:tcPr>
            <w:tcW w:w="622"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14.84</w:t>
            </w:r>
          </w:p>
        </w:tc>
        <w:tc>
          <w:tcPr>
            <w:tcW w:w="191" w:type="dxa"/>
            <w:tcBorders/>
            <w:shd w:fill="auto" w:val="clear"/>
            <w:vAlign w:val="center"/>
          </w:tcPr>
          <w:p>
            <w:pPr>
              <w:pStyle w:val="TableContents"/>
              <w:spacing w:before="0" w:after="0"/>
              <w:ind w:left="0" w:right="0" w:hanging="0"/>
              <w:jc w:val="left"/>
              <w:rPr/>
            </w:pPr>
            <w:r>
              <w:rPr/>
              <w:t> </w:t>
            </w:r>
          </w:p>
        </w:tc>
      </w:tr>
      <w:tr>
        <w:trPr/>
        <w:tc>
          <w:tcPr>
            <w:tcW w:w="330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RSUs outstanding, end of period</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93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1,366,453</w:t>
            </w:r>
          </w:p>
        </w:tc>
        <w:tc>
          <w:tcPr>
            <w:tcW w:w="16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pPr>
            <w:r>
              <w:rPr/>
              <w:t> </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93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1,444,455</w:t>
            </w:r>
          </w:p>
        </w:tc>
        <w:tc>
          <w:tcPr>
            <w:tcW w:w="16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229" w:type="dxa"/>
            <w:tcBorders/>
            <w:shd w:fill="auto" w:val="clear"/>
            <w:vAlign w:val="center"/>
          </w:tcPr>
          <w:p>
            <w:pPr>
              <w:pStyle w:val="TableContents"/>
              <w:spacing w:before="0" w:after="0"/>
              <w:ind w:left="0" w:right="0" w:hanging="0"/>
              <w:jc w:val="left"/>
              <w:rPr/>
            </w:pPr>
            <w:r>
              <w:rPr/>
              <w:t> </w:t>
            </w:r>
          </w:p>
        </w:tc>
        <w:tc>
          <w:tcPr>
            <w:tcW w:w="159" w:type="dxa"/>
            <w:tcBorders/>
            <w:shd w:fill="auto" w:val="clear"/>
            <w:vAlign w:val="center"/>
          </w:tcPr>
          <w:p>
            <w:pPr>
              <w:pStyle w:val="TableContents"/>
              <w:spacing w:before="0" w:after="0"/>
              <w:ind w:left="0" w:right="0" w:hanging="0"/>
              <w:jc w:val="left"/>
              <w:rPr/>
            </w:pPr>
            <w:r>
              <w:rPr/>
              <w:t> </w:t>
            </w:r>
          </w:p>
        </w:tc>
        <w:tc>
          <w:tcPr>
            <w:tcW w:w="622"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18.53</w:t>
            </w:r>
          </w:p>
        </w:tc>
        <w:tc>
          <w:tcPr>
            <w:tcW w:w="159" w:type="dxa"/>
            <w:tcBorders/>
            <w:shd w:fill="auto" w:val="clear"/>
            <w:vAlign w:val="center"/>
          </w:tcPr>
          <w:p>
            <w:pPr>
              <w:pStyle w:val="TableContents"/>
              <w:spacing w:before="0" w:after="0"/>
              <w:ind w:left="0" w:right="0" w:hanging="0"/>
              <w:jc w:val="left"/>
              <w:rPr/>
            </w:pPr>
            <w:r>
              <w:rPr/>
              <w:t> </w:t>
            </w:r>
          </w:p>
        </w:tc>
        <w:tc>
          <w:tcPr>
            <w:tcW w:w="159" w:type="dxa"/>
            <w:tcBorders/>
            <w:shd w:fill="auto" w:val="clear"/>
            <w:vAlign w:val="center"/>
          </w:tcPr>
          <w:p>
            <w:pPr>
              <w:pStyle w:val="TableContents"/>
              <w:spacing w:before="0" w:after="0"/>
              <w:ind w:left="0" w:right="0" w:hanging="0"/>
              <w:jc w:val="left"/>
              <w:rPr/>
            </w:pPr>
            <w:r>
              <w:rPr/>
              <w:t> </w:t>
            </w:r>
          </w:p>
        </w:tc>
        <w:tc>
          <w:tcPr>
            <w:tcW w:w="229" w:type="dxa"/>
            <w:tcBorders/>
            <w:shd w:fill="auto" w:val="clear"/>
            <w:vAlign w:val="center"/>
          </w:tcPr>
          <w:p>
            <w:pPr>
              <w:pStyle w:val="TableContents"/>
              <w:spacing w:before="0" w:after="0"/>
              <w:ind w:left="0" w:right="0" w:hanging="0"/>
              <w:jc w:val="left"/>
              <w:rPr/>
            </w:pPr>
            <w:r>
              <w:rPr/>
              <w:t> </w:t>
            </w:r>
          </w:p>
        </w:tc>
        <w:tc>
          <w:tcPr>
            <w:tcW w:w="159" w:type="dxa"/>
            <w:tcBorders/>
            <w:shd w:fill="auto" w:val="clear"/>
            <w:vAlign w:val="center"/>
          </w:tcPr>
          <w:p>
            <w:pPr>
              <w:pStyle w:val="TableContents"/>
              <w:spacing w:before="0" w:after="0"/>
              <w:ind w:left="0" w:right="0" w:hanging="0"/>
              <w:jc w:val="left"/>
              <w:rPr/>
            </w:pPr>
            <w:r>
              <w:rPr/>
              <w:t> </w:t>
            </w:r>
          </w:p>
        </w:tc>
        <w:tc>
          <w:tcPr>
            <w:tcW w:w="622"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19.54</w:t>
            </w:r>
          </w:p>
        </w:tc>
        <w:tc>
          <w:tcPr>
            <w:tcW w:w="191" w:type="dxa"/>
            <w:tcBorders/>
            <w:shd w:fill="auto" w:val="clear"/>
            <w:vAlign w:val="center"/>
          </w:tcPr>
          <w:p>
            <w:pPr>
              <w:pStyle w:val="TableContents"/>
              <w:spacing w:before="0" w:after="0"/>
              <w:ind w:left="0" w:right="0" w:hanging="0"/>
              <w:jc w:val="left"/>
              <w:rPr/>
            </w:pPr>
            <w:r>
              <w:rPr/>
              <w:t> </w:t>
            </w:r>
          </w:p>
        </w:tc>
      </w:tr>
    </w:tbl>
    <w:p>
      <w:pPr>
        <w:pStyle w:val="TextBody"/>
        <w:spacing w:before="200" w:after="0"/>
        <w:jc w:val="both"/>
        <w:rPr>
          <w:rFonts w:ascii="Times New Roman;serif" w:hAnsi="Times New Roman;serif"/>
          <w:b w:val="false"/>
          <w:i/>
          <w:sz w:val="20"/>
        </w:rPr>
      </w:pPr>
      <w:r>
        <w:rPr>
          <w:rFonts w:ascii="Times New Roman;serif" w:hAnsi="Times New Roman;serif"/>
          <w:b w:val="false"/>
          <w:i/>
          <w:sz w:val="20"/>
        </w:rPr>
        <w:t>IMAX LTIP Performance Stock Units (“PSU”) Summary</w:t>
      </w:r>
    </w:p>
    <w:p>
      <w:pPr>
        <w:pStyle w:val="TextBody"/>
        <w:spacing w:before="200" w:after="0"/>
        <w:jc w:val="both"/>
        <w:rPr>
          <w:rFonts w:ascii="Times New Roman" w:hAnsi="Times New Roman"/>
          <w:sz w:val="20"/>
        </w:rPr>
      </w:pPr>
      <w:r>
        <w:rPr>
          <w:rFonts w:ascii="Times New Roman;serif" w:hAnsi="Times New Roman;serif"/>
          <w:b w:val="false"/>
          <w:sz w:val="20"/>
        </w:rPr>
        <w:t>The Company grants two types of PSU awards, one which vests based on a combination of employee service and the achievement of certain EBITDA-based targets and one which vests based on a combination of employee service and the achievement of total shareholder return (“TSR”) targets. The achievement of the EBITDA and TSR targets in these PSUs is determined over a three-year performance period. At the conclusion of the three-year</w:t>
      </w:r>
      <w:r>
        <w:rPr>
          <w:rFonts w:ascii="Times New Roman" w:hAnsi="Times New Roman"/>
          <w:sz w:val="20"/>
        </w:rPr>
        <w:t xml:space="preserve"> </w:t>
      </w:r>
      <w:r>
        <w:rPr>
          <w:rFonts w:ascii="Times New Roman;serif" w:hAnsi="Times New Roman;serif"/>
          <w:b w:val="false"/>
          <w:sz w:val="20"/>
        </w:rPr>
        <w:t>performance period, the number of PSUs that ultimately vest can range from 0% to a maximum vesting opportunity of 175% of the initial award, depending upon actual performance versus the established EBITDA and stock-price targets.</w:t>
      </w:r>
    </w:p>
    <w:p>
      <w:pPr>
        <w:pStyle w:val="TextBody"/>
        <w:spacing w:before="200" w:after="0"/>
        <w:jc w:val="both"/>
        <w:rPr>
          <w:rFonts w:ascii="Times New Roman;serif" w:hAnsi="Times New Roman;serif"/>
          <w:b w:val="false"/>
          <w:sz w:val="20"/>
        </w:rPr>
      </w:pPr>
      <w:r>
        <w:rPr>
          <w:rFonts w:ascii="Times New Roman;serif" w:hAnsi="Times New Roman;serif"/>
          <w:b w:val="false"/>
          <w:sz w:val="20"/>
        </w:rPr>
        <w:t>The grant date fair value of PSUs with EBITDA-based targets is equal to the closing price of the Company’s common shares on the date of grant or the average closing price of the Company’s common shares for five days prior to the date of grant. The grant date fair value of PSUs with TSR targets is determined on the grant date using a Monte Carlo simulation, which is a valuation model that considers the likelihood of achieving the TSR targets embedded in the award (“Monte Carlo Model”). The compensation expense attributable to each type of PSU is recognized on a straight-line basis over the requisite service period.</w:t>
      </w:r>
    </w:p>
    <w:p>
      <w:pPr>
        <w:pStyle w:val="TextBody"/>
        <w:spacing w:before="200" w:after="0"/>
        <w:jc w:val="both"/>
        <w:rPr>
          <w:rFonts w:ascii="Times New Roman" w:hAnsi="Times New Roman"/>
          <w:sz w:val="20"/>
        </w:rPr>
      </w:pPr>
      <w:r>
        <w:rPr>
          <w:rFonts w:ascii="Times New Roman;serif" w:hAnsi="Times New Roman;serif"/>
          <w:b w:val="false"/>
          <w:sz w:val="20"/>
        </w:rPr>
        <w:t>The fair value determined by the Monte Carlo Model is affected by the Company’s share price, as well as assumptions regarding a number of complex and subjective variables. These variables include, but are not limited to, market conditions as of the grant date, the Company’s expected share price volatility over the term of the awards, and other relevant data. The compensation expense is fixed on the date of grant based on the fair value of the PSUs granted.</w:t>
      </w:r>
      <w:r>
        <w:rPr>
          <w:rFonts w:ascii="Times New Roman" w:hAnsi="Times New Roman"/>
          <w:sz w:val="20"/>
        </w:rPr>
        <w:t xml:space="preserve"> </w:t>
      </w:r>
    </w:p>
    <w:p>
      <w:pPr>
        <w:pStyle w:val="TextBody"/>
        <w:spacing w:before="240" w:after="0"/>
        <w:jc w:val="center"/>
        <w:rPr>
          <w:rFonts w:ascii="Times New Roman;serif" w:hAnsi="Times New Roman;serif"/>
          <w:b w:val="false"/>
          <w:sz w:val="20"/>
        </w:rPr>
      </w:pPr>
      <w:r>
        <w:rPr>
          <w:rFonts w:ascii="Times New Roman;serif" w:hAnsi="Times New Roman;serif"/>
          <w:b w:val="false"/>
          <w:sz w:val="20"/>
        </w:rPr>
        <w:t>29</w:t>
      </w:r>
    </w:p>
    <w:p>
      <w:pPr>
        <w:pStyle w:val="HorizontalLine"/>
        <w:rPr/>
      </w:pPr>
      <w:r>
        <w:rPr/>
      </w:r>
    </w:p>
    <w:p>
      <w:pPr>
        <w:pStyle w:val="TextBody"/>
        <w:spacing w:before="0" w:after="0"/>
        <w:jc w:val="left"/>
        <w:rPr/>
      </w:pPr>
      <w:r>
        <w:rPr/>
        <w:t> </w:t>
      </w:r>
    </w:p>
    <w:p>
      <w:pPr>
        <w:pStyle w:val="TextBody"/>
        <w:spacing w:before="200" w:after="0"/>
        <w:jc w:val="both"/>
        <w:rPr>
          <w:rFonts w:ascii="Times New Roman" w:hAnsi="Times New Roman"/>
          <w:sz w:val="20"/>
        </w:rPr>
      </w:pPr>
      <w:r>
        <w:rPr>
          <w:rFonts w:ascii="Times New Roman;serif" w:hAnsi="Times New Roman;serif"/>
          <w:b w:val="false"/>
          <w:sz w:val="20"/>
        </w:rPr>
        <w:t>The amount and timing of compensation expense recognized for PSUs with EBITDA-based targets is dependent upon management’s assessment of the likelihood of achieving these targets. If, as a result of management’s assessment, it is projected that a greater number of PSUs will vest than previously anticipated, a life-to-date adjustment to increase compensation expense is recorded in the period that such determination is made. Conversely, if, as a result of management’s assessment, it is projected that a lower number of PSUs will vest than previously anticipated, a life-to-date adjustment to decrease compensation expense is recorded in the period that such determination is made. The expense recognized in the three months ended March 31, 2023 and 2022 includes adjustments reflecting management’s estimate of the number of PSUs with EBITDA-based targets expected to vest.</w:t>
      </w:r>
      <w:r>
        <w:rPr>
          <w:rFonts w:ascii="Times New Roman" w:hAnsi="Times New Roman"/>
          <w:sz w:val="20"/>
        </w:rPr>
        <w:t xml:space="preserve"> </w:t>
      </w:r>
    </w:p>
    <w:p>
      <w:pPr>
        <w:pStyle w:val="TextBody"/>
        <w:spacing w:before="200" w:after="200"/>
        <w:jc w:val="both"/>
        <w:rPr>
          <w:rFonts w:ascii="Times New Roman;serif" w:hAnsi="Times New Roman;serif"/>
          <w:b w:val="false"/>
          <w:sz w:val="20"/>
        </w:rPr>
      </w:pPr>
      <w:r>
        <w:rPr>
          <w:rFonts w:ascii="Times New Roman;serif" w:hAnsi="Times New Roman;serif"/>
          <w:b w:val="false"/>
          <w:sz w:val="20"/>
        </w:rPr>
        <w:t>The following table summarizes the activity in respect of PSUs issued under the IMAX LTIP for the three months ended March 31, 2023 and 2022:</w:t>
      </w:r>
    </w:p>
    <w:tbl>
      <w:tblPr>
        <w:tblW w:w="8464" w:type="dxa"/>
        <w:jc w:val="left"/>
        <w:tblInd w:w="0" w:type="dxa"/>
        <w:tblCellMar>
          <w:top w:w="28" w:type="dxa"/>
          <w:left w:w="28" w:type="dxa"/>
          <w:bottom w:w="28" w:type="dxa"/>
          <w:right w:w="28" w:type="dxa"/>
        </w:tblCellMar>
      </w:tblPr>
      <w:tblGrid>
        <w:gridCol w:w="3271"/>
        <w:gridCol w:w="146"/>
        <w:gridCol w:w="146"/>
        <w:gridCol w:w="841"/>
        <w:gridCol w:w="166"/>
        <w:gridCol w:w="146"/>
        <w:gridCol w:w="146"/>
        <w:gridCol w:w="781"/>
        <w:gridCol w:w="146"/>
        <w:gridCol w:w="146"/>
        <w:gridCol w:w="229"/>
        <w:gridCol w:w="159"/>
        <w:gridCol w:w="622"/>
        <w:gridCol w:w="159"/>
        <w:gridCol w:w="159"/>
        <w:gridCol w:w="229"/>
        <w:gridCol w:w="159"/>
        <w:gridCol w:w="622"/>
        <w:gridCol w:w="191"/>
      </w:tblGrid>
      <w:tr>
        <w:trPr/>
        <w:tc>
          <w:tcPr>
            <w:tcW w:w="3271"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841" w:type="dxa"/>
            <w:tcBorders/>
            <w:shd w:fill="auto" w:val="clear"/>
            <w:vAlign w:val="center"/>
          </w:tcPr>
          <w:p>
            <w:pPr>
              <w:pStyle w:val="TableContents"/>
              <w:spacing w:before="0" w:after="283"/>
              <w:rPr>
                <w:sz w:val="4"/>
                <w:szCs w:val="4"/>
              </w:rPr>
            </w:pPr>
            <w:r>
              <w:rPr>
                <w:sz w:val="4"/>
                <w:szCs w:val="4"/>
              </w:rPr>
            </w:r>
          </w:p>
        </w:tc>
        <w:tc>
          <w:tcPr>
            <w:tcW w:w="16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781"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29" w:type="dxa"/>
            <w:tcBorders/>
            <w:shd w:fill="auto" w:val="clear"/>
            <w:vAlign w:val="center"/>
          </w:tcPr>
          <w:p>
            <w:pPr>
              <w:pStyle w:val="TableContents"/>
              <w:spacing w:before="0" w:after="283"/>
              <w:rPr>
                <w:sz w:val="4"/>
                <w:szCs w:val="4"/>
              </w:rPr>
            </w:pPr>
            <w:r>
              <w:rPr>
                <w:sz w:val="4"/>
                <w:szCs w:val="4"/>
              </w:rPr>
            </w:r>
          </w:p>
        </w:tc>
        <w:tc>
          <w:tcPr>
            <w:tcW w:w="159" w:type="dxa"/>
            <w:tcBorders/>
            <w:shd w:fill="auto" w:val="clear"/>
            <w:vAlign w:val="center"/>
          </w:tcPr>
          <w:p>
            <w:pPr>
              <w:pStyle w:val="TableContents"/>
              <w:spacing w:before="0" w:after="283"/>
              <w:rPr>
                <w:sz w:val="4"/>
                <w:szCs w:val="4"/>
              </w:rPr>
            </w:pPr>
            <w:r>
              <w:rPr>
                <w:sz w:val="4"/>
                <w:szCs w:val="4"/>
              </w:rPr>
            </w:r>
          </w:p>
        </w:tc>
        <w:tc>
          <w:tcPr>
            <w:tcW w:w="622" w:type="dxa"/>
            <w:tcBorders/>
            <w:shd w:fill="auto" w:val="clear"/>
            <w:vAlign w:val="center"/>
          </w:tcPr>
          <w:p>
            <w:pPr>
              <w:pStyle w:val="TableContents"/>
              <w:spacing w:before="0" w:after="283"/>
              <w:rPr>
                <w:sz w:val="4"/>
                <w:szCs w:val="4"/>
              </w:rPr>
            </w:pPr>
            <w:r>
              <w:rPr>
                <w:sz w:val="4"/>
                <w:szCs w:val="4"/>
              </w:rPr>
            </w:r>
          </w:p>
        </w:tc>
        <w:tc>
          <w:tcPr>
            <w:tcW w:w="159" w:type="dxa"/>
            <w:tcBorders/>
            <w:shd w:fill="auto" w:val="clear"/>
            <w:vAlign w:val="center"/>
          </w:tcPr>
          <w:p>
            <w:pPr>
              <w:pStyle w:val="TableContents"/>
              <w:spacing w:before="0" w:after="283"/>
              <w:rPr>
                <w:sz w:val="4"/>
                <w:szCs w:val="4"/>
              </w:rPr>
            </w:pPr>
            <w:r>
              <w:rPr>
                <w:sz w:val="4"/>
                <w:szCs w:val="4"/>
              </w:rPr>
            </w:r>
          </w:p>
        </w:tc>
        <w:tc>
          <w:tcPr>
            <w:tcW w:w="159" w:type="dxa"/>
            <w:tcBorders/>
            <w:shd w:fill="auto" w:val="clear"/>
            <w:vAlign w:val="center"/>
          </w:tcPr>
          <w:p>
            <w:pPr>
              <w:pStyle w:val="TableContents"/>
              <w:spacing w:before="0" w:after="283"/>
              <w:rPr>
                <w:sz w:val="4"/>
                <w:szCs w:val="4"/>
              </w:rPr>
            </w:pPr>
            <w:r>
              <w:rPr>
                <w:sz w:val="4"/>
                <w:szCs w:val="4"/>
              </w:rPr>
            </w:r>
          </w:p>
        </w:tc>
        <w:tc>
          <w:tcPr>
            <w:tcW w:w="229" w:type="dxa"/>
            <w:tcBorders/>
            <w:shd w:fill="auto" w:val="clear"/>
            <w:vAlign w:val="center"/>
          </w:tcPr>
          <w:p>
            <w:pPr>
              <w:pStyle w:val="TableContents"/>
              <w:spacing w:before="0" w:after="283"/>
              <w:rPr>
                <w:sz w:val="4"/>
                <w:szCs w:val="4"/>
              </w:rPr>
            </w:pPr>
            <w:r>
              <w:rPr>
                <w:sz w:val="4"/>
                <w:szCs w:val="4"/>
              </w:rPr>
            </w:r>
          </w:p>
        </w:tc>
        <w:tc>
          <w:tcPr>
            <w:tcW w:w="159" w:type="dxa"/>
            <w:tcBorders/>
            <w:shd w:fill="auto" w:val="clear"/>
            <w:vAlign w:val="center"/>
          </w:tcPr>
          <w:p>
            <w:pPr>
              <w:pStyle w:val="TableContents"/>
              <w:spacing w:before="0" w:after="283"/>
              <w:rPr>
                <w:sz w:val="4"/>
                <w:szCs w:val="4"/>
              </w:rPr>
            </w:pPr>
            <w:r>
              <w:rPr>
                <w:sz w:val="4"/>
                <w:szCs w:val="4"/>
              </w:rPr>
            </w:r>
          </w:p>
        </w:tc>
        <w:tc>
          <w:tcPr>
            <w:tcW w:w="622" w:type="dxa"/>
            <w:tcBorders/>
            <w:shd w:fill="auto" w:val="clear"/>
            <w:vAlign w:val="center"/>
          </w:tcPr>
          <w:p>
            <w:pPr>
              <w:pStyle w:val="TableContents"/>
              <w:spacing w:before="0" w:after="283"/>
              <w:rPr>
                <w:sz w:val="4"/>
                <w:szCs w:val="4"/>
              </w:rPr>
            </w:pPr>
            <w:r>
              <w:rPr>
                <w:sz w:val="4"/>
                <w:szCs w:val="4"/>
              </w:rPr>
            </w:r>
          </w:p>
        </w:tc>
        <w:tc>
          <w:tcPr>
            <w:tcW w:w="191" w:type="dxa"/>
            <w:tcBorders/>
            <w:shd w:fill="auto" w:val="clear"/>
            <w:vAlign w:val="center"/>
          </w:tcPr>
          <w:p>
            <w:pPr>
              <w:pStyle w:val="TableContents"/>
              <w:spacing w:before="0" w:after="283"/>
              <w:rPr>
                <w:sz w:val="4"/>
                <w:szCs w:val="4"/>
              </w:rPr>
            </w:pPr>
            <w:r>
              <w:rPr>
                <w:sz w:val="4"/>
                <w:szCs w:val="4"/>
              </w:rPr>
            </w:r>
          </w:p>
        </w:tc>
      </w:tr>
      <w:tr>
        <w:trPr/>
        <w:tc>
          <w:tcPr>
            <w:tcW w:w="327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226" w:type="dxa"/>
            <w:gridSpan w:val="6"/>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Number of Awards</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338" w:type="dxa"/>
            <w:gridSpan w:val="8"/>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Weighted Average Grant Date</w:t>
              <w:br/>
              <w:t>Fair Value Per Share</w:t>
            </w:r>
          </w:p>
        </w:tc>
        <w:tc>
          <w:tcPr>
            <w:tcW w:w="1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327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987"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2023</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927"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2022</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29"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781"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2023</w:t>
            </w:r>
          </w:p>
        </w:tc>
        <w:tc>
          <w:tcPr>
            <w:tcW w:w="159"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59" w:type="dxa"/>
            <w:tcBorders/>
            <w:shd w:fill="auto" w:val="clear"/>
            <w:vAlign w:val="center"/>
          </w:tcPr>
          <w:p>
            <w:pPr>
              <w:pStyle w:val="TableContents"/>
              <w:spacing w:before="0" w:after="0"/>
              <w:ind w:left="0" w:right="0" w:hanging="0"/>
              <w:jc w:val="left"/>
              <w:rPr/>
            </w:pPr>
            <w:r>
              <w:rPr/>
              <w:t> </w:t>
            </w:r>
          </w:p>
        </w:tc>
        <w:tc>
          <w:tcPr>
            <w:tcW w:w="229"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781"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2022</w:t>
            </w:r>
          </w:p>
        </w:tc>
        <w:tc>
          <w:tcPr>
            <w:tcW w:w="1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327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PSUs outstanding, beginning of period</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84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931,716</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78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613,405</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29"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59" w:type="dxa"/>
            <w:tcBorders/>
            <w:shd w:fill="auto" w:val="clear"/>
            <w:vAlign w:val="center"/>
          </w:tcPr>
          <w:p>
            <w:pPr>
              <w:pStyle w:val="TableContents"/>
              <w:spacing w:before="0" w:after="0"/>
              <w:ind w:left="0" w:right="0" w:hanging="0"/>
              <w:jc w:val="left"/>
              <w:rPr/>
            </w:pPr>
            <w:r>
              <w:rPr/>
              <w:t> </w:t>
            </w:r>
          </w:p>
        </w:tc>
        <w:tc>
          <w:tcPr>
            <w:tcW w:w="622"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18.96</w:t>
            </w:r>
          </w:p>
        </w:tc>
        <w:tc>
          <w:tcPr>
            <w:tcW w:w="159" w:type="dxa"/>
            <w:tcBorders/>
            <w:shd w:fill="auto" w:val="clear"/>
            <w:vAlign w:val="center"/>
          </w:tcPr>
          <w:p>
            <w:pPr>
              <w:pStyle w:val="TableContents"/>
              <w:spacing w:before="0" w:after="0"/>
              <w:ind w:left="0" w:right="0" w:hanging="0"/>
              <w:jc w:val="left"/>
              <w:rPr/>
            </w:pPr>
            <w:r>
              <w:rPr/>
              <w:t> </w:t>
            </w:r>
          </w:p>
        </w:tc>
        <w:tc>
          <w:tcPr>
            <w:tcW w:w="159" w:type="dxa"/>
            <w:tcBorders/>
            <w:shd w:fill="auto" w:val="clear"/>
            <w:vAlign w:val="center"/>
          </w:tcPr>
          <w:p>
            <w:pPr>
              <w:pStyle w:val="TableContents"/>
              <w:spacing w:before="0" w:after="0"/>
              <w:ind w:left="0" w:right="0" w:hanging="0"/>
              <w:jc w:val="left"/>
              <w:rPr/>
            </w:pPr>
            <w:r>
              <w:rPr/>
              <w:t> </w:t>
            </w:r>
          </w:p>
        </w:tc>
        <w:tc>
          <w:tcPr>
            <w:tcW w:w="229"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59" w:type="dxa"/>
            <w:tcBorders/>
            <w:shd w:fill="auto" w:val="clear"/>
            <w:vAlign w:val="center"/>
          </w:tcPr>
          <w:p>
            <w:pPr>
              <w:pStyle w:val="TableContents"/>
              <w:spacing w:before="0" w:after="0"/>
              <w:ind w:left="0" w:right="0" w:hanging="0"/>
              <w:jc w:val="left"/>
              <w:rPr/>
            </w:pPr>
            <w:r>
              <w:rPr/>
              <w:t> </w:t>
            </w:r>
          </w:p>
        </w:tc>
        <w:tc>
          <w:tcPr>
            <w:tcW w:w="622"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18.21</w:t>
            </w:r>
          </w:p>
        </w:tc>
        <w:tc>
          <w:tcPr>
            <w:tcW w:w="191" w:type="dxa"/>
            <w:tcBorders/>
            <w:shd w:fill="auto" w:val="clear"/>
            <w:vAlign w:val="center"/>
          </w:tcPr>
          <w:p>
            <w:pPr>
              <w:pStyle w:val="TableContents"/>
              <w:spacing w:before="0" w:after="0"/>
              <w:ind w:left="0" w:right="0" w:hanging="0"/>
              <w:jc w:val="left"/>
              <w:rPr/>
            </w:pPr>
            <w:r>
              <w:rPr/>
              <w:t> </w:t>
            </w:r>
          </w:p>
        </w:tc>
      </w:tr>
      <w:tr>
        <w:trPr/>
        <w:tc>
          <w:tcPr>
            <w:tcW w:w="3271" w:type="dxa"/>
            <w:tcBorders/>
            <w:shd w:fill="auto" w:val="clear"/>
            <w:vAlign w:val="center"/>
          </w:tcPr>
          <w:p>
            <w:pPr>
              <w:pStyle w:val="TableContents"/>
              <w:spacing w:before="0" w:after="0"/>
              <w:ind w:left="0" w:right="0" w:hanging="0"/>
              <w:jc w:val="left"/>
              <w:rPr>
                <w:rFonts w:ascii="Times New Roman" w:hAnsi="Times New Roman"/>
                <w:sz w:val="20"/>
              </w:rPr>
            </w:pPr>
            <w:r>
              <w:rPr>
                <w:rFonts w:ascii="Times New Roman;serif" w:hAnsi="Times New Roman;serif"/>
                <w:b w:val="false"/>
                <w:sz w:val="20"/>
              </w:rPr>
              <w:t>Granted</w:t>
            </w:r>
            <w:r>
              <w:rPr>
                <w:rFonts w:ascii="Times New Roman;serif" w:hAnsi="Times New Roman;serif"/>
                <w:b w:val="false"/>
                <w:sz w:val="13"/>
              </w:rPr>
              <w:t>(1)</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84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580,118</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78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359,138</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29" w:type="dxa"/>
            <w:tcBorders/>
            <w:shd w:fill="auto" w:val="clear"/>
            <w:vAlign w:val="center"/>
          </w:tcPr>
          <w:p>
            <w:pPr>
              <w:pStyle w:val="TableContents"/>
              <w:spacing w:before="0" w:after="0"/>
              <w:ind w:left="0" w:right="0" w:hanging="0"/>
              <w:jc w:val="left"/>
              <w:rPr/>
            </w:pPr>
            <w:r>
              <w:rPr/>
              <w:t> </w:t>
            </w:r>
          </w:p>
        </w:tc>
        <w:tc>
          <w:tcPr>
            <w:tcW w:w="159" w:type="dxa"/>
            <w:tcBorders/>
            <w:shd w:fill="auto" w:val="clear"/>
            <w:vAlign w:val="center"/>
          </w:tcPr>
          <w:p>
            <w:pPr>
              <w:pStyle w:val="TableContents"/>
              <w:spacing w:before="0" w:after="0"/>
              <w:ind w:left="0" w:right="0" w:hanging="0"/>
              <w:jc w:val="left"/>
              <w:rPr/>
            </w:pPr>
            <w:r>
              <w:rPr/>
              <w:t> </w:t>
            </w:r>
          </w:p>
        </w:tc>
        <w:tc>
          <w:tcPr>
            <w:tcW w:w="622"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17.68</w:t>
            </w:r>
          </w:p>
        </w:tc>
        <w:tc>
          <w:tcPr>
            <w:tcW w:w="159" w:type="dxa"/>
            <w:tcBorders/>
            <w:shd w:fill="auto" w:val="clear"/>
            <w:vAlign w:val="center"/>
          </w:tcPr>
          <w:p>
            <w:pPr>
              <w:pStyle w:val="TableContents"/>
              <w:spacing w:before="0" w:after="0"/>
              <w:ind w:left="0" w:right="0" w:hanging="0"/>
              <w:jc w:val="left"/>
              <w:rPr/>
            </w:pPr>
            <w:r>
              <w:rPr/>
              <w:t> </w:t>
            </w:r>
          </w:p>
        </w:tc>
        <w:tc>
          <w:tcPr>
            <w:tcW w:w="159" w:type="dxa"/>
            <w:tcBorders/>
            <w:shd w:fill="auto" w:val="clear"/>
            <w:vAlign w:val="center"/>
          </w:tcPr>
          <w:p>
            <w:pPr>
              <w:pStyle w:val="TableContents"/>
              <w:spacing w:before="0" w:after="0"/>
              <w:ind w:left="0" w:right="0" w:hanging="0"/>
              <w:jc w:val="left"/>
              <w:rPr/>
            </w:pPr>
            <w:r>
              <w:rPr/>
              <w:t> </w:t>
            </w:r>
          </w:p>
        </w:tc>
        <w:tc>
          <w:tcPr>
            <w:tcW w:w="229" w:type="dxa"/>
            <w:tcBorders/>
            <w:shd w:fill="auto" w:val="clear"/>
            <w:vAlign w:val="center"/>
          </w:tcPr>
          <w:p>
            <w:pPr>
              <w:pStyle w:val="TableContents"/>
              <w:spacing w:before="0" w:after="0"/>
              <w:ind w:left="0" w:right="0" w:hanging="0"/>
              <w:jc w:val="left"/>
              <w:rPr/>
            </w:pPr>
            <w:r>
              <w:rPr/>
              <w:t> </w:t>
            </w:r>
          </w:p>
        </w:tc>
        <w:tc>
          <w:tcPr>
            <w:tcW w:w="159" w:type="dxa"/>
            <w:tcBorders/>
            <w:shd w:fill="auto" w:val="clear"/>
            <w:vAlign w:val="center"/>
          </w:tcPr>
          <w:p>
            <w:pPr>
              <w:pStyle w:val="TableContents"/>
              <w:spacing w:before="0" w:after="0"/>
              <w:ind w:left="0" w:right="0" w:hanging="0"/>
              <w:jc w:val="left"/>
              <w:rPr/>
            </w:pPr>
            <w:r>
              <w:rPr/>
              <w:t> </w:t>
            </w:r>
          </w:p>
        </w:tc>
        <w:tc>
          <w:tcPr>
            <w:tcW w:w="622"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20.34</w:t>
            </w:r>
          </w:p>
        </w:tc>
        <w:tc>
          <w:tcPr>
            <w:tcW w:w="191" w:type="dxa"/>
            <w:tcBorders/>
            <w:shd w:fill="auto" w:val="clear"/>
            <w:vAlign w:val="center"/>
          </w:tcPr>
          <w:p>
            <w:pPr>
              <w:pStyle w:val="TableContents"/>
              <w:spacing w:before="0" w:after="0"/>
              <w:ind w:left="0" w:right="0" w:hanging="0"/>
              <w:jc w:val="left"/>
              <w:rPr/>
            </w:pPr>
            <w:r>
              <w:rPr/>
              <w:t> </w:t>
            </w:r>
          </w:p>
        </w:tc>
      </w:tr>
      <w:tr>
        <w:trPr/>
        <w:tc>
          <w:tcPr>
            <w:tcW w:w="327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Forfeited</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84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(208,648</w:t>
            </w:r>
          </w:p>
        </w:tc>
        <w:tc>
          <w:tcPr>
            <w:tcW w:w="16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781"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29" w:type="dxa"/>
            <w:tcBorders/>
            <w:shd w:fill="auto" w:val="clear"/>
            <w:vAlign w:val="center"/>
          </w:tcPr>
          <w:p>
            <w:pPr>
              <w:pStyle w:val="TableContents"/>
              <w:spacing w:before="0" w:after="0"/>
              <w:ind w:left="0" w:right="0" w:hanging="0"/>
              <w:jc w:val="left"/>
              <w:rPr/>
            </w:pPr>
            <w:r>
              <w:rPr/>
              <w:t> </w:t>
            </w:r>
          </w:p>
        </w:tc>
        <w:tc>
          <w:tcPr>
            <w:tcW w:w="159" w:type="dxa"/>
            <w:tcBorders/>
            <w:shd w:fill="auto" w:val="clear"/>
            <w:vAlign w:val="center"/>
          </w:tcPr>
          <w:p>
            <w:pPr>
              <w:pStyle w:val="TableContents"/>
              <w:spacing w:before="0" w:after="0"/>
              <w:ind w:left="0" w:right="0" w:hanging="0"/>
              <w:jc w:val="left"/>
              <w:rPr/>
            </w:pPr>
            <w:r>
              <w:rPr/>
              <w:t> </w:t>
            </w:r>
          </w:p>
        </w:tc>
        <w:tc>
          <w:tcPr>
            <w:tcW w:w="622"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18.09</w:t>
            </w:r>
          </w:p>
        </w:tc>
        <w:tc>
          <w:tcPr>
            <w:tcW w:w="159" w:type="dxa"/>
            <w:tcBorders/>
            <w:shd w:fill="auto" w:val="clear"/>
            <w:vAlign w:val="center"/>
          </w:tcPr>
          <w:p>
            <w:pPr>
              <w:pStyle w:val="TableContents"/>
              <w:spacing w:before="0" w:after="0"/>
              <w:ind w:left="0" w:right="0" w:hanging="0"/>
              <w:jc w:val="left"/>
              <w:rPr/>
            </w:pPr>
            <w:r>
              <w:rPr/>
              <w:t> </w:t>
            </w:r>
          </w:p>
        </w:tc>
        <w:tc>
          <w:tcPr>
            <w:tcW w:w="159" w:type="dxa"/>
            <w:tcBorders/>
            <w:shd w:fill="auto" w:val="clear"/>
            <w:vAlign w:val="center"/>
          </w:tcPr>
          <w:p>
            <w:pPr>
              <w:pStyle w:val="TableContents"/>
              <w:spacing w:before="0" w:after="0"/>
              <w:ind w:left="0" w:right="0" w:hanging="0"/>
              <w:jc w:val="left"/>
              <w:rPr/>
            </w:pPr>
            <w:r>
              <w:rPr/>
              <w:t> </w:t>
            </w:r>
          </w:p>
        </w:tc>
        <w:tc>
          <w:tcPr>
            <w:tcW w:w="229" w:type="dxa"/>
            <w:tcBorders/>
            <w:shd w:fill="auto" w:val="clear"/>
            <w:vAlign w:val="center"/>
          </w:tcPr>
          <w:p>
            <w:pPr>
              <w:pStyle w:val="TableContents"/>
              <w:spacing w:before="0" w:after="0"/>
              <w:ind w:left="0" w:right="0" w:hanging="0"/>
              <w:jc w:val="left"/>
              <w:rPr/>
            </w:pPr>
            <w:r>
              <w:rPr/>
              <w:t> </w:t>
            </w:r>
          </w:p>
        </w:tc>
        <w:tc>
          <w:tcPr>
            <w:tcW w:w="159" w:type="dxa"/>
            <w:tcBorders/>
            <w:shd w:fill="auto" w:val="clear"/>
            <w:vAlign w:val="center"/>
          </w:tcPr>
          <w:p>
            <w:pPr>
              <w:pStyle w:val="TableContents"/>
              <w:spacing w:before="0" w:after="0"/>
              <w:ind w:left="0" w:right="0" w:hanging="0"/>
              <w:jc w:val="left"/>
              <w:rPr/>
            </w:pPr>
            <w:r>
              <w:rPr/>
              <w:t> </w:t>
            </w:r>
          </w:p>
        </w:tc>
        <w:tc>
          <w:tcPr>
            <w:tcW w:w="622" w:type="dxa"/>
            <w:tcBorders/>
            <w:shd w:fill="auto" w:val="clear"/>
            <w:vAlign w:val="center"/>
          </w:tcPr>
          <w:p>
            <w:pPr>
              <w:pStyle w:val="TableContents"/>
              <w:spacing w:before="0" w:after="0"/>
              <w:ind w:left="0" w:right="0" w:hanging="0"/>
              <w:jc w:val="right"/>
              <w:rPr/>
            </w:pPr>
            <w:r>
              <w:rPr/>
              <w:t>—</w:t>
            </w:r>
          </w:p>
        </w:tc>
        <w:tc>
          <w:tcPr>
            <w:tcW w:w="191" w:type="dxa"/>
            <w:tcBorders/>
            <w:shd w:fill="auto" w:val="clear"/>
            <w:vAlign w:val="center"/>
          </w:tcPr>
          <w:p>
            <w:pPr>
              <w:pStyle w:val="TableContents"/>
              <w:spacing w:before="0" w:after="0"/>
              <w:ind w:left="0" w:right="0" w:hanging="0"/>
              <w:jc w:val="left"/>
              <w:rPr/>
            </w:pPr>
            <w:r>
              <w:rPr/>
              <w:t> </w:t>
            </w:r>
          </w:p>
        </w:tc>
      </w:tr>
      <w:tr>
        <w:trPr/>
        <w:tc>
          <w:tcPr>
            <w:tcW w:w="3271" w:type="dxa"/>
            <w:tcBorders/>
            <w:shd w:fill="auto" w:val="clear"/>
            <w:vAlign w:val="center"/>
          </w:tcPr>
          <w:p>
            <w:pPr>
              <w:pStyle w:val="TableContents"/>
              <w:spacing w:before="0" w:after="0"/>
              <w:ind w:left="0" w:right="0" w:hanging="0"/>
              <w:jc w:val="left"/>
              <w:rPr>
                <w:rFonts w:ascii="Times New Roman" w:hAnsi="Times New Roman"/>
                <w:sz w:val="20"/>
              </w:rPr>
            </w:pPr>
            <w:r>
              <w:rPr>
                <w:rFonts w:ascii="Times New Roman;serif" w:hAnsi="Times New Roman;serif"/>
                <w:b w:val="false"/>
                <w:sz w:val="20"/>
              </w:rPr>
              <w:t>Vested and settled</w:t>
            </w:r>
            <w:r>
              <w:rPr>
                <w:rFonts w:ascii="Times New Roman;serif" w:hAnsi="Times New Roman;serif"/>
                <w:b w:val="false"/>
                <w:sz w:val="13"/>
              </w:rPr>
              <w:t>(1)</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84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(368,602</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shd w:fill="auto" w:val="clear"/>
            <w:vAlign w:val="center"/>
          </w:tcPr>
          <w:p>
            <w:pPr>
              <w:pStyle w:val="TableContents"/>
              <w:spacing w:before="0" w:after="0"/>
              <w:ind w:left="0" w:right="0" w:hanging="0"/>
              <w:jc w:val="righ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78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pPr>
            <w:r>
              <w:rPr/>
              <w:t>—</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29" w:type="dxa"/>
            <w:tcBorders/>
            <w:shd w:fill="auto" w:val="clear"/>
            <w:vAlign w:val="center"/>
          </w:tcPr>
          <w:p>
            <w:pPr>
              <w:pStyle w:val="TableContents"/>
              <w:spacing w:before="0" w:after="0"/>
              <w:ind w:left="0" w:right="0" w:hanging="0"/>
              <w:jc w:val="left"/>
              <w:rPr/>
            </w:pPr>
            <w:r>
              <w:rPr/>
              <w:t> </w:t>
            </w:r>
          </w:p>
        </w:tc>
        <w:tc>
          <w:tcPr>
            <w:tcW w:w="159" w:type="dxa"/>
            <w:tcBorders/>
            <w:shd w:fill="auto" w:val="clear"/>
            <w:vAlign w:val="center"/>
          </w:tcPr>
          <w:p>
            <w:pPr>
              <w:pStyle w:val="TableContents"/>
              <w:spacing w:before="0" w:after="0"/>
              <w:ind w:left="0" w:right="0" w:hanging="0"/>
              <w:jc w:val="left"/>
              <w:rPr/>
            </w:pPr>
            <w:r>
              <w:rPr/>
              <w:t> </w:t>
            </w:r>
          </w:p>
        </w:tc>
        <w:tc>
          <w:tcPr>
            <w:tcW w:w="622"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16.92</w:t>
            </w:r>
          </w:p>
        </w:tc>
        <w:tc>
          <w:tcPr>
            <w:tcW w:w="159" w:type="dxa"/>
            <w:tcBorders/>
            <w:shd w:fill="auto" w:val="clear"/>
            <w:vAlign w:val="center"/>
          </w:tcPr>
          <w:p>
            <w:pPr>
              <w:pStyle w:val="TableContents"/>
              <w:spacing w:before="0" w:after="0"/>
              <w:ind w:left="0" w:right="0" w:hanging="0"/>
              <w:jc w:val="left"/>
              <w:rPr/>
            </w:pPr>
            <w:r>
              <w:rPr/>
              <w:t> </w:t>
            </w:r>
          </w:p>
        </w:tc>
        <w:tc>
          <w:tcPr>
            <w:tcW w:w="159" w:type="dxa"/>
            <w:tcBorders/>
            <w:shd w:fill="auto" w:val="clear"/>
            <w:vAlign w:val="center"/>
          </w:tcPr>
          <w:p>
            <w:pPr>
              <w:pStyle w:val="TableContents"/>
              <w:spacing w:before="0" w:after="0"/>
              <w:ind w:left="0" w:right="0" w:hanging="0"/>
              <w:jc w:val="left"/>
              <w:rPr/>
            </w:pPr>
            <w:r>
              <w:rPr/>
              <w:t> </w:t>
            </w:r>
          </w:p>
        </w:tc>
        <w:tc>
          <w:tcPr>
            <w:tcW w:w="229" w:type="dxa"/>
            <w:tcBorders/>
            <w:shd w:fill="auto" w:val="clear"/>
            <w:vAlign w:val="center"/>
          </w:tcPr>
          <w:p>
            <w:pPr>
              <w:pStyle w:val="TableContents"/>
              <w:spacing w:before="0" w:after="0"/>
              <w:ind w:left="0" w:right="0" w:hanging="0"/>
              <w:jc w:val="left"/>
              <w:rPr/>
            </w:pPr>
            <w:r>
              <w:rPr/>
              <w:t> </w:t>
            </w:r>
          </w:p>
        </w:tc>
        <w:tc>
          <w:tcPr>
            <w:tcW w:w="159" w:type="dxa"/>
            <w:tcBorders/>
            <w:shd w:fill="auto" w:val="clear"/>
            <w:vAlign w:val="center"/>
          </w:tcPr>
          <w:p>
            <w:pPr>
              <w:pStyle w:val="TableContents"/>
              <w:spacing w:before="0" w:after="0"/>
              <w:ind w:left="0" w:right="0" w:hanging="0"/>
              <w:jc w:val="left"/>
              <w:rPr/>
            </w:pPr>
            <w:r>
              <w:rPr/>
              <w:t> </w:t>
            </w:r>
          </w:p>
        </w:tc>
        <w:tc>
          <w:tcPr>
            <w:tcW w:w="622" w:type="dxa"/>
            <w:tcBorders/>
            <w:shd w:fill="auto" w:val="clear"/>
            <w:vAlign w:val="center"/>
          </w:tcPr>
          <w:p>
            <w:pPr>
              <w:pStyle w:val="TableContents"/>
              <w:spacing w:before="0" w:after="0"/>
              <w:ind w:left="0" w:right="0" w:hanging="0"/>
              <w:jc w:val="right"/>
              <w:rPr/>
            </w:pPr>
            <w:r>
              <w:rPr/>
              <w:t>—</w:t>
            </w:r>
          </w:p>
        </w:tc>
        <w:tc>
          <w:tcPr>
            <w:tcW w:w="191" w:type="dxa"/>
            <w:tcBorders/>
            <w:shd w:fill="auto" w:val="clear"/>
            <w:vAlign w:val="center"/>
          </w:tcPr>
          <w:p>
            <w:pPr>
              <w:pStyle w:val="TableContents"/>
              <w:spacing w:before="0" w:after="0"/>
              <w:ind w:left="0" w:right="0" w:hanging="0"/>
              <w:jc w:val="left"/>
              <w:rPr/>
            </w:pPr>
            <w:r>
              <w:rPr/>
              <w:t> </w:t>
            </w:r>
          </w:p>
        </w:tc>
      </w:tr>
      <w:tr>
        <w:trPr/>
        <w:tc>
          <w:tcPr>
            <w:tcW w:w="327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PSUs outstanding, end of period</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84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934,584</w:t>
            </w:r>
          </w:p>
        </w:tc>
        <w:tc>
          <w:tcPr>
            <w:tcW w:w="16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78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972,543</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29" w:type="dxa"/>
            <w:tcBorders/>
            <w:shd w:fill="auto" w:val="clear"/>
            <w:vAlign w:val="center"/>
          </w:tcPr>
          <w:p>
            <w:pPr>
              <w:pStyle w:val="TableContents"/>
              <w:spacing w:before="0" w:after="0"/>
              <w:ind w:left="0" w:right="0" w:hanging="0"/>
              <w:jc w:val="left"/>
              <w:rPr/>
            </w:pPr>
            <w:r>
              <w:rPr/>
              <w:t> </w:t>
            </w:r>
          </w:p>
        </w:tc>
        <w:tc>
          <w:tcPr>
            <w:tcW w:w="159" w:type="dxa"/>
            <w:tcBorders/>
            <w:shd w:fill="auto" w:val="clear"/>
            <w:vAlign w:val="center"/>
          </w:tcPr>
          <w:p>
            <w:pPr>
              <w:pStyle w:val="TableContents"/>
              <w:spacing w:before="0" w:after="0"/>
              <w:ind w:left="0" w:right="0" w:hanging="0"/>
              <w:jc w:val="left"/>
              <w:rPr/>
            </w:pPr>
            <w:r>
              <w:rPr/>
              <w:t> </w:t>
            </w:r>
          </w:p>
        </w:tc>
        <w:tc>
          <w:tcPr>
            <w:tcW w:w="622"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19.16</w:t>
            </w:r>
          </w:p>
        </w:tc>
        <w:tc>
          <w:tcPr>
            <w:tcW w:w="159" w:type="dxa"/>
            <w:tcBorders/>
            <w:shd w:fill="auto" w:val="clear"/>
            <w:vAlign w:val="center"/>
          </w:tcPr>
          <w:p>
            <w:pPr>
              <w:pStyle w:val="TableContents"/>
              <w:spacing w:before="0" w:after="0"/>
              <w:ind w:left="0" w:right="0" w:hanging="0"/>
              <w:jc w:val="left"/>
              <w:rPr/>
            </w:pPr>
            <w:r>
              <w:rPr/>
              <w:t> </w:t>
            </w:r>
          </w:p>
        </w:tc>
        <w:tc>
          <w:tcPr>
            <w:tcW w:w="159" w:type="dxa"/>
            <w:tcBorders/>
            <w:shd w:fill="auto" w:val="clear"/>
            <w:vAlign w:val="center"/>
          </w:tcPr>
          <w:p>
            <w:pPr>
              <w:pStyle w:val="TableContents"/>
              <w:spacing w:before="0" w:after="0"/>
              <w:ind w:left="0" w:right="0" w:hanging="0"/>
              <w:jc w:val="left"/>
              <w:rPr/>
            </w:pPr>
            <w:r>
              <w:rPr/>
              <w:t> </w:t>
            </w:r>
          </w:p>
        </w:tc>
        <w:tc>
          <w:tcPr>
            <w:tcW w:w="229" w:type="dxa"/>
            <w:tcBorders/>
            <w:shd w:fill="auto" w:val="clear"/>
            <w:vAlign w:val="center"/>
          </w:tcPr>
          <w:p>
            <w:pPr>
              <w:pStyle w:val="TableContents"/>
              <w:spacing w:before="0" w:after="0"/>
              <w:ind w:left="0" w:right="0" w:hanging="0"/>
              <w:jc w:val="left"/>
              <w:rPr/>
            </w:pPr>
            <w:r>
              <w:rPr/>
              <w:t> </w:t>
            </w:r>
          </w:p>
        </w:tc>
        <w:tc>
          <w:tcPr>
            <w:tcW w:w="159" w:type="dxa"/>
            <w:tcBorders/>
            <w:shd w:fill="auto" w:val="clear"/>
            <w:vAlign w:val="center"/>
          </w:tcPr>
          <w:p>
            <w:pPr>
              <w:pStyle w:val="TableContents"/>
              <w:spacing w:before="0" w:after="0"/>
              <w:ind w:left="0" w:right="0" w:hanging="0"/>
              <w:jc w:val="left"/>
              <w:rPr/>
            </w:pPr>
            <w:r>
              <w:rPr/>
              <w:t> </w:t>
            </w:r>
          </w:p>
        </w:tc>
        <w:tc>
          <w:tcPr>
            <w:tcW w:w="622"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19.00</w:t>
            </w:r>
          </w:p>
        </w:tc>
        <w:tc>
          <w:tcPr>
            <w:tcW w:w="191" w:type="dxa"/>
            <w:tcBorders/>
            <w:shd w:fill="auto" w:val="clear"/>
            <w:vAlign w:val="center"/>
          </w:tcPr>
          <w:p>
            <w:pPr>
              <w:pStyle w:val="TableContents"/>
              <w:spacing w:before="0" w:after="0"/>
              <w:ind w:left="0" w:right="0" w:hanging="0"/>
              <w:jc w:val="left"/>
              <w:rPr/>
            </w:pPr>
            <w:r>
              <w:rPr/>
              <w:t> </w:t>
            </w:r>
          </w:p>
        </w:tc>
      </w:tr>
    </w:tbl>
    <w:p>
      <w:pPr>
        <w:pStyle w:val="TextBody"/>
        <w:pBdr>
          <w:bottom w:val="single" w:sz="4" w:space="1" w:color="000000"/>
        </w:pBdr>
        <w:spacing w:before="0" w:after="0"/>
        <w:jc w:val="left"/>
        <w:rPr/>
      </w:pPr>
      <w:r>
        <w:rPr/>
        <w:t> </w:t>
      </w:r>
    </w:p>
    <w:p>
      <w:pPr>
        <w:pStyle w:val="TextBody"/>
        <w:spacing w:before="200" w:after="0"/>
        <w:jc w:val="both"/>
        <w:rPr>
          <w:rFonts w:ascii="Times New Roman" w:hAnsi="Times New Roman"/>
          <w:b w:val="false"/>
          <w:sz w:val="20"/>
        </w:rPr>
      </w:pPr>
      <w:r>
        <w:rPr>
          <w:rFonts w:ascii="Times New Roman" w:hAnsi="Times New Roman"/>
          <w:b w:val="false"/>
          <w:sz w:val="20"/>
        </w:rPr>
        <w:t>(1)</w:t>
      </w:r>
    </w:p>
    <w:p>
      <w:pPr>
        <w:pStyle w:val="TextBody"/>
        <w:spacing w:before="200" w:after="283"/>
        <w:jc w:val="both"/>
        <w:rPr>
          <w:rFonts w:ascii="Times New Roman;serif" w:hAnsi="Times New Roman;serif"/>
          <w:sz w:val="20"/>
        </w:rPr>
      </w:pPr>
      <w:r>
        <w:rPr>
          <w:rFonts w:ascii="Times New Roman;serif" w:hAnsi="Times New Roman;serif"/>
          <w:b w:val="false"/>
          <w:sz w:val="20"/>
        </w:rPr>
        <w:t>For the three months ended March 31, 2023, the balance of shares granted includes 157,963</w:t>
      </w:r>
      <w:r>
        <w:rPr>
          <w:rFonts w:ascii="Times New Roman;serif" w:hAnsi="Times New Roman;serif"/>
          <w:sz w:val="20"/>
        </w:rPr>
        <w:t xml:space="preserve"> </w:t>
      </w:r>
      <w:r>
        <w:rPr>
          <w:rFonts w:ascii="Times New Roman;serif" w:hAnsi="Times New Roman;serif"/>
          <w:b w:val="false"/>
          <w:sz w:val="20"/>
        </w:rPr>
        <w:t xml:space="preserve">additional shares, at a weighted average grant date fair value per share of $16.92, as PSUs granted in 2020 with EBITDA-based targets vested at 175% on account of full achievement of the targets. This performance adjustment in the first quarter of 2023 reflects the Company's performance assessment of its first PSU awards. </w:t>
      </w:r>
    </w:p>
    <w:p>
      <w:pPr>
        <w:pStyle w:val="TextBody"/>
        <w:spacing w:before="0" w:after="0"/>
        <w:jc w:val="both"/>
        <w:rPr>
          <w:rFonts w:ascii="Times New Roman;serif" w:hAnsi="Times New Roman;serif"/>
          <w:b w:val="false"/>
          <w:sz w:val="20"/>
        </w:rPr>
      </w:pPr>
      <w:r>
        <w:rPr>
          <w:rFonts w:ascii="Times New Roman;serif" w:hAnsi="Times New Roman;serif"/>
          <w:b w:val="false"/>
          <w:sz w:val="20"/>
        </w:rPr>
        <w:t>As of March 31, 2023, the maximum number of shares of common stock that may be issued with respect to PSUs outstanding is 1,635,522, assuming full achievement of the EBITDA and TSR targets.</w:t>
      </w:r>
    </w:p>
    <w:p>
      <w:pPr>
        <w:pStyle w:val="TextBody"/>
        <w:spacing w:before="200" w:after="0"/>
        <w:jc w:val="both"/>
        <w:rPr>
          <w:rFonts w:ascii="Times New Roman" w:hAnsi="Times New Roman"/>
          <w:b/>
          <w:i/>
          <w:sz w:val="20"/>
        </w:rPr>
      </w:pPr>
      <w:r>
        <w:rPr>
          <w:rFonts w:ascii="Times New Roman" w:hAnsi="Times New Roman"/>
          <w:b/>
          <w:i/>
          <w:sz w:val="20"/>
        </w:rPr>
        <w:t>(b)</w:t>
      </w:r>
    </w:p>
    <w:p>
      <w:pPr>
        <w:pStyle w:val="TextBody"/>
        <w:spacing w:before="200" w:after="283"/>
        <w:jc w:val="both"/>
        <w:rPr>
          <w:rFonts w:ascii="Times New Roman;serif" w:hAnsi="Times New Roman;serif"/>
          <w:b/>
          <w:i/>
          <w:sz w:val="20"/>
        </w:rPr>
      </w:pPr>
      <w:r>
        <w:rPr>
          <w:rFonts w:ascii="Times New Roman;serif" w:hAnsi="Times New Roman;serif"/>
          <w:b/>
          <w:i/>
          <w:sz w:val="20"/>
        </w:rPr>
        <w:t>Issuer Purchases of Equity Securities</w:t>
      </w:r>
    </w:p>
    <w:p>
      <w:pPr>
        <w:pStyle w:val="TextBody"/>
        <w:spacing w:before="200" w:after="0"/>
        <w:jc w:val="both"/>
        <w:rPr>
          <w:rFonts w:ascii="Times New Roman" w:hAnsi="Times New Roman"/>
          <w:sz w:val="20"/>
        </w:rPr>
      </w:pPr>
      <w:r>
        <w:rPr>
          <w:rFonts w:ascii="Times New Roman;serif" w:hAnsi="Times New Roman;serif"/>
          <w:b w:val="false"/>
          <w:sz w:val="20"/>
        </w:rPr>
        <w:t>In 2022, the Company’s Board of Directors approved a 12-month extension to its share repurchase program through June 30, 2023</w:t>
      </w:r>
      <w:r>
        <w:rPr>
          <w:rFonts w:ascii="Times New Roman;serif" w:hAnsi="Times New Roman;serif"/>
          <w:sz w:val="20"/>
        </w:rPr>
        <w:t xml:space="preserve"> </w:t>
      </w:r>
      <w:r>
        <w:rPr>
          <w:rFonts w:ascii="Times New Roman;serif" w:hAnsi="Times New Roman;serif"/>
          <w:b w:val="false"/>
          <w:sz w:val="20"/>
        </w:rPr>
        <w:t>and an increase of $200.0</w:t>
      </w:r>
      <w:r>
        <w:rPr>
          <w:rFonts w:ascii="Times New Roman;serif" w:hAnsi="Times New Roman;serif"/>
          <w:sz w:val="20"/>
        </w:rPr>
        <w:t xml:space="preserve"> </w:t>
      </w:r>
      <w:r>
        <w:rPr>
          <w:rFonts w:ascii="Times New Roman;serif" w:hAnsi="Times New Roman;serif"/>
          <w:b w:val="false"/>
          <w:sz w:val="20"/>
        </w:rPr>
        <w:t>million in the share repurchase program. With</w:t>
      </w:r>
      <w:r>
        <w:rPr>
          <w:rFonts w:ascii="Times New Roman;serif" w:hAnsi="Times New Roman;serif"/>
          <w:sz w:val="20"/>
        </w:rPr>
        <w:t xml:space="preserve"> </w:t>
      </w:r>
      <w:r>
        <w:rPr>
          <w:rFonts w:ascii="Times New Roman;serif" w:hAnsi="Times New Roman;serif"/>
          <w:b w:val="false"/>
          <w:sz w:val="20"/>
        </w:rPr>
        <w:t>the increase of $200.0</w:t>
      </w:r>
      <w:r>
        <w:rPr>
          <w:rFonts w:ascii="Times New Roman;serif" w:hAnsi="Times New Roman;serif"/>
          <w:sz w:val="20"/>
        </w:rPr>
        <w:t xml:space="preserve"> </w:t>
      </w:r>
      <w:r>
        <w:rPr>
          <w:rFonts w:ascii="Times New Roman;serif" w:hAnsi="Times New Roman;serif"/>
          <w:b w:val="false"/>
          <w:sz w:val="20"/>
        </w:rPr>
        <w:t>million, the Company</w:t>
      </w:r>
      <w:r>
        <w:rPr>
          <w:rFonts w:ascii="Times New Roman;serif" w:hAnsi="Times New Roman;serif"/>
          <w:sz w:val="20"/>
        </w:rPr>
        <w:t>’</w:t>
      </w:r>
      <w:r>
        <w:rPr>
          <w:rFonts w:ascii="Times New Roman;serif" w:hAnsi="Times New Roman;serif"/>
          <w:b w:val="false"/>
          <w:sz w:val="20"/>
        </w:rPr>
        <w:t>s total share repurchase authority is $400.0</w:t>
      </w:r>
      <w:r>
        <w:rPr>
          <w:rFonts w:ascii="Times New Roman;serif" w:hAnsi="Times New Roman;serif"/>
          <w:sz w:val="20"/>
        </w:rPr>
        <w:t xml:space="preserve"> </w:t>
      </w:r>
      <w:r>
        <w:rPr>
          <w:rFonts w:ascii="Times New Roman;serif" w:hAnsi="Times New Roman;serif"/>
          <w:b w:val="false"/>
          <w:sz w:val="20"/>
        </w:rPr>
        <w:t>million under the current share repurchase program. As of March 31, 2023, the Company has $191.8</w:t>
      </w:r>
      <w:r>
        <w:rPr>
          <w:rFonts w:ascii="Times New Roman;serif" w:hAnsi="Times New Roman;serif"/>
          <w:sz w:val="20"/>
        </w:rPr>
        <w:t xml:space="preserve"> </w:t>
      </w:r>
      <w:r>
        <w:rPr>
          <w:rFonts w:ascii="Times New Roman;serif" w:hAnsi="Times New Roman;serif"/>
          <w:b w:val="false"/>
          <w:sz w:val="20"/>
        </w:rPr>
        <w:t>million available under its approved repurchased program. The repurchases may be made either in the open market or through private transactions, including repurchases made pursuant a plan intended to comply with Rule 10b5-1 under the Securities Exchange Act of 1934, as amended, subject to market conditions, applicable legal requirements, and other relevant factors. The Company has no obligation to repurchase shares and the share repurchase program may be suspended or discontinued by the Company at any time.</w:t>
      </w:r>
      <w:r>
        <w:rPr>
          <w:rFonts w:ascii="Times New Roman" w:hAnsi="Times New Roman"/>
          <w:sz w:val="20"/>
        </w:rPr>
        <w:t xml:space="preserve"> </w:t>
      </w:r>
    </w:p>
    <w:p>
      <w:pPr>
        <w:pStyle w:val="TextBody"/>
        <w:spacing w:before="200" w:after="0"/>
        <w:jc w:val="both"/>
        <w:rPr>
          <w:rFonts w:ascii="Times New Roman" w:hAnsi="Times New Roman"/>
          <w:sz w:val="20"/>
        </w:rPr>
      </w:pPr>
      <w:r>
        <w:rPr>
          <w:rFonts w:ascii="Times New Roman;serif" w:hAnsi="Times New Roman;serif"/>
          <w:b w:val="false"/>
          <w:sz w:val="20"/>
        </w:rPr>
        <w:t>During the three months ended March 31, 2023, the Company repurchased 109,477</w:t>
      </w:r>
      <w:r>
        <w:rPr>
          <w:rFonts w:ascii="Times New Roman" w:hAnsi="Times New Roman"/>
          <w:sz w:val="20"/>
        </w:rPr>
        <w:t xml:space="preserve"> </w:t>
      </w:r>
      <w:r>
        <w:rPr>
          <w:rFonts w:ascii="Times New Roman;serif" w:hAnsi="Times New Roman;serif"/>
          <w:b w:val="false"/>
          <w:sz w:val="20"/>
        </w:rPr>
        <w:t>common shares, at an average price of $14.87</w:t>
      </w:r>
      <w:r>
        <w:rPr>
          <w:rFonts w:ascii="Times New Roman" w:hAnsi="Times New Roman"/>
          <w:sz w:val="20"/>
        </w:rPr>
        <w:t xml:space="preserve"> </w:t>
      </w:r>
      <w:r>
        <w:rPr>
          <w:rFonts w:ascii="Times New Roman;serif" w:hAnsi="Times New Roman;serif"/>
          <w:b w:val="false"/>
          <w:sz w:val="20"/>
        </w:rPr>
        <w:t>per share, for a total of $1.6</w:t>
      </w:r>
      <w:r>
        <w:rPr>
          <w:rFonts w:ascii="Times New Roman" w:hAnsi="Times New Roman"/>
          <w:sz w:val="20"/>
        </w:rPr>
        <w:t xml:space="preserve"> </w:t>
      </w:r>
      <w:r>
        <w:rPr>
          <w:rFonts w:ascii="Times New Roman;serif" w:hAnsi="Times New Roman;serif"/>
          <w:b w:val="false"/>
          <w:sz w:val="20"/>
        </w:rPr>
        <w:t>million, excluding commissions. The repurchases for the three months ended March 31, 2023</w:t>
      </w:r>
      <w:r>
        <w:rPr>
          <w:rFonts w:ascii="Times New Roman" w:hAnsi="Times New Roman"/>
          <w:sz w:val="20"/>
        </w:rPr>
        <w:t xml:space="preserve"> </w:t>
      </w:r>
      <w:r>
        <w:rPr>
          <w:rFonts w:ascii="Times New Roman;serif" w:hAnsi="Times New Roman;serif"/>
          <w:b w:val="false"/>
          <w:sz w:val="20"/>
        </w:rPr>
        <w:t>excludes repurchases of 140,000</w:t>
      </w:r>
      <w:r>
        <w:rPr>
          <w:rFonts w:ascii="Times New Roman" w:hAnsi="Times New Roman"/>
          <w:sz w:val="20"/>
        </w:rPr>
        <w:t xml:space="preserve"> </w:t>
      </w:r>
      <w:r>
        <w:rPr>
          <w:rFonts w:ascii="Times New Roman;serif" w:hAnsi="Times New Roman;serif"/>
          <w:b w:val="false"/>
          <w:sz w:val="20"/>
        </w:rPr>
        <w:t>shares with trade dates in December 2022, which were settled in January 2023 at an average price of $14.45</w:t>
      </w:r>
      <w:r>
        <w:rPr>
          <w:rFonts w:ascii="Times New Roman" w:hAnsi="Times New Roman"/>
          <w:sz w:val="20"/>
        </w:rPr>
        <w:t xml:space="preserve"> </w:t>
      </w:r>
      <w:r>
        <w:rPr>
          <w:rFonts w:ascii="Times New Roman;serif" w:hAnsi="Times New Roman;serif"/>
          <w:b w:val="false"/>
          <w:sz w:val="20"/>
        </w:rPr>
        <w:t>per share, for a total of $2.0</w:t>
      </w:r>
      <w:r>
        <w:rPr>
          <w:rFonts w:ascii="Times New Roman" w:hAnsi="Times New Roman"/>
          <w:sz w:val="20"/>
        </w:rPr>
        <w:t xml:space="preserve"> </w:t>
      </w:r>
      <w:r>
        <w:rPr>
          <w:rFonts w:ascii="Times New Roman;serif" w:hAnsi="Times New Roman;serif"/>
          <w:b w:val="false"/>
          <w:sz w:val="20"/>
        </w:rPr>
        <w:t>million, excluding commissions. During the three months ended March 31, 2022, the Company repurchased 380,652</w:t>
      </w:r>
      <w:r>
        <w:rPr>
          <w:rFonts w:ascii="Times New Roman" w:hAnsi="Times New Roman"/>
          <w:sz w:val="20"/>
        </w:rPr>
        <w:t xml:space="preserve"> </w:t>
      </w:r>
      <w:r>
        <w:rPr>
          <w:rFonts w:ascii="Times New Roman;serif" w:hAnsi="Times New Roman;serif"/>
          <w:b w:val="false"/>
          <w:sz w:val="20"/>
        </w:rPr>
        <w:t>common shares, at an average price of $16.45</w:t>
      </w:r>
      <w:r>
        <w:rPr>
          <w:rFonts w:ascii="Times New Roman" w:hAnsi="Times New Roman"/>
          <w:sz w:val="20"/>
        </w:rPr>
        <w:t xml:space="preserve"> </w:t>
      </w:r>
      <w:r>
        <w:rPr>
          <w:rFonts w:ascii="Times New Roman;serif" w:hAnsi="Times New Roman;serif"/>
          <w:b w:val="false"/>
          <w:sz w:val="20"/>
        </w:rPr>
        <w:t>per share, for a total of $6.3</w:t>
      </w:r>
      <w:r>
        <w:rPr>
          <w:rFonts w:ascii="Times New Roman" w:hAnsi="Times New Roman"/>
          <w:sz w:val="20"/>
        </w:rPr>
        <w:t xml:space="preserve"> </w:t>
      </w:r>
      <w:r>
        <w:rPr>
          <w:rFonts w:ascii="Times New Roman;serif" w:hAnsi="Times New Roman;serif"/>
          <w:b w:val="false"/>
          <w:sz w:val="20"/>
        </w:rPr>
        <w:t>million, excluding commissions. During the three months ended March 31, 2023 and 2022, there were no</w:t>
      </w:r>
      <w:r>
        <w:rPr>
          <w:rFonts w:ascii="Times New Roman" w:hAnsi="Times New Roman"/>
          <w:sz w:val="20"/>
        </w:rPr>
        <w:t xml:space="preserve"> </w:t>
      </w:r>
      <w:r>
        <w:rPr>
          <w:rFonts w:ascii="Times New Roman;serif" w:hAnsi="Times New Roman;serif"/>
          <w:b w:val="false"/>
          <w:sz w:val="20"/>
        </w:rPr>
        <w:t>shares purchases in the administration of employee share based plans.</w:t>
      </w:r>
    </w:p>
    <w:p>
      <w:pPr>
        <w:pStyle w:val="TextBody"/>
        <w:spacing w:before="200" w:after="0"/>
        <w:jc w:val="both"/>
        <w:rPr>
          <w:rFonts w:ascii="Times New Roman;serif" w:hAnsi="Times New Roman;serif"/>
          <w:b w:val="false"/>
          <w:sz w:val="20"/>
        </w:rPr>
      </w:pPr>
      <w:r>
        <w:rPr>
          <w:rFonts w:ascii="Times New Roman;serif" w:hAnsi="Times New Roman;serif"/>
          <w:b w:val="false"/>
          <w:sz w:val="20"/>
        </w:rPr>
        <w:t>As of March 31, 2023 and December 31, 2022, the IMAX LTIP trustee did not hold any shares. Any shares held with the trustee are recorded at cost and are reported as a reduction against Capital Stock on the Company’s Condensed Consolidated Balance Sheets.</w:t>
      </w:r>
    </w:p>
    <w:p>
      <w:pPr>
        <w:pStyle w:val="TextBody"/>
        <w:spacing w:before="200" w:after="0"/>
        <w:jc w:val="both"/>
        <w:rPr>
          <w:rFonts w:ascii="Times New Roman;serif" w:hAnsi="Times New Roman;serif"/>
          <w:sz w:val="20"/>
        </w:rPr>
      </w:pPr>
      <w:r>
        <w:rPr>
          <w:rFonts w:ascii="Times New Roman;serif" w:hAnsi="Times New Roman;serif"/>
          <w:b w:val="false"/>
          <w:sz w:val="20"/>
        </w:rPr>
        <w:t>In 2022, IMAX China Holding, Inc. (“IMAX China”)’s shareholders granted its Board of Directors a general mandate authorizing the Board, subject to applicable laws, to repurchase shares of IMAX China not to exceed 10% of the total number of issued shares as of June 23, 2022</w:t>
      </w:r>
      <w:r>
        <w:rPr>
          <w:rFonts w:ascii="Times New Roman;serif" w:hAnsi="Times New Roman;serif"/>
          <w:sz w:val="20"/>
        </w:rPr>
        <w:t xml:space="preserve"> </w:t>
      </w:r>
      <w:r>
        <w:rPr>
          <w:rFonts w:ascii="Times New Roman;serif" w:hAnsi="Times New Roman;serif"/>
          <w:b w:val="false"/>
          <w:sz w:val="20"/>
        </w:rPr>
        <w:t>(34,063,480</w:t>
      </w:r>
      <w:r>
        <w:rPr>
          <w:rFonts w:ascii="Times New Roman;serif" w:hAnsi="Times New Roman;serif"/>
          <w:sz w:val="20"/>
        </w:rPr>
        <w:t xml:space="preserve"> </w:t>
      </w:r>
      <w:r>
        <w:rPr>
          <w:rFonts w:ascii="Times New Roman;serif" w:hAnsi="Times New Roman;serif"/>
          <w:b w:val="false"/>
          <w:sz w:val="20"/>
        </w:rPr>
        <w:t>shares). This program will be valid until the 2023 Annual General Meeting of IMAX China on June 6, 2023. The repurchases may be made in the open market or through other means permitted by applicable laws. IMAX China has no obligation to repurchase its shares and the share repurchase program may be suspended or discontinued by IMAX China at any time.</w:t>
      </w:r>
    </w:p>
    <w:p>
      <w:pPr>
        <w:pStyle w:val="TextBody"/>
        <w:spacing w:before="240" w:after="0"/>
        <w:jc w:val="center"/>
        <w:rPr>
          <w:rFonts w:ascii="Times New Roman;serif" w:hAnsi="Times New Roman;serif"/>
          <w:b w:val="false"/>
          <w:sz w:val="20"/>
        </w:rPr>
      </w:pPr>
      <w:r>
        <w:rPr>
          <w:rFonts w:ascii="Times New Roman;serif" w:hAnsi="Times New Roman;serif"/>
          <w:b w:val="false"/>
          <w:sz w:val="20"/>
        </w:rPr>
        <w:t>30</w:t>
      </w:r>
    </w:p>
    <w:p>
      <w:pPr>
        <w:pStyle w:val="HorizontalLine"/>
        <w:rPr/>
      </w:pPr>
      <w:r>
        <w:rPr/>
      </w:r>
    </w:p>
    <w:p>
      <w:pPr>
        <w:pStyle w:val="TextBody"/>
        <w:spacing w:before="0" w:after="0"/>
        <w:jc w:val="left"/>
        <w:rPr/>
      </w:pPr>
      <w:r>
        <w:rPr/>
        <w:t> </w:t>
      </w:r>
    </w:p>
    <w:p>
      <w:pPr>
        <w:pStyle w:val="TextBody"/>
        <w:spacing w:before="200" w:after="0"/>
        <w:jc w:val="both"/>
        <w:rPr>
          <w:rFonts w:ascii="Times New Roman" w:hAnsi="Times New Roman"/>
          <w:sz w:val="20"/>
        </w:rPr>
      </w:pPr>
      <w:r>
        <w:rPr>
          <w:rFonts w:ascii="Times New Roman;serif" w:hAnsi="Times New Roman;serif"/>
          <w:b w:val="false"/>
          <w:sz w:val="20"/>
        </w:rPr>
        <w:t>During the three months ended March 31, 2023, IMAX China did not repurchase any common shares. During the three months ended March 31, 2022, IMAX China repurchased 1,448,000</w:t>
      </w:r>
      <w:r>
        <w:rPr>
          <w:rFonts w:ascii="Times New Roman" w:hAnsi="Times New Roman"/>
          <w:sz w:val="20"/>
        </w:rPr>
        <w:t xml:space="preserve"> </w:t>
      </w:r>
      <w:r>
        <w:rPr>
          <w:rFonts w:ascii="Times New Roman;serif" w:hAnsi="Times New Roman;serif"/>
          <w:b w:val="false"/>
          <w:sz w:val="20"/>
        </w:rPr>
        <w:t>common shares, at an average price of HKD 9.89</w:t>
      </w:r>
      <w:r>
        <w:rPr>
          <w:rFonts w:ascii="Times New Roman" w:hAnsi="Times New Roman"/>
          <w:sz w:val="20"/>
        </w:rPr>
        <w:t xml:space="preserve"> </w:t>
      </w:r>
      <w:r>
        <w:rPr>
          <w:rFonts w:ascii="Times New Roman;serif" w:hAnsi="Times New Roman;serif"/>
          <w:b w:val="false"/>
          <w:sz w:val="20"/>
        </w:rPr>
        <w:t>per share, ($1.26</w:t>
      </w:r>
      <w:r>
        <w:rPr>
          <w:rFonts w:ascii="Times New Roman" w:hAnsi="Times New Roman"/>
          <w:sz w:val="20"/>
        </w:rPr>
        <w:t xml:space="preserve"> </w:t>
      </w:r>
      <w:r>
        <w:rPr>
          <w:rFonts w:ascii="Times New Roman;serif" w:hAnsi="Times New Roman;serif"/>
          <w:b w:val="false"/>
          <w:sz w:val="20"/>
        </w:rPr>
        <w:t>per share) for a total of HKD 14.3</w:t>
      </w:r>
      <w:r>
        <w:rPr>
          <w:rFonts w:ascii="Times New Roman" w:hAnsi="Times New Roman"/>
          <w:sz w:val="20"/>
        </w:rPr>
        <w:t xml:space="preserve"> </w:t>
      </w:r>
      <w:r>
        <w:rPr>
          <w:rFonts w:ascii="Times New Roman;serif" w:hAnsi="Times New Roman;serif"/>
          <w:b w:val="false"/>
          <w:sz w:val="20"/>
        </w:rPr>
        <w:t>million</w:t>
      </w:r>
      <w:r>
        <w:rPr>
          <w:rFonts w:ascii="Times New Roman" w:hAnsi="Times New Roman"/>
          <w:sz w:val="20"/>
        </w:rPr>
        <w:t xml:space="preserve"> </w:t>
      </w:r>
      <w:r>
        <w:rPr>
          <w:rFonts w:ascii="Times New Roman;serif" w:hAnsi="Times New Roman;serif"/>
          <w:b w:val="false"/>
          <w:sz w:val="20"/>
        </w:rPr>
        <w:t>($1.8</w:t>
      </w:r>
      <w:r>
        <w:rPr>
          <w:rFonts w:ascii="Times New Roman" w:hAnsi="Times New Roman"/>
          <w:sz w:val="20"/>
        </w:rPr>
        <w:t xml:space="preserve"> </w:t>
      </w:r>
      <w:r>
        <w:rPr>
          <w:rFonts w:ascii="Times New Roman;serif" w:hAnsi="Times New Roman;serif"/>
          <w:b w:val="false"/>
          <w:sz w:val="20"/>
        </w:rPr>
        <w:t>million). During the three months ended March 31, 2023 and 2022, there were no</w:t>
      </w:r>
      <w:r>
        <w:rPr>
          <w:rFonts w:ascii="Times New Roman" w:hAnsi="Times New Roman"/>
          <w:sz w:val="20"/>
        </w:rPr>
        <w:t xml:space="preserve"> </w:t>
      </w:r>
      <w:r>
        <w:rPr>
          <w:rFonts w:ascii="Times New Roman;serif" w:hAnsi="Times New Roman;serif"/>
          <w:b w:val="false"/>
          <w:sz w:val="20"/>
        </w:rPr>
        <w:t>shares purchases in the administration of employee share based plans. The change in the non-controlling interest attributable to IMAX China as a result of common shares repurchased is recorded as a reduction to Non-Controlling Interests in the Condensed Consolidated Balance Sheets and the Condensed Consolidated Statements of Shareholders’ Equity. The difference between the consideration paid and the ownership interest obtained as a result of IMAX China share repurchases is recorded within Other Equity in the Condensed Consolidated Balance Sheets and the Condensed Consolidated Statements of Shareholders’ Equity.</w:t>
      </w:r>
    </w:p>
    <w:p>
      <w:pPr>
        <w:pStyle w:val="TextBody"/>
        <w:spacing w:before="200" w:after="0"/>
        <w:jc w:val="both"/>
        <w:rPr>
          <w:rFonts w:ascii="Times New Roman" w:hAnsi="Times New Roman"/>
          <w:b/>
          <w:i/>
          <w:sz w:val="20"/>
        </w:rPr>
      </w:pPr>
      <w:r>
        <w:rPr>
          <w:rFonts w:ascii="Times New Roman" w:hAnsi="Times New Roman"/>
          <w:b/>
          <w:i/>
          <w:sz w:val="20"/>
        </w:rPr>
        <w:t>(c)</w:t>
      </w:r>
    </w:p>
    <w:p>
      <w:pPr>
        <w:pStyle w:val="TextBody"/>
        <w:spacing w:before="200" w:after="283"/>
        <w:jc w:val="both"/>
        <w:rPr>
          <w:rFonts w:ascii="Times New Roman;serif" w:hAnsi="Times New Roman;serif"/>
          <w:b/>
          <w:i/>
          <w:sz w:val="20"/>
        </w:rPr>
      </w:pPr>
      <w:r>
        <w:rPr>
          <w:rFonts w:ascii="Times New Roman;serif" w:hAnsi="Times New Roman;serif"/>
          <w:b/>
          <w:i/>
          <w:sz w:val="20"/>
        </w:rPr>
        <w:t xml:space="preserve">Basic and Diluted Weighted Average Shares Outstanding </w:t>
      </w:r>
    </w:p>
    <w:p>
      <w:pPr>
        <w:pStyle w:val="TextBody"/>
        <w:spacing w:before="200" w:after="0"/>
        <w:jc w:val="both"/>
        <w:rPr>
          <w:rFonts w:ascii="Times New Roman;serif" w:hAnsi="Times New Roman;serif"/>
          <w:b w:val="false"/>
          <w:sz w:val="20"/>
        </w:rPr>
      </w:pPr>
      <w:r>
        <w:rPr>
          <w:rFonts w:ascii="Times New Roman;serif" w:hAnsi="Times New Roman;serif"/>
          <w:b w:val="false"/>
          <w:sz w:val="20"/>
        </w:rPr>
        <w:t>The following table reconciles the denominator of the basic and diluted weighted average share computations:</w:t>
      </w:r>
    </w:p>
    <w:p>
      <w:pPr>
        <w:pStyle w:val="TextBody"/>
        <w:spacing w:before="0" w:after="0"/>
        <w:jc w:val="both"/>
        <w:rPr/>
      </w:pPr>
      <w:r>
        <w:rPr/>
        <w:t> </w:t>
      </w:r>
    </w:p>
    <w:tbl>
      <w:tblPr>
        <w:tblW w:w="8017" w:type="dxa"/>
        <w:jc w:val="left"/>
        <w:tblInd w:w="0" w:type="dxa"/>
        <w:tblCellMar>
          <w:top w:w="28" w:type="dxa"/>
          <w:left w:w="28" w:type="dxa"/>
          <w:bottom w:w="28" w:type="dxa"/>
          <w:right w:w="28" w:type="dxa"/>
        </w:tblCellMar>
      </w:tblPr>
      <w:tblGrid>
        <w:gridCol w:w="5266"/>
        <w:gridCol w:w="146"/>
        <w:gridCol w:w="146"/>
        <w:gridCol w:w="676"/>
        <w:gridCol w:w="166"/>
        <w:gridCol w:w="146"/>
        <w:gridCol w:w="146"/>
        <w:gridCol w:w="146"/>
        <w:gridCol w:w="146"/>
        <w:gridCol w:w="676"/>
        <w:gridCol w:w="166"/>
        <w:gridCol w:w="191"/>
      </w:tblGrid>
      <w:tr>
        <w:trPr/>
        <w:tc>
          <w:tcPr>
            <w:tcW w:w="526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676" w:type="dxa"/>
            <w:tcBorders/>
            <w:shd w:fill="auto" w:val="clear"/>
            <w:vAlign w:val="center"/>
          </w:tcPr>
          <w:p>
            <w:pPr>
              <w:pStyle w:val="TableContents"/>
              <w:spacing w:before="0" w:after="283"/>
              <w:rPr>
                <w:sz w:val="4"/>
                <w:szCs w:val="4"/>
              </w:rPr>
            </w:pPr>
            <w:r>
              <w:rPr>
                <w:sz w:val="4"/>
                <w:szCs w:val="4"/>
              </w:rPr>
            </w:r>
          </w:p>
        </w:tc>
        <w:tc>
          <w:tcPr>
            <w:tcW w:w="16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676" w:type="dxa"/>
            <w:tcBorders/>
            <w:shd w:fill="auto" w:val="clear"/>
            <w:vAlign w:val="center"/>
          </w:tcPr>
          <w:p>
            <w:pPr>
              <w:pStyle w:val="TableContents"/>
              <w:spacing w:before="0" w:after="283"/>
              <w:rPr>
                <w:sz w:val="4"/>
                <w:szCs w:val="4"/>
              </w:rPr>
            </w:pPr>
            <w:r>
              <w:rPr>
                <w:sz w:val="4"/>
                <w:szCs w:val="4"/>
              </w:rPr>
            </w:r>
          </w:p>
        </w:tc>
        <w:tc>
          <w:tcPr>
            <w:tcW w:w="166" w:type="dxa"/>
            <w:tcBorders/>
            <w:shd w:fill="auto" w:val="clear"/>
            <w:vAlign w:val="center"/>
          </w:tcPr>
          <w:p>
            <w:pPr>
              <w:pStyle w:val="TableContents"/>
              <w:spacing w:before="0" w:after="283"/>
              <w:rPr>
                <w:sz w:val="4"/>
                <w:szCs w:val="4"/>
              </w:rPr>
            </w:pPr>
            <w:r>
              <w:rPr>
                <w:sz w:val="4"/>
                <w:szCs w:val="4"/>
              </w:rPr>
            </w:r>
          </w:p>
        </w:tc>
        <w:tc>
          <w:tcPr>
            <w:tcW w:w="191" w:type="dxa"/>
            <w:tcBorders/>
            <w:shd w:fill="auto" w:val="clear"/>
            <w:vAlign w:val="center"/>
          </w:tcPr>
          <w:p>
            <w:pPr>
              <w:pStyle w:val="TableContents"/>
              <w:spacing w:before="0" w:after="283"/>
              <w:rPr>
                <w:sz w:val="4"/>
                <w:szCs w:val="4"/>
              </w:rPr>
            </w:pPr>
            <w:r>
              <w:rPr>
                <w:sz w:val="4"/>
                <w:szCs w:val="4"/>
              </w:rPr>
            </w:r>
          </w:p>
        </w:tc>
      </w:tr>
      <w:tr>
        <w:trPr/>
        <w:tc>
          <w:tcPr>
            <w:tcW w:w="5266" w:type="dxa"/>
            <w:tcBorders/>
            <w:shd w:fill="auto" w:val="clear"/>
            <w:vAlign w:val="center"/>
          </w:tcPr>
          <w:p>
            <w:pPr>
              <w:pStyle w:val="TableContents"/>
              <w:spacing w:before="0" w:after="0"/>
              <w:ind w:left="0" w:right="0" w:hanging="0"/>
              <w:jc w:val="left"/>
              <w:rPr/>
            </w:pPr>
            <w:r>
              <w:rPr/>
              <w:t> </w:t>
            </w:r>
          </w:p>
        </w:tc>
        <w:tc>
          <w:tcPr>
            <w:tcW w:w="2394" w:type="dxa"/>
            <w:gridSpan w:val="9"/>
            <w:tcBorders/>
            <w:shd w:fill="auto" w:val="cle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Three Months Ended</w:t>
            </w:r>
          </w:p>
        </w:tc>
        <w:tc>
          <w:tcPr>
            <w:tcW w:w="166" w:type="dxa"/>
            <w:tcBorders/>
            <w:shd w:fill="auto" w:val="clear"/>
            <w:vAlign w:val="center"/>
          </w:tcPr>
          <w:p>
            <w:pPr>
              <w:pStyle w:val="TableContents"/>
              <w:spacing w:before="0" w:after="0"/>
              <w:ind w:left="0" w:right="0" w:hanging="0"/>
              <w:jc w:val="center"/>
              <w:rPr/>
            </w:pPr>
            <w:r>
              <w:rPr/>
              <w:t> </w:t>
            </w:r>
          </w:p>
        </w:tc>
        <w:tc>
          <w:tcPr>
            <w:tcW w:w="191" w:type="dxa"/>
            <w:tcBorders/>
            <w:shd w:fill="auto" w:val="clear"/>
            <w:vAlign w:val="center"/>
          </w:tcPr>
          <w:p>
            <w:pPr>
              <w:pStyle w:val="TableContents"/>
              <w:spacing w:before="0" w:after="0"/>
              <w:ind w:left="0" w:right="0" w:hanging="0"/>
              <w:jc w:val="left"/>
              <w:rPr/>
            </w:pPr>
            <w:r>
              <w:rPr/>
              <w:t> </w:t>
            </w:r>
          </w:p>
        </w:tc>
      </w:tr>
      <w:tr>
        <w:trPr/>
        <w:tc>
          <w:tcPr>
            <w:tcW w:w="5266" w:type="dxa"/>
            <w:tcBorders/>
            <w:shd w:fill="auto" w:val="clear"/>
            <w:vAlign w:val="center"/>
          </w:tcPr>
          <w:p>
            <w:pPr>
              <w:pStyle w:val="TableContents"/>
              <w:spacing w:before="0" w:after="0"/>
              <w:ind w:left="0" w:right="0" w:hanging="0"/>
              <w:jc w:val="left"/>
              <w:rPr/>
            </w:pPr>
            <w:r>
              <w:rPr/>
              <w:t> </w:t>
            </w:r>
          </w:p>
        </w:tc>
        <w:tc>
          <w:tcPr>
            <w:tcW w:w="2394" w:type="dxa"/>
            <w:gridSpan w:val="9"/>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March 31,</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91" w:type="dxa"/>
            <w:tcBorders/>
            <w:shd w:fill="auto" w:val="clear"/>
            <w:vAlign w:val="center"/>
          </w:tcPr>
          <w:p>
            <w:pPr>
              <w:pStyle w:val="TableContents"/>
              <w:spacing w:before="0" w:after="0"/>
              <w:ind w:left="0" w:right="0" w:hanging="0"/>
              <w:jc w:val="left"/>
              <w:rPr/>
            </w:pPr>
            <w:r>
              <w:rPr/>
              <w:t> </w:t>
            </w:r>
          </w:p>
        </w:tc>
      </w:tr>
      <w:tr>
        <w:trPr/>
        <w:tc>
          <w:tcPr>
            <w:tcW w:w="5266" w:type="dxa"/>
            <w:tcBorders/>
            <w:shd w:fill="auto" w:val="clear"/>
            <w:vAlign w:val="center"/>
          </w:tcPr>
          <w:p>
            <w:pPr>
              <w:pStyle w:val="TableContents"/>
              <w:spacing w:before="0" w:after="0"/>
              <w:ind w:left="0" w:right="0" w:hanging="0"/>
              <w:jc w:val="left"/>
              <w:rPr/>
            </w:pPr>
            <w:r>
              <w:rPr/>
              <w:t> </w:t>
            </w:r>
          </w:p>
        </w:tc>
        <w:tc>
          <w:tcPr>
            <w:tcW w:w="968" w:type="dxa"/>
            <w:gridSpan w:val="3"/>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2023</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968" w:type="dxa"/>
            <w:gridSpan w:val="3"/>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2022</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91" w:type="dxa"/>
            <w:tcBorders/>
            <w:shd w:fill="auto" w:val="clear"/>
            <w:vAlign w:val="center"/>
          </w:tcPr>
          <w:p>
            <w:pPr>
              <w:pStyle w:val="TableContents"/>
              <w:spacing w:before="0" w:after="0"/>
              <w:ind w:left="0" w:right="0" w:hanging="0"/>
              <w:jc w:val="left"/>
              <w:rPr/>
            </w:pPr>
            <w:r>
              <w:rPr/>
              <w:t> </w:t>
            </w:r>
          </w:p>
        </w:tc>
      </w:tr>
      <w:tr>
        <w:trPr/>
        <w:tc>
          <w:tcPr>
            <w:tcW w:w="5266" w:type="dxa"/>
            <w:tcBorders/>
            <w:shd w:fill="auto" w:val="clear"/>
            <w:vAlign w:val="center"/>
          </w:tcPr>
          <w:p>
            <w:pPr>
              <w:pStyle w:val="TableContents"/>
              <w:spacing w:before="0" w:after="0"/>
              <w:ind w:left="0" w:right="0" w:hanging="0"/>
              <w:jc w:val="left"/>
              <w:rPr>
                <w:rFonts w:ascii="Times New Roman;serif" w:hAnsi="Times New Roman;serif"/>
                <w:b w:val="false"/>
                <w:i/>
                <w:sz w:val="20"/>
              </w:rPr>
            </w:pPr>
            <w:r>
              <w:rPr>
                <w:rFonts w:ascii="Times New Roman;serif" w:hAnsi="Times New Roman;serif"/>
                <w:b w:val="false"/>
                <w:i/>
                <w:sz w:val="20"/>
              </w:rPr>
              <w:t>(In thousands)</w:t>
            </w:r>
          </w:p>
        </w:tc>
        <w:tc>
          <w:tcPr>
            <w:tcW w:w="146" w:type="dxa"/>
            <w:tcBorders/>
            <w:shd w:fill="auto" w:val="clear"/>
            <w:vAlign w:val="center"/>
          </w:tcPr>
          <w:p>
            <w:pPr>
              <w:pStyle w:val="TableContents"/>
              <w:spacing w:before="0" w:after="0"/>
              <w:ind w:left="0" w:right="0" w:hanging="0"/>
              <w:jc w:val="left"/>
              <w:rPr/>
            </w:pPr>
            <w:r>
              <w:rPr/>
              <w:t> </w:t>
            </w:r>
          </w:p>
        </w:tc>
        <w:tc>
          <w:tcPr>
            <w:tcW w:w="822" w:type="dxa"/>
            <w:gridSpan w:val="2"/>
            <w:tcBorders/>
            <w:shd w:fill="auto" w:val="clear"/>
            <w:vAlign w:val="center"/>
          </w:tcPr>
          <w:p>
            <w:pPr>
              <w:pStyle w:val="TableContents"/>
              <w:spacing w:before="0" w:after="0"/>
              <w:ind w:left="0" w:right="0" w:hanging="0"/>
              <w:jc w:val="right"/>
              <w:rPr/>
            </w:pPr>
            <w:r>
              <w:rPr/>
              <w:t> </w:t>
            </w:r>
          </w:p>
        </w:tc>
        <w:tc>
          <w:tcPr>
            <w:tcW w:w="16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822" w:type="dxa"/>
            <w:gridSpan w:val="2"/>
            <w:tcBorders/>
            <w:shd w:fill="auto" w:val="clear"/>
            <w:vAlign w:val="center"/>
          </w:tcPr>
          <w:p>
            <w:pPr>
              <w:pStyle w:val="TableContents"/>
              <w:spacing w:before="0" w:after="0"/>
              <w:ind w:left="0" w:right="0" w:hanging="0"/>
              <w:jc w:val="right"/>
              <w:rPr/>
            </w:pPr>
            <w:r>
              <w:rPr/>
              <w:t> </w:t>
            </w:r>
          </w:p>
        </w:tc>
        <w:tc>
          <w:tcPr>
            <w:tcW w:w="166" w:type="dxa"/>
            <w:tcBorders/>
            <w:shd w:fill="auto" w:val="clear"/>
            <w:vAlign w:val="center"/>
          </w:tcPr>
          <w:p>
            <w:pPr>
              <w:pStyle w:val="TableContents"/>
              <w:spacing w:before="0" w:after="0"/>
              <w:ind w:left="0" w:right="0" w:hanging="0"/>
              <w:jc w:val="right"/>
              <w:rPr/>
            </w:pPr>
            <w:r>
              <w:rPr/>
              <w:t> </w:t>
            </w:r>
          </w:p>
        </w:tc>
        <w:tc>
          <w:tcPr>
            <w:tcW w:w="191" w:type="dxa"/>
            <w:tcBorders/>
            <w:shd w:fill="auto" w:val="clear"/>
            <w:vAlign w:val="center"/>
          </w:tcPr>
          <w:p>
            <w:pPr>
              <w:pStyle w:val="TableContents"/>
              <w:spacing w:before="0" w:after="0"/>
              <w:ind w:left="0" w:right="0" w:hanging="0"/>
              <w:jc w:val="right"/>
              <w:rPr/>
            </w:pPr>
            <w:r>
              <w:rPr/>
              <w:t> </w:t>
            </w:r>
          </w:p>
        </w:tc>
      </w:tr>
      <w:tr>
        <w:trPr/>
        <w:tc>
          <w:tcPr>
            <w:tcW w:w="526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Issued and outstanding, beginning of period</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67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54,149</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67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58,654</w:t>
            </w:r>
          </w:p>
        </w:tc>
        <w:tc>
          <w:tcPr>
            <w:tcW w:w="166" w:type="dxa"/>
            <w:tcBorders/>
            <w:shd w:fill="auto" w:val="clear"/>
            <w:vAlign w:val="center"/>
          </w:tcPr>
          <w:p>
            <w:pPr>
              <w:pStyle w:val="TableContents"/>
              <w:spacing w:before="0" w:after="0"/>
              <w:ind w:left="0" w:right="0" w:hanging="0"/>
              <w:jc w:val="left"/>
              <w:rPr/>
            </w:pPr>
            <w:r>
              <w:rPr/>
              <w:t> </w:t>
            </w:r>
          </w:p>
        </w:tc>
        <w:tc>
          <w:tcPr>
            <w:tcW w:w="191" w:type="dxa"/>
            <w:tcBorders/>
            <w:shd w:fill="auto" w:val="clear"/>
            <w:vAlign w:val="center"/>
          </w:tcPr>
          <w:p>
            <w:pPr>
              <w:pStyle w:val="TableContents"/>
              <w:spacing w:before="0" w:after="0"/>
              <w:ind w:left="0" w:right="0" w:hanging="0"/>
              <w:jc w:val="right"/>
              <w:rPr/>
            </w:pPr>
            <w:r>
              <w:rPr/>
              <w:t> </w:t>
            </w:r>
          </w:p>
        </w:tc>
      </w:tr>
      <w:tr>
        <w:trPr/>
        <w:tc>
          <w:tcPr>
            <w:tcW w:w="526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Weighted average number of shares repurchased, net</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67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(85</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67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(80</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91" w:type="dxa"/>
            <w:tcBorders/>
            <w:shd w:fill="auto" w:val="clear"/>
            <w:vAlign w:val="center"/>
          </w:tcPr>
          <w:p>
            <w:pPr>
              <w:pStyle w:val="TableContents"/>
              <w:spacing w:before="0" w:after="0"/>
              <w:ind w:left="0" w:right="0" w:hanging="0"/>
              <w:jc w:val="right"/>
              <w:rPr/>
            </w:pPr>
            <w:r>
              <w:rPr/>
              <w:t> </w:t>
            </w:r>
          </w:p>
        </w:tc>
      </w:tr>
      <w:tr>
        <w:trPr/>
        <w:tc>
          <w:tcPr>
            <w:tcW w:w="526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Weighted average number of shares outstanding - basic</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67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54,064</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67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58,574</w:t>
            </w:r>
          </w:p>
        </w:tc>
        <w:tc>
          <w:tcPr>
            <w:tcW w:w="166" w:type="dxa"/>
            <w:tcBorders/>
            <w:shd w:fill="auto" w:val="clear"/>
            <w:vAlign w:val="center"/>
          </w:tcPr>
          <w:p>
            <w:pPr>
              <w:pStyle w:val="TableContents"/>
              <w:spacing w:before="0" w:after="0"/>
              <w:ind w:left="0" w:right="0" w:hanging="0"/>
              <w:jc w:val="left"/>
              <w:rPr/>
            </w:pPr>
            <w:r>
              <w:rPr/>
              <w:t> </w:t>
            </w:r>
          </w:p>
        </w:tc>
        <w:tc>
          <w:tcPr>
            <w:tcW w:w="191" w:type="dxa"/>
            <w:tcBorders/>
            <w:shd w:fill="auto" w:val="clear"/>
            <w:vAlign w:val="center"/>
          </w:tcPr>
          <w:p>
            <w:pPr>
              <w:pStyle w:val="TableContents"/>
              <w:spacing w:before="0" w:after="0"/>
              <w:ind w:left="0" w:right="0" w:hanging="0"/>
              <w:jc w:val="right"/>
              <w:rPr/>
            </w:pPr>
            <w:r>
              <w:rPr/>
              <w:t> </w:t>
            </w:r>
          </w:p>
        </w:tc>
      </w:tr>
      <w:tr>
        <w:trPr/>
        <w:tc>
          <w:tcPr>
            <w:tcW w:w="526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Weighted average effect of potential common shares, if dilutive</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67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927</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67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pPr>
            <w:r>
              <w:rPr/>
              <w:t>—</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91" w:type="dxa"/>
            <w:tcBorders/>
            <w:shd w:fill="auto" w:val="clear"/>
            <w:vAlign w:val="center"/>
          </w:tcPr>
          <w:p>
            <w:pPr>
              <w:pStyle w:val="TableContents"/>
              <w:spacing w:before="0" w:after="0"/>
              <w:ind w:left="0" w:right="0" w:hanging="0"/>
              <w:jc w:val="right"/>
              <w:rPr/>
            </w:pPr>
            <w:r>
              <w:rPr/>
              <w:t> </w:t>
            </w:r>
          </w:p>
        </w:tc>
      </w:tr>
      <w:tr>
        <w:trPr/>
        <w:tc>
          <w:tcPr>
            <w:tcW w:w="526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Weighted average number of shares outstanding - diluted</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67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54,991</w:t>
            </w:r>
          </w:p>
        </w:tc>
        <w:tc>
          <w:tcPr>
            <w:tcW w:w="16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pPr>
            <w:r>
              <w:rPr/>
              <w:t> </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67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58,574</w:t>
            </w:r>
          </w:p>
        </w:tc>
        <w:tc>
          <w:tcPr>
            <w:tcW w:w="16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91" w:type="dxa"/>
            <w:tcBorders/>
            <w:shd w:fill="auto" w:val="clear"/>
            <w:vAlign w:val="center"/>
          </w:tcPr>
          <w:p>
            <w:pPr>
              <w:pStyle w:val="TableContents"/>
              <w:spacing w:before="0" w:after="0"/>
              <w:ind w:left="0" w:right="0" w:hanging="0"/>
              <w:jc w:val="right"/>
              <w:rPr/>
            </w:pPr>
            <w:r>
              <w:rPr/>
              <w:t> </w:t>
            </w:r>
          </w:p>
        </w:tc>
      </w:tr>
    </w:tbl>
    <w:p>
      <w:pPr>
        <w:pStyle w:val="TextBody"/>
        <w:spacing w:before="0" w:after="0"/>
        <w:jc w:val="both"/>
        <w:rPr/>
      </w:pPr>
      <w:r>
        <w:rPr/>
        <w:t> </w:t>
      </w:r>
    </w:p>
    <w:p>
      <w:pPr>
        <w:pStyle w:val="TextBody"/>
        <w:spacing w:before="0" w:after="0"/>
        <w:jc w:val="both"/>
        <w:rPr>
          <w:rFonts w:ascii="Times New Roman" w:hAnsi="Times New Roman"/>
          <w:sz w:val="20"/>
        </w:rPr>
      </w:pPr>
      <w:r>
        <w:rPr>
          <w:rFonts w:ascii="Times New Roman;serif" w:hAnsi="Times New Roman;serif"/>
          <w:b w:val="false"/>
          <w:sz w:val="20"/>
        </w:rPr>
        <w:t>For the three months ended March 31, 2023, the calculation of diluted weighted average shares outstanding excludes 4,260,382</w:t>
      </w:r>
      <w:r>
        <w:rPr>
          <w:rFonts w:ascii="Times New Roman" w:hAnsi="Times New Roman"/>
          <w:sz w:val="20"/>
        </w:rPr>
        <w:t xml:space="preserve"> </w:t>
      </w:r>
      <w:r>
        <w:rPr>
          <w:rFonts w:ascii="Times New Roman;serif" w:hAnsi="Times New Roman;serif"/>
          <w:b w:val="false"/>
          <w:sz w:val="20"/>
        </w:rPr>
        <w:t>shares (2022 — 6,348,736</w:t>
      </w:r>
      <w:r>
        <w:rPr>
          <w:rFonts w:ascii="Times New Roman" w:hAnsi="Times New Roman"/>
          <w:sz w:val="20"/>
        </w:rPr>
        <w:t xml:space="preserve"> </w:t>
      </w:r>
      <w:r>
        <w:rPr>
          <w:rFonts w:ascii="Times New Roman;serif" w:hAnsi="Times New Roman;serif"/>
          <w:b w:val="false"/>
          <w:sz w:val="20"/>
        </w:rPr>
        <w:t>shares) that are issuable upon the vesting or exercise of share-based compensation including: (i) 620,553</w:t>
      </w:r>
      <w:r>
        <w:rPr>
          <w:rFonts w:ascii="Times New Roman" w:hAnsi="Times New Roman"/>
          <w:sz w:val="20"/>
        </w:rPr>
        <w:t xml:space="preserve"> </w:t>
      </w:r>
      <w:r>
        <w:rPr>
          <w:rFonts w:ascii="Times New Roman;serif" w:hAnsi="Times New Roman;serif"/>
          <w:b w:val="false"/>
          <w:sz w:val="20"/>
        </w:rPr>
        <w:t>RSUs (2022 — 1,444,455</w:t>
      </w:r>
      <w:r>
        <w:rPr>
          <w:rFonts w:ascii="Times New Roman" w:hAnsi="Times New Roman"/>
          <w:sz w:val="20"/>
        </w:rPr>
        <w:t xml:space="preserve"> </w:t>
      </w:r>
      <w:r>
        <w:rPr>
          <w:rFonts w:ascii="Times New Roman;serif" w:hAnsi="Times New Roman;serif"/>
          <w:b w:val="false"/>
          <w:sz w:val="20"/>
        </w:rPr>
        <w:t>RSUs), (ii) 179,456</w:t>
      </w:r>
      <w:r>
        <w:rPr>
          <w:rFonts w:ascii="Times New Roman" w:hAnsi="Times New Roman"/>
          <w:sz w:val="20"/>
        </w:rPr>
        <w:t xml:space="preserve"> </w:t>
      </w:r>
      <w:r>
        <w:rPr>
          <w:rFonts w:ascii="Times New Roman;serif" w:hAnsi="Times New Roman;serif"/>
          <w:b w:val="false"/>
          <w:sz w:val="20"/>
        </w:rPr>
        <w:t>PSUs (2022 — 1,296,890</w:t>
      </w:r>
      <w:r>
        <w:rPr>
          <w:rFonts w:ascii="Times New Roman" w:hAnsi="Times New Roman"/>
          <w:sz w:val="20"/>
        </w:rPr>
        <w:t xml:space="preserve"> </w:t>
      </w:r>
      <w:r>
        <w:rPr>
          <w:rFonts w:ascii="Times New Roman;serif" w:hAnsi="Times New Roman;serif"/>
          <w:b w:val="false"/>
          <w:sz w:val="20"/>
        </w:rPr>
        <w:t>PSUs) and (iii) 3,460,373</w:t>
      </w:r>
      <w:r>
        <w:rPr>
          <w:rFonts w:ascii="Times New Roman" w:hAnsi="Times New Roman"/>
          <w:sz w:val="20"/>
        </w:rPr>
        <w:t xml:space="preserve"> </w:t>
      </w:r>
      <w:r>
        <w:rPr>
          <w:rFonts w:ascii="Times New Roman;serif" w:hAnsi="Times New Roman;serif"/>
          <w:b w:val="false"/>
          <w:sz w:val="20"/>
        </w:rPr>
        <w:t>stock options (2022 — 3,607,391</w:t>
      </w:r>
      <w:r>
        <w:rPr>
          <w:rFonts w:ascii="Times New Roman" w:hAnsi="Times New Roman"/>
          <w:sz w:val="20"/>
        </w:rPr>
        <w:t xml:space="preserve"> </w:t>
      </w:r>
      <w:r>
        <w:rPr>
          <w:rFonts w:ascii="Times New Roman;serif" w:hAnsi="Times New Roman;serif"/>
          <w:b w:val="false"/>
          <w:sz w:val="20"/>
        </w:rPr>
        <w:t>stock options), as the effect would be anti-dilutive.</w:t>
      </w:r>
    </w:p>
    <w:p>
      <w:pPr>
        <w:pStyle w:val="TextBody"/>
        <w:spacing w:before="200" w:after="0"/>
        <w:jc w:val="both"/>
        <w:rPr>
          <w:rFonts w:ascii="Times New Roman" w:hAnsi="Times New Roman"/>
          <w:sz w:val="20"/>
        </w:rPr>
      </w:pPr>
      <w:r>
        <w:rPr>
          <w:rFonts w:ascii="Times New Roman;serif" w:hAnsi="Times New Roman;serif"/>
          <w:b w:val="false"/>
          <w:sz w:val="20"/>
        </w:rPr>
        <w:t>The calculation of diluted weighted average shares outstanding for the three months ended March 31, 2023 and 2022 also excludes any shares potentially issuable upon the conversion of the Convertible Notes as the average market price of the Company’s common shares during the period of time they were outstanding was less than the conversion price of the Convertible Notes.</w:t>
      </w:r>
      <w:r>
        <w:rPr>
          <w:rFonts w:ascii="Times New Roman" w:hAnsi="Times New Roman"/>
          <w:sz w:val="20"/>
        </w:rPr>
        <w:t xml:space="preserve"> </w:t>
      </w:r>
    </w:p>
    <w:p>
      <w:pPr>
        <w:pStyle w:val="TextBody"/>
        <w:spacing w:before="200" w:after="0"/>
        <w:jc w:val="both"/>
        <w:rPr>
          <w:rFonts w:ascii="Times New Roman" w:hAnsi="Times New Roman"/>
          <w:b/>
          <w:i/>
          <w:sz w:val="20"/>
        </w:rPr>
      </w:pPr>
      <w:r>
        <w:rPr>
          <w:rFonts w:ascii="Times New Roman" w:hAnsi="Times New Roman"/>
          <w:b/>
          <w:i/>
          <w:sz w:val="20"/>
        </w:rPr>
        <w:t>(d)</w:t>
      </w:r>
    </w:p>
    <w:p>
      <w:pPr>
        <w:pStyle w:val="TextBody"/>
        <w:spacing w:before="200" w:after="283"/>
        <w:jc w:val="both"/>
        <w:rPr>
          <w:rFonts w:ascii="Times New Roman;serif" w:hAnsi="Times New Roman;serif"/>
          <w:b/>
          <w:i/>
          <w:sz w:val="20"/>
        </w:rPr>
      </w:pPr>
      <w:r>
        <w:rPr>
          <w:rFonts w:ascii="Times New Roman;serif" w:hAnsi="Times New Roman;serif"/>
          <w:b/>
          <w:i/>
          <w:sz w:val="20"/>
        </w:rPr>
        <w:t>Statutory Surplus Reserve</w:t>
      </w:r>
    </w:p>
    <w:p>
      <w:pPr>
        <w:pStyle w:val="TextBody"/>
        <w:spacing w:before="200" w:after="0"/>
        <w:jc w:val="both"/>
        <w:rPr>
          <w:rFonts w:ascii="Times New Roman" w:hAnsi="Times New Roman"/>
          <w:sz w:val="20"/>
        </w:rPr>
      </w:pPr>
      <w:r>
        <w:rPr>
          <w:rFonts w:ascii="Times New Roman;serif" w:hAnsi="Times New Roman;serif"/>
          <w:b w:val="false"/>
          <w:sz w:val="20"/>
        </w:rPr>
        <w:t>Pursuant to the corporate law of the PRC, entities registered in the PRC are required to maintain certain statutory reserves, which are appropriated from after-tax profits (after offsetting accumulated losses from prior years), as reported in their respective statutory financial statements, before the declaration or payment of dividends to equity holders. All statutory reserves are created for specific purposes.</w:t>
      </w:r>
      <w:r>
        <w:rPr>
          <w:rFonts w:ascii="Times New Roman" w:hAnsi="Times New Roman"/>
          <w:sz w:val="20"/>
        </w:rPr>
        <w:t xml:space="preserve"> </w:t>
      </w:r>
    </w:p>
    <w:p>
      <w:pPr>
        <w:pStyle w:val="TextBody"/>
        <w:spacing w:before="200" w:after="0"/>
        <w:jc w:val="both"/>
        <w:rPr>
          <w:rFonts w:ascii="Times New Roman" w:hAnsi="Times New Roman"/>
          <w:sz w:val="20"/>
        </w:rPr>
      </w:pPr>
      <w:r>
        <w:rPr>
          <w:rFonts w:ascii="Times New Roman;serif" w:hAnsi="Times New Roman;serif"/>
          <w:b w:val="false"/>
          <w:sz w:val="20"/>
        </w:rPr>
        <w:t>The Company’s PRC subsidiaries are required to appropriate 10% of statutory net profits to statutory surplus reserves, upon distribution of their after-tax profits. The Company’s PRC subsidiaries may discontinue the contribution when the aggregate sum of the statutory surplus reserve is more than 50% of its registered capital. The statutory surplus reserve is non-distributable other than during liquidation and may only be used to fund losses from prior years, to expand production operations, or to increase the capital of the subsidiaries. In addition, the subsidiaries may make further contribution to the discretional surplus reserve using post-tax profits in accordance with resolutions of the Board of Directors.</w:t>
      </w:r>
      <w:r>
        <w:rPr>
          <w:rFonts w:ascii="Times New Roman" w:hAnsi="Times New Roman"/>
          <w:sz w:val="20"/>
        </w:rPr>
        <w:t xml:space="preserve"> </w:t>
      </w:r>
    </w:p>
    <w:p>
      <w:pPr>
        <w:pStyle w:val="TextBody"/>
        <w:spacing w:before="200" w:after="0"/>
        <w:jc w:val="both"/>
        <w:rPr>
          <w:rFonts w:ascii="Times New Roman" w:hAnsi="Times New Roman"/>
          <w:sz w:val="20"/>
        </w:rPr>
      </w:pPr>
      <w:r>
        <w:rPr>
          <w:rFonts w:ascii="Times New Roman;serif" w:hAnsi="Times New Roman;serif"/>
          <w:b w:val="false"/>
          <w:sz w:val="20"/>
        </w:rPr>
        <w:t>The statutory surplus reserve of RMB 36.4</w:t>
      </w:r>
      <w:r>
        <w:rPr>
          <w:rFonts w:ascii="Times New Roman" w:hAnsi="Times New Roman"/>
          <w:sz w:val="20"/>
        </w:rPr>
        <w:t xml:space="preserve"> </w:t>
      </w:r>
      <w:r>
        <w:rPr>
          <w:rFonts w:ascii="Times New Roman;serif" w:hAnsi="Times New Roman;serif"/>
          <w:b w:val="false"/>
          <w:sz w:val="20"/>
        </w:rPr>
        <w:t>million ($5.6</w:t>
      </w:r>
      <w:r>
        <w:rPr>
          <w:rFonts w:ascii="Times New Roman" w:hAnsi="Times New Roman"/>
          <w:sz w:val="20"/>
        </w:rPr>
        <w:t xml:space="preserve"> </w:t>
      </w:r>
      <w:r>
        <w:rPr>
          <w:rFonts w:ascii="Times New Roman;serif" w:hAnsi="Times New Roman;serif"/>
          <w:b w:val="false"/>
          <w:sz w:val="20"/>
        </w:rPr>
        <w:t>million) has reached 50% of its PRC subsidiaries’ registered capital.</w:t>
      </w:r>
      <w:r>
        <w:rPr>
          <w:rFonts w:ascii="Times New Roman" w:hAnsi="Times New Roman"/>
          <w:sz w:val="20"/>
        </w:rPr>
        <w:t xml:space="preserve"> </w:t>
      </w:r>
    </w:p>
    <w:p>
      <w:pPr>
        <w:pStyle w:val="TextBody"/>
        <w:spacing w:before="240" w:after="0"/>
        <w:jc w:val="center"/>
        <w:rPr>
          <w:rFonts w:ascii="Times New Roman;serif" w:hAnsi="Times New Roman;serif"/>
          <w:b w:val="false"/>
          <w:sz w:val="20"/>
        </w:rPr>
      </w:pPr>
      <w:r>
        <w:rPr>
          <w:rFonts w:ascii="Times New Roman;serif" w:hAnsi="Times New Roman;serif"/>
          <w:b w:val="false"/>
          <w:sz w:val="20"/>
        </w:rPr>
        <w:t>31</w:t>
      </w:r>
    </w:p>
    <w:p>
      <w:pPr>
        <w:pStyle w:val="HorizontalLine"/>
        <w:rPr/>
      </w:pPr>
      <w:r>
        <w:rPr/>
      </w:r>
    </w:p>
    <w:p>
      <w:pPr>
        <w:pStyle w:val="TextBody"/>
        <w:spacing w:before="0" w:after="0"/>
        <w:jc w:val="left"/>
        <w:rPr/>
      </w:pPr>
      <w:r>
        <w:rPr/>
        <w:t> </w:t>
      </w:r>
    </w:p>
    <w:p>
      <w:pPr>
        <w:pStyle w:val="TextBody"/>
        <w:spacing w:before="200" w:after="0"/>
        <w:jc w:val="both"/>
        <w:rPr>
          <w:rFonts w:ascii="Times New Roman;serif" w:hAnsi="Times New Roman;serif"/>
          <w:b/>
          <w:sz w:val="20"/>
        </w:rPr>
      </w:pPr>
      <w:r>
        <w:rPr>
          <w:rFonts w:ascii="Times New Roman;serif" w:hAnsi="Times New Roman;serif"/>
          <w:b/>
          <w:sz w:val="20"/>
        </w:rPr>
        <w:t>12. Revenue from Contracts with Customers</w:t>
      </w:r>
    </w:p>
    <w:p>
      <w:pPr>
        <w:pStyle w:val="TextBody"/>
        <w:spacing w:before="200" w:after="0"/>
        <w:jc w:val="left"/>
        <w:rPr>
          <w:rFonts w:ascii="Times New Roman" w:hAnsi="Times New Roman"/>
          <w:b/>
          <w:i/>
          <w:sz w:val="20"/>
        </w:rPr>
      </w:pPr>
      <w:r>
        <w:rPr>
          <w:rFonts w:ascii="Times New Roman" w:hAnsi="Times New Roman"/>
          <w:b/>
          <w:i/>
          <w:sz w:val="20"/>
        </w:rPr>
        <w:t>(a)</w:t>
      </w:r>
    </w:p>
    <w:p>
      <w:pPr>
        <w:pStyle w:val="TextBody"/>
        <w:spacing w:before="200" w:after="283"/>
        <w:jc w:val="left"/>
        <w:rPr>
          <w:rFonts w:ascii="Times New Roman;serif" w:hAnsi="Times New Roman;serif"/>
          <w:b/>
          <w:i/>
          <w:sz w:val="20"/>
        </w:rPr>
      </w:pPr>
      <w:r>
        <w:rPr>
          <w:rFonts w:ascii="Times New Roman;serif" w:hAnsi="Times New Roman;serif"/>
          <w:b/>
          <w:i/>
          <w:sz w:val="20"/>
        </w:rPr>
        <w:t>Disaggregated Information About Revenue</w:t>
      </w:r>
    </w:p>
    <w:p>
      <w:pPr>
        <w:pStyle w:val="TextBody"/>
        <w:spacing w:before="200" w:after="200"/>
        <w:jc w:val="both"/>
        <w:rPr>
          <w:rFonts w:ascii="Times New Roman;serif" w:hAnsi="Times New Roman;serif"/>
          <w:b w:val="false"/>
          <w:sz w:val="20"/>
        </w:rPr>
      </w:pPr>
      <w:r>
        <w:rPr>
          <w:rFonts w:ascii="Times New Roman;serif" w:hAnsi="Times New Roman;serif"/>
          <w:b w:val="false"/>
          <w:sz w:val="20"/>
        </w:rPr>
        <w:t>In the first quarter of 2023, the Company updated its reportable segments (see Note 13). Prior period comparatives have been revised to conform with the current period presentation. The following tables summarize the Company’s Revenues by reportable segment and revenue stream type for the three months ended March 31, 2023 and 2022:</w:t>
      </w:r>
    </w:p>
    <w:tbl>
      <w:tblPr>
        <w:tblW w:w="10205" w:type="dxa"/>
        <w:jc w:val="left"/>
        <w:tblInd w:w="0" w:type="dxa"/>
        <w:tblCellMar>
          <w:top w:w="28" w:type="dxa"/>
          <w:left w:w="28" w:type="dxa"/>
          <w:bottom w:w="28" w:type="dxa"/>
          <w:right w:w="28" w:type="dxa"/>
        </w:tblCellMar>
      </w:tblPr>
      <w:tblGrid>
        <w:gridCol w:w="2126"/>
        <w:gridCol w:w="240"/>
        <w:gridCol w:w="166"/>
        <w:gridCol w:w="771"/>
        <w:gridCol w:w="146"/>
        <w:gridCol w:w="146"/>
        <w:gridCol w:w="443"/>
        <w:gridCol w:w="305"/>
        <w:gridCol w:w="1429"/>
        <w:gridCol w:w="146"/>
        <w:gridCol w:w="146"/>
        <w:gridCol w:w="256"/>
        <w:gridCol w:w="177"/>
        <w:gridCol w:w="824"/>
        <w:gridCol w:w="146"/>
        <w:gridCol w:w="146"/>
        <w:gridCol w:w="243"/>
        <w:gridCol w:w="168"/>
        <w:gridCol w:w="659"/>
        <w:gridCol w:w="146"/>
        <w:gridCol w:w="146"/>
        <w:gridCol w:w="211"/>
        <w:gridCol w:w="146"/>
        <w:gridCol w:w="676"/>
        <w:gridCol w:w="197"/>
      </w:tblGrid>
      <w:tr>
        <w:trPr/>
        <w:tc>
          <w:tcPr>
            <w:tcW w:w="2126" w:type="dxa"/>
            <w:tcBorders/>
            <w:shd w:fill="auto" w:val="clear"/>
            <w:vAlign w:val="center"/>
          </w:tcPr>
          <w:p>
            <w:pPr>
              <w:pStyle w:val="TableContents"/>
              <w:spacing w:before="0" w:after="283"/>
              <w:rPr>
                <w:sz w:val="4"/>
                <w:szCs w:val="4"/>
              </w:rPr>
            </w:pPr>
            <w:r>
              <w:rPr>
                <w:sz w:val="4"/>
                <w:szCs w:val="4"/>
              </w:rPr>
            </w:r>
          </w:p>
        </w:tc>
        <w:tc>
          <w:tcPr>
            <w:tcW w:w="240" w:type="dxa"/>
            <w:tcBorders/>
            <w:shd w:fill="auto" w:val="clear"/>
            <w:vAlign w:val="center"/>
          </w:tcPr>
          <w:p>
            <w:pPr>
              <w:pStyle w:val="TableContents"/>
              <w:spacing w:before="0" w:after="283"/>
              <w:rPr>
                <w:sz w:val="4"/>
                <w:szCs w:val="4"/>
              </w:rPr>
            </w:pPr>
            <w:r>
              <w:rPr>
                <w:sz w:val="4"/>
                <w:szCs w:val="4"/>
              </w:rPr>
            </w:r>
          </w:p>
        </w:tc>
        <w:tc>
          <w:tcPr>
            <w:tcW w:w="166" w:type="dxa"/>
            <w:tcBorders/>
            <w:shd w:fill="auto" w:val="clear"/>
            <w:vAlign w:val="center"/>
          </w:tcPr>
          <w:p>
            <w:pPr>
              <w:pStyle w:val="TableContents"/>
              <w:spacing w:before="0" w:after="283"/>
              <w:rPr>
                <w:sz w:val="4"/>
                <w:szCs w:val="4"/>
              </w:rPr>
            </w:pPr>
            <w:r>
              <w:rPr>
                <w:sz w:val="4"/>
                <w:szCs w:val="4"/>
              </w:rPr>
            </w:r>
          </w:p>
        </w:tc>
        <w:tc>
          <w:tcPr>
            <w:tcW w:w="771"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443" w:type="dxa"/>
            <w:tcBorders/>
            <w:shd w:fill="auto" w:val="clear"/>
            <w:vAlign w:val="center"/>
          </w:tcPr>
          <w:p>
            <w:pPr>
              <w:pStyle w:val="TableContents"/>
              <w:spacing w:before="0" w:after="283"/>
              <w:rPr>
                <w:sz w:val="4"/>
                <w:szCs w:val="4"/>
              </w:rPr>
            </w:pPr>
            <w:r>
              <w:rPr>
                <w:sz w:val="4"/>
                <w:szCs w:val="4"/>
              </w:rPr>
            </w:r>
          </w:p>
        </w:tc>
        <w:tc>
          <w:tcPr>
            <w:tcW w:w="305" w:type="dxa"/>
            <w:tcBorders/>
            <w:shd w:fill="auto" w:val="clear"/>
            <w:vAlign w:val="center"/>
          </w:tcPr>
          <w:p>
            <w:pPr>
              <w:pStyle w:val="TableContents"/>
              <w:spacing w:before="0" w:after="283"/>
              <w:rPr>
                <w:sz w:val="4"/>
                <w:szCs w:val="4"/>
              </w:rPr>
            </w:pPr>
            <w:r>
              <w:rPr>
                <w:sz w:val="4"/>
                <w:szCs w:val="4"/>
              </w:rPr>
            </w:r>
          </w:p>
        </w:tc>
        <w:tc>
          <w:tcPr>
            <w:tcW w:w="1429"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vAlign w:val="center"/>
          </w:tcPr>
          <w:p>
            <w:pPr>
              <w:pStyle w:val="TableContents"/>
              <w:spacing w:before="0" w:after="283"/>
              <w:rPr>
                <w:sz w:val="4"/>
                <w:szCs w:val="4"/>
              </w:rPr>
            </w:pPr>
            <w:r>
              <w:rPr>
                <w:sz w:val="4"/>
                <w:szCs w:val="4"/>
              </w:rPr>
            </w:r>
          </w:p>
        </w:tc>
        <w:tc>
          <w:tcPr>
            <w:tcW w:w="177" w:type="dxa"/>
            <w:tcBorders/>
            <w:shd w:fill="auto" w:val="clear"/>
            <w:vAlign w:val="center"/>
          </w:tcPr>
          <w:p>
            <w:pPr>
              <w:pStyle w:val="TableContents"/>
              <w:spacing w:before="0" w:after="283"/>
              <w:rPr>
                <w:sz w:val="4"/>
                <w:szCs w:val="4"/>
              </w:rPr>
            </w:pPr>
            <w:r>
              <w:rPr>
                <w:sz w:val="4"/>
                <w:szCs w:val="4"/>
              </w:rPr>
            </w:r>
          </w:p>
        </w:tc>
        <w:tc>
          <w:tcPr>
            <w:tcW w:w="824"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43" w:type="dxa"/>
            <w:tcBorders/>
            <w:shd w:fill="auto" w:val="clear"/>
            <w:vAlign w:val="center"/>
          </w:tcPr>
          <w:p>
            <w:pPr>
              <w:pStyle w:val="TableContents"/>
              <w:spacing w:before="0" w:after="283"/>
              <w:rPr>
                <w:sz w:val="4"/>
                <w:szCs w:val="4"/>
              </w:rPr>
            </w:pPr>
            <w:r>
              <w:rPr>
                <w:sz w:val="4"/>
                <w:szCs w:val="4"/>
              </w:rPr>
            </w:r>
          </w:p>
        </w:tc>
        <w:tc>
          <w:tcPr>
            <w:tcW w:w="168" w:type="dxa"/>
            <w:tcBorders/>
            <w:shd w:fill="auto" w:val="clear"/>
            <w:vAlign w:val="center"/>
          </w:tcPr>
          <w:p>
            <w:pPr>
              <w:pStyle w:val="TableContents"/>
              <w:spacing w:before="0" w:after="283"/>
              <w:rPr>
                <w:sz w:val="4"/>
                <w:szCs w:val="4"/>
              </w:rPr>
            </w:pPr>
            <w:r>
              <w:rPr>
                <w:sz w:val="4"/>
                <w:szCs w:val="4"/>
              </w:rPr>
            </w:r>
          </w:p>
        </w:tc>
        <w:tc>
          <w:tcPr>
            <w:tcW w:w="659"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676" w:type="dxa"/>
            <w:tcBorders/>
            <w:shd w:fill="auto" w:val="clear"/>
            <w:vAlign w:val="center"/>
          </w:tcPr>
          <w:p>
            <w:pPr>
              <w:pStyle w:val="TableContents"/>
              <w:spacing w:before="0" w:after="283"/>
              <w:rPr>
                <w:sz w:val="4"/>
                <w:szCs w:val="4"/>
              </w:rPr>
            </w:pPr>
            <w:r>
              <w:rPr>
                <w:sz w:val="4"/>
                <w:szCs w:val="4"/>
              </w:rPr>
            </w:r>
          </w:p>
        </w:tc>
        <w:tc>
          <w:tcPr>
            <w:tcW w:w="197" w:type="dxa"/>
            <w:tcBorders/>
            <w:shd w:fill="auto" w:val="clear"/>
            <w:vAlign w:val="center"/>
          </w:tcPr>
          <w:p>
            <w:pPr>
              <w:pStyle w:val="TableContents"/>
              <w:spacing w:before="0" w:after="283"/>
              <w:rPr>
                <w:sz w:val="4"/>
                <w:szCs w:val="4"/>
              </w:rPr>
            </w:pPr>
            <w:r>
              <w:rPr>
                <w:sz w:val="4"/>
                <w:szCs w:val="4"/>
              </w:rPr>
            </w:r>
          </w:p>
        </w:tc>
      </w:tr>
      <w:tr>
        <w:trPr/>
        <w:tc>
          <w:tcPr>
            <w:tcW w:w="2126" w:type="dxa"/>
            <w:tcBorders/>
            <w:shd w:fill="auto" w:val="clear"/>
            <w:vAlign w:val="center"/>
          </w:tcPr>
          <w:p>
            <w:pPr>
              <w:pStyle w:val="TableContents"/>
              <w:spacing w:before="0" w:after="0"/>
              <w:ind w:left="0" w:right="0" w:hanging="0"/>
              <w:jc w:val="left"/>
              <w:rPr/>
            </w:pPr>
            <w:r>
              <w:rPr/>
              <w:t> </w:t>
            </w:r>
          </w:p>
        </w:tc>
        <w:tc>
          <w:tcPr>
            <w:tcW w:w="7882" w:type="dxa"/>
            <w:gridSpan w:val="23"/>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Three Months Ended March 31, 2023</w:t>
            </w:r>
          </w:p>
        </w:tc>
        <w:tc>
          <w:tcPr>
            <w:tcW w:w="197"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2126" w:type="dxa"/>
            <w:tcBorders/>
            <w:shd w:fill="auto" w:val="clear"/>
            <w:vAlign w:val="center"/>
          </w:tcPr>
          <w:p>
            <w:pPr>
              <w:pStyle w:val="TableContents"/>
              <w:spacing w:before="0" w:after="0"/>
              <w:ind w:left="0" w:right="0" w:hanging="0"/>
              <w:jc w:val="left"/>
              <w:rPr>
                <w:rFonts w:ascii="Times New Roman;serif" w:hAnsi="Times New Roman;serif"/>
                <w:b w:val="false"/>
                <w:i/>
                <w:sz w:val="16"/>
              </w:rPr>
            </w:pPr>
            <w:r>
              <w:rPr>
                <w:rFonts w:ascii="Times New Roman;serif" w:hAnsi="Times New Roman;serif"/>
                <w:b w:val="false"/>
                <w:i/>
                <w:sz w:val="16"/>
              </w:rPr>
              <w:t>(In thousands of U.S. Dollars)</w:t>
            </w:r>
          </w:p>
        </w:tc>
        <w:tc>
          <w:tcPr>
            <w:tcW w:w="1177" w:type="dxa"/>
            <w:gridSpan w:val="3"/>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Technology Sales</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2177" w:type="dxa"/>
            <w:gridSpan w:val="3"/>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 xml:space="preserve">Image Enhancement </w:t>
              <w:br/>
              <w:t>and Maintenance Services</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1257" w:type="dxa"/>
            <w:gridSpan w:val="3"/>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Technology Rentals</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070" w:type="dxa"/>
            <w:gridSpan w:val="3"/>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Finance Income</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822"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Total</w:t>
            </w:r>
          </w:p>
        </w:tc>
        <w:tc>
          <w:tcPr>
            <w:tcW w:w="197"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2126" w:type="dxa"/>
            <w:tcBorders/>
            <w:shd w:fill="auto" w:val="clear"/>
            <w:vAlign w:val="center"/>
          </w:tcPr>
          <w:p>
            <w:pPr>
              <w:pStyle w:val="TableContents"/>
              <w:spacing w:before="0" w:after="0"/>
              <w:ind w:left="0" w:right="0" w:hanging="0"/>
              <w:jc w:val="left"/>
              <w:rPr>
                <w:rFonts w:ascii="Times New Roman;serif" w:hAnsi="Times New Roman;serif"/>
                <w:b/>
                <w:sz w:val="18"/>
              </w:rPr>
            </w:pPr>
            <w:r>
              <w:rPr>
                <w:rFonts w:ascii="Times New Roman;serif" w:hAnsi="Times New Roman;serif"/>
                <w:b/>
                <w:sz w:val="18"/>
              </w:rPr>
              <w:t>Content Solutions Segment</w:t>
            </w:r>
          </w:p>
        </w:tc>
        <w:tc>
          <w:tcPr>
            <w:tcW w:w="240" w:type="dxa"/>
            <w:tcBorders/>
            <w:shd w:fill="auto" w:val="clear"/>
            <w:vAlign w:val="center"/>
          </w:tcPr>
          <w:p>
            <w:pPr>
              <w:pStyle w:val="TableContents"/>
              <w:spacing w:before="0" w:after="0"/>
              <w:ind w:left="0" w:right="0" w:hanging="0"/>
              <w:jc w:val="center"/>
              <w:rPr/>
            </w:pPr>
            <w:r>
              <w:rPr/>
              <w:t> </w:t>
            </w:r>
          </w:p>
        </w:tc>
        <w:tc>
          <w:tcPr>
            <w:tcW w:w="937" w:type="dxa"/>
            <w:gridSpan w:val="2"/>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443" w:type="dxa"/>
            <w:tcBorders/>
            <w:shd w:fill="auto" w:val="clear"/>
            <w:vAlign w:val="center"/>
          </w:tcPr>
          <w:p>
            <w:pPr>
              <w:pStyle w:val="TableContents"/>
              <w:spacing w:before="0" w:after="0"/>
              <w:ind w:left="0" w:right="0" w:hanging="0"/>
              <w:jc w:val="center"/>
              <w:rPr/>
            </w:pPr>
            <w:r>
              <w:rPr/>
              <w:t> </w:t>
            </w:r>
          </w:p>
        </w:tc>
        <w:tc>
          <w:tcPr>
            <w:tcW w:w="1734" w:type="dxa"/>
            <w:gridSpan w:val="2"/>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256" w:type="dxa"/>
            <w:tcBorders/>
            <w:shd w:fill="auto" w:val="clear"/>
            <w:vAlign w:val="center"/>
          </w:tcPr>
          <w:p>
            <w:pPr>
              <w:pStyle w:val="TableContents"/>
              <w:spacing w:before="0" w:after="0"/>
              <w:ind w:left="0" w:right="0" w:hanging="0"/>
              <w:jc w:val="center"/>
              <w:rPr/>
            </w:pPr>
            <w:r>
              <w:rPr/>
              <w:t> </w:t>
            </w:r>
          </w:p>
        </w:tc>
        <w:tc>
          <w:tcPr>
            <w:tcW w:w="1001" w:type="dxa"/>
            <w:gridSpan w:val="2"/>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43" w:type="dxa"/>
            <w:tcBorders/>
            <w:shd w:fill="auto" w:val="clear"/>
            <w:vAlign w:val="center"/>
          </w:tcPr>
          <w:p>
            <w:pPr>
              <w:pStyle w:val="TableContents"/>
              <w:spacing w:before="0" w:after="0"/>
              <w:ind w:left="0" w:right="0" w:hanging="0"/>
              <w:jc w:val="center"/>
              <w:rPr/>
            </w:pPr>
            <w:r>
              <w:rPr/>
              <w:t> </w:t>
            </w:r>
          </w:p>
        </w:tc>
        <w:tc>
          <w:tcPr>
            <w:tcW w:w="827" w:type="dxa"/>
            <w:gridSpan w:val="2"/>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822" w:type="dxa"/>
            <w:gridSpan w:val="2"/>
            <w:tcBorders/>
            <w:shd w:fill="auto" w:val="clear"/>
            <w:vAlign w:val="center"/>
          </w:tcPr>
          <w:p>
            <w:pPr>
              <w:pStyle w:val="TableContents"/>
              <w:spacing w:before="0" w:after="0"/>
              <w:ind w:left="0" w:right="0" w:hanging="0"/>
              <w:jc w:val="center"/>
              <w:rPr/>
            </w:pPr>
            <w:r>
              <w:rPr/>
              <w:t> </w:t>
            </w:r>
          </w:p>
        </w:tc>
        <w:tc>
          <w:tcPr>
            <w:tcW w:w="197" w:type="dxa"/>
            <w:tcBorders/>
            <w:shd w:fill="auto" w:val="clear"/>
            <w:vAlign w:val="center"/>
          </w:tcPr>
          <w:p>
            <w:pPr>
              <w:pStyle w:val="TableContents"/>
              <w:spacing w:before="0" w:after="0"/>
              <w:ind w:left="0" w:right="0" w:hanging="0"/>
              <w:jc w:val="center"/>
              <w:rPr/>
            </w:pPr>
            <w:r>
              <w:rPr/>
              <w:t> </w:t>
            </w:r>
          </w:p>
        </w:tc>
      </w:tr>
      <w:tr>
        <w:trPr/>
        <w:tc>
          <w:tcPr>
            <w:tcW w:w="2126" w:type="dxa"/>
            <w:tcBorders/>
            <w:shd w:fill="auto" w:val="clear"/>
            <w:vAlign w:val="center"/>
          </w:tcPr>
          <w:p>
            <w:pPr>
              <w:pStyle w:val="TableContents"/>
              <w:spacing w:before="0" w:after="0"/>
              <w:ind w:left="0" w:right="0" w:hanging="0"/>
              <w:jc w:val="left"/>
              <w:rPr>
                <w:rFonts w:ascii="Times New Roman;serif" w:hAnsi="Times New Roman;serif"/>
                <w:b w:val="false"/>
                <w:sz w:val="18"/>
              </w:rPr>
            </w:pPr>
            <w:r>
              <w:rPr>
                <w:rFonts w:ascii="Times New Roman;serif" w:hAnsi="Times New Roman;serif"/>
                <w:b w:val="false"/>
                <w:sz w:val="18"/>
              </w:rPr>
              <w:t>Film Remastering and Distribution</w:t>
            </w:r>
          </w:p>
        </w:tc>
        <w:tc>
          <w:tcPr>
            <w:tcW w:w="240" w:type="dxa"/>
            <w:tcBorders/>
            <w:shd w:fill="auto" w:val="clear"/>
            <w:vAlign w:val="center"/>
          </w:tcPr>
          <w:p>
            <w:pPr>
              <w:pStyle w:val="TableContents"/>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166" w:type="dxa"/>
            <w:tcBorders/>
            <w:shd w:fill="auto" w:val="clear"/>
            <w:vAlign w:val="center"/>
          </w:tcPr>
          <w:p>
            <w:pPr>
              <w:pStyle w:val="TableContents"/>
              <w:spacing w:before="0" w:after="0"/>
              <w:ind w:left="0" w:right="0" w:hanging="0"/>
              <w:jc w:val="left"/>
              <w:rPr/>
            </w:pPr>
            <w:r>
              <w:rPr/>
              <w:t> </w:t>
            </w:r>
          </w:p>
        </w:tc>
        <w:tc>
          <w:tcPr>
            <w:tcW w:w="771"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443" w:type="dxa"/>
            <w:tcBorders/>
            <w:shd w:fill="auto" w:val="clear"/>
            <w:vAlign w:val="center"/>
          </w:tcPr>
          <w:p>
            <w:pPr>
              <w:pStyle w:val="TableContents"/>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305" w:type="dxa"/>
            <w:tcBorders/>
            <w:shd w:fill="auto" w:val="clear"/>
            <w:vAlign w:val="center"/>
          </w:tcPr>
          <w:p>
            <w:pPr>
              <w:pStyle w:val="TableContents"/>
              <w:spacing w:before="0" w:after="0"/>
              <w:ind w:left="0" w:right="0" w:hanging="0"/>
              <w:jc w:val="left"/>
              <w:rPr/>
            </w:pPr>
            <w:r>
              <w:rPr/>
              <w:t> </w:t>
            </w:r>
          </w:p>
        </w:tc>
        <w:tc>
          <w:tcPr>
            <w:tcW w:w="1429"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30,073</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256" w:type="dxa"/>
            <w:tcBorders/>
            <w:shd w:fill="auto" w:val="clear"/>
            <w:vAlign w:val="center"/>
          </w:tcPr>
          <w:p>
            <w:pPr>
              <w:pStyle w:val="TableContents"/>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177" w:type="dxa"/>
            <w:tcBorders/>
            <w:shd w:fill="auto" w:val="clear"/>
            <w:vAlign w:val="center"/>
          </w:tcPr>
          <w:p>
            <w:pPr>
              <w:pStyle w:val="TableContents"/>
              <w:spacing w:before="0" w:after="0"/>
              <w:ind w:left="0" w:right="0" w:hanging="0"/>
              <w:jc w:val="left"/>
              <w:rPr/>
            </w:pPr>
            <w:r>
              <w:rPr/>
              <w:t> </w:t>
            </w:r>
          </w:p>
        </w:tc>
        <w:tc>
          <w:tcPr>
            <w:tcW w:w="824"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43" w:type="dxa"/>
            <w:tcBorders/>
            <w:shd w:fill="auto" w:val="clear"/>
            <w:vAlign w:val="center"/>
          </w:tcPr>
          <w:p>
            <w:pPr>
              <w:pStyle w:val="TableContents"/>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168" w:type="dxa"/>
            <w:tcBorders/>
            <w:shd w:fill="auto" w:val="clear"/>
            <w:vAlign w:val="center"/>
          </w:tcPr>
          <w:p>
            <w:pPr>
              <w:pStyle w:val="TableContents"/>
              <w:spacing w:before="0" w:after="0"/>
              <w:ind w:left="0" w:right="0" w:hanging="0"/>
              <w:jc w:val="left"/>
              <w:rPr/>
            </w:pPr>
            <w:r>
              <w:rPr/>
              <w:t> </w:t>
            </w:r>
          </w:p>
        </w:tc>
        <w:tc>
          <w:tcPr>
            <w:tcW w:w="659"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211" w:type="dxa"/>
            <w:tcBorders/>
            <w:shd w:fill="auto" w:val="clear"/>
            <w:vAlign w:val="center"/>
          </w:tcPr>
          <w:p>
            <w:pPr>
              <w:pStyle w:val="TableContents"/>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146" w:type="dxa"/>
            <w:tcBorders/>
            <w:shd w:fill="auto" w:val="clear"/>
            <w:vAlign w:val="center"/>
          </w:tcPr>
          <w:p>
            <w:pPr>
              <w:pStyle w:val="TableContents"/>
              <w:spacing w:before="0" w:after="0"/>
              <w:ind w:left="0" w:right="0" w:hanging="0"/>
              <w:jc w:val="left"/>
              <w:rPr/>
            </w:pPr>
            <w:r>
              <w:rPr/>
              <w:t> </w:t>
            </w:r>
          </w:p>
        </w:tc>
        <w:tc>
          <w:tcPr>
            <w:tcW w:w="67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30,073</w:t>
            </w:r>
          </w:p>
        </w:tc>
        <w:tc>
          <w:tcPr>
            <w:tcW w:w="197" w:type="dxa"/>
            <w:tcBorders/>
            <w:shd w:fill="auto" w:val="clear"/>
            <w:vAlign w:val="center"/>
          </w:tcPr>
          <w:p>
            <w:pPr>
              <w:pStyle w:val="TableContents"/>
              <w:spacing w:before="0" w:after="0"/>
              <w:ind w:left="0" w:right="0" w:hanging="0"/>
              <w:jc w:val="left"/>
              <w:rPr/>
            </w:pPr>
            <w:r>
              <w:rPr/>
              <w:t> </w:t>
            </w:r>
          </w:p>
        </w:tc>
      </w:tr>
      <w:tr>
        <w:trPr/>
        <w:tc>
          <w:tcPr>
            <w:tcW w:w="2126" w:type="dxa"/>
            <w:tcBorders/>
            <w:shd w:fill="auto" w:val="clear"/>
            <w:vAlign w:val="center"/>
          </w:tcPr>
          <w:p>
            <w:pPr>
              <w:pStyle w:val="TableContents"/>
              <w:spacing w:before="0" w:after="0"/>
              <w:ind w:left="0" w:right="0" w:hanging="0"/>
              <w:jc w:val="left"/>
              <w:rPr>
                <w:rFonts w:ascii="Times New Roman;serif" w:hAnsi="Times New Roman;serif"/>
                <w:b w:val="false"/>
                <w:sz w:val="18"/>
              </w:rPr>
            </w:pPr>
            <w:r>
              <w:rPr>
                <w:rFonts w:ascii="Times New Roman;serif" w:hAnsi="Times New Roman;serif"/>
                <w:b w:val="false"/>
                <w:sz w:val="18"/>
              </w:rPr>
              <w:t>Other Content Solutions</w:t>
            </w:r>
          </w:p>
        </w:tc>
        <w:tc>
          <w:tcPr>
            <w:tcW w:w="240"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77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pPr>
            <w:r>
              <w:rPr/>
              <w:t>—</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443"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305"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29"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2,028</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25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77"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824"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pPr>
            <w:r>
              <w:rPr/>
              <w:t>—</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43"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68"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659"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pPr>
            <w:r>
              <w:rPr/>
              <w:t>—</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67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2,028</w:t>
            </w:r>
          </w:p>
        </w:tc>
        <w:tc>
          <w:tcPr>
            <w:tcW w:w="197"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r>
        <w:trPr/>
        <w:tc>
          <w:tcPr>
            <w:tcW w:w="2126" w:type="dxa"/>
            <w:tcBorders/>
            <w:shd w:fill="auto" w:val="clear"/>
            <w:vAlign w:val="center"/>
          </w:tcPr>
          <w:p>
            <w:pPr>
              <w:pStyle w:val="TableContents"/>
              <w:spacing w:before="0" w:after="0"/>
              <w:ind w:left="0" w:right="0" w:hanging="0"/>
              <w:jc w:val="left"/>
              <w:rPr/>
            </w:pPr>
            <w:r>
              <w:rPr/>
              <w:t> </w:t>
            </w:r>
          </w:p>
        </w:tc>
        <w:tc>
          <w:tcPr>
            <w:tcW w:w="240"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77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pPr>
            <w:r>
              <w:rPr/>
              <w:t>—</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443"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305"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29"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32,101</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25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77"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824"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pPr>
            <w:r>
              <w:rPr/>
              <w:t>—</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43"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68"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659"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pPr>
            <w:r>
              <w:rPr/>
              <w:t>—</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67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32,101</w:t>
            </w:r>
          </w:p>
        </w:tc>
        <w:tc>
          <w:tcPr>
            <w:tcW w:w="197"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r>
        <w:trPr/>
        <w:tc>
          <w:tcPr>
            <w:tcW w:w="2126" w:type="dxa"/>
            <w:tcBorders/>
            <w:shd w:fill="auto" w:val="clear"/>
            <w:vAlign w:val="center"/>
          </w:tcPr>
          <w:p>
            <w:pPr>
              <w:pStyle w:val="TableContents"/>
              <w:spacing w:before="0" w:after="0"/>
              <w:ind w:left="0" w:right="0" w:hanging="0"/>
              <w:jc w:val="left"/>
              <w:rPr>
                <w:rFonts w:ascii="Times New Roman;serif" w:hAnsi="Times New Roman;serif"/>
                <w:b/>
                <w:sz w:val="18"/>
              </w:rPr>
            </w:pPr>
            <w:r>
              <w:rPr>
                <w:rFonts w:ascii="Times New Roman;serif" w:hAnsi="Times New Roman;serif"/>
                <w:b/>
                <w:sz w:val="18"/>
              </w:rPr>
              <w:t>Technology Products and Services Segment</w:t>
            </w:r>
          </w:p>
        </w:tc>
        <w:tc>
          <w:tcPr>
            <w:tcW w:w="240" w:type="dxa"/>
            <w:tcBorders/>
            <w:shd w:fill="auto" w:val="clear"/>
            <w:vAlign w:val="center"/>
          </w:tcPr>
          <w:p>
            <w:pPr>
              <w:pStyle w:val="TableContents"/>
              <w:spacing w:before="0" w:after="0"/>
              <w:ind w:left="0" w:right="0" w:hanging="0"/>
              <w:jc w:val="left"/>
              <w:rPr/>
            </w:pPr>
            <w:r>
              <w:rPr/>
              <w:t> </w:t>
            </w:r>
          </w:p>
        </w:tc>
        <w:tc>
          <w:tcPr>
            <w:tcW w:w="937" w:type="dxa"/>
            <w:gridSpan w:val="2"/>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443" w:type="dxa"/>
            <w:tcBorders/>
            <w:shd w:fill="auto" w:val="clear"/>
            <w:vAlign w:val="center"/>
          </w:tcPr>
          <w:p>
            <w:pPr>
              <w:pStyle w:val="TableContents"/>
              <w:spacing w:before="0" w:after="0"/>
              <w:ind w:left="0" w:right="0" w:hanging="0"/>
              <w:jc w:val="left"/>
              <w:rPr/>
            </w:pPr>
            <w:r>
              <w:rPr/>
              <w:t> </w:t>
            </w:r>
          </w:p>
        </w:tc>
        <w:tc>
          <w:tcPr>
            <w:tcW w:w="1734" w:type="dxa"/>
            <w:gridSpan w:val="2"/>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256" w:type="dxa"/>
            <w:tcBorders/>
            <w:shd w:fill="auto" w:val="clear"/>
            <w:vAlign w:val="center"/>
          </w:tcPr>
          <w:p>
            <w:pPr>
              <w:pStyle w:val="TableContents"/>
              <w:spacing w:before="0" w:after="0"/>
              <w:ind w:left="0" w:right="0" w:hanging="0"/>
              <w:jc w:val="left"/>
              <w:rPr/>
            </w:pPr>
            <w:r>
              <w:rPr/>
              <w:t> </w:t>
            </w:r>
          </w:p>
        </w:tc>
        <w:tc>
          <w:tcPr>
            <w:tcW w:w="1001" w:type="dxa"/>
            <w:gridSpan w:val="2"/>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43" w:type="dxa"/>
            <w:tcBorders/>
            <w:shd w:fill="auto" w:val="clear"/>
            <w:vAlign w:val="center"/>
          </w:tcPr>
          <w:p>
            <w:pPr>
              <w:pStyle w:val="TableContents"/>
              <w:spacing w:before="0" w:after="0"/>
              <w:ind w:left="0" w:right="0" w:hanging="0"/>
              <w:jc w:val="left"/>
              <w:rPr/>
            </w:pPr>
            <w:r>
              <w:rPr/>
              <w:t> </w:t>
            </w:r>
          </w:p>
        </w:tc>
        <w:tc>
          <w:tcPr>
            <w:tcW w:w="827" w:type="dxa"/>
            <w:gridSpan w:val="2"/>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822" w:type="dxa"/>
            <w:gridSpan w:val="2"/>
            <w:tcBorders/>
            <w:shd w:fill="auto" w:val="clear"/>
            <w:vAlign w:val="center"/>
          </w:tcPr>
          <w:p>
            <w:pPr>
              <w:pStyle w:val="TableContents"/>
              <w:spacing w:before="0" w:after="0"/>
              <w:ind w:left="0" w:right="0" w:hanging="0"/>
              <w:jc w:val="left"/>
              <w:rPr/>
            </w:pPr>
            <w:r>
              <w:rPr/>
              <w:t> </w:t>
            </w:r>
          </w:p>
        </w:tc>
        <w:tc>
          <w:tcPr>
            <w:tcW w:w="197" w:type="dxa"/>
            <w:tcBorders/>
            <w:shd w:fill="auto" w:val="clear"/>
            <w:vAlign w:val="center"/>
          </w:tcPr>
          <w:p>
            <w:pPr>
              <w:pStyle w:val="TableContents"/>
              <w:spacing w:before="0" w:after="0"/>
              <w:ind w:left="0" w:right="0" w:hanging="0"/>
              <w:jc w:val="left"/>
              <w:rPr/>
            </w:pPr>
            <w:r>
              <w:rPr/>
              <w:t> </w:t>
            </w:r>
          </w:p>
        </w:tc>
      </w:tr>
      <w:tr>
        <w:trPr/>
        <w:tc>
          <w:tcPr>
            <w:tcW w:w="2126" w:type="dxa"/>
            <w:tcBorders/>
            <w:shd w:fill="auto" w:val="clear"/>
            <w:vAlign w:val="center"/>
          </w:tcPr>
          <w:p>
            <w:pPr>
              <w:pStyle w:val="TableContents"/>
              <w:spacing w:before="0" w:after="0"/>
              <w:ind w:left="0" w:right="0" w:hanging="0"/>
              <w:jc w:val="left"/>
              <w:rPr>
                <w:rFonts w:ascii="Times New Roman;serif" w:hAnsi="Times New Roman;serif"/>
                <w:b w:val="false"/>
                <w:sz w:val="18"/>
              </w:rPr>
            </w:pPr>
            <w:r>
              <w:rPr>
                <w:rFonts w:ascii="Times New Roman;serif" w:hAnsi="Times New Roman;serif"/>
                <w:b w:val="false"/>
                <w:sz w:val="18"/>
              </w:rPr>
              <w:t>System Sales</w:t>
            </w:r>
          </w:p>
        </w:tc>
        <w:tc>
          <w:tcPr>
            <w:tcW w:w="240" w:type="dxa"/>
            <w:tcBorders/>
            <w:shd w:fill="auto" w:val="clear"/>
            <w:vAlign w:val="center"/>
          </w:tcPr>
          <w:p>
            <w:pPr>
              <w:pStyle w:val="TableContents"/>
              <w:spacing w:before="0" w:after="0"/>
              <w:ind w:left="0" w:right="0" w:hanging="0"/>
              <w:jc w:val="left"/>
              <w:rPr/>
            </w:pPr>
            <w:r>
              <w:rPr/>
              <w:t> </w:t>
            </w:r>
          </w:p>
        </w:tc>
        <w:tc>
          <w:tcPr>
            <w:tcW w:w="166" w:type="dxa"/>
            <w:tcBorders/>
            <w:shd w:fill="auto" w:val="clear"/>
            <w:vAlign w:val="center"/>
          </w:tcPr>
          <w:p>
            <w:pPr>
              <w:pStyle w:val="TableContents"/>
              <w:spacing w:before="0" w:after="0"/>
              <w:ind w:left="0" w:right="0" w:hanging="0"/>
              <w:jc w:val="left"/>
              <w:rPr/>
            </w:pPr>
            <w:r>
              <w:rPr/>
              <w:t> </w:t>
            </w:r>
          </w:p>
        </w:tc>
        <w:tc>
          <w:tcPr>
            <w:tcW w:w="77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16,119</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443" w:type="dxa"/>
            <w:tcBorders/>
            <w:shd w:fill="auto" w:val="clear"/>
            <w:vAlign w:val="center"/>
          </w:tcPr>
          <w:p>
            <w:pPr>
              <w:pStyle w:val="TableContents"/>
              <w:spacing w:before="0" w:after="0"/>
              <w:ind w:left="0" w:right="0" w:hanging="0"/>
              <w:jc w:val="left"/>
              <w:rPr/>
            </w:pPr>
            <w:r>
              <w:rPr/>
              <w:t> </w:t>
            </w:r>
          </w:p>
        </w:tc>
        <w:tc>
          <w:tcPr>
            <w:tcW w:w="305" w:type="dxa"/>
            <w:tcBorders/>
            <w:shd w:fill="auto" w:val="clear"/>
            <w:vAlign w:val="center"/>
          </w:tcPr>
          <w:p>
            <w:pPr>
              <w:pStyle w:val="TableContents"/>
              <w:spacing w:before="0" w:after="0"/>
              <w:ind w:left="0" w:right="0" w:hanging="0"/>
              <w:jc w:val="left"/>
              <w:rPr/>
            </w:pPr>
            <w:r>
              <w:rPr/>
              <w:t> </w:t>
            </w:r>
          </w:p>
        </w:tc>
        <w:tc>
          <w:tcPr>
            <w:tcW w:w="1429"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256" w:type="dxa"/>
            <w:tcBorders/>
            <w:shd w:fill="auto" w:val="clear"/>
            <w:vAlign w:val="center"/>
          </w:tcPr>
          <w:p>
            <w:pPr>
              <w:pStyle w:val="TableContents"/>
              <w:spacing w:before="0" w:after="0"/>
              <w:ind w:left="0" w:right="0" w:hanging="0"/>
              <w:jc w:val="left"/>
              <w:rPr/>
            </w:pPr>
            <w:r>
              <w:rPr/>
              <w:t> </w:t>
            </w:r>
          </w:p>
        </w:tc>
        <w:tc>
          <w:tcPr>
            <w:tcW w:w="177" w:type="dxa"/>
            <w:tcBorders/>
            <w:shd w:fill="auto" w:val="clear"/>
            <w:vAlign w:val="center"/>
          </w:tcPr>
          <w:p>
            <w:pPr>
              <w:pStyle w:val="TableContents"/>
              <w:spacing w:before="0" w:after="0"/>
              <w:ind w:left="0" w:right="0" w:hanging="0"/>
              <w:jc w:val="left"/>
              <w:rPr/>
            </w:pPr>
            <w:r>
              <w:rPr/>
              <w:t> </w:t>
            </w:r>
          </w:p>
        </w:tc>
        <w:tc>
          <w:tcPr>
            <w:tcW w:w="824"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43" w:type="dxa"/>
            <w:tcBorders/>
            <w:shd w:fill="auto" w:val="clear"/>
            <w:vAlign w:val="center"/>
          </w:tcPr>
          <w:p>
            <w:pPr>
              <w:pStyle w:val="TableContents"/>
              <w:spacing w:before="0" w:after="0"/>
              <w:ind w:left="0" w:right="0" w:hanging="0"/>
              <w:jc w:val="left"/>
              <w:rPr/>
            </w:pPr>
            <w:r>
              <w:rPr/>
              <w:t> </w:t>
            </w:r>
          </w:p>
        </w:tc>
        <w:tc>
          <w:tcPr>
            <w:tcW w:w="168" w:type="dxa"/>
            <w:tcBorders/>
            <w:shd w:fill="auto" w:val="clear"/>
            <w:vAlign w:val="center"/>
          </w:tcPr>
          <w:p>
            <w:pPr>
              <w:pStyle w:val="TableContents"/>
              <w:spacing w:before="0" w:after="0"/>
              <w:ind w:left="0" w:right="0" w:hanging="0"/>
              <w:jc w:val="left"/>
              <w:rPr/>
            </w:pPr>
            <w:r>
              <w:rPr/>
              <w:t> </w:t>
            </w:r>
          </w:p>
        </w:tc>
        <w:tc>
          <w:tcPr>
            <w:tcW w:w="659"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67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16,119</w:t>
            </w:r>
          </w:p>
        </w:tc>
        <w:tc>
          <w:tcPr>
            <w:tcW w:w="197" w:type="dxa"/>
            <w:tcBorders/>
            <w:shd w:fill="auto" w:val="clear"/>
            <w:vAlign w:val="center"/>
          </w:tcPr>
          <w:p>
            <w:pPr>
              <w:pStyle w:val="TableContents"/>
              <w:spacing w:before="0" w:after="0"/>
              <w:ind w:left="0" w:right="0" w:hanging="0"/>
              <w:jc w:val="left"/>
              <w:rPr/>
            </w:pPr>
            <w:r>
              <w:rPr/>
              <w:t> </w:t>
            </w:r>
          </w:p>
        </w:tc>
      </w:tr>
      <w:tr>
        <w:trPr/>
        <w:tc>
          <w:tcPr>
            <w:tcW w:w="2126" w:type="dxa"/>
            <w:tcBorders/>
            <w:shd w:fill="auto" w:val="clear"/>
            <w:vAlign w:val="center"/>
          </w:tcPr>
          <w:p>
            <w:pPr>
              <w:pStyle w:val="TableContents"/>
              <w:spacing w:before="0" w:after="0"/>
              <w:ind w:left="0" w:right="0" w:hanging="0"/>
              <w:jc w:val="left"/>
              <w:rPr>
                <w:rFonts w:ascii="Times New Roman;serif" w:hAnsi="Times New Roman;serif"/>
                <w:b w:val="false"/>
                <w:sz w:val="18"/>
              </w:rPr>
            </w:pPr>
            <w:r>
              <w:rPr>
                <w:rFonts w:ascii="Times New Roman;serif" w:hAnsi="Times New Roman;serif"/>
                <w:b w:val="false"/>
                <w:sz w:val="18"/>
              </w:rPr>
              <w:t>System Rentals</w:t>
            </w:r>
          </w:p>
        </w:tc>
        <w:tc>
          <w:tcPr>
            <w:tcW w:w="240" w:type="dxa"/>
            <w:tcBorders/>
            <w:shd w:fill="auto" w:val="clear"/>
            <w:vAlign w:val="center"/>
          </w:tcPr>
          <w:p>
            <w:pPr>
              <w:pStyle w:val="TableContents"/>
              <w:spacing w:before="0" w:after="0"/>
              <w:ind w:left="0" w:right="0" w:hanging="0"/>
              <w:jc w:val="left"/>
              <w:rPr/>
            </w:pPr>
            <w:r>
              <w:rPr/>
              <w:t> </w:t>
            </w:r>
          </w:p>
        </w:tc>
        <w:tc>
          <w:tcPr>
            <w:tcW w:w="166" w:type="dxa"/>
            <w:tcBorders/>
            <w:shd w:fill="auto" w:val="clear"/>
            <w:vAlign w:val="center"/>
          </w:tcPr>
          <w:p>
            <w:pPr>
              <w:pStyle w:val="TableContents"/>
              <w:spacing w:before="0" w:after="0"/>
              <w:ind w:left="0" w:right="0" w:hanging="0"/>
              <w:jc w:val="left"/>
              <w:rPr/>
            </w:pPr>
            <w:r>
              <w:rPr/>
              <w:t> </w:t>
            </w:r>
          </w:p>
        </w:tc>
        <w:tc>
          <w:tcPr>
            <w:tcW w:w="771"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443" w:type="dxa"/>
            <w:tcBorders/>
            <w:shd w:fill="auto" w:val="clear"/>
            <w:vAlign w:val="center"/>
          </w:tcPr>
          <w:p>
            <w:pPr>
              <w:pStyle w:val="TableContents"/>
              <w:spacing w:before="0" w:after="0"/>
              <w:ind w:left="0" w:right="0" w:hanging="0"/>
              <w:jc w:val="left"/>
              <w:rPr/>
            </w:pPr>
            <w:r>
              <w:rPr/>
              <w:t> </w:t>
            </w:r>
          </w:p>
        </w:tc>
        <w:tc>
          <w:tcPr>
            <w:tcW w:w="305" w:type="dxa"/>
            <w:tcBorders/>
            <w:shd w:fill="auto" w:val="clear"/>
            <w:vAlign w:val="center"/>
          </w:tcPr>
          <w:p>
            <w:pPr>
              <w:pStyle w:val="TableContents"/>
              <w:spacing w:before="0" w:after="0"/>
              <w:ind w:left="0" w:right="0" w:hanging="0"/>
              <w:jc w:val="left"/>
              <w:rPr/>
            </w:pPr>
            <w:r>
              <w:rPr/>
              <w:t> </w:t>
            </w:r>
          </w:p>
        </w:tc>
        <w:tc>
          <w:tcPr>
            <w:tcW w:w="1429"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256" w:type="dxa"/>
            <w:tcBorders/>
            <w:shd w:fill="auto" w:val="clear"/>
            <w:vAlign w:val="center"/>
          </w:tcPr>
          <w:p>
            <w:pPr>
              <w:pStyle w:val="TableContents"/>
              <w:spacing w:before="0" w:after="0"/>
              <w:ind w:left="0" w:right="0" w:hanging="0"/>
              <w:jc w:val="left"/>
              <w:rPr/>
            </w:pPr>
            <w:r>
              <w:rPr/>
              <w:t> </w:t>
            </w:r>
          </w:p>
        </w:tc>
        <w:tc>
          <w:tcPr>
            <w:tcW w:w="177" w:type="dxa"/>
            <w:tcBorders/>
            <w:shd w:fill="auto" w:val="clear"/>
            <w:vAlign w:val="center"/>
          </w:tcPr>
          <w:p>
            <w:pPr>
              <w:pStyle w:val="TableContents"/>
              <w:spacing w:before="0" w:after="0"/>
              <w:ind w:left="0" w:right="0" w:hanging="0"/>
              <w:jc w:val="left"/>
              <w:rPr/>
            </w:pPr>
            <w:r>
              <w:rPr/>
              <w:t> </w:t>
            </w:r>
          </w:p>
        </w:tc>
        <w:tc>
          <w:tcPr>
            <w:tcW w:w="824"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20,058</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43" w:type="dxa"/>
            <w:tcBorders/>
            <w:shd w:fill="auto" w:val="clear"/>
            <w:vAlign w:val="center"/>
          </w:tcPr>
          <w:p>
            <w:pPr>
              <w:pStyle w:val="TableContents"/>
              <w:spacing w:before="0" w:after="0"/>
              <w:ind w:left="0" w:right="0" w:hanging="0"/>
              <w:jc w:val="left"/>
              <w:rPr/>
            </w:pPr>
            <w:r>
              <w:rPr/>
              <w:t> </w:t>
            </w:r>
          </w:p>
        </w:tc>
        <w:tc>
          <w:tcPr>
            <w:tcW w:w="168" w:type="dxa"/>
            <w:tcBorders/>
            <w:shd w:fill="auto" w:val="clear"/>
            <w:vAlign w:val="center"/>
          </w:tcPr>
          <w:p>
            <w:pPr>
              <w:pStyle w:val="TableContents"/>
              <w:spacing w:before="0" w:after="0"/>
              <w:ind w:left="0" w:right="0" w:hanging="0"/>
              <w:jc w:val="left"/>
              <w:rPr/>
            </w:pPr>
            <w:r>
              <w:rPr/>
              <w:t> </w:t>
            </w:r>
          </w:p>
        </w:tc>
        <w:tc>
          <w:tcPr>
            <w:tcW w:w="659"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67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20,058</w:t>
            </w:r>
          </w:p>
        </w:tc>
        <w:tc>
          <w:tcPr>
            <w:tcW w:w="197" w:type="dxa"/>
            <w:tcBorders/>
            <w:shd w:fill="auto" w:val="clear"/>
            <w:vAlign w:val="center"/>
          </w:tcPr>
          <w:p>
            <w:pPr>
              <w:pStyle w:val="TableContents"/>
              <w:spacing w:before="0" w:after="0"/>
              <w:ind w:left="0" w:right="0" w:hanging="0"/>
              <w:jc w:val="left"/>
              <w:rPr/>
            </w:pPr>
            <w:r>
              <w:rPr/>
              <w:t> </w:t>
            </w:r>
          </w:p>
        </w:tc>
      </w:tr>
      <w:tr>
        <w:trPr/>
        <w:tc>
          <w:tcPr>
            <w:tcW w:w="2126" w:type="dxa"/>
            <w:tcBorders/>
            <w:shd w:fill="auto" w:val="clear"/>
            <w:vAlign w:val="center"/>
          </w:tcPr>
          <w:p>
            <w:pPr>
              <w:pStyle w:val="TableContents"/>
              <w:spacing w:before="0" w:after="0"/>
              <w:ind w:left="0" w:right="0" w:hanging="0"/>
              <w:jc w:val="left"/>
              <w:rPr>
                <w:rFonts w:ascii="Times New Roman;serif" w:hAnsi="Times New Roman;serif"/>
                <w:b w:val="false"/>
                <w:sz w:val="18"/>
              </w:rPr>
            </w:pPr>
            <w:r>
              <w:rPr>
                <w:rFonts w:ascii="Times New Roman;serif" w:hAnsi="Times New Roman;serif"/>
                <w:b w:val="false"/>
                <w:sz w:val="18"/>
              </w:rPr>
              <w:t>Maintenance</w:t>
            </w:r>
          </w:p>
        </w:tc>
        <w:tc>
          <w:tcPr>
            <w:tcW w:w="240" w:type="dxa"/>
            <w:tcBorders/>
            <w:shd w:fill="auto" w:val="clear"/>
            <w:vAlign w:val="center"/>
          </w:tcPr>
          <w:p>
            <w:pPr>
              <w:pStyle w:val="TableContents"/>
              <w:spacing w:before="0" w:after="0"/>
              <w:ind w:left="0" w:right="0" w:hanging="0"/>
              <w:jc w:val="left"/>
              <w:rPr/>
            </w:pPr>
            <w:r>
              <w:rPr/>
              <w:t> </w:t>
            </w:r>
          </w:p>
        </w:tc>
        <w:tc>
          <w:tcPr>
            <w:tcW w:w="166" w:type="dxa"/>
            <w:tcBorders/>
            <w:shd w:fill="auto" w:val="clear"/>
            <w:vAlign w:val="center"/>
          </w:tcPr>
          <w:p>
            <w:pPr>
              <w:pStyle w:val="TableContents"/>
              <w:spacing w:before="0" w:after="0"/>
              <w:ind w:left="0" w:right="0" w:hanging="0"/>
              <w:jc w:val="left"/>
              <w:rPr/>
            </w:pPr>
            <w:r>
              <w:rPr/>
              <w:t> </w:t>
            </w:r>
          </w:p>
        </w:tc>
        <w:tc>
          <w:tcPr>
            <w:tcW w:w="771"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443" w:type="dxa"/>
            <w:tcBorders/>
            <w:shd w:fill="auto" w:val="clear"/>
            <w:vAlign w:val="center"/>
          </w:tcPr>
          <w:p>
            <w:pPr>
              <w:pStyle w:val="TableContents"/>
              <w:spacing w:before="0" w:after="0"/>
              <w:ind w:left="0" w:right="0" w:hanging="0"/>
              <w:jc w:val="left"/>
              <w:rPr/>
            </w:pPr>
            <w:r>
              <w:rPr/>
              <w:t> </w:t>
            </w:r>
          </w:p>
        </w:tc>
        <w:tc>
          <w:tcPr>
            <w:tcW w:w="305" w:type="dxa"/>
            <w:tcBorders/>
            <w:shd w:fill="auto" w:val="clear"/>
            <w:vAlign w:val="center"/>
          </w:tcPr>
          <w:p>
            <w:pPr>
              <w:pStyle w:val="TableContents"/>
              <w:spacing w:before="0" w:after="0"/>
              <w:ind w:left="0" w:right="0" w:hanging="0"/>
              <w:jc w:val="left"/>
              <w:rPr/>
            </w:pPr>
            <w:r>
              <w:rPr/>
              <w:t> </w:t>
            </w:r>
          </w:p>
        </w:tc>
        <w:tc>
          <w:tcPr>
            <w:tcW w:w="1429"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13,551</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256" w:type="dxa"/>
            <w:tcBorders/>
            <w:shd w:fill="auto" w:val="clear"/>
            <w:vAlign w:val="center"/>
          </w:tcPr>
          <w:p>
            <w:pPr>
              <w:pStyle w:val="TableContents"/>
              <w:spacing w:before="0" w:after="0"/>
              <w:ind w:left="0" w:right="0" w:hanging="0"/>
              <w:jc w:val="left"/>
              <w:rPr/>
            </w:pPr>
            <w:r>
              <w:rPr/>
              <w:t> </w:t>
            </w:r>
          </w:p>
        </w:tc>
        <w:tc>
          <w:tcPr>
            <w:tcW w:w="177" w:type="dxa"/>
            <w:tcBorders/>
            <w:shd w:fill="auto" w:val="clear"/>
            <w:vAlign w:val="center"/>
          </w:tcPr>
          <w:p>
            <w:pPr>
              <w:pStyle w:val="TableContents"/>
              <w:spacing w:before="0" w:after="0"/>
              <w:ind w:left="0" w:right="0" w:hanging="0"/>
              <w:jc w:val="left"/>
              <w:rPr/>
            </w:pPr>
            <w:r>
              <w:rPr/>
              <w:t> </w:t>
            </w:r>
          </w:p>
        </w:tc>
        <w:tc>
          <w:tcPr>
            <w:tcW w:w="824"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43" w:type="dxa"/>
            <w:tcBorders/>
            <w:shd w:fill="auto" w:val="clear"/>
            <w:vAlign w:val="center"/>
          </w:tcPr>
          <w:p>
            <w:pPr>
              <w:pStyle w:val="TableContents"/>
              <w:spacing w:before="0" w:after="0"/>
              <w:ind w:left="0" w:right="0" w:hanging="0"/>
              <w:jc w:val="left"/>
              <w:rPr/>
            </w:pPr>
            <w:r>
              <w:rPr/>
              <w:t> </w:t>
            </w:r>
          </w:p>
        </w:tc>
        <w:tc>
          <w:tcPr>
            <w:tcW w:w="168" w:type="dxa"/>
            <w:tcBorders/>
            <w:shd w:fill="auto" w:val="clear"/>
            <w:vAlign w:val="center"/>
          </w:tcPr>
          <w:p>
            <w:pPr>
              <w:pStyle w:val="TableContents"/>
              <w:spacing w:before="0" w:after="0"/>
              <w:ind w:left="0" w:right="0" w:hanging="0"/>
              <w:jc w:val="left"/>
              <w:rPr/>
            </w:pPr>
            <w:r>
              <w:rPr/>
              <w:t> </w:t>
            </w:r>
          </w:p>
        </w:tc>
        <w:tc>
          <w:tcPr>
            <w:tcW w:w="659"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67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13,551</w:t>
            </w:r>
          </w:p>
        </w:tc>
        <w:tc>
          <w:tcPr>
            <w:tcW w:w="197" w:type="dxa"/>
            <w:tcBorders/>
            <w:shd w:fill="auto" w:val="clear"/>
            <w:vAlign w:val="center"/>
          </w:tcPr>
          <w:p>
            <w:pPr>
              <w:pStyle w:val="TableContents"/>
              <w:spacing w:before="0" w:after="0"/>
              <w:ind w:left="0" w:right="0" w:hanging="0"/>
              <w:jc w:val="left"/>
              <w:rPr/>
            </w:pPr>
            <w:r>
              <w:rPr/>
              <w:t> </w:t>
            </w:r>
          </w:p>
        </w:tc>
      </w:tr>
      <w:tr>
        <w:trPr/>
        <w:tc>
          <w:tcPr>
            <w:tcW w:w="2126" w:type="dxa"/>
            <w:tcBorders/>
            <w:shd w:fill="auto" w:val="clear"/>
            <w:vAlign w:val="center"/>
          </w:tcPr>
          <w:p>
            <w:pPr>
              <w:pStyle w:val="TableContents"/>
              <w:spacing w:before="0" w:after="0"/>
              <w:ind w:left="0" w:right="0" w:hanging="0"/>
              <w:jc w:val="left"/>
              <w:rPr>
                <w:rFonts w:ascii="Times New Roman;serif" w:hAnsi="Times New Roman;serif"/>
                <w:b w:val="false"/>
                <w:sz w:val="18"/>
              </w:rPr>
            </w:pPr>
            <w:r>
              <w:rPr>
                <w:rFonts w:ascii="Times New Roman;serif" w:hAnsi="Times New Roman;serif"/>
                <w:b w:val="false"/>
                <w:sz w:val="18"/>
              </w:rPr>
              <w:t>Finance Income</w:t>
            </w:r>
          </w:p>
        </w:tc>
        <w:tc>
          <w:tcPr>
            <w:tcW w:w="240"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77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pPr>
            <w:r>
              <w:rPr/>
              <w:t>—</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443"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305"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29"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pPr>
            <w:r>
              <w:rPr/>
              <w:t>—</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25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77"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824"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pPr>
            <w:r>
              <w:rPr/>
              <w:t>—</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43"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68"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659"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1,939</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67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1,939</w:t>
            </w:r>
          </w:p>
        </w:tc>
        <w:tc>
          <w:tcPr>
            <w:tcW w:w="197"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r>
        <w:trPr/>
        <w:tc>
          <w:tcPr>
            <w:tcW w:w="2126" w:type="dxa"/>
            <w:tcBorders/>
            <w:shd w:fill="auto" w:val="clear"/>
            <w:vAlign w:val="center"/>
          </w:tcPr>
          <w:p>
            <w:pPr>
              <w:pStyle w:val="TableContents"/>
              <w:spacing w:before="0" w:after="0"/>
              <w:ind w:left="0" w:right="0" w:hanging="0"/>
              <w:jc w:val="left"/>
              <w:rPr/>
            </w:pPr>
            <w:r>
              <w:rPr/>
              <w:t> </w:t>
            </w:r>
          </w:p>
        </w:tc>
        <w:tc>
          <w:tcPr>
            <w:tcW w:w="240"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77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16,119</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443"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305"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29"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13,551</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25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77"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824"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20,058</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43"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68"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659"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1,939</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67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51,667</w:t>
            </w:r>
          </w:p>
        </w:tc>
        <w:tc>
          <w:tcPr>
            <w:tcW w:w="197"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r>
        <w:trPr/>
        <w:tc>
          <w:tcPr>
            <w:tcW w:w="2126" w:type="dxa"/>
            <w:tcBorders/>
            <w:shd w:fill="auto" w:val="clear"/>
            <w:vAlign w:val="center"/>
          </w:tcPr>
          <w:p>
            <w:pPr>
              <w:pStyle w:val="TableContents"/>
              <w:spacing w:before="0" w:after="0"/>
              <w:ind w:left="0" w:right="0" w:hanging="0"/>
              <w:jc w:val="left"/>
              <w:rPr>
                <w:rFonts w:ascii="Times New Roman;serif" w:hAnsi="Times New Roman;serif"/>
                <w:b w:val="false"/>
                <w:sz w:val="18"/>
              </w:rPr>
            </w:pPr>
            <w:r>
              <w:rPr>
                <w:rFonts w:ascii="Times New Roman;serif" w:hAnsi="Times New Roman;serif"/>
                <w:b w:val="false"/>
                <w:sz w:val="18"/>
              </w:rPr>
              <w:t>Sub-total for reportable segments</w:t>
            </w:r>
          </w:p>
        </w:tc>
        <w:tc>
          <w:tcPr>
            <w:tcW w:w="240"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77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16,119</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443"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305"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29"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45,652</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25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77"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824"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20,058</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43"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68"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659"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1,939</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67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83,768</w:t>
            </w:r>
          </w:p>
        </w:tc>
        <w:tc>
          <w:tcPr>
            <w:tcW w:w="197"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r>
        <w:trPr/>
        <w:tc>
          <w:tcPr>
            <w:tcW w:w="2126" w:type="dxa"/>
            <w:tcBorders/>
            <w:shd w:fill="auto" w:val="clear"/>
            <w:vAlign w:val="center"/>
          </w:tcPr>
          <w:p>
            <w:pPr>
              <w:pStyle w:val="TableContents"/>
              <w:spacing w:before="0" w:after="0"/>
              <w:ind w:left="0" w:right="0" w:hanging="0"/>
              <w:jc w:val="left"/>
              <w:rPr>
                <w:rFonts w:ascii="Times New Roman;serif" w:hAnsi="Times New Roman;serif"/>
                <w:b/>
                <w:sz w:val="18"/>
              </w:rPr>
            </w:pPr>
            <w:r>
              <w:rPr>
                <w:rFonts w:ascii="Times New Roman;serif" w:hAnsi="Times New Roman;serif"/>
                <w:b/>
                <w:sz w:val="18"/>
              </w:rPr>
              <w:t>All Other</w:t>
            </w:r>
          </w:p>
        </w:tc>
        <w:tc>
          <w:tcPr>
            <w:tcW w:w="240" w:type="dxa"/>
            <w:tcBorders/>
            <w:shd w:fill="auto" w:val="clear"/>
            <w:vAlign w:val="center"/>
          </w:tcPr>
          <w:p>
            <w:pPr>
              <w:pStyle w:val="TableContents"/>
              <w:spacing w:before="0" w:after="0"/>
              <w:ind w:left="0" w:right="0" w:hanging="0"/>
              <w:jc w:val="left"/>
              <w:rPr/>
            </w:pPr>
            <w:r>
              <w:rPr/>
              <w:t> </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77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1,703</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443" w:type="dxa"/>
            <w:tcBorders/>
            <w:shd w:fill="auto" w:val="clear"/>
            <w:vAlign w:val="center"/>
          </w:tcPr>
          <w:p>
            <w:pPr>
              <w:pStyle w:val="TableContents"/>
              <w:spacing w:before="0" w:after="0"/>
              <w:ind w:left="0" w:right="0" w:hanging="0"/>
              <w:jc w:val="left"/>
              <w:rPr/>
            </w:pPr>
            <w:r>
              <w:rPr/>
              <w:t> </w:t>
            </w:r>
          </w:p>
        </w:tc>
        <w:tc>
          <w:tcPr>
            <w:tcW w:w="305"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29"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1,475</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256" w:type="dxa"/>
            <w:tcBorders/>
            <w:shd w:fill="auto" w:val="clear"/>
            <w:vAlign w:val="center"/>
          </w:tcPr>
          <w:p>
            <w:pPr>
              <w:pStyle w:val="TableContents"/>
              <w:spacing w:before="0" w:after="0"/>
              <w:ind w:left="0" w:right="0" w:hanging="0"/>
              <w:jc w:val="left"/>
              <w:rPr/>
            </w:pPr>
            <w:r>
              <w:rPr/>
              <w:t> </w:t>
            </w:r>
          </w:p>
        </w:tc>
        <w:tc>
          <w:tcPr>
            <w:tcW w:w="177"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824"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pPr>
            <w:r>
              <w:rPr/>
              <w:t>—</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43" w:type="dxa"/>
            <w:tcBorders/>
            <w:shd w:fill="auto" w:val="clear"/>
            <w:vAlign w:val="center"/>
          </w:tcPr>
          <w:p>
            <w:pPr>
              <w:pStyle w:val="TableContents"/>
              <w:spacing w:before="0" w:after="0"/>
              <w:ind w:left="0" w:right="0" w:hanging="0"/>
              <w:jc w:val="left"/>
              <w:rPr/>
            </w:pPr>
            <w:r>
              <w:rPr/>
              <w:t> </w:t>
            </w:r>
          </w:p>
        </w:tc>
        <w:tc>
          <w:tcPr>
            <w:tcW w:w="168"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659"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pPr>
            <w:r>
              <w:rPr/>
              <w:t>—</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67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3,178</w:t>
            </w:r>
          </w:p>
        </w:tc>
        <w:tc>
          <w:tcPr>
            <w:tcW w:w="197"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r>
        <w:trPr/>
        <w:tc>
          <w:tcPr>
            <w:tcW w:w="2126" w:type="dxa"/>
            <w:tcBorders/>
            <w:shd w:fill="auto" w:val="clear"/>
            <w:vAlign w:val="center"/>
          </w:tcPr>
          <w:p>
            <w:pPr>
              <w:pStyle w:val="TableContents"/>
              <w:spacing w:before="0" w:after="0"/>
              <w:ind w:left="0" w:right="0" w:hanging="0"/>
              <w:jc w:val="left"/>
              <w:rPr>
                <w:rFonts w:ascii="Times New Roman;serif" w:hAnsi="Times New Roman;serif"/>
                <w:b w:val="false"/>
                <w:sz w:val="18"/>
              </w:rPr>
            </w:pPr>
            <w:r>
              <w:rPr>
                <w:rFonts w:ascii="Times New Roman;serif" w:hAnsi="Times New Roman;serif"/>
                <w:b w:val="false"/>
                <w:sz w:val="18"/>
              </w:rPr>
              <w:t>Total</w:t>
            </w:r>
          </w:p>
        </w:tc>
        <w:tc>
          <w:tcPr>
            <w:tcW w:w="240"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6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77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17,822</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443"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305"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29"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47,127</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5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77"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824"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20,058</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43"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68"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659"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1,939</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67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86,946</w:t>
            </w:r>
          </w:p>
        </w:tc>
        <w:tc>
          <w:tcPr>
            <w:tcW w:w="197"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r>
        <w:trPr/>
        <w:tc>
          <w:tcPr>
            <w:tcW w:w="2126" w:type="dxa"/>
            <w:tcBorders/>
            <w:shd w:fill="auto" w:val="clear"/>
            <w:vAlign w:val="center"/>
          </w:tcPr>
          <w:p>
            <w:pPr>
              <w:pStyle w:val="TableContents"/>
              <w:spacing w:before="0" w:after="0"/>
              <w:ind w:left="0" w:right="0" w:hanging="0"/>
              <w:jc w:val="left"/>
              <w:rPr/>
            </w:pPr>
            <w:r>
              <w:rPr/>
              <w:t> </w:t>
            </w:r>
          </w:p>
        </w:tc>
        <w:tc>
          <w:tcPr>
            <w:tcW w:w="240" w:type="dxa"/>
            <w:tcBorders/>
            <w:shd w:fill="auto" w:val="clear"/>
            <w:vAlign w:val="center"/>
          </w:tcPr>
          <w:p>
            <w:pPr>
              <w:pStyle w:val="TableContents"/>
              <w:spacing w:before="0" w:after="0"/>
              <w:ind w:left="0" w:right="0" w:hanging="0"/>
              <w:jc w:val="left"/>
              <w:rPr/>
            </w:pPr>
            <w:r>
              <w:rPr/>
              <w:t> </w:t>
            </w:r>
          </w:p>
        </w:tc>
        <w:tc>
          <w:tcPr>
            <w:tcW w:w="937" w:type="dxa"/>
            <w:gridSpan w:val="2"/>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443" w:type="dxa"/>
            <w:tcBorders/>
            <w:shd w:fill="auto" w:val="clear"/>
            <w:vAlign w:val="center"/>
          </w:tcPr>
          <w:p>
            <w:pPr>
              <w:pStyle w:val="TableContents"/>
              <w:spacing w:before="0" w:after="0"/>
              <w:ind w:left="0" w:right="0" w:hanging="0"/>
              <w:jc w:val="left"/>
              <w:rPr/>
            </w:pPr>
            <w:r>
              <w:rPr/>
              <w:t> </w:t>
            </w:r>
          </w:p>
        </w:tc>
        <w:tc>
          <w:tcPr>
            <w:tcW w:w="1734" w:type="dxa"/>
            <w:gridSpan w:val="2"/>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56" w:type="dxa"/>
            <w:tcBorders/>
            <w:shd w:fill="auto" w:val="clear"/>
            <w:vAlign w:val="center"/>
          </w:tcPr>
          <w:p>
            <w:pPr>
              <w:pStyle w:val="TableContents"/>
              <w:spacing w:before="0" w:after="0"/>
              <w:ind w:left="0" w:right="0" w:hanging="0"/>
              <w:jc w:val="left"/>
              <w:rPr/>
            </w:pPr>
            <w:r>
              <w:rPr/>
              <w:t> </w:t>
            </w:r>
          </w:p>
        </w:tc>
        <w:tc>
          <w:tcPr>
            <w:tcW w:w="1001" w:type="dxa"/>
            <w:gridSpan w:val="2"/>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43" w:type="dxa"/>
            <w:tcBorders/>
            <w:shd w:fill="auto" w:val="clear"/>
            <w:vAlign w:val="center"/>
          </w:tcPr>
          <w:p>
            <w:pPr>
              <w:pStyle w:val="TableContents"/>
              <w:spacing w:before="0" w:after="0"/>
              <w:ind w:left="0" w:right="0" w:hanging="0"/>
              <w:jc w:val="left"/>
              <w:rPr/>
            </w:pPr>
            <w:r>
              <w:rPr/>
              <w:t> </w:t>
            </w:r>
          </w:p>
        </w:tc>
        <w:tc>
          <w:tcPr>
            <w:tcW w:w="827" w:type="dxa"/>
            <w:gridSpan w:val="2"/>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822" w:type="dxa"/>
            <w:gridSpan w:val="2"/>
            <w:tcBorders/>
            <w:shd w:fill="auto" w:val="clear"/>
            <w:vAlign w:val="center"/>
          </w:tcPr>
          <w:p>
            <w:pPr>
              <w:pStyle w:val="TableContents"/>
              <w:spacing w:before="0" w:after="0"/>
              <w:ind w:left="0" w:right="0" w:hanging="0"/>
              <w:jc w:val="left"/>
              <w:rPr/>
            </w:pPr>
            <w:r>
              <w:rPr/>
              <w:t> </w:t>
            </w:r>
          </w:p>
        </w:tc>
        <w:tc>
          <w:tcPr>
            <w:tcW w:w="197" w:type="dxa"/>
            <w:tcBorders/>
            <w:shd w:fill="auto" w:val="clear"/>
            <w:vAlign w:val="center"/>
          </w:tcPr>
          <w:p>
            <w:pPr>
              <w:pStyle w:val="TableContents"/>
              <w:spacing w:before="0" w:after="0"/>
              <w:ind w:left="0" w:right="0" w:hanging="0"/>
              <w:jc w:val="left"/>
              <w:rPr/>
            </w:pPr>
            <w:r>
              <w:rPr/>
              <w:t> </w:t>
            </w:r>
          </w:p>
        </w:tc>
      </w:tr>
      <w:tr>
        <w:trPr/>
        <w:tc>
          <w:tcPr>
            <w:tcW w:w="2126" w:type="dxa"/>
            <w:tcBorders/>
            <w:shd w:fill="auto" w:val="clear"/>
            <w:vAlign w:val="center"/>
          </w:tcPr>
          <w:p>
            <w:pPr>
              <w:pStyle w:val="TableContents"/>
              <w:spacing w:before="0" w:after="0"/>
              <w:ind w:left="0" w:right="0" w:hanging="0"/>
              <w:jc w:val="left"/>
              <w:rPr/>
            </w:pPr>
            <w:r>
              <w:rPr/>
              <w:t> </w:t>
            </w:r>
          </w:p>
        </w:tc>
        <w:tc>
          <w:tcPr>
            <w:tcW w:w="7882" w:type="dxa"/>
            <w:gridSpan w:val="23"/>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Three Months Ended March 31, 2022</w:t>
            </w:r>
          </w:p>
        </w:tc>
        <w:tc>
          <w:tcPr>
            <w:tcW w:w="197"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2126" w:type="dxa"/>
            <w:tcBorders/>
            <w:shd w:fill="auto" w:val="clear"/>
            <w:vAlign w:val="center"/>
          </w:tcPr>
          <w:p>
            <w:pPr>
              <w:pStyle w:val="TableContents"/>
              <w:spacing w:before="0" w:after="0"/>
              <w:ind w:left="0" w:right="0" w:hanging="0"/>
              <w:jc w:val="left"/>
              <w:rPr>
                <w:rFonts w:ascii="Times New Roman;serif" w:hAnsi="Times New Roman;serif"/>
                <w:b w:val="false"/>
                <w:i/>
                <w:sz w:val="16"/>
              </w:rPr>
            </w:pPr>
            <w:r>
              <w:rPr>
                <w:rFonts w:ascii="Times New Roman;serif" w:hAnsi="Times New Roman;serif"/>
                <w:b w:val="false"/>
                <w:i/>
                <w:sz w:val="16"/>
              </w:rPr>
              <w:t>(In thousands of U.S. Dollars)</w:t>
            </w:r>
          </w:p>
        </w:tc>
        <w:tc>
          <w:tcPr>
            <w:tcW w:w="1177" w:type="dxa"/>
            <w:gridSpan w:val="3"/>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Technology Sales</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2177" w:type="dxa"/>
            <w:gridSpan w:val="3"/>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Image Enhancement and Maintenance Services</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1257" w:type="dxa"/>
            <w:gridSpan w:val="3"/>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Technology Rentals</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070" w:type="dxa"/>
            <w:gridSpan w:val="3"/>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Finance Income</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822"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Total</w:t>
            </w:r>
          </w:p>
        </w:tc>
        <w:tc>
          <w:tcPr>
            <w:tcW w:w="197"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2126" w:type="dxa"/>
            <w:tcBorders/>
            <w:shd w:fill="auto" w:val="clear"/>
            <w:vAlign w:val="center"/>
          </w:tcPr>
          <w:p>
            <w:pPr>
              <w:pStyle w:val="TableContents"/>
              <w:spacing w:before="0" w:after="0"/>
              <w:ind w:left="0" w:right="0" w:hanging="0"/>
              <w:jc w:val="left"/>
              <w:rPr>
                <w:rFonts w:ascii="Times New Roman;serif" w:hAnsi="Times New Roman;serif"/>
                <w:b/>
                <w:sz w:val="18"/>
              </w:rPr>
            </w:pPr>
            <w:r>
              <w:rPr>
                <w:rFonts w:ascii="Times New Roman;serif" w:hAnsi="Times New Roman;serif"/>
                <w:b/>
                <w:sz w:val="18"/>
              </w:rPr>
              <w:t>Content Solutions Segment</w:t>
            </w:r>
          </w:p>
        </w:tc>
        <w:tc>
          <w:tcPr>
            <w:tcW w:w="240" w:type="dxa"/>
            <w:tcBorders/>
            <w:shd w:fill="auto" w:val="clear"/>
            <w:vAlign w:val="center"/>
          </w:tcPr>
          <w:p>
            <w:pPr>
              <w:pStyle w:val="TableContents"/>
              <w:spacing w:before="0" w:after="0"/>
              <w:ind w:left="0" w:right="0" w:hanging="0"/>
              <w:jc w:val="center"/>
              <w:rPr/>
            </w:pPr>
            <w:r>
              <w:rPr/>
              <w:t> </w:t>
            </w:r>
          </w:p>
        </w:tc>
        <w:tc>
          <w:tcPr>
            <w:tcW w:w="937" w:type="dxa"/>
            <w:gridSpan w:val="2"/>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443" w:type="dxa"/>
            <w:tcBorders/>
            <w:shd w:fill="auto" w:val="clear"/>
            <w:vAlign w:val="center"/>
          </w:tcPr>
          <w:p>
            <w:pPr>
              <w:pStyle w:val="TableContents"/>
              <w:spacing w:before="0" w:after="0"/>
              <w:ind w:left="0" w:right="0" w:hanging="0"/>
              <w:jc w:val="center"/>
              <w:rPr/>
            </w:pPr>
            <w:r>
              <w:rPr/>
              <w:t> </w:t>
            </w:r>
          </w:p>
        </w:tc>
        <w:tc>
          <w:tcPr>
            <w:tcW w:w="1734" w:type="dxa"/>
            <w:gridSpan w:val="2"/>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256" w:type="dxa"/>
            <w:tcBorders/>
            <w:shd w:fill="auto" w:val="clear"/>
            <w:vAlign w:val="center"/>
          </w:tcPr>
          <w:p>
            <w:pPr>
              <w:pStyle w:val="TableContents"/>
              <w:spacing w:before="0" w:after="0"/>
              <w:ind w:left="0" w:right="0" w:hanging="0"/>
              <w:jc w:val="center"/>
              <w:rPr/>
            </w:pPr>
            <w:r>
              <w:rPr/>
              <w:t> </w:t>
            </w:r>
          </w:p>
        </w:tc>
        <w:tc>
          <w:tcPr>
            <w:tcW w:w="1001" w:type="dxa"/>
            <w:gridSpan w:val="2"/>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43" w:type="dxa"/>
            <w:tcBorders/>
            <w:shd w:fill="auto" w:val="clear"/>
            <w:vAlign w:val="center"/>
          </w:tcPr>
          <w:p>
            <w:pPr>
              <w:pStyle w:val="TableContents"/>
              <w:spacing w:before="0" w:after="0"/>
              <w:ind w:left="0" w:right="0" w:hanging="0"/>
              <w:jc w:val="center"/>
              <w:rPr/>
            </w:pPr>
            <w:r>
              <w:rPr/>
              <w:t> </w:t>
            </w:r>
          </w:p>
        </w:tc>
        <w:tc>
          <w:tcPr>
            <w:tcW w:w="827" w:type="dxa"/>
            <w:gridSpan w:val="2"/>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822" w:type="dxa"/>
            <w:gridSpan w:val="2"/>
            <w:tcBorders/>
            <w:shd w:fill="auto" w:val="clear"/>
            <w:vAlign w:val="center"/>
          </w:tcPr>
          <w:p>
            <w:pPr>
              <w:pStyle w:val="TableContents"/>
              <w:spacing w:before="0" w:after="0"/>
              <w:ind w:left="0" w:right="0" w:hanging="0"/>
              <w:jc w:val="center"/>
              <w:rPr/>
            </w:pPr>
            <w:r>
              <w:rPr/>
              <w:t> </w:t>
            </w:r>
          </w:p>
        </w:tc>
        <w:tc>
          <w:tcPr>
            <w:tcW w:w="197" w:type="dxa"/>
            <w:tcBorders/>
            <w:shd w:fill="auto" w:val="clear"/>
            <w:vAlign w:val="center"/>
          </w:tcPr>
          <w:p>
            <w:pPr>
              <w:pStyle w:val="TableContents"/>
              <w:spacing w:before="0" w:after="0"/>
              <w:ind w:left="0" w:right="0" w:hanging="0"/>
              <w:jc w:val="center"/>
              <w:rPr/>
            </w:pPr>
            <w:r>
              <w:rPr/>
              <w:t> </w:t>
            </w:r>
          </w:p>
        </w:tc>
      </w:tr>
      <w:tr>
        <w:trPr/>
        <w:tc>
          <w:tcPr>
            <w:tcW w:w="2126" w:type="dxa"/>
            <w:tcBorders/>
            <w:shd w:fill="auto" w:val="clear"/>
            <w:vAlign w:val="center"/>
          </w:tcPr>
          <w:p>
            <w:pPr>
              <w:pStyle w:val="TableContents"/>
              <w:spacing w:before="0" w:after="0"/>
              <w:ind w:left="0" w:right="0" w:hanging="0"/>
              <w:jc w:val="left"/>
              <w:rPr>
                <w:rFonts w:ascii="Times New Roman;serif" w:hAnsi="Times New Roman;serif"/>
                <w:b w:val="false"/>
                <w:sz w:val="18"/>
              </w:rPr>
            </w:pPr>
            <w:r>
              <w:rPr>
                <w:rFonts w:ascii="Times New Roman;serif" w:hAnsi="Times New Roman;serif"/>
                <w:b w:val="false"/>
                <w:sz w:val="18"/>
              </w:rPr>
              <w:t>Film Remastering and Distribution</w:t>
            </w:r>
          </w:p>
        </w:tc>
        <w:tc>
          <w:tcPr>
            <w:tcW w:w="240" w:type="dxa"/>
            <w:tcBorders/>
            <w:shd w:fill="auto" w:val="clear"/>
            <w:vAlign w:val="center"/>
          </w:tcPr>
          <w:p>
            <w:pPr>
              <w:pStyle w:val="TableContents"/>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166" w:type="dxa"/>
            <w:tcBorders/>
            <w:shd w:fill="auto" w:val="clear"/>
            <w:vAlign w:val="center"/>
          </w:tcPr>
          <w:p>
            <w:pPr>
              <w:pStyle w:val="TableContents"/>
              <w:spacing w:before="0" w:after="0"/>
              <w:ind w:left="0" w:right="0" w:hanging="0"/>
              <w:jc w:val="left"/>
              <w:rPr/>
            </w:pPr>
            <w:r>
              <w:rPr/>
              <w:t> </w:t>
            </w:r>
          </w:p>
        </w:tc>
        <w:tc>
          <w:tcPr>
            <w:tcW w:w="771"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443" w:type="dxa"/>
            <w:tcBorders/>
            <w:shd w:fill="auto" w:val="clear"/>
            <w:vAlign w:val="center"/>
          </w:tcPr>
          <w:p>
            <w:pPr>
              <w:pStyle w:val="TableContents"/>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305" w:type="dxa"/>
            <w:tcBorders/>
            <w:shd w:fill="auto" w:val="clear"/>
            <w:vAlign w:val="center"/>
          </w:tcPr>
          <w:p>
            <w:pPr>
              <w:pStyle w:val="TableContents"/>
              <w:spacing w:before="0" w:after="0"/>
              <w:ind w:left="0" w:right="0" w:hanging="0"/>
              <w:jc w:val="left"/>
              <w:rPr/>
            </w:pPr>
            <w:r>
              <w:rPr/>
              <w:t> </w:t>
            </w:r>
          </w:p>
        </w:tc>
        <w:tc>
          <w:tcPr>
            <w:tcW w:w="1429"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19,564</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256" w:type="dxa"/>
            <w:tcBorders/>
            <w:shd w:fill="auto" w:val="clear"/>
            <w:vAlign w:val="center"/>
          </w:tcPr>
          <w:p>
            <w:pPr>
              <w:pStyle w:val="TableContents"/>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177" w:type="dxa"/>
            <w:tcBorders/>
            <w:shd w:fill="auto" w:val="clear"/>
            <w:vAlign w:val="center"/>
          </w:tcPr>
          <w:p>
            <w:pPr>
              <w:pStyle w:val="TableContents"/>
              <w:spacing w:before="0" w:after="0"/>
              <w:ind w:left="0" w:right="0" w:hanging="0"/>
              <w:jc w:val="left"/>
              <w:rPr/>
            </w:pPr>
            <w:r>
              <w:rPr/>
              <w:t> </w:t>
            </w:r>
          </w:p>
        </w:tc>
        <w:tc>
          <w:tcPr>
            <w:tcW w:w="824"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43" w:type="dxa"/>
            <w:tcBorders/>
            <w:shd w:fill="auto" w:val="clear"/>
            <w:vAlign w:val="center"/>
          </w:tcPr>
          <w:p>
            <w:pPr>
              <w:pStyle w:val="TableContents"/>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168" w:type="dxa"/>
            <w:tcBorders/>
            <w:shd w:fill="auto" w:val="clear"/>
            <w:vAlign w:val="center"/>
          </w:tcPr>
          <w:p>
            <w:pPr>
              <w:pStyle w:val="TableContents"/>
              <w:spacing w:before="0" w:after="0"/>
              <w:ind w:left="0" w:right="0" w:hanging="0"/>
              <w:jc w:val="left"/>
              <w:rPr/>
            </w:pPr>
            <w:r>
              <w:rPr/>
              <w:t> </w:t>
            </w:r>
          </w:p>
        </w:tc>
        <w:tc>
          <w:tcPr>
            <w:tcW w:w="659"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211" w:type="dxa"/>
            <w:tcBorders/>
            <w:shd w:fill="auto" w:val="clear"/>
            <w:vAlign w:val="center"/>
          </w:tcPr>
          <w:p>
            <w:pPr>
              <w:pStyle w:val="TableContents"/>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146" w:type="dxa"/>
            <w:tcBorders/>
            <w:shd w:fill="auto" w:val="clear"/>
            <w:vAlign w:val="center"/>
          </w:tcPr>
          <w:p>
            <w:pPr>
              <w:pStyle w:val="TableContents"/>
              <w:spacing w:before="0" w:after="0"/>
              <w:ind w:left="0" w:right="0" w:hanging="0"/>
              <w:jc w:val="left"/>
              <w:rPr/>
            </w:pPr>
            <w:r>
              <w:rPr/>
              <w:t> </w:t>
            </w:r>
          </w:p>
        </w:tc>
        <w:tc>
          <w:tcPr>
            <w:tcW w:w="67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19,564</w:t>
            </w:r>
          </w:p>
        </w:tc>
        <w:tc>
          <w:tcPr>
            <w:tcW w:w="197" w:type="dxa"/>
            <w:tcBorders/>
            <w:shd w:fill="auto" w:val="clear"/>
            <w:vAlign w:val="center"/>
          </w:tcPr>
          <w:p>
            <w:pPr>
              <w:pStyle w:val="TableContents"/>
              <w:spacing w:before="0" w:after="0"/>
              <w:ind w:left="0" w:right="0" w:hanging="0"/>
              <w:jc w:val="left"/>
              <w:rPr/>
            </w:pPr>
            <w:r>
              <w:rPr/>
              <w:t> </w:t>
            </w:r>
          </w:p>
        </w:tc>
      </w:tr>
      <w:tr>
        <w:trPr/>
        <w:tc>
          <w:tcPr>
            <w:tcW w:w="2126" w:type="dxa"/>
            <w:tcBorders/>
            <w:shd w:fill="auto" w:val="clear"/>
            <w:vAlign w:val="center"/>
          </w:tcPr>
          <w:p>
            <w:pPr>
              <w:pStyle w:val="TableContents"/>
              <w:spacing w:before="0" w:after="0"/>
              <w:ind w:left="0" w:right="0" w:hanging="0"/>
              <w:jc w:val="left"/>
              <w:rPr>
                <w:rFonts w:ascii="Times New Roman;serif" w:hAnsi="Times New Roman;serif"/>
                <w:b w:val="false"/>
                <w:sz w:val="18"/>
              </w:rPr>
            </w:pPr>
            <w:r>
              <w:rPr>
                <w:rFonts w:ascii="Times New Roman;serif" w:hAnsi="Times New Roman;serif"/>
                <w:b w:val="false"/>
                <w:sz w:val="18"/>
              </w:rPr>
              <w:t>Other Content Solutions</w:t>
            </w:r>
          </w:p>
        </w:tc>
        <w:tc>
          <w:tcPr>
            <w:tcW w:w="240"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77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pPr>
            <w:r>
              <w:rPr/>
              <w:t>—</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443"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305"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29"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1,406</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25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77"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824"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18</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43"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68"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659"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pPr>
            <w:r>
              <w:rPr/>
              <w:t>—</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67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1,424</w:t>
            </w:r>
          </w:p>
        </w:tc>
        <w:tc>
          <w:tcPr>
            <w:tcW w:w="197"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r>
        <w:trPr/>
        <w:tc>
          <w:tcPr>
            <w:tcW w:w="2126" w:type="dxa"/>
            <w:tcBorders/>
            <w:shd w:fill="auto" w:val="clear"/>
            <w:vAlign w:val="center"/>
          </w:tcPr>
          <w:p>
            <w:pPr>
              <w:pStyle w:val="TableContents"/>
              <w:spacing w:before="0" w:after="0"/>
              <w:ind w:left="0" w:right="0" w:hanging="0"/>
              <w:jc w:val="left"/>
              <w:rPr/>
            </w:pPr>
            <w:r>
              <w:rPr/>
              <w:t> </w:t>
            </w:r>
          </w:p>
        </w:tc>
        <w:tc>
          <w:tcPr>
            <w:tcW w:w="240"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77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pPr>
            <w:r>
              <w:rPr/>
              <w:t>—</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443"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305"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29"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20,970</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25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77"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824"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18</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43"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68"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659"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pPr>
            <w:r>
              <w:rPr/>
              <w:t>—</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67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20,988</w:t>
            </w:r>
          </w:p>
        </w:tc>
        <w:tc>
          <w:tcPr>
            <w:tcW w:w="197"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r>
        <w:trPr/>
        <w:tc>
          <w:tcPr>
            <w:tcW w:w="2126" w:type="dxa"/>
            <w:tcBorders/>
            <w:shd w:fill="auto" w:val="clear"/>
            <w:vAlign w:val="center"/>
          </w:tcPr>
          <w:p>
            <w:pPr>
              <w:pStyle w:val="TableContents"/>
              <w:spacing w:before="0" w:after="0"/>
              <w:ind w:left="0" w:right="0" w:hanging="0"/>
              <w:jc w:val="left"/>
              <w:rPr>
                <w:rFonts w:ascii="Times New Roman;serif" w:hAnsi="Times New Roman;serif"/>
                <w:b/>
                <w:sz w:val="18"/>
              </w:rPr>
            </w:pPr>
            <w:r>
              <w:rPr>
                <w:rFonts w:ascii="Times New Roman;serif" w:hAnsi="Times New Roman;serif"/>
                <w:b/>
                <w:sz w:val="18"/>
              </w:rPr>
              <w:t>Technology Products and Services Segment</w:t>
            </w:r>
          </w:p>
        </w:tc>
        <w:tc>
          <w:tcPr>
            <w:tcW w:w="240" w:type="dxa"/>
            <w:tcBorders/>
            <w:shd w:fill="auto" w:val="clear"/>
            <w:vAlign w:val="center"/>
          </w:tcPr>
          <w:p>
            <w:pPr>
              <w:pStyle w:val="TableContents"/>
              <w:spacing w:before="0" w:after="0"/>
              <w:ind w:left="0" w:right="0" w:hanging="0"/>
              <w:jc w:val="left"/>
              <w:rPr/>
            </w:pPr>
            <w:r>
              <w:rPr/>
              <w:t> </w:t>
            </w:r>
          </w:p>
        </w:tc>
        <w:tc>
          <w:tcPr>
            <w:tcW w:w="937" w:type="dxa"/>
            <w:gridSpan w:val="2"/>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443" w:type="dxa"/>
            <w:tcBorders/>
            <w:shd w:fill="auto" w:val="clear"/>
            <w:vAlign w:val="center"/>
          </w:tcPr>
          <w:p>
            <w:pPr>
              <w:pStyle w:val="TableContents"/>
              <w:spacing w:before="0" w:after="0"/>
              <w:ind w:left="0" w:right="0" w:hanging="0"/>
              <w:jc w:val="left"/>
              <w:rPr/>
            </w:pPr>
            <w:r>
              <w:rPr/>
              <w:t> </w:t>
            </w:r>
          </w:p>
        </w:tc>
        <w:tc>
          <w:tcPr>
            <w:tcW w:w="1734" w:type="dxa"/>
            <w:gridSpan w:val="2"/>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256" w:type="dxa"/>
            <w:tcBorders/>
            <w:shd w:fill="auto" w:val="clear"/>
            <w:vAlign w:val="center"/>
          </w:tcPr>
          <w:p>
            <w:pPr>
              <w:pStyle w:val="TableContents"/>
              <w:spacing w:before="0" w:after="0"/>
              <w:ind w:left="0" w:right="0" w:hanging="0"/>
              <w:jc w:val="left"/>
              <w:rPr/>
            </w:pPr>
            <w:r>
              <w:rPr/>
              <w:t> </w:t>
            </w:r>
          </w:p>
        </w:tc>
        <w:tc>
          <w:tcPr>
            <w:tcW w:w="1001" w:type="dxa"/>
            <w:gridSpan w:val="2"/>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43" w:type="dxa"/>
            <w:tcBorders/>
            <w:shd w:fill="auto" w:val="clear"/>
            <w:vAlign w:val="center"/>
          </w:tcPr>
          <w:p>
            <w:pPr>
              <w:pStyle w:val="TableContents"/>
              <w:spacing w:before="0" w:after="0"/>
              <w:ind w:left="0" w:right="0" w:hanging="0"/>
              <w:jc w:val="left"/>
              <w:rPr/>
            </w:pPr>
            <w:r>
              <w:rPr/>
              <w:t> </w:t>
            </w:r>
          </w:p>
        </w:tc>
        <w:tc>
          <w:tcPr>
            <w:tcW w:w="827" w:type="dxa"/>
            <w:gridSpan w:val="2"/>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822" w:type="dxa"/>
            <w:gridSpan w:val="2"/>
            <w:tcBorders/>
            <w:shd w:fill="auto" w:val="clear"/>
            <w:vAlign w:val="center"/>
          </w:tcPr>
          <w:p>
            <w:pPr>
              <w:pStyle w:val="TableContents"/>
              <w:spacing w:before="0" w:after="0"/>
              <w:ind w:left="0" w:right="0" w:hanging="0"/>
              <w:jc w:val="left"/>
              <w:rPr/>
            </w:pPr>
            <w:r>
              <w:rPr/>
              <w:t> </w:t>
            </w:r>
          </w:p>
        </w:tc>
        <w:tc>
          <w:tcPr>
            <w:tcW w:w="197" w:type="dxa"/>
            <w:tcBorders/>
            <w:shd w:fill="auto" w:val="clear"/>
            <w:vAlign w:val="center"/>
          </w:tcPr>
          <w:p>
            <w:pPr>
              <w:pStyle w:val="TableContents"/>
              <w:spacing w:before="0" w:after="0"/>
              <w:ind w:left="0" w:right="0" w:hanging="0"/>
              <w:jc w:val="left"/>
              <w:rPr/>
            </w:pPr>
            <w:r>
              <w:rPr/>
              <w:t> </w:t>
            </w:r>
          </w:p>
        </w:tc>
      </w:tr>
      <w:tr>
        <w:trPr/>
        <w:tc>
          <w:tcPr>
            <w:tcW w:w="2126" w:type="dxa"/>
            <w:tcBorders/>
            <w:shd w:fill="auto" w:val="clear"/>
            <w:vAlign w:val="center"/>
          </w:tcPr>
          <w:p>
            <w:pPr>
              <w:pStyle w:val="TableContents"/>
              <w:spacing w:before="0" w:after="0"/>
              <w:ind w:left="0" w:right="0" w:hanging="0"/>
              <w:jc w:val="left"/>
              <w:rPr>
                <w:rFonts w:ascii="Times New Roman;serif" w:hAnsi="Times New Roman;serif"/>
                <w:b w:val="false"/>
                <w:sz w:val="18"/>
              </w:rPr>
            </w:pPr>
            <w:r>
              <w:rPr>
                <w:rFonts w:ascii="Times New Roman;serif" w:hAnsi="Times New Roman;serif"/>
                <w:b w:val="false"/>
                <w:sz w:val="18"/>
              </w:rPr>
              <w:t>System Sales</w:t>
            </w:r>
          </w:p>
        </w:tc>
        <w:tc>
          <w:tcPr>
            <w:tcW w:w="240" w:type="dxa"/>
            <w:tcBorders/>
            <w:shd w:fill="auto" w:val="clear"/>
            <w:vAlign w:val="center"/>
          </w:tcPr>
          <w:p>
            <w:pPr>
              <w:pStyle w:val="TableContents"/>
              <w:spacing w:before="0" w:after="0"/>
              <w:ind w:left="0" w:right="0" w:hanging="0"/>
              <w:jc w:val="left"/>
              <w:rPr/>
            </w:pPr>
            <w:r>
              <w:rPr/>
              <w:t> </w:t>
            </w:r>
          </w:p>
        </w:tc>
        <w:tc>
          <w:tcPr>
            <w:tcW w:w="166" w:type="dxa"/>
            <w:tcBorders/>
            <w:shd w:fill="auto" w:val="clear"/>
            <w:vAlign w:val="center"/>
          </w:tcPr>
          <w:p>
            <w:pPr>
              <w:pStyle w:val="TableContents"/>
              <w:spacing w:before="0" w:after="0"/>
              <w:ind w:left="0" w:right="0" w:hanging="0"/>
              <w:jc w:val="left"/>
              <w:rPr/>
            </w:pPr>
            <w:r>
              <w:rPr/>
              <w:t> </w:t>
            </w:r>
          </w:p>
        </w:tc>
        <w:tc>
          <w:tcPr>
            <w:tcW w:w="77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7,973</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443" w:type="dxa"/>
            <w:tcBorders/>
            <w:shd w:fill="auto" w:val="clear"/>
            <w:vAlign w:val="center"/>
          </w:tcPr>
          <w:p>
            <w:pPr>
              <w:pStyle w:val="TableContents"/>
              <w:spacing w:before="0" w:after="0"/>
              <w:ind w:left="0" w:right="0" w:hanging="0"/>
              <w:jc w:val="left"/>
              <w:rPr/>
            </w:pPr>
            <w:r>
              <w:rPr/>
              <w:t> </w:t>
            </w:r>
          </w:p>
        </w:tc>
        <w:tc>
          <w:tcPr>
            <w:tcW w:w="305" w:type="dxa"/>
            <w:tcBorders/>
            <w:shd w:fill="auto" w:val="clear"/>
            <w:vAlign w:val="center"/>
          </w:tcPr>
          <w:p>
            <w:pPr>
              <w:pStyle w:val="TableContents"/>
              <w:spacing w:before="0" w:after="0"/>
              <w:ind w:left="0" w:right="0" w:hanging="0"/>
              <w:jc w:val="left"/>
              <w:rPr/>
            </w:pPr>
            <w:r>
              <w:rPr/>
              <w:t> </w:t>
            </w:r>
          </w:p>
        </w:tc>
        <w:tc>
          <w:tcPr>
            <w:tcW w:w="1429"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256" w:type="dxa"/>
            <w:tcBorders/>
            <w:shd w:fill="auto" w:val="clear"/>
            <w:vAlign w:val="center"/>
          </w:tcPr>
          <w:p>
            <w:pPr>
              <w:pStyle w:val="TableContents"/>
              <w:spacing w:before="0" w:after="0"/>
              <w:ind w:left="0" w:right="0" w:hanging="0"/>
              <w:jc w:val="left"/>
              <w:rPr/>
            </w:pPr>
            <w:r>
              <w:rPr/>
              <w:t> </w:t>
            </w:r>
          </w:p>
        </w:tc>
        <w:tc>
          <w:tcPr>
            <w:tcW w:w="177" w:type="dxa"/>
            <w:tcBorders/>
            <w:shd w:fill="auto" w:val="clear"/>
            <w:vAlign w:val="center"/>
          </w:tcPr>
          <w:p>
            <w:pPr>
              <w:pStyle w:val="TableContents"/>
              <w:spacing w:before="0" w:after="0"/>
              <w:ind w:left="0" w:right="0" w:hanging="0"/>
              <w:jc w:val="left"/>
              <w:rPr/>
            </w:pPr>
            <w:r>
              <w:rPr/>
              <w:t> </w:t>
            </w:r>
          </w:p>
        </w:tc>
        <w:tc>
          <w:tcPr>
            <w:tcW w:w="824"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43" w:type="dxa"/>
            <w:tcBorders/>
            <w:shd w:fill="auto" w:val="clear"/>
            <w:vAlign w:val="center"/>
          </w:tcPr>
          <w:p>
            <w:pPr>
              <w:pStyle w:val="TableContents"/>
              <w:spacing w:before="0" w:after="0"/>
              <w:ind w:left="0" w:right="0" w:hanging="0"/>
              <w:jc w:val="left"/>
              <w:rPr/>
            </w:pPr>
            <w:r>
              <w:rPr/>
              <w:t> </w:t>
            </w:r>
          </w:p>
        </w:tc>
        <w:tc>
          <w:tcPr>
            <w:tcW w:w="168" w:type="dxa"/>
            <w:tcBorders/>
            <w:shd w:fill="auto" w:val="clear"/>
            <w:vAlign w:val="center"/>
          </w:tcPr>
          <w:p>
            <w:pPr>
              <w:pStyle w:val="TableContents"/>
              <w:spacing w:before="0" w:after="0"/>
              <w:ind w:left="0" w:right="0" w:hanging="0"/>
              <w:jc w:val="left"/>
              <w:rPr/>
            </w:pPr>
            <w:r>
              <w:rPr/>
              <w:t> </w:t>
            </w:r>
          </w:p>
        </w:tc>
        <w:tc>
          <w:tcPr>
            <w:tcW w:w="659"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67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7,973</w:t>
            </w:r>
          </w:p>
        </w:tc>
        <w:tc>
          <w:tcPr>
            <w:tcW w:w="197" w:type="dxa"/>
            <w:tcBorders/>
            <w:shd w:fill="auto" w:val="clear"/>
            <w:vAlign w:val="center"/>
          </w:tcPr>
          <w:p>
            <w:pPr>
              <w:pStyle w:val="TableContents"/>
              <w:spacing w:before="0" w:after="0"/>
              <w:ind w:left="0" w:right="0" w:hanging="0"/>
              <w:jc w:val="left"/>
              <w:rPr/>
            </w:pPr>
            <w:r>
              <w:rPr/>
              <w:t> </w:t>
            </w:r>
          </w:p>
        </w:tc>
      </w:tr>
      <w:tr>
        <w:trPr/>
        <w:tc>
          <w:tcPr>
            <w:tcW w:w="2126" w:type="dxa"/>
            <w:tcBorders/>
            <w:shd w:fill="auto" w:val="clear"/>
            <w:vAlign w:val="center"/>
          </w:tcPr>
          <w:p>
            <w:pPr>
              <w:pStyle w:val="TableContents"/>
              <w:spacing w:before="0" w:after="0"/>
              <w:ind w:left="0" w:right="0" w:hanging="0"/>
              <w:jc w:val="left"/>
              <w:rPr>
                <w:rFonts w:ascii="Times New Roman;serif" w:hAnsi="Times New Roman;serif"/>
                <w:b w:val="false"/>
                <w:sz w:val="18"/>
              </w:rPr>
            </w:pPr>
            <w:r>
              <w:rPr>
                <w:rFonts w:ascii="Times New Roman;serif" w:hAnsi="Times New Roman;serif"/>
                <w:b w:val="false"/>
                <w:sz w:val="18"/>
              </w:rPr>
              <w:t>System Rentals</w:t>
            </w:r>
          </w:p>
        </w:tc>
        <w:tc>
          <w:tcPr>
            <w:tcW w:w="240" w:type="dxa"/>
            <w:tcBorders/>
            <w:shd w:fill="auto" w:val="clear"/>
            <w:vAlign w:val="center"/>
          </w:tcPr>
          <w:p>
            <w:pPr>
              <w:pStyle w:val="TableContents"/>
              <w:spacing w:before="0" w:after="0"/>
              <w:ind w:left="0" w:right="0" w:hanging="0"/>
              <w:jc w:val="left"/>
              <w:rPr/>
            </w:pPr>
            <w:r>
              <w:rPr/>
              <w:t> </w:t>
            </w:r>
          </w:p>
        </w:tc>
        <w:tc>
          <w:tcPr>
            <w:tcW w:w="166" w:type="dxa"/>
            <w:tcBorders/>
            <w:shd w:fill="auto" w:val="clear"/>
            <w:vAlign w:val="center"/>
          </w:tcPr>
          <w:p>
            <w:pPr>
              <w:pStyle w:val="TableContents"/>
              <w:spacing w:before="0" w:after="0"/>
              <w:ind w:left="0" w:right="0" w:hanging="0"/>
              <w:jc w:val="left"/>
              <w:rPr/>
            </w:pPr>
            <w:r>
              <w:rPr/>
              <w:t> </w:t>
            </w:r>
          </w:p>
        </w:tc>
        <w:tc>
          <w:tcPr>
            <w:tcW w:w="771"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443" w:type="dxa"/>
            <w:tcBorders/>
            <w:shd w:fill="auto" w:val="clear"/>
            <w:vAlign w:val="center"/>
          </w:tcPr>
          <w:p>
            <w:pPr>
              <w:pStyle w:val="TableContents"/>
              <w:spacing w:before="0" w:after="0"/>
              <w:ind w:left="0" w:right="0" w:hanging="0"/>
              <w:jc w:val="left"/>
              <w:rPr/>
            </w:pPr>
            <w:r>
              <w:rPr/>
              <w:t> </w:t>
            </w:r>
          </w:p>
        </w:tc>
        <w:tc>
          <w:tcPr>
            <w:tcW w:w="305" w:type="dxa"/>
            <w:tcBorders/>
            <w:shd w:fill="auto" w:val="clear"/>
            <w:vAlign w:val="center"/>
          </w:tcPr>
          <w:p>
            <w:pPr>
              <w:pStyle w:val="TableContents"/>
              <w:spacing w:before="0" w:after="0"/>
              <w:ind w:left="0" w:right="0" w:hanging="0"/>
              <w:jc w:val="left"/>
              <w:rPr/>
            </w:pPr>
            <w:r>
              <w:rPr/>
              <w:t> </w:t>
            </w:r>
          </w:p>
        </w:tc>
        <w:tc>
          <w:tcPr>
            <w:tcW w:w="1429"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256" w:type="dxa"/>
            <w:tcBorders/>
            <w:shd w:fill="auto" w:val="clear"/>
            <w:vAlign w:val="center"/>
          </w:tcPr>
          <w:p>
            <w:pPr>
              <w:pStyle w:val="TableContents"/>
              <w:spacing w:before="0" w:after="0"/>
              <w:ind w:left="0" w:right="0" w:hanging="0"/>
              <w:jc w:val="left"/>
              <w:rPr/>
            </w:pPr>
            <w:r>
              <w:rPr/>
              <w:t> </w:t>
            </w:r>
          </w:p>
        </w:tc>
        <w:tc>
          <w:tcPr>
            <w:tcW w:w="177" w:type="dxa"/>
            <w:tcBorders/>
            <w:shd w:fill="auto" w:val="clear"/>
            <w:vAlign w:val="center"/>
          </w:tcPr>
          <w:p>
            <w:pPr>
              <w:pStyle w:val="TableContents"/>
              <w:spacing w:before="0" w:after="0"/>
              <w:ind w:left="0" w:right="0" w:hanging="0"/>
              <w:jc w:val="left"/>
              <w:rPr/>
            </w:pPr>
            <w:r>
              <w:rPr/>
              <w:t> </w:t>
            </w:r>
          </w:p>
        </w:tc>
        <w:tc>
          <w:tcPr>
            <w:tcW w:w="824"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12,643</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43" w:type="dxa"/>
            <w:tcBorders/>
            <w:shd w:fill="auto" w:val="clear"/>
            <w:vAlign w:val="center"/>
          </w:tcPr>
          <w:p>
            <w:pPr>
              <w:pStyle w:val="TableContents"/>
              <w:spacing w:before="0" w:after="0"/>
              <w:ind w:left="0" w:right="0" w:hanging="0"/>
              <w:jc w:val="left"/>
              <w:rPr/>
            </w:pPr>
            <w:r>
              <w:rPr/>
              <w:t> </w:t>
            </w:r>
          </w:p>
        </w:tc>
        <w:tc>
          <w:tcPr>
            <w:tcW w:w="168" w:type="dxa"/>
            <w:tcBorders/>
            <w:shd w:fill="auto" w:val="clear"/>
            <w:vAlign w:val="center"/>
          </w:tcPr>
          <w:p>
            <w:pPr>
              <w:pStyle w:val="TableContents"/>
              <w:spacing w:before="0" w:after="0"/>
              <w:ind w:left="0" w:right="0" w:hanging="0"/>
              <w:jc w:val="left"/>
              <w:rPr/>
            </w:pPr>
            <w:r>
              <w:rPr/>
              <w:t> </w:t>
            </w:r>
          </w:p>
        </w:tc>
        <w:tc>
          <w:tcPr>
            <w:tcW w:w="659"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67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12,643</w:t>
            </w:r>
          </w:p>
        </w:tc>
        <w:tc>
          <w:tcPr>
            <w:tcW w:w="197" w:type="dxa"/>
            <w:tcBorders/>
            <w:shd w:fill="auto" w:val="clear"/>
            <w:vAlign w:val="center"/>
          </w:tcPr>
          <w:p>
            <w:pPr>
              <w:pStyle w:val="TableContents"/>
              <w:spacing w:before="0" w:after="0"/>
              <w:ind w:left="0" w:right="0" w:hanging="0"/>
              <w:jc w:val="left"/>
              <w:rPr/>
            </w:pPr>
            <w:r>
              <w:rPr/>
              <w:t> </w:t>
            </w:r>
          </w:p>
        </w:tc>
      </w:tr>
      <w:tr>
        <w:trPr/>
        <w:tc>
          <w:tcPr>
            <w:tcW w:w="2126" w:type="dxa"/>
            <w:tcBorders/>
            <w:shd w:fill="auto" w:val="clear"/>
            <w:vAlign w:val="center"/>
          </w:tcPr>
          <w:p>
            <w:pPr>
              <w:pStyle w:val="TableContents"/>
              <w:spacing w:before="0" w:after="0"/>
              <w:ind w:left="0" w:right="0" w:hanging="0"/>
              <w:jc w:val="left"/>
              <w:rPr>
                <w:rFonts w:ascii="Times New Roman;serif" w:hAnsi="Times New Roman;serif"/>
                <w:b w:val="false"/>
                <w:sz w:val="18"/>
              </w:rPr>
            </w:pPr>
            <w:r>
              <w:rPr>
                <w:rFonts w:ascii="Times New Roman;serif" w:hAnsi="Times New Roman;serif"/>
                <w:b w:val="false"/>
                <w:sz w:val="18"/>
              </w:rPr>
              <w:t>Maintenance</w:t>
            </w:r>
          </w:p>
        </w:tc>
        <w:tc>
          <w:tcPr>
            <w:tcW w:w="240" w:type="dxa"/>
            <w:tcBorders/>
            <w:shd w:fill="auto" w:val="clear"/>
            <w:vAlign w:val="center"/>
          </w:tcPr>
          <w:p>
            <w:pPr>
              <w:pStyle w:val="TableContents"/>
              <w:spacing w:before="0" w:after="0"/>
              <w:ind w:left="0" w:right="0" w:hanging="0"/>
              <w:jc w:val="left"/>
              <w:rPr/>
            </w:pPr>
            <w:r>
              <w:rPr/>
              <w:t> </w:t>
            </w:r>
          </w:p>
        </w:tc>
        <w:tc>
          <w:tcPr>
            <w:tcW w:w="166" w:type="dxa"/>
            <w:tcBorders/>
            <w:shd w:fill="auto" w:val="clear"/>
            <w:vAlign w:val="center"/>
          </w:tcPr>
          <w:p>
            <w:pPr>
              <w:pStyle w:val="TableContents"/>
              <w:spacing w:before="0" w:after="0"/>
              <w:ind w:left="0" w:right="0" w:hanging="0"/>
              <w:jc w:val="left"/>
              <w:rPr/>
            </w:pPr>
            <w:r>
              <w:rPr/>
              <w:t> </w:t>
            </w:r>
          </w:p>
        </w:tc>
        <w:tc>
          <w:tcPr>
            <w:tcW w:w="771"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443" w:type="dxa"/>
            <w:tcBorders/>
            <w:shd w:fill="auto" w:val="clear"/>
            <w:vAlign w:val="center"/>
          </w:tcPr>
          <w:p>
            <w:pPr>
              <w:pStyle w:val="TableContents"/>
              <w:spacing w:before="0" w:after="0"/>
              <w:ind w:left="0" w:right="0" w:hanging="0"/>
              <w:jc w:val="left"/>
              <w:rPr/>
            </w:pPr>
            <w:r>
              <w:rPr/>
              <w:t> </w:t>
            </w:r>
          </w:p>
        </w:tc>
        <w:tc>
          <w:tcPr>
            <w:tcW w:w="305" w:type="dxa"/>
            <w:tcBorders/>
            <w:shd w:fill="auto" w:val="clear"/>
            <w:vAlign w:val="center"/>
          </w:tcPr>
          <w:p>
            <w:pPr>
              <w:pStyle w:val="TableContents"/>
              <w:spacing w:before="0" w:after="0"/>
              <w:ind w:left="0" w:right="0" w:hanging="0"/>
              <w:jc w:val="left"/>
              <w:rPr/>
            </w:pPr>
            <w:r>
              <w:rPr/>
              <w:t> </w:t>
            </w:r>
          </w:p>
        </w:tc>
        <w:tc>
          <w:tcPr>
            <w:tcW w:w="1429"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14,942</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256" w:type="dxa"/>
            <w:tcBorders/>
            <w:shd w:fill="auto" w:val="clear"/>
            <w:vAlign w:val="center"/>
          </w:tcPr>
          <w:p>
            <w:pPr>
              <w:pStyle w:val="TableContents"/>
              <w:spacing w:before="0" w:after="0"/>
              <w:ind w:left="0" w:right="0" w:hanging="0"/>
              <w:jc w:val="left"/>
              <w:rPr/>
            </w:pPr>
            <w:r>
              <w:rPr/>
              <w:t> </w:t>
            </w:r>
          </w:p>
        </w:tc>
        <w:tc>
          <w:tcPr>
            <w:tcW w:w="177" w:type="dxa"/>
            <w:tcBorders/>
            <w:shd w:fill="auto" w:val="clear"/>
            <w:vAlign w:val="center"/>
          </w:tcPr>
          <w:p>
            <w:pPr>
              <w:pStyle w:val="TableContents"/>
              <w:spacing w:before="0" w:after="0"/>
              <w:ind w:left="0" w:right="0" w:hanging="0"/>
              <w:jc w:val="left"/>
              <w:rPr/>
            </w:pPr>
            <w:r>
              <w:rPr/>
              <w:t> </w:t>
            </w:r>
          </w:p>
        </w:tc>
        <w:tc>
          <w:tcPr>
            <w:tcW w:w="824"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43" w:type="dxa"/>
            <w:tcBorders/>
            <w:shd w:fill="auto" w:val="clear"/>
            <w:vAlign w:val="center"/>
          </w:tcPr>
          <w:p>
            <w:pPr>
              <w:pStyle w:val="TableContents"/>
              <w:spacing w:before="0" w:after="0"/>
              <w:ind w:left="0" w:right="0" w:hanging="0"/>
              <w:jc w:val="left"/>
              <w:rPr/>
            </w:pPr>
            <w:r>
              <w:rPr/>
              <w:t> </w:t>
            </w:r>
          </w:p>
        </w:tc>
        <w:tc>
          <w:tcPr>
            <w:tcW w:w="168" w:type="dxa"/>
            <w:tcBorders/>
            <w:shd w:fill="auto" w:val="clear"/>
            <w:vAlign w:val="center"/>
          </w:tcPr>
          <w:p>
            <w:pPr>
              <w:pStyle w:val="TableContents"/>
              <w:spacing w:before="0" w:after="0"/>
              <w:ind w:left="0" w:right="0" w:hanging="0"/>
              <w:jc w:val="left"/>
              <w:rPr/>
            </w:pPr>
            <w:r>
              <w:rPr/>
              <w:t> </w:t>
            </w:r>
          </w:p>
        </w:tc>
        <w:tc>
          <w:tcPr>
            <w:tcW w:w="659"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67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14,942</w:t>
            </w:r>
          </w:p>
        </w:tc>
        <w:tc>
          <w:tcPr>
            <w:tcW w:w="197" w:type="dxa"/>
            <w:tcBorders/>
            <w:shd w:fill="auto" w:val="clear"/>
            <w:vAlign w:val="center"/>
          </w:tcPr>
          <w:p>
            <w:pPr>
              <w:pStyle w:val="TableContents"/>
              <w:spacing w:before="0" w:after="0"/>
              <w:ind w:left="0" w:right="0" w:hanging="0"/>
              <w:jc w:val="left"/>
              <w:rPr/>
            </w:pPr>
            <w:r>
              <w:rPr/>
              <w:t> </w:t>
            </w:r>
          </w:p>
        </w:tc>
      </w:tr>
      <w:tr>
        <w:trPr/>
        <w:tc>
          <w:tcPr>
            <w:tcW w:w="2126" w:type="dxa"/>
            <w:tcBorders/>
            <w:shd w:fill="auto" w:val="clear"/>
            <w:vAlign w:val="center"/>
          </w:tcPr>
          <w:p>
            <w:pPr>
              <w:pStyle w:val="TableContents"/>
              <w:spacing w:before="0" w:after="0"/>
              <w:ind w:left="0" w:right="0" w:hanging="0"/>
              <w:jc w:val="left"/>
              <w:rPr>
                <w:rFonts w:ascii="Times New Roman;serif" w:hAnsi="Times New Roman;serif"/>
                <w:b w:val="false"/>
                <w:sz w:val="18"/>
              </w:rPr>
            </w:pPr>
            <w:r>
              <w:rPr>
                <w:rFonts w:ascii="Times New Roman;serif" w:hAnsi="Times New Roman;serif"/>
                <w:b w:val="false"/>
                <w:sz w:val="18"/>
              </w:rPr>
              <w:t>Finance Income</w:t>
            </w:r>
          </w:p>
        </w:tc>
        <w:tc>
          <w:tcPr>
            <w:tcW w:w="240"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77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pPr>
            <w:r>
              <w:rPr/>
              <w:t>—</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443"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305"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29"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pPr>
            <w:r>
              <w:rPr/>
              <w:t>—</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25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77"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824"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pPr>
            <w:r>
              <w:rPr/>
              <w:t>—</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43"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68"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659"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2,305</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67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2,305</w:t>
            </w:r>
          </w:p>
        </w:tc>
        <w:tc>
          <w:tcPr>
            <w:tcW w:w="197"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r>
        <w:trPr/>
        <w:tc>
          <w:tcPr>
            <w:tcW w:w="2126" w:type="dxa"/>
            <w:tcBorders/>
            <w:shd w:fill="auto" w:val="clear"/>
            <w:vAlign w:val="center"/>
          </w:tcPr>
          <w:p>
            <w:pPr>
              <w:pStyle w:val="TableContents"/>
              <w:spacing w:before="0" w:after="0"/>
              <w:ind w:left="0" w:right="0" w:hanging="0"/>
              <w:jc w:val="left"/>
              <w:rPr/>
            </w:pPr>
            <w:r>
              <w:rPr/>
              <w:t> </w:t>
            </w:r>
          </w:p>
        </w:tc>
        <w:tc>
          <w:tcPr>
            <w:tcW w:w="240"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77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7,973</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443"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305"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29"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14,942</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25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77"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824"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12,643</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43"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68"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659"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2,305</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67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37,863</w:t>
            </w:r>
          </w:p>
        </w:tc>
        <w:tc>
          <w:tcPr>
            <w:tcW w:w="197"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r>
        <w:trPr/>
        <w:tc>
          <w:tcPr>
            <w:tcW w:w="2126" w:type="dxa"/>
            <w:tcBorders/>
            <w:shd w:fill="auto" w:val="clear"/>
            <w:vAlign w:val="center"/>
          </w:tcPr>
          <w:p>
            <w:pPr>
              <w:pStyle w:val="TableContents"/>
              <w:spacing w:before="0" w:after="0"/>
              <w:ind w:left="0" w:right="0" w:hanging="0"/>
              <w:jc w:val="left"/>
              <w:rPr>
                <w:rFonts w:ascii="Times New Roman;serif" w:hAnsi="Times New Roman;serif"/>
                <w:b w:val="false"/>
                <w:sz w:val="18"/>
              </w:rPr>
            </w:pPr>
            <w:r>
              <w:rPr>
                <w:rFonts w:ascii="Times New Roman;serif" w:hAnsi="Times New Roman;serif"/>
                <w:b w:val="false"/>
                <w:sz w:val="18"/>
              </w:rPr>
              <w:t>Sub-total for reportable segments</w:t>
            </w:r>
          </w:p>
        </w:tc>
        <w:tc>
          <w:tcPr>
            <w:tcW w:w="240"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77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7,973</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443"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305"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29"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35,912</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25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77"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824"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12,661</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43"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68"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659"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2,305</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67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58,851</w:t>
            </w:r>
          </w:p>
        </w:tc>
        <w:tc>
          <w:tcPr>
            <w:tcW w:w="197"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r>
        <w:trPr/>
        <w:tc>
          <w:tcPr>
            <w:tcW w:w="2126" w:type="dxa"/>
            <w:tcBorders/>
            <w:shd w:fill="auto" w:val="clear"/>
            <w:vAlign w:val="center"/>
          </w:tcPr>
          <w:p>
            <w:pPr>
              <w:pStyle w:val="TableContents"/>
              <w:spacing w:before="0" w:after="0"/>
              <w:ind w:left="0" w:right="0" w:hanging="0"/>
              <w:jc w:val="left"/>
              <w:rPr>
                <w:rFonts w:ascii="Times New Roman;serif" w:hAnsi="Times New Roman;serif"/>
                <w:b/>
                <w:sz w:val="18"/>
              </w:rPr>
            </w:pPr>
            <w:r>
              <w:rPr>
                <w:rFonts w:ascii="Times New Roman;serif" w:hAnsi="Times New Roman;serif"/>
                <w:b/>
                <w:sz w:val="18"/>
              </w:rPr>
              <w:t>All Other</w:t>
            </w:r>
          </w:p>
        </w:tc>
        <w:tc>
          <w:tcPr>
            <w:tcW w:w="240" w:type="dxa"/>
            <w:tcBorders/>
            <w:shd w:fill="auto" w:val="clear"/>
            <w:vAlign w:val="center"/>
          </w:tcPr>
          <w:p>
            <w:pPr>
              <w:pStyle w:val="TableContents"/>
              <w:spacing w:before="0" w:after="0"/>
              <w:ind w:left="0" w:right="0" w:hanging="0"/>
              <w:jc w:val="left"/>
              <w:rPr/>
            </w:pPr>
            <w:r>
              <w:rPr/>
              <w:t> </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77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1,003</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443" w:type="dxa"/>
            <w:tcBorders/>
            <w:shd w:fill="auto" w:val="clear"/>
            <w:vAlign w:val="center"/>
          </w:tcPr>
          <w:p>
            <w:pPr>
              <w:pStyle w:val="TableContents"/>
              <w:spacing w:before="0" w:after="0"/>
              <w:ind w:left="0" w:right="0" w:hanging="0"/>
              <w:jc w:val="left"/>
              <w:rPr/>
            </w:pPr>
            <w:r>
              <w:rPr/>
              <w:t> </w:t>
            </w:r>
          </w:p>
        </w:tc>
        <w:tc>
          <w:tcPr>
            <w:tcW w:w="305"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29"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182</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256" w:type="dxa"/>
            <w:tcBorders/>
            <w:shd w:fill="auto" w:val="clear"/>
            <w:vAlign w:val="center"/>
          </w:tcPr>
          <w:p>
            <w:pPr>
              <w:pStyle w:val="TableContents"/>
              <w:spacing w:before="0" w:after="0"/>
              <w:ind w:left="0" w:right="0" w:hanging="0"/>
              <w:jc w:val="left"/>
              <w:rPr/>
            </w:pPr>
            <w:r>
              <w:rPr/>
              <w:t> </w:t>
            </w:r>
          </w:p>
        </w:tc>
        <w:tc>
          <w:tcPr>
            <w:tcW w:w="177"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824"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pPr>
            <w:r>
              <w:rPr/>
              <w:t>—</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43" w:type="dxa"/>
            <w:tcBorders/>
            <w:shd w:fill="auto" w:val="clear"/>
            <w:vAlign w:val="center"/>
          </w:tcPr>
          <w:p>
            <w:pPr>
              <w:pStyle w:val="TableContents"/>
              <w:spacing w:before="0" w:after="0"/>
              <w:ind w:left="0" w:right="0" w:hanging="0"/>
              <w:jc w:val="left"/>
              <w:rPr/>
            </w:pPr>
            <w:r>
              <w:rPr/>
              <w:t> </w:t>
            </w:r>
          </w:p>
        </w:tc>
        <w:tc>
          <w:tcPr>
            <w:tcW w:w="168"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659"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pPr>
            <w:r>
              <w:rPr/>
              <w:t>—</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67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1,185</w:t>
            </w:r>
          </w:p>
        </w:tc>
        <w:tc>
          <w:tcPr>
            <w:tcW w:w="197"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r>
        <w:trPr/>
        <w:tc>
          <w:tcPr>
            <w:tcW w:w="2126" w:type="dxa"/>
            <w:tcBorders/>
            <w:shd w:fill="auto" w:val="clear"/>
            <w:vAlign w:val="center"/>
          </w:tcPr>
          <w:p>
            <w:pPr>
              <w:pStyle w:val="TableContents"/>
              <w:spacing w:before="0" w:after="0"/>
              <w:ind w:left="0" w:right="0" w:hanging="0"/>
              <w:jc w:val="left"/>
              <w:rPr>
                <w:rFonts w:ascii="Times New Roman;serif" w:hAnsi="Times New Roman;serif"/>
                <w:b w:val="false"/>
                <w:sz w:val="18"/>
              </w:rPr>
            </w:pPr>
            <w:r>
              <w:rPr>
                <w:rFonts w:ascii="Times New Roman;serif" w:hAnsi="Times New Roman;serif"/>
                <w:b w:val="false"/>
                <w:sz w:val="18"/>
              </w:rPr>
              <w:t>Total</w:t>
            </w:r>
          </w:p>
        </w:tc>
        <w:tc>
          <w:tcPr>
            <w:tcW w:w="240"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6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77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8,976</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443"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305"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29"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36,094</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5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77"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824"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12,661</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43"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68"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659"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2,305</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67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60,036</w:t>
            </w:r>
          </w:p>
        </w:tc>
        <w:tc>
          <w:tcPr>
            <w:tcW w:w="197"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bl>
    <w:p>
      <w:pPr>
        <w:pStyle w:val="TextBody"/>
        <w:spacing w:before="200" w:after="0"/>
        <w:jc w:val="both"/>
        <w:rPr>
          <w:rFonts w:ascii="Times New Roman" w:hAnsi="Times New Roman"/>
          <w:sz w:val="20"/>
        </w:rPr>
      </w:pPr>
      <w:r>
        <w:rPr>
          <w:rFonts w:ascii="Times New Roman;serif" w:hAnsi="Times New Roman;serif"/>
          <w:b w:val="false"/>
          <w:sz w:val="20"/>
        </w:rPr>
        <w:t>For the three months ended March 31, 2023, revenues earned from Technology Sales includes variable consideration of $5.6</w:t>
      </w:r>
      <w:r>
        <w:rPr>
          <w:rFonts w:ascii="Times New Roman" w:hAnsi="Times New Roman"/>
          <w:sz w:val="20"/>
        </w:rPr>
        <w:t xml:space="preserve"> </w:t>
      </w:r>
      <w:r>
        <w:rPr>
          <w:rFonts w:ascii="Times New Roman;serif" w:hAnsi="Times New Roman;serif"/>
          <w:b w:val="false"/>
          <w:sz w:val="20"/>
        </w:rPr>
        <w:t xml:space="preserve">million (2022 </w:t>
      </w:r>
      <w:r>
        <w:rPr>
          <w:rFonts w:ascii="Times New Roman" w:hAnsi="Times New Roman"/>
          <w:sz w:val="20"/>
        </w:rPr>
        <w:t xml:space="preserve">— </w:t>
      </w:r>
      <w:r>
        <w:rPr>
          <w:rFonts w:ascii="Times New Roman;serif" w:hAnsi="Times New Roman;serif"/>
          <w:b w:val="false"/>
          <w:sz w:val="20"/>
        </w:rPr>
        <w:t>$0.4</w:t>
      </w:r>
      <w:r>
        <w:rPr>
          <w:rFonts w:ascii="Times New Roman" w:hAnsi="Times New Roman"/>
          <w:sz w:val="20"/>
        </w:rPr>
        <w:t xml:space="preserve"> </w:t>
      </w:r>
      <w:r>
        <w:rPr>
          <w:rFonts w:ascii="Times New Roman;serif" w:hAnsi="Times New Roman;serif"/>
          <w:b w:val="false"/>
          <w:sz w:val="20"/>
        </w:rPr>
        <w:t>million). Variable consideration revenues represent an estimate of the contingent fees that may become due if certain annual minimum box office receipt thresholds are exceeded and are recorded as revenue in the period when the sale is recognized and may be adjusted in future periods based on actual results and changes in estimates over the term of the system agreement.</w:t>
      </w:r>
    </w:p>
    <w:p>
      <w:pPr>
        <w:pStyle w:val="TextBody"/>
        <w:spacing w:before="200" w:after="0"/>
        <w:jc w:val="both"/>
        <w:rPr>
          <w:rFonts w:ascii="Times New Roman" w:hAnsi="Times New Roman"/>
          <w:sz w:val="20"/>
        </w:rPr>
      </w:pPr>
      <w:r>
        <w:rPr>
          <w:rFonts w:ascii="Times New Roman;serif" w:hAnsi="Times New Roman;serif"/>
          <w:b w:val="false"/>
          <w:sz w:val="20"/>
        </w:rPr>
        <w:t>For the three months ended March 31, 2023, revenues earned from leasing arrangements total $22.4</w:t>
      </w:r>
      <w:r>
        <w:rPr>
          <w:rFonts w:ascii="Times New Roman" w:hAnsi="Times New Roman"/>
          <w:sz w:val="20"/>
        </w:rPr>
        <w:t xml:space="preserve"> </w:t>
      </w:r>
      <w:r>
        <w:rPr>
          <w:rFonts w:ascii="Times New Roman;serif" w:hAnsi="Times New Roman;serif"/>
          <w:b w:val="false"/>
          <w:sz w:val="20"/>
        </w:rPr>
        <w:t xml:space="preserve">million (2022 </w:t>
      </w:r>
      <w:r>
        <w:rPr>
          <w:rFonts w:ascii="Times New Roman" w:hAnsi="Times New Roman"/>
          <w:sz w:val="20"/>
        </w:rPr>
        <w:t xml:space="preserve">— </w:t>
      </w:r>
      <w:r>
        <w:rPr>
          <w:rFonts w:ascii="Times New Roman;serif" w:hAnsi="Times New Roman;serif"/>
          <w:b w:val="false"/>
          <w:sz w:val="20"/>
        </w:rPr>
        <w:t>$13.6</w:t>
      </w:r>
      <w:r>
        <w:rPr>
          <w:rFonts w:ascii="Times New Roman" w:hAnsi="Times New Roman"/>
          <w:sz w:val="20"/>
        </w:rPr>
        <w:t xml:space="preserve"> </w:t>
      </w:r>
      <w:r>
        <w:rPr>
          <w:rFonts w:ascii="Times New Roman;serif" w:hAnsi="Times New Roman;serif"/>
          <w:b w:val="false"/>
          <w:sz w:val="20"/>
        </w:rPr>
        <w:t>million), including $20.1</w:t>
      </w:r>
      <w:r>
        <w:rPr>
          <w:rFonts w:ascii="Times New Roman" w:hAnsi="Times New Roman"/>
          <w:sz w:val="20"/>
        </w:rPr>
        <w:t xml:space="preserve"> </w:t>
      </w:r>
      <w:r>
        <w:rPr>
          <w:rFonts w:ascii="Times New Roman;serif" w:hAnsi="Times New Roman;serif"/>
          <w:b w:val="false"/>
          <w:sz w:val="20"/>
        </w:rPr>
        <w:t xml:space="preserve">million in Revenues </w:t>
      </w:r>
      <w:r>
        <w:rPr>
          <w:rFonts w:ascii="Times New Roman" w:hAnsi="Times New Roman"/>
          <w:sz w:val="20"/>
        </w:rPr>
        <w:t xml:space="preserve">― </w:t>
      </w:r>
      <w:r>
        <w:rPr>
          <w:rFonts w:ascii="Times New Roman;serif" w:hAnsi="Times New Roman;serif"/>
          <w:b w:val="false"/>
          <w:sz w:val="20"/>
        </w:rPr>
        <w:t xml:space="preserve">Technology Rentals (2022 </w:t>
      </w:r>
      <w:r>
        <w:rPr>
          <w:rFonts w:ascii="Times New Roman" w:hAnsi="Times New Roman"/>
          <w:sz w:val="20"/>
        </w:rPr>
        <w:t xml:space="preserve">— </w:t>
      </w:r>
      <w:r>
        <w:rPr>
          <w:rFonts w:ascii="Times New Roman;serif" w:hAnsi="Times New Roman;serif"/>
          <w:b w:val="false"/>
          <w:sz w:val="20"/>
        </w:rPr>
        <w:t>$12.6</w:t>
      </w:r>
      <w:r>
        <w:rPr>
          <w:rFonts w:ascii="Times New Roman" w:hAnsi="Times New Roman"/>
          <w:sz w:val="20"/>
        </w:rPr>
        <w:t xml:space="preserve"> </w:t>
      </w:r>
      <w:r>
        <w:rPr>
          <w:rFonts w:ascii="Times New Roman;serif" w:hAnsi="Times New Roman;serif"/>
          <w:b w:val="false"/>
          <w:sz w:val="20"/>
        </w:rPr>
        <w:t>million), and $2.3</w:t>
      </w:r>
      <w:r>
        <w:rPr>
          <w:rFonts w:ascii="Times New Roman" w:hAnsi="Times New Roman"/>
          <w:sz w:val="20"/>
        </w:rPr>
        <w:t xml:space="preserve"> </w:t>
      </w:r>
      <w:r>
        <w:rPr>
          <w:rFonts w:ascii="Times New Roman;serif" w:hAnsi="Times New Roman;serif"/>
          <w:b w:val="false"/>
          <w:sz w:val="20"/>
        </w:rPr>
        <w:t xml:space="preserve">million in Revenues </w:t>
      </w:r>
      <w:r>
        <w:rPr>
          <w:rFonts w:ascii="Times New Roman" w:hAnsi="Times New Roman"/>
          <w:sz w:val="20"/>
        </w:rPr>
        <w:t xml:space="preserve">― </w:t>
      </w:r>
      <w:r>
        <w:rPr>
          <w:rFonts w:ascii="Times New Roman;serif" w:hAnsi="Times New Roman;serif"/>
          <w:b w:val="false"/>
          <w:sz w:val="20"/>
        </w:rPr>
        <w:t xml:space="preserve">Technology Sales (2022 </w:t>
      </w:r>
      <w:r>
        <w:rPr>
          <w:rFonts w:ascii="Times New Roman" w:hAnsi="Times New Roman"/>
          <w:sz w:val="20"/>
        </w:rPr>
        <w:t xml:space="preserve">— </w:t>
      </w:r>
      <w:r>
        <w:rPr>
          <w:rFonts w:ascii="Times New Roman;serif" w:hAnsi="Times New Roman;serif"/>
          <w:b w:val="false"/>
          <w:sz w:val="20"/>
        </w:rPr>
        <w:t>$1.0</w:t>
      </w:r>
      <w:r>
        <w:rPr>
          <w:rFonts w:ascii="Times New Roman" w:hAnsi="Times New Roman"/>
          <w:sz w:val="20"/>
        </w:rPr>
        <w:t xml:space="preserve"> </w:t>
      </w:r>
      <w:r>
        <w:rPr>
          <w:rFonts w:ascii="Times New Roman;serif" w:hAnsi="Times New Roman;serif"/>
          <w:b w:val="false"/>
          <w:sz w:val="20"/>
        </w:rPr>
        <w:t>million).</w:t>
      </w:r>
    </w:p>
    <w:p>
      <w:pPr>
        <w:pStyle w:val="TextBody"/>
        <w:spacing w:before="240" w:after="0"/>
        <w:jc w:val="center"/>
        <w:rPr>
          <w:rFonts w:ascii="Times New Roman;serif" w:hAnsi="Times New Roman;serif"/>
          <w:b w:val="false"/>
          <w:sz w:val="20"/>
        </w:rPr>
      </w:pPr>
      <w:r>
        <w:rPr>
          <w:rFonts w:ascii="Times New Roman;serif" w:hAnsi="Times New Roman;serif"/>
          <w:b w:val="false"/>
          <w:sz w:val="20"/>
        </w:rPr>
        <w:t>32</w:t>
      </w:r>
    </w:p>
    <w:p>
      <w:pPr>
        <w:pStyle w:val="HorizontalLine"/>
        <w:rPr/>
      </w:pPr>
      <w:r>
        <w:rPr/>
      </w:r>
    </w:p>
    <w:p>
      <w:pPr>
        <w:pStyle w:val="TextBody"/>
        <w:spacing w:before="0" w:after="0"/>
        <w:jc w:val="left"/>
        <w:rPr/>
      </w:pPr>
      <w:r>
        <w:rPr/>
        <w:t> </w:t>
      </w:r>
    </w:p>
    <w:p>
      <w:pPr>
        <w:pStyle w:val="TextBody"/>
        <w:spacing w:before="200" w:after="0"/>
        <w:jc w:val="left"/>
        <w:rPr>
          <w:rFonts w:ascii="Times New Roman" w:hAnsi="Times New Roman"/>
          <w:b/>
          <w:i/>
          <w:sz w:val="20"/>
        </w:rPr>
      </w:pPr>
      <w:r>
        <w:rPr>
          <w:rFonts w:ascii="Times New Roman" w:hAnsi="Times New Roman"/>
          <w:b/>
          <w:i/>
          <w:sz w:val="20"/>
        </w:rPr>
        <w:t>(b)</w:t>
      </w:r>
    </w:p>
    <w:p>
      <w:pPr>
        <w:pStyle w:val="TextBody"/>
        <w:spacing w:before="200" w:after="283"/>
        <w:jc w:val="left"/>
        <w:rPr>
          <w:rFonts w:ascii="Times New Roman;serif" w:hAnsi="Times New Roman;serif"/>
          <w:b/>
          <w:i/>
          <w:sz w:val="20"/>
        </w:rPr>
      </w:pPr>
      <w:r>
        <w:rPr>
          <w:rFonts w:ascii="Times New Roman;serif" w:hAnsi="Times New Roman;serif"/>
          <w:b/>
          <w:i/>
          <w:sz w:val="20"/>
        </w:rPr>
        <w:t>Deferred Revenue</w:t>
      </w:r>
    </w:p>
    <w:p>
      <w:pPr>
        <w:pStyle w:val="TextBody"/>
        <w:spacing w:before="200" w:after="0"/>
        <w:jc w:val="both"/>
        <w:rPr>
          <w:rFonts w:ascii="Times New Roman" w:hAnsi="Times New Roman"/>
          <w:sz w:val="20"/>
        </w:rPr>
      </w:pPr>
      <w:r>
        <w:rPr>
          <w:rFonts w:ascii="Times New Roman;serif" w:hAnsi="Times New Roman;serif"/>
          <w:b w:val="false"/>
          <w:sz w:val="20"/>
        </w:rPr>
        <w:t>IMAX System sale and lease arrangements include a requirement for the Company to provide maintenance services over the life of the arrangement, some of which are subject to a consumer price index adjustment each year. In circumstances where customers prepay the entire term’s maintenance fee based on the original arrangement, additional payments are due to the Company for the years after its extended warranty and maintenance obligations expire. Payments, upon renewal each year, are either prepaid or made in arrears and can vary in frequency from monthly to annually. As of March 31, 2023, $22.2</w:t>
      </w:r>
      <w:r>
        <w:rPr>
          <w:rFonts w:ascii="Times New Roman" w:hAnsi="Times New Roman"/>
          <w:sz w:val="20"/>
        </w:rPr>
        <w:t xml:space="preserve"> </w:t>
      </w:r>
      <w:r>
        <w:rPr>
          <w:rFonts w:ascii="Times New Roman;serif" w:hAnsi="Times New Roman;serif"/>
          <w:b w:val="false"/>
          <w:sz w:val="20"/>
        </w:rPr>
        <w:t>million</w:t>
      </w:r>
      <w:r>
        <w:rPr>
          <w:rFonts w:ascii="Times New Roman" w:hAnsi="Times New Roman"/>
          <w:sz w:val="20"/>
        </w:rPr>
        <w:t xml:space="preserve"> </w:t>
      </w:r>
      <w:r>
        <w:rPr>
          <w:rFonts w:ascii="Times New Roman;serif" w:hAnsi="Times New Roman;serif"/>
          <w:b w:val="false"/>
          <w:sz w:val="20"/>
        </w:rPr>
        <w:t>of consideration has been deferred in relation to outstanding maintenance services to be provided on existing maintenance contracts (December 31, 2022 — $21.0</w:t>
      </w:r>
      <w:r>
        <w:rPr>
          <w:rFonts w:ascii="Times New Roman" w:hAnsi="Times New Roman"/>
          <w:sz w:val="20"/>
        </w:rPr>
        <w:t xml:space="preserve"> </w:t>
      </w:r>
      <w:r>
        <w:rPr>
          <w:rFonts w:ascii="Times New Roman;serif" w:hAnsi="Times New Roman;serif"/>
          <w:b w:val="false"/>
          <w:sz w:val="20"/>
        </w:rPr>
        <w:t>million). Maintenance revenue is recognized evenly over the contract term which coincides with the period over which maintenance services are provided. In the event of customer default, any payments made by the customer may be retained by the Company.</w:t>
      </w:r>
      <w:r>
        <w:rPr>
          <w:rFonts w:ascii="Times New Roman" w:hAnsi="Times New Roman"/>
          <w:sz w:val="20"/>
        </w:rPr>
        <w:t xml:space="preserve"> </w:t>
      </w:r>
    </w:p>
    <w:p>
      <w:pPr>
        <w:pStyle w:val="TextBody"/>
        <w:spacing w:before="200" w:after="0"/>
        <w:jc w:val="both"/>
        <w:rPr>
          <w:rFonts w:ascii="Times New Roman;serif" w:hAnsi="Times New Roman;serif"/>
          <w:b w:val="false"/>
          <w:sz w:val="20"/>
        </w:rPr>
      </w:pPr>
      <w:r>
        <w:rPr>
          <w:rFonts w:ascii="Times New Roman;serif" w:hAnsi="Times New Roman;serif"/>
          <w:b w:val="false"/>
          <w:sz w:val="20"/>
        </w:rPr>
        <w:t>In instances where the Company receives consideration prior to satisfying its performance obligations, the recognition of revenue is deferred. The majority of the deferred revenue balance relates to payments received by the Company for IMAX Systems where control of the system has not yet transferred to the customer. The deferred revenue balance related to an individual IMAX System increases as progress payments are made and is then derecognized when control of the system is transferred to the customer. Recognition dates are variable and depend on numerous factors, including some outside of the Company’s control.</w:t>
      </w:r>
    </w:p>
    <w:p>
      <w:pPr>
        <w:pStyle w:val="TextBody"/>
        <w:spacing w:before="200" w:after="0"/>
        <w:jc w:val="both"/>
        <w:rPr>
          <w:rFonts w:ascii="Times New Roman;serif" w:hAnsi="Times New Roman;serif"/>
          <w:b/>
          <w:sz w:val="20"/>
        </w:rPr>
      </w:pPr>
      <w:r>
        <w:rPr>
          <w:rFonts w:ascii="Times New Roman;serif" w:hAnsi="Times New Roman;serif"/>
          <w:b/>
          <w:sz w:val="20"/>
        </w:rPr>
        <w:t>13. Segment Reporting</w:t>
      </w:r>
    </w:p>
    <w:p>
      <w:pPr>
        <w:pStyle w:val="TextBody"/>
        <w:spacing w:before="0" w:after="0"/>
        <w:jc w:val="both"/>
        <w:rPr/>
      </w:pPr>
      <w:r>
        <w:rPr/>
        <w:t> </w:t>
      </w:r>
    </w:p>
    <w:p>
      <w:pPr>
        <w:pStyle w:val="TextBody"/>
        <w:spacing w:before="0" w:after="0"/>
        <w:jc w:val="both"/>
        <w:rPr>
          <w:rFonts w:ascii="Times New Roman" w:hAnsi="Times New Roman"/>
          <w:sz w:val="20"/>
        </w:rPr>
      </w:pPr>
      <w:r>
        <w:rPr>
          <w:rFonts w:ascii="Times New Roman;serif" w:hAnsi="Times New Roman;serif"/>
          <w:b w:val="false"/>
          <w:sz w:val="20"/>
        </w:rPr>
        <w:t>The Company</w:t>
      </w:r>
      <w:r>
        <w:rPr>
          <w:rFonts w:ascii="Times New Roman" w:hAnsi="Times New Roman"/>
          <w:sz w:val="20"/>
        </w:rPr>
        <w:t>’</w:t>
      </w:r>
      <w:r>
        <w:rPr>
          <w:rFonts w:ascii="Times New Roman;serif" w:hAnsi="Times New Roman;serif"/>
          <w:b w:val="false"/>
          <w:sz w:val="20"/>
        </w:rPr>
        <w:t>s Chief Executive Officer (“CEO”) is its Chief Operating Decision Maker (“CODM”), as such term is defined under U.S. GAAP. The CODM assesses segment performance based on segment revenues and segment gross margins. Selling, general and administrative expenses, research and development costs, the amortization of intangible assets, provision for (reversal of) current expected credit losses, certain write-downs, interest income, interest expense, and income tax (expense) benefit are not allocated to the Company</w:t>
      </w:r>
      <w:r>
        <w:rPr>
          <w:rFonts w:ascii="Times New Roman" w:hAnsi="Times New Roman"/>
          <w:sz w:val="20"/>
        </w:rPr>
        <w:t>’</w:t>
      </w:r>
      <w:r>
        <w:rPr>
          <w:rFonts w:ascii="Times New Roman;serif" w:hAnsi="Times New Roman;serif"/>
          <w:b w:val="false"/>
          <w:sz w:val="20"/>
        </w:rPr>
        <w:t>s segments.</w:t>
      </w:r>
    </w:p>
    <w:p>
      <w:pPr>
        <w:pStyle w:val="TextBody"/>
        <w:spacing w:before="200" w:after="0"/>
        <w:jc w:val="both"/>
        <w:rPr>
          <w:rFonts w:ascii="Times New Roman;serif" w:hAnsi="Times New Roman;serif"/>
          <w:b w:val="false"/>
          <w:sz w:val="20"/>
        </w:rPr>
      </w:pPr>
      <w:r>
        <w:rPr>
          <w:rFonts w:ascii="Times New Roman;serif" w:hAnsi="Times New Roman;serif"/>
          <w:b w:val="false"/>
          <w:sz w:val="20"/>
        </w:rPr>
        <w:t>In the first quarter of 2023, the Company revised its internal segment reporting, including the information provided to the CODM to assess segment performance and allocate resources. Accordingly, the Company has two reportable segments: (i) Content Solutions, which principally includes content enhancement and distribution services, previously included within the IMAX DMR, Film Distribution and Film Post-Production segments, and (ii) Technology Products and Services, which principally includes the sale, lease, and maintenance of IMAX Systems, previously included within the JRSA, IMAX Systems, IMAX Maintenance, and Other Theater Business segments. The Company’s activities that do not meet the criteria to be considered a reportable segment are reported within All Other. Prior period comparatives have been revised to conform with the current period presentation.</w:t>
      </w:r>
    </w:p>
    <w:p>
      <w:pPr>
        <w:pStyle w:val="TextBody"/>
        <w:spacing w:before="200" w:after="0"/>
        <w:jc w:val="both"/>
        <w:rPr>
          <w:rFonts w:ascii="Times New Roman" w:hAnsi="Times New Roman"/>
          <w:sz w:val="20"/>
        </w:rPr>
      </w:pPr>
      <w:r>
        <w:rPr>
          <w:rFonts w:ascii="Times New Roman;serif" w:hAnsi="Times New Roman;serif"/>
          <w:b w:val="false"/>
          <w:sz w:val="20"/>
        </w:rPr>
        <w:t>The Company has the following reportable segments:</w:t>
      </w:r>
      <w:r>
        <w:rPr>
          <w:rFonts w:ascii="Times New Roman" w:hAnsi="Times New Roman"/>
          <w:sz w:val="20"/>
        </w:rPr>
        <w:t xml:space="preserve"> </w:t>
      </w:r>
    </w:p>
    <w:p>
      <w:pPr>
        <w:pStyle w:val="TextBody"/>
        <w:spacing w:before="0" w:after="0"/>
        <w:jc w:val="both"/>
        <w:rPr/>
      </w:pPr>
      <w:r>
        <w:rPr/>
        <w:t> </w:t>
      </w:r>
    </w:p>
    <w:p>
      <w:pPr>
        <w:pStyle w:val="TextBody"/>
        <w:spacing w:before="0" w:after="0"/>
        <w:jc w:val="both"/>
        <w:rPr>
          <w:rFonts w:ascii="Times New Roman" w:hAnsi="Times New Roman"/>
          <w:b w:val="false"/>
          <w:sz w:val="20"/>
        </w:rPr>
      </w:pPr>
      <w:r>
        <w:rPr>
          <w:rFonts w:ascii="Times New Roman" w:hAnsi="Times New Roman"/>
          <w:b w:val="false"/>
          <w:sz w:val="20"/>
        </w:rPr>
        <w:t>(i)</w:t>
      </w:r>
    </w:p>
    <w:p>
      <w:pPr>
        <w:pStyle w:val="TextBody"/>
        <w:jc w:val="both"/>
        <w:rPr>
          <w:rFonts w:ascii="Times New Roman;serif" w:hAnsi="Times New Roman;serif"/>
          <w:b w:val="false"/>
          <w:sz w:val="20"/>
        </w:rPr>
      </w:pPr>
      <w:r>
        <w:rPr>
          <w:rFonts w:ascii="Times New Roman;serif" w:hAnsi="Times New Roman;serif"/>
          <w:b w:val="false"/>
          <w:sz w:val="20"/>
        </w:rPr>
        <w:t xml:space="preserve">Content Solutions, which principally includes the digital remastering of films and other content into IMAX formats for distribution to the IMAX network. To a lesser extent, the Content Solutions segment also earns revenue from the distribution of large-format documentary films and exclusive experiences ranging from live performances to interactive events with leading artists and creators, as well as film post-production services. </w:t>
      </w:r>
    </w:p>
    <w:p>
      <w:pPr>
        <w:pStyle w:val="TextBody"/>
        <w:spacing w:before="0" w:after="0"/>
        <w:jc w:val="both"/>
        <w:rPr/>
      </w:pPr>
      <w:r>
        <w:rPr/>
        <w:t> </w:t>
      </w:r>
    </w:p>
    <w:p>
      <w:pPr>
        <w:pStyle w:val="TextBody"/>
        <w:spacing w:before="0" w:after="0"/>
        <w:jc w:val="both"/>
        <w:rPr>
          <w:rFonts w:ascii="Times New Roman" w:hAnsi="Times New Roman"/>
          <w:b w:val="false"/>
          <w:sz w:val="20"/>
        </w:rPr>
      </w:pPr>
      <w:r>
        <w:rPr>
          <w:rFonts w:ascii="Times New Roman" w:hAnsi="Times New Roman"/>
          <w:b w:val="false"/>
          <w:sz w:val="20"/>
        </w:rPr>
        <w:t>(ii)</w:t>
      </w:r>
    </w:p>
    <w:p>
      <w:pPr>
        <w:pStyle w:val="TextBody"/>
        <w:jc w:val="both"/>
        <w:rPr>
          <w:rFonts w:ascii="Times New Roman;serif" w:hAnsi="Times New Roman;serif"/>
          <w:sz w:val="20"/>
        </w:rPr>
      </w:pPr>
      <w:r>
        <w:rPr>
          <w:rFonts w:ascii="Times New Roman;serif" w:hAnsi="Times New Roman;serif"/>
          <w:b w:val="false"/>
          <w:sz w:val="20"/>
        </w:rPr>
        <w:t>Technology Products and Services, which includes results</w:t>
      </w:r>
      <w:r>
        <w:rPr>
          <w:rFonts w:ascii="Times New Roman;serif" w:hAnsi="Times New Roman;serif"/>
          <w:sz w:val="20"/>
        </w:rPr>
        <w:t xml:space="preserve"> </w:t>
      </w:r>
      <w:r>
        <w:rPr>
          <w:rFonts w:ascii="Times New Roman;serif" w:hAnsi="Times New Roman;serif"/>
          <w:b w:val="false"/>
          <w:sz w:val="20"/>
        </w:rPr>
        <w:t>from the sale or lease of IMAX Systems, as well as from the maintenance of IMAX Systems. To a lesser extent, the Technology Product and Services segment also earns revenue from certain ancillary theater business activities, including after-market sales of IMAX System parts and 3D glasses.</w:t>
      </w:r>
    </w:p>
    <w:p>
      <w:pPr>
        <w:pStyle w:val="TextBody"/>
        <w:spacing w:before="200" w:after="0"/>
        <w:jc w:val="both"/>
        <w:rPr>
          <w:rFonts w:ascii="Times New Roman" w:hAnsi="Times New Roman"/>
          <w:sz w:val="20"/>
        </w:rPr>
      </w:pPr>
      <w:r>
        <w:rPr>
          <w:rFonts w:ascii="Times New Roman;serif" w:hAnsi="Times New Roman;serif"/>
          <w:b w:val="false"/>
          <w:sz w:val="20"/>
        </w:rPr>
        <w:t>Transactions between segments are valued at exchange value. Inter-segment profits are eliminated upon consolidation, as well as for the disclosures below.</w:t>
      </w:r>
      <w:r>
        <w:rPr>
          <w:rFonts w:ascii="Times New Roman" w:hAnsi="Times New Roman"/>
          <w:sz w:val="20"/>
        </w:rPr>
        <w:t xml:space="preserve"> </w:t>
      </w:r>
    </w:p>
    <w:p>
      <w:pPr>
        <w:pStyle w:val="TextBody"/>
        <w:spacing w:before="240" w:after="0"/>
        <w:jc w:val="center"/>
        <w:rPr>
          <w:rFonts w:ascii="Times New Roman;serif" w:hAnsi="Times New Roman;serif"/>
          <w:b w:val="false"/>
          <w:sz w:val="20"/>
        </w:rPr>
      </w:pPr>
      <w:r>
        <w:rPr>
          <w:rFonts w:ascii="Times New Roman;serif" w:hAnsi="Times New Roman;serif"/>
          <w:b w:val="false"/>
          <w:sz w:val="20"/>
        </w:rPr>
        <w:t>33</w:t>
      </w:r>
    </w:p>
    <w:p>
      <w:pPr>
        <w:pStyle w:val="HorizontalLine"/>
        <w:rPr/>
      </w:pPr>
      <w:r>
        <w:rPr/>
      </w:r>
    </w:p>
    <w:p>
      <w:pPr>
        <w:pStyle w:val="TextBody"/>
        <w:spacing w:before="0" w:after="0"/>
        <w:jc w:val="left"/>
        <w:rPr/>
      </w:pPr>
      <w:r>
        <w:rPr/>
        <w:t> </w:t>
      </w:r>
    </w:p>
    <w:p>
      <w:pPr>
        <w:pStyle w:val="TextBody"/>
        <w:spacing w:before="200" w:after="200"/>
        <w:jc w:val="both"/>
        <w:rPr>
          <w:rFonts w:ascii="Times New Roman;serif" w:hAnsi="Times New Roman;serif"/>
          <w:b w:val="false"/>
          <w:sz w:val="20"/>
        </w:rPr>
      </w:pPr>
      <w:r>
        <w:rPr>
          <w:rFonts w:ascii="Times New Roman;serif" w:hAnsi="Times New Roman;serif"/>
          <w:b w:val="false"/>
          <w:sz w:val="20"/>
        </w:rPr>
        <w:t>The following table presents the Company’s revenue and gross margin by reportable segment for the three months ended March 31, 2023 and 2022:</w:t>
      </w:r>
    </w:p>
    <w:tbl>
      <w:tblPr>
        <w:tblW w:w="7887" w:type="dxa"/>
        <w:jc w:val="left"/>
        <w:tblInd w:w="0" w:type="dxa"/>
        <w:tblCellMar>
          <w:top w:w="28" w:type="dxa"/>
          <w:left w:w="28" w:type="dxa"/>
          <w:bottom w:w="28" w:type="dxa"/>
          <w:right w:w="28" w:type="dxa"/>
        </w:tblCellMar>
      </w:tblPr>
      <w:tblGrid>
        <w:gridCol w:w="2926"/>
        <w:gridCol w:w="146"/>
        <w:gridCol w:w="211"/>
        <w:gridCol w:w="676"/>
        <w:gridCol w:w="146"/>
        <w:gridCol w:w="146"/>
        <w:gridCol w:w="211"/>
        <w:gridCol w:w="676"/>
        <w:gridCol w:w="146"/>
        <w:gridCol w:w="146"/>
        <w:gridCol w:w="211"/>
        <w:gridCol w:w="676"/>
        <w:gridCol w:w="146"/>
        <w:gridCol w:w="146"/>
        <w:gridCol w:w="211"/>
        <w:gridCol w:w="676"/>
        <w:gridCol w:w="391"/>
      </w:tblGrid>
      <w:tr>
        <w:trPr/>
        <w:tc>
          <w:tcPr>
            <w:tcW w:w="292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67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67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67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676" w:type="dxa"/>
            <w:tcBorders/>
            <w:shd w:fill="auto" w:val="clear"/>
            <w:vAlign w:val="center"/>
          </w:tcPr>
          <w:p>
            <w:pPr>
              <w:pStyle w:val="TableContents"/>
              <w:spacing w:before="0" w:after="283"/>
              <w:rPr>
                <w:sz w:val="4"/>
                <w:szCs w:val="4"/>
              </w:rPr>
            </w:pPr>
            <w:r>
              <w:rPr>
                <w:sz w:val="4"/>
                <w:szCs w:val="4"/>
              </w:rPr>
            </w:r>
          </w:p>
        </w:tc>
        <w:tc>
          <w:tcPr>
            <w:tcW w:w="391" w:type="dxa"/>
            <w:tcBorders/>
            <w:shd w:fill="auto" w:val="clear"/>
            <w:vAlign w:val="center"/>
          </w:tcPr>
          <w:p>
            <w:pPr>
              <w:pStyle w:val="TableContents"/>
              <w:spacing w:before="0" w:after="283"/>
              <w:rPr>
                <w:sz w:val="4"/>
                <w:szCs w:val="4"/>
              </w:rPr>
            </w:pPr>
            <w:r>
              <w:rPr>
                <w:sz w:val="4"/>
                <w:szCs w:val="4"/>
              </w:rPr>
            </w:r>
          </w:p>
        </w:tc>
      </w:tr>
      <w:tr>
        <w:trPr/>
        <w:tc>
          <w:tcPr>
            <w:tcW w:w="292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066" w:type="dxa"/>
            <w:gridSpan w:val="6"/>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 w:hAnsi="Times New Roman"/>
                <w:sz w:val="16"/>
              </w:rPr>
            </w:pPr>
            <w:r>
              <w:rPr>
                <w:rFonts w:ascii="Times New Roman;serif" w:hAnsi="Times New Roman;serif"/>
                <w:b/>
                <w:sz w:val="16"/>
              </w:rPr>
              <w:t>Revenue</w:t>
            </w:r>
            <w:r>
              <w:rPr>
                <w:rFonts w:ascii="Times New Roman;serif" w:hAnsi="Times New Roman;serif"/>
                <w:b/>
                <w:sz w:val="11"/>
              </w:rPr>
              <w:t>(1)</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066" w:type="dxa"/>
            <w:gridSpan w:val="6"/>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Gross Margin</w:t>
            </w:r>
          </w:p>
        </w:tc>
        <w:tc>
          <w:tcPr>
            <w:tcW w:w="3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2926" w:type="dxa"/>
            <w:tcBorders/>
            <w:shd w:fill="auto" w:val="clear"/>
            <w:vAlign w:val="center"/>
          </w:tcPr>
          <w:p>
            <w:pPr>
              <w:pStyle w:val="TableContents"/>
              <w:spacing w:before="0" w:after="0"/>
              <w:ind w:left="0" w:right="0" w:hanging="0"/>
              <w:jc w:val="left"/>
              <w:rPr>
                <w:rFonts w:ascii="Times New Roman;serif" w:hAnsi="Times New Roman;serif"/>
                <w:b w:val="false"/>
                <w:i/>
                <w:sz w:val="16"/>
              </w:rPr>
            </w:pPr>
            <w:r>
              <w:rPr>
                <w:rFonts w:ascii="Times New Roman;serif" w:hAnsi="Times New Roman;serif"/>
                <w:b w:val="false"/>
                <w:i/>
                <w:sz w:val="16"/>
              </w:rPr>
              <w:t>(In thousands of U.S. Dollars)</w:t>
            </w:r>
          </w:p>
        </w:tc>
        <w:tc>
          <w:tcPr>
            <w:tcW w:w="146" w:type="dxa"/>
            <w:tcBorders/>
            <w:shd w:fill="auto" w:val="clear"/>
            <w:vAlign w:val="center"/>
          </w:tcPr>
          <w:p>
            <w:pPr>
              <w:pStyle w:val="TableContents"/>
              <w:spacing w:before="0" w:after="0"/>
              <w:ind w:left="0" w:right="0" w:hanging="0"/>
              <w:jc w:val="left"/>
              <w:rPr/>
            </w:pPr>
            <w:r>
              <w:rPr/>
              <w:t> </w:t>
            </w:r>
          </w:p>
        </w:tc>
        <w:tc>
          <w:tcPr>
            <w:tcW w:w="887"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2023</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887"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2022</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887"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2023</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887"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2022</w:t>
            </w:r>
          </w:p>
        </w:tc>
        <w:tc>
          <w:tcPr>
            <w:tcW w:w="3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292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Content Solutions</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7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32,101</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21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7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20,988</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21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7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17,995</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21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7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12,625</w:t>
            </w:r>
          </w:p>
        </w:tc>
        <w:tc>
          <w:tcPr>
            <w:tcW w:w="391" w:type="dxa"/>
            <w:tcBorders/>
            <w:shd w:fill="auto" w:val="clear"/>
            <w:vAlign w:val="center"/>
          </w:tcPr>
          <w:p>
            <w:pPr>
              <w:pStyle w:val="TableContents"/>
              <w:spacing w:before="0" w:after="0"/>
              <w:ind w:left="0" w:right="0" w:hanging="0"/>
              <w:jc w:val="left"/>
              <w:rPr/>
            </w:pPr>
            <w:r>
              <w:rPr/>
              <w:t> </w:t>
            </w:r>
          </w:p>
        </w:tc>
      </w:tr>
      <w:tr>
        <w:trPr/>
        <w:tc>
          <w:tcPr>
            <w:tcW w:w="292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Technology Products and Services</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67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51,667</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67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37,863</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67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29,891</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67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18,416</w:t>
            </w:r>
          </w:p>
        </w:tc>
        <w:tc>
          <w:tcPr>
            <w:tcW w:w="391" w:type="dxa"/>
            <w:tcBorders/>
            <w:shd w:fill="auto" w:val="clear"/>
            <w:vAlign w:val="center"/>
          </w:tcPr>
          <w:p>
            <w:pPr>
              <w:pStyle w:val="TableContents"/>
              <w:spacing w:before="0" w:after="0"/>
              <w:ind w:left="0" w:right="0" w:firstLine="200"/>
              <w:jc w:val="left"/>
              <w:rPr/>
            </w:pPr>
            <w:r>
              <w:rPr/>
              <w:t> </w:t>
            </w:r>
          </w:p>
        </w:tc>
      </w:tr>
      <w:tr>
        <w:trPr/>
        <w:tc>
          <w:tcPr>
            <w:tcW w:w="2926" w:type="dxa"/>
            <w:tcBorders/>
            <w:shd w:fill="auto" w:val="clear"/>
            <w:vAlign w:val="center"/>
          </w:tcPr>
          <w:p>
            <w:pPr>
              <w:pStyle w:val="TableContents"/>
              <w:spacing w:before="0" w:after="0"/>
              <w:ind w:left="200" w:right="0" w:hanging="0"/>
              <w:jc w:val="left"/>
              <w:rPr>
                <w:rFonts w:ascii="Times New Roman;serif" w:hAnsi="Times New Roman;serif"/>
                <w:b w:val="false"/>
                <w:sz w:val="20"/>
              </w:rPr>
            </w:pPr>
            <w:r>
              <w:rPr>
                <w:rFonts w:ascii="Times New Roman;serif" w:hAnsi="Times New Roman;serif"/>
                <w:b w:val="false"/>
                <w:sz w:val="20"/>
              </w:rPr>
              <w:t>Sub-total for reportable segments</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top w:val="single" w:sz="4" w:space="0" w:color="000000"/>
              <w:bottom w:val="single" w:sz="4" w:space="0" w:color="000000"/>
            </w:tcBorders>
            <w:shd w:fill="auto" w:val="clear"/>
            <w:tcMar>
              <w:left w:w="0" w:type="dxa"/>
              <w:right w:w="0" w:type="dxa"/>
            </w:tcMar>
            <w:vAlign w:val="center"/>
          </w:tcPr>
          <w:p>
            <w:pPr>
              <w:pStyle w:val="TableContents"/>
              <w:spacing w:before="0" w:after="0"/>
              <w:ind w:left="0" w:right="0" w:hanging="0"/>
              <w:jc w:val="left"/>
              <w:rPr/>
            </w:pPr>
            <w:r>
              <w:rPr/>
              <w:t> </w:t>
            </w:r>
          </w:p>
        </w:tc>
        <w:tc>
          <w:tcPr>
            <w:tcW w:w="676" w:type="dxa"/>
            <w:tcBorders>
              <w:top w:val="single" w:sz="4" w:space="0" w:color="000000"/>
              <w:bottom w:val="single" w:sz="4" w:space="0" w:color="000000"/>
            </w:tcBorders>
            <w:shd w:fill="auto" w:val="clear"/>
            <w:tcMar>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83,768</w:t>
            </w:r>
          </w:p>
        </w:tc>
        <w:tc>
          <w:tcPr>
            <w:tcW w:w="146" w:type="dxa"/>
            <w:tcBorders>
              <w:top w:val="single" w:sz="4" w:space="0" w:color="000000"/>
              <w:bottom w:val="single" w:sz="4" w:space="0" w:color="000000"/>
            </w:tcBorders>
            <w:shd w:fill="auto" w:val="clear"/>
            <w:tcMar>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211" w:type="dxa"/>
            <w:tcBorders>
              <w:top w:val="single" w:sz="4" w:space="0" w:color="000000"/>
              <w:bottom w:val="single" w:sz="4" w:space="0" w:color="000000"/>
            </w:tcBorders>
            <w:shd w:fill="auto" w:val="clear"/>
            <w:tcMar>
              <w:left w:w="0" w:type="dxa"/>
              <w:right w:w="0" w:type="dxa"/>
            </w:tcMar>
            <w:vAlign w:val="center"/>
          </w:tcPr>
          <w:p>
            <w:pPr>
              <w:pStyle w:val="TableContents"/>
              <w:spacing w:before="0" w:after="0"/>
              <w:ind w:left="0" w:right="0" w:hanging="0"/>
              <w:jc w:val="left"/>
              <w:rPr/>
            </w:pPr>
            <w:r>
              <w:rPr/>
              <w:t> </w:t>
            </w:r>
          </w:p>
        </w:tc>
        <w:tc>
          <w:tcPr>
            <w:tcW w:w="676" w:type="dxa"/>
            <w:tcBorders>
              <w:top w:val="single" w:sz="4" w:space="0" w:color="000000"/>
              <w:bottom w:val="single" w:sz="4" w:space="0" w:color="000000"/>
            </w:tcBorders>
            <w:shd w:fill="auto" w:val="clear"/>
            <w:tcMar>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58,851</w:t>
            </w:r>
          </w:p>
        </w:tc>
        <w:tc>
          <w:tcPr>
            <w:tcW w:w="146" w:type="dxa"/>
            <w:tcBorders>
              <w:top w:val="single" w:sz="4" w:space="0" w:color="000000"/>
              <w:bottom w:val="single" w:sz="4" w:space="0" w:color="000000"/>
            </w:tcBorders>
            <w:shd w:fill="auto" w:val="clear"/>
            <w:tcMar>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211" w:type="dxa"/>
            <w:tcBorders>
              <w:top w:val="single" w:sz="4" w:space="0" w:color="000000"/>
              <w:bottom w:val="single" w:sz="4" w:space="0" w:color="000000"/>
            </w:tcBorders>
            <w:shd w:fill="auto" w:val="clear"/>
            <w:tcMar>
              <w:left w:w="0" w:type="dxa"/>
              <w:right w:w="0" w:type="dxa"/>
            </w:tcMar>
            <w:vAlign w:val="center"/>
          </w:tcPr>
          <w:p>
            <w:pPr>
              <w:pStyle w:val="TableContents"/>
              <w:spacing w:before="0" w:after="0"/>
              <w:ind w:left="0" w:right="0" w:hanging="0"/>
              <w:jc w:val="left"/>
              <w:rPr/>
            </w:pPr>
            <w:r>
              <w:rPr/>
              <w:t> </w:t>
            </w:r>
          </w:p>
        </w:tc>
        <w:tc>
          <w:tcPr>
            <w:tcW w:w="676" w:type="dxa"/>
            <w:tcBorders>
              <w:top w:val="single" w:sz="4" w:space="0" w:color="000000"/>
              <w:bottom w:val="single" w:sz="4" w:space="0" w:color="000000"/>
            </w:tcBorders>
            <w:shd w:fill="auto" w:val="clear"/>
            <w:tcMar>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47,886</w:t>
            </w:r>
          </w:p>
        </w:tc>
        <w:tc>
          <w:tcPr>
            <w:tcW w:w="146" w:type="dxa"/>
            <w:tcBorders>
              <w:top w:val="single" w:sz="4" w:space="0" w:color="000000"/>
              <w:bottom w:val="single" w:sz="4" w:space="0" w:color="000000"/>
            </w:tcBorders>
            <w:shd w:fill="auto" w:val="clear"/>
            <w:tcMar>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211" w:type="dxa"/>
            <w:tcBorders>
              <w:top w:val="single" w:sz="4" w:space="0" w:color="000000"/>
              <w:bottom w:val="single" w:sz="4" w:space="0" w:color="000000"/>
            </w:tcBorders>
            <w:shd w:fill="auto" w:val="clear"/>
            <w:tcMar>
              <w:left w:w="0" w:type="dxa"/>
              <w:right w:w="0" w:type="dxa"/>
            </w:tcMar>
            <w:vAlign w:val="center"/>
          </w:tcPr>
          <w:p>
            <w:pPr>
              <w:pStyle w:val="TableContents"/>
              <w:spacing w:before="0" w:after="0"/>
              <w:ind w:left="0" w:right="0" w:hanging="0"/>
              <w:jc w:val="left"/>
              <w:rPr/>
            </w:pPr>
            <w:r>
              <w:rPr/>
              <w:t> </w:t>
            </w:r>
          </w:p>
        </w:tc>
        <w:tc>
          <w:tcPr>
            <w:tcW w:w="676" w:type="dxa"/>
            <w:tcBorders>
              <w:top w:val="single" w:sz="4" w:space="0" w:color="000000"/>
              <w:bottom w:val="single" w:sz="4" w:space="0" w:color="000000"/>
            </w:tcBorders>
            <w:shd w:fill="auto" w:val="clear"/>
            <w:tcMar>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31,041</w:t>
            </w:r>
          </w:p>
        </w:tc>
        <w:tc>
          <w:tcPr>
            <w:tcW w:w="391" w:type="dxa"/>
            <w:tcBorders>
              <w:top w:val="single" w:sz="4" w:space="0" w:color="000000"/>
              <w:bottom w:val="single" w:sz="4" w:space="0" w:color="000000"/>
            </w:tcBorders>
            <w:shd w:fill="auto" w:val="clear"/>
            <w:tcMar>
              <w:left w:w="0" w:type="dxa"/>
              <w:right w:w="0" w:type="dxa"/>
            </w:tcMar>
            <w:vAlign w:val="center"/>
          </w:tcPr>
          <w:p>
            <w:pPr>
              <w:pStyle w:val="TableContents"/>
              <w:spacing w:before="0" w:after="0"/>
              <w:ind w:left="0" w:right="0" w:hanging="0"/>
              <w:jc w:val="left"/>
              <w:rPr/>
            </w:pPr>
            <w:r>
              <w:rPr/>
              <w:t> </w:t>
            </w:r>
          </w:p>
        </w:tc>
      </w:tr>
      <w:tr>
        <w:trPr/>
        <w:tc>
          <w:tcPr>
            <w:tcW w:w="2926" w:type="dxa"/>
            <w:tcBorders/>
            <w:shd w:fill="auto" w:val="clear"/>
            <w:vAlign w:val="center"/>
          </w:tcPr>
          <w:p>
            <w:pPr>
              <w:pStyle w:val="TableContents"/>
              <w:spacing w:before="0" w:after="0"/>
              <w:ind w:left="0" w:right="0" w:hanging="0"/>
              <w:jc w:val="left"/>
              <w:rPr>
                <w:rFonts w:ascii="Times New Roman" w:hAnsi="Times New Roman"/>
                <w:sz w:val="20"/>
              </w:rPr>
            </w:pPr>
            <w:r>
              <w:rPr>
                <w:rFonts w:ascii="Times New Roman;serif" w:hAnsi="Times New Roman;serif"/>
                <w:b w:val="false"/>
                <w:sz w:val="20"/>
              </w:rPr>
              <w:t>All Other</w:t>
            </w:r>
            <w:r>
              <w:rPr>
                <w:rFonts w:ascii="Times New Roman;serif" w:hAnsi="Times New Roman;serif"/>
                <w:b w:val="false"/>
                <w:sz w:val="13"/>
              </w:rPr>
              <w:t>(2)</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67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3,178</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67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1,185</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67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2,165</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67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730</w:t>
            </w:r>
          </w:p>
        </w:tc>
        <w:tc>
          <w:tcPr>
            <w:tcW w:w="3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r>
        <w:trPr/>
        <w:tc>
          <w:tcPr>
            <w:tcW w:w="292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Total</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7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86,946</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21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7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60,036</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21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7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50,051</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21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7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31,771</w:t>
            </w:r>
          </w:p>
        </w:tc>
        <w:tc>
          <w:tcPr>
            <w:tcW w:w="39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bl>
    <w:p>
      <w:pPr>
        <w:pStyle w:val="TextBody"/>
        <w:pBdr>
          <w:bottom w:val="single" w:sz="4" w:space="1" w:color="000000"/>
        </w:pBdr>
        <w:spacing w:before="0" w:after="0"/>
        <w:jc w:val="left"/>
        <w:rPr/>
      </w:pPr>
      <w:r>
        <w:rPr/>
        <w:t> </w:t>
      </w:r>
    </w:p>
    <w:p>
      <w:pPr>
        <w:pStyle w:val="TextBody"/>
        <w:spacing w:before="200" w:after="0"/>
        <w:jc w:val="both"/>
        <w:rPr>
          <w:rFonts w:ascii="Times New Roman" w:hAnsi="Times New Roman"/>
          <w:b w:val="false"/>
          <w:sz w:val="20"/>
        </w:rPr>
      </w:pPr>
      <w:r>
        <w:rPr>
          <w:rFonts w:ascii="Times New Roman" w:hAnsi="Times New Roman"/>
          <w:b w:val="false"/>
          <w:sz w:val="20"/>
        </w:rPr>
        <w:t>(1)</w:t>
      </w:r>
    </w:p>
    <w:p>
      <w:pPr>
        <w:pStyle w:val="TextBody"/>
        <w:spacing w:before="200" w:after="0"/>
        <w:jc w:val="both"/>
        <w:rPr>
          <w:rFonts w:ascii="Times New Roman;serif" w:hAnsi="Times New Roman;serif"/>
          <w:sz w:val="20"/>
        </w:rPr>
      </w:pPr>
      <w:r>
        <w:rPr>
          <w:rFonts w:ascii="Times New Roman;serif" w:hAnsi="Times New Roman;serif"/>
          <w:b w:val="false"/>
          <w:sz w:val="20"/>
        </w:rPr>
        <w:t>The Company’s largest customer represents 9%</w:t>
      </w:r>
      <w:r>
        <w:rPr>
          <w:rFonts w:ascii="Times New Roman;serif" w:hAnsi="Times New Roman;serif"/>
          <w:sz w:val="20"/>
        </w:rPr>
        <w:t xml:space="preserve"> </w:t>
      </w:r>
      <w:r>
        <w:rPr>
          <w:rFonts w:ascii="Times New Roman;serif" w:hAnsi="Times New Roman;serif"/>
          <w:b w:val="false"/>
          <w:sz w:val="20"/>
        </w:rPr>
        <w:t>of total Revenues for the three months ended March 31, 2023 (2022 — 11%). No single customer comprises more than 10% of the Company’s total Accounts Receivable as of March 31, 2023 and December 31, 2022.</w:t>
      </w:r>
      <w:r>
        <w:rPr>
          <w:rFonts w:ascii="Times New Roman;serif" w:hAnsi="Times New Roman;serif"/>
          <w:sz w:val="20"/>
        </w:rPr>
        <w:t xml:space="preserve"> </w:t>
      </w:r>
    </w:p>
    <w:p>
      <w:pPr>
        <w:pStyle w:val="TextBody"/>
        <w:spacing w:before="200" w:after="0"/>
        <w:jc w:val="both"/>
        <w:rPr>
          <w:rFonts w:ascii="Times New Roman" w:hAnsi="Times New Roman"/>
          <w:b w:val="false"/>
          <w:sz w:val="20"/>
        </w:rPr>
      </w:pPr>
      <w:r>
        <w:rPr>
          <w:rFonts w:ascii="Times New Roman" w:hAnsi="Times New Roman"/>
          <w:b w:val="false"/>
          <w:sz w:val="20"/>
        </w:rPr>
        <w:t>(2)</w:t>
      </w:r>
    </w:p>
    <w:p>
      <w:pPr>
        <w:pStyle w:val="TextBody"/>
        <w:spacing w:before="200" w:after="283"/>
        <w:jc w:val="both"/>
        <w:rPr>
          <w:rFonts w:ascii="Times New Roman;serif" w:hAnsi="Times New Roman;serif"/>
          <w:b w:val="false"/>
          <w:sz w:val="20"/>
        </w:rPr>
      </w:pPr>
      <w:r>
        <w:rPr>
          <w:rFonts w:ascii="Times New Roman;serif" w:hAnsi="Times New Roman;serif"/>
          <w:b w:val="false"/>
          <w:sz w:val="20"/>
        </w:rPr>
        <w:t>All Other includes the results from IMAX Enhanced, SSIMWAVE, and other ancillary activities.</w:t>
      </w:r>
    </w:p>
    <w:p>
      <w:pPr>
        <w:pStyle w:val="TextBody"/>
        <w:spacing w:before="200" w:after="0"/>
        <w:jc w:val="left"/>
        <w:rPr>
          <w:rFonts w:ascii="Times New Roman" w:hAnsi="Times New Roman"/>
          <w:sz w:val="20"/>
        </w:rPr>
      </w:pPr>
      <w:r>
        <w:rPr>
          <w:rFonts w:ascii="Times New Roman;serif" w:hAnsi="Times New Roman;serif"/>
          <w:b/>
          <w:i/>
          <w:sz w:val="20"/>
        </w:rPr>
        <w:t>Geographic Information</w:t>
      </w:r>
      <w:r>
        <w:rPr>
          <w:rFonts w:ascii="Times New Roman" w:hAnsi="Times New Roman"/>
          <w:sz w:val="20"/>
        </w:rPr>
        <w:t xml:space="preserve"> </w:t>
      </w:r>
    </w:p>
    <w:p>
      <w:pPr>
        <w:pStyle w:val="TextBody"/>
        <w:spacing w:before="200" w:after="0"/>
        <w:jc w:val="both"/>
        <w:rPr>
          <w:rFonts w:ascii="Times New Roman;serif" w:hAnsi="Times New Roman;serif"/>
          <w:b w:val="false"/>
          <w:sz w:val="20"/>
        </w:rPr>
      </w:pPr>
      <w:r>
        <w:rPr>
          <w:rFonts w:ascii="Times New Roman;serif" w:hAnsi="Times New Roman;serif"/>
          <w:b w:val="false"/>
          <w:sz w:val="20"/>
        </w:rPr>
        <w:t>Revenue by geographic area is based on the location of the customer. Revenue related to IMAX film remastering and distribution is presented based upon the geographic location of the IMAX System that exhibits the remastered films. IMAX film remastering and distribution revenue is generated through contractual relationships with studios and other third parties and these may not be in the same geographical location as the IMAX System.</w:t>
      </w:r>
    </w:p>
    <w:p>
      <w:pPr>
        <w:pStyle w:val="TextBody"/>
        <w:spacing w:before="200" w:after="0"/>
        <w:jc w:val="both"/>
        <w:rPr>
          <w:rFonts w:ascii="Times New Roman;serif" w:hAnsi="Times New Roman;serif"/>
          <w:b w:val="false"/>
          <w:sz w:val="20"/>
        </w:rPr>
      </w:pPr>
      <w:r>
        <w:rPr>
          <w:rFonts w:ascii="Times New Roman;serif" w:hAnsi="Times New Roman;serif"/>
          <w:b w:val="false"/>
          <w:sz w:val="20"/>
        </w:rPr>
        <w:t>The following table summarizes the Company’s revenues by geographic area for the three months ended March 31, 2023 and 2022:</w:t>
      </w:r>
    </w:p>
    <w:p>
      <w:pPr>
        <w:pStyle w:val="TextBody"/>
        <w:spacing w:before="0" w:after="0"/>
        <w:jc w:val="both"/>
        <w:rPr/>
      </w:pPr>
      <w:r>
        <w:rPr/>
        <w:t> </w:t>
      </w:r>
    </w:p>
    <w:tbl>
      <w:tblPr>
        <w:tblW w:w="5106" w:type="dxa"/>
        <w:jc w:val="left"/>
        <w:tblInd w:w="0" w:type="dxa"/>
        <w:tblCellMar>
          <w:top w:w="28" w:type="dxa"/>
          <w:left w:w="28" w:type="dxa"/>
          <w:bottom w:w="28" w:type="dxa"/>
          <w:right w:w="28" w:type="dxa"/>
        </w:tblCellMar>
      </w:tblPr>
      <w:tblGrid>
        <w:gridCol w:w="2371"/>
        <w:gridCol w:w="146"/>
        <w:gridCol w:w="229"/>
        <w:gridCol w:w="733"/>
        <w:gridCol w:w="158"/>
        <w:gridCol w:w="158"/>
        <w:gridCol w:w="158"/>
        <w:gridCol w:w="229"/>
        <w:gridCol w:w="733"/>
        <w:gridCol w:w="191"/>
      </w:tblGrid>
      <w:tr>
        <w:trPr/>
        <w:tc>
          <w:tcPr>
            <w:tcW w:w="2371"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29" w:type="dxa"/>
            <w:tcBorders/>
            <w:shd w:fill="auto" w:val="clear"/>
            <w:vAlign w:val="center"/>
          </w:tcPr>
          <w:p>
            <w:pPr>
              <w:pStyle w:val="TableContents"/>
              <w:spacing w:before="0" w:after="283"/>
              <w:rPr>
                <w:sz w:val="4"/>
                <w:szCs w:val="4"/>
              </w:rPr>
            </w:pPr>
            <w:r>
              <w:rPr>
                <w:sz w:val="4"/>
                <w:szCs w:val="4"/>
              </w:rPr>
            </w:r>
          </w:p>
        </w:tc>
        <w:tc>
          <w:tcPr>
            <w:tcW w:w="733" w:type="dxa"/>
            <w:tcBorders/>
            <w:shd w:fill="auto" w:val="clear"/>
            <w:vAlign w:val="center"/>
          </w:tcPr>
          <w:p>
            <w:pPr>
              <w:pStyle w:val="TableContents"/>
              <w:spacing w:before="0" w:after="283"/>
              <w:rPr>
                <w:sz w:val="4"/>
                <w:szCs w:val="4"/>
              </w:rPr>
            </w:pPr>
            <w:r>
              <w:rPr>
                <w:sz w:val="4"/>
                <w:szCs w:val="4"/>
              </w:rPr>
            </w:r>
          </w:p>
        </w:tc>
        <w:tc>
          <w:tcPr>
            <w:tcW w:w="158" w:type="dxa"/>
            <w:tcBorders/>
            <w:shd w:fill="auto" w:val="clear"/>
            <w:vAlign w:val="center"/>
          </w:tcPr>
          <w:p>
            <w:pPr>
              <w:pStyle w:val="TableContents"/>
              <w:spacing w:before="0" w:after="283"/>
              <w:rPr>
                <w:sz w:val="4"/>
                <w:szCs w:val="4"/>
              </w:rPr>
            </w:pPr>
            <w:r>
              <w:rPr>
                <w:sz w:val="4"/>
                <w:szCs w:val="4"/>
              </w:rPr>
            </w:r>
          </w:p>
        </w:tc>
        <w:tc>
          <w:tcPr>
            <w:tcW w:w="158" w:type="dxa"/>
            <w:tcBorders/>
            <w:shd w:fill="auto" w:val="clear"/>
            <w:vAlign w:val="center"/>
          </w:tcPr>
          <w:p>
            <w:pPr>
              <w:pStyle w:val="TableContents"/>
              <w:spacing w:before="0" w:after="283"/>
              <w:rPr>
                <w:sz w:val="4"/>
                <w:szCs w:val="4"/>
              </w:rPr>
            </w:pPr>
            <w:r>
              <w:rPr>
                <w:sz w:val="4"/>
                <w:szCs w:val="4"/>
              </w:rPr>
            </w:r>
          </w:p>
        </w:tc>
        <w:tc>
          <w:tcPr>
            <w:tcW w:w="158" w:type="dxa"/>
            <w:tcBorders/>
            <w:shd w:fill="auto" w:val="clear"/>
            <w:vAlign w:val="center"/>
          </w:tcPr>
          <w:p>
            <w:pPr>
              <w:pStyle w:val="TableContents"/>
              <w:spacing w:before="0" w:after="283"/>
              <w:rPr>
                <w:sz w:val="4"/>
                <w:szCs w:val="4"/>
              </w:rPr>
            </w:pPr>
            <w:r>
              <w:rPr>
                <w:sz w:val="4"/>
                <w:szCs w:val="4"/>
              </w:rPr>
            </w:r>
          </w:p>
        </w:tc>
        <w:tc>
          <w:tcPr>
            <w:tcW w:w="229" w:type="dxa"/>
            <w:tcBorders/>
            <w:shd w:fill="auto" w:val="clear"/>
            <w:vAlign w:val="center"/>
          </w:tcPr>
          <w:p>
            <w:pPr>
              <w:pStyle w:val="TableContents"/>
              <w:spacing w:before="0" w:after="283"/>
              <w:rPr>
                <w:sz w:val="4"/>
                <w:szCs w:val="4"/>
              </w:rPr>
            </w:pPr>
            <w:r>
              <w:rPr>
                <w:sz w:val="4"/>
                <w:szCs w:val="4"/>
              </w:rPr>
            </w:r>
          </w:p>
        </w:tc>
        <w:tc>
          <w:tcPr>
            <w:tcW w:w="733" w:type="dxa"/>
            <w:tcBorders/>
            <w:shd w:fill="auto" w:val="clear"/>
            <w:vAlign w:val="center"/>
          </w:tcPr>
          <w:p>
            <w:pPr>
              <w:pStyle w:val="TableContents"/>
              <w:spacing w:before="0" w:after="283"/>
              <w:rPr>
                <w:sz w:val="4"/>
                <w:szCs w:val="4"/>
              </w:rPr>
            </w:pPr>
            <w:r>
              <w:rPr>
                <w:sz w:val="4"/>
                <w:szCs w:val="4"/>
              </w:rPr>
            </w:r>
          </w:p>
        </w:tc>
        <w:tc>
          <w:tcPr>
            <w:tcW w:w="191" w:type="dxa"/>
            <w:tcBorders/>
            <w:shd w:fill="auto" w:val="clear"/>
            <w:vAlign w:val="center"/>
          </w:tcPr>
          <w:p>
            <w:pPr>
              <w:pStyle w:val="TableContents"/>
              <w:spacing w:before="0" w:after="283"/>
              <w:rPr>
                <w:sz w:val="4"/>
                <w:szCs w:val="4"/>
              </w:rPr>
            </w:pPr>
            <w:r>
              <w:rPr>
                <w:sz w:val="4"/>
                <w:szCs w:val="4"/>
              </w:rPr>
            </w:r>
          </w:p>
        </w:tc>
      </w:tr>
      <w:tr>
        <w:trPr/>
        <w:tc>
          <w:tcPr>
            <w:tcW w:w="237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398" w:type="dxa"/>
            <w:gridSpan w:val="7"/>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Three Months Ended March 31,</w:t>
            </w:r>
          </w:p>
        </w:tc>
        <w:tc>
          <w:tcPr>
            <w:tcW w:w="1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2371" w:type="dxa"/>
            <w:tcBorders/>
            <w:shd w:fill="auto" w:val="clear"/>
            <w:vAlign w:val="center"/>
          </w:tcPr>
          <w:p>
            <w:pPr>
              <w:pStyle w:val="TableContents"/>
              <w:spacing w:before="0" w:after="0"/>
              <w:ind w:left="0" w:right="0" w:hanging="0"/>
              <w:jc w:val="left"/>
              <w:rPr>
                <w:rFonts w:ascii="Times New Roman;serif" w:hAnsi="Times New Roman;serif"/>
                <w:b w:val="false"/>
                <w:i/>
                <w:sz w:val="16"/>
              </w:rPr>
            </w:pPr>
            <w:r>
              <w:rPr>
                <w:rFonts w:ascii="Times New Roman;serif" w:hAnsi="Times New Roman;serif"/>
                <w:b w:val="false"/>
                <w:i/>
                <w:sz w:val="16"/>
              </w:rPr>
              <w:t>(In thousands of U.S. Dollars)</w:t>
            </w:r>
          </w:p>
        </w:tc>
        <w:tc>
          <w:tcPr>
            <w:tcW w:w="146" w:type="dxa"/>
            <w:tcBorders/>
            <w:shd w:fill="auto" w:val="clear"/>
            <w:vAlign w:val="center"/>
          </w:tcPr>
          <w:p>
            <w:pPr>
              <w:pStyle w:val="TableContents"/>
              <w:spacing w:before="0" w:after="0"/>
              <w:ind w:left="0" w:right="0" w:hanging="0"/>
              <w:jc w:val="left"/>
              <w:rPr/>
            </w:pPr>
            <w:r>
              <w:rPr/>
              <w:t> </w:t>
            </w:r>
          </w:p>
        </w:tc>
        <w:tc>
          <w:tcPr>
            <w:tcW w:w="962"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2023</w:t>
            </w:r>
          </w:p>
        </w:tc>
        <w:tc>
          <w:tcPr>
            <w:tcW w:w="158"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58"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58" w:type="dxa"/>
            <w:tcBorders/>
            <w:shd w:fill="auto" w:val="clear"/>
            <w:vAlign w:val="center"/>
          </w:tcPr>
          <w:p>
            <w:pPr>
              <w:pStyle w:val="TableContents"/>
              <w:spacing w:before="0" w:after="0"/>
              <w:ind w:left="0" w:right="0" w:hanging="0"/>
              <w:jc w:val="center"/>
              <w:rPr/>
            </w:pPr>
            <w:r>
              <w:rPr/>
              <w:t> </w:t>
            </w:r>
          </w:p>
        </w:tc>
        <w:tc>
          <w:tcPr>
            <w:tcW w:w="962"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2022</w:t>
            </w:r>
          </w:p>
        </w:tc>
        <w:tc>
          <w:tcPr>
            <w:tcW w:w="1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237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United States</w:t>
            </w:r>
          </w:p>
        </w:tc>
        <w:tc>
          <w:tcPr>
            <w:tcW w:w="146" w:type="dxa"/>
            <w:tcBorders/>
            <w:shd w:fill="auto" w:val="clear"/>
            <w:vAlign w:val="center"/>
          </w:tcPr>
          <w:p>
            <w:pPr>
              <w:pStyle w:val="TableContents"/>
              <w:spacing w:before="0" w:after="0"/>
              <w:ind w:left="0" w:right="0" w:hanging="0"/>
              <w:jc w:val="left"/>
              <w:rPr/>
            </w:pPr>
            <w:r>
              <w:rPr/>
              <w:t> </w:t>
            </w:r>
          </w:p>
        </w:tc>
        <w:tc>
          <w:tcPr>
            <w:tcW w:w="229"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33"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26,753</w:t>
            </w:r>
          </w:p>
        </w:tc>
        <w:tc>
          <w:tcPr>
            <w:tcW w:w="158" w:type="dxa"/>
            <w:tcBorders/>
            <w:shd w:fill="auto" w:val="clear"/>
            <w:vAlign w:val="center"/>
          </w:tcPr>
          <w:p>
            <w:pPr>
              <w:pStyle w:val="TableContents"/>
              <w:spacing w:before="0" w:after="0"/>
              <w:ind w:left="0" w:right="0" w:hanging="0"/>
              <w:jc w:val="left"/>
              <w:rPr/>
            </w:pPr>
            <w:r>
              <w:rPr/>
              <w:t> </w:t>
            </w:r>
          </w:p>
        </w:tc>
        <w:tc>
          <w:tcPr>
            <w:tcW w:w="158" w:type="dxa"/>
            <w:tcBorders/>
            <w:shd w:fill="auto" w:val="clear"/>
            <w:vAlign w:val="center"/>
          </w:tcPr>
          <w:p>
            <w:pPr>
              <w:pStyle w:val="TableContents"/>
              <w:spacing w:before="0" w:after="0"/>
              <w:ind w:left="0" w:right="0" w:hanging="0"/>
              <w:jc w:val="left"/>
              <w:rPr/>
            </w:pPr>
            <w:r>
              <w:rPr/>
              <w:t> </w:t>
            </w:r>
          </w:p>
        </w:tc>
        <w:tc>
          <w:tcPr>
            <w:tcW w:w="158" w:type="dxa"/>
            <w:tcBorders/>
            <w:shd w:fill="auto" w:val="clear"/>
            <w:vAlign w:val="center"/>
          </w:tcPr>
          <w:p>
            <w:pPr>
              <w:pStyle w:val="TableContents"/>
              <w:spacing w:before="0" w:after="0"/>
              <w:ind w:left="0" w:right="0" w:hanging="0"/>
              <w:jc w:val="left"/>
              <w:rPr/>
            </w:pPr>
            <w:r>
              <w:rPr/>
              <w:t> </w:t>
            </w:r>
          </w:p>
        </w:tc>
        <w:tc>
          <w:tcPr>
            <w:tcW w:w="229"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33"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19,067</w:t>
            </w:r>
          </w:p>
        </w:tc>
        <w:tc>
          <w:tcPr>
            <w:tcW w:w="191" w:type="dxa"/>
            <w:tcBorders/>
            <w:shd w:fill="auto" w:val="clear"/>
            <w:vAlign w:val="center"/>
          </w:tcPr>
          <w:p>
            <w:pPr>
              <w:pStyle w:val="TableContents"/>
              <w:spacing w:before="0" w:after="0"/>
              <w:ind w:left="0" w:right="0" w:hanging="0"/>
              <w:jc w:val="left"/>
              <w:rPr/>
            </w:pPr>
            <w:r>
              <w:rPr/>
              <w:t> </w:t>
            </w:r>
          </w:p>
        </w:tc>
      </w:tr>
      <w:tr>
        <w:trPr/>
        <w:tc>
          <w:tcPr>
            <w:tcW w:w="237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Greater China</w:t>
            </w:r>
          </w:p>
        </w:tc>
        <w:tc>
          <w:tcPr>
            <w:tcW w:w="146" w:type="dxa"/>
            <w:tcBorders/>
            <w:shd w:fill="auto" w:val="clear"/>
            <w:vAlign w:val="center"/>
          </w:tcPr>
          <w:p>
            <w:pPr>
              <w:pStyle w:val="TableContents"/>
              <w:spacing w:before="0" w:after="0"/>
              <w:ind w:left="0" w:right="0" w:hanging="0"/>
              <w:jc w:val="left"/>
              <w:rPr/>
            </w:pPr>
            <w:r>
              <w:rPr/>
              <w:t> </w:t>
            </w:r>
          </w:p>
        </w:tc>
        <w:tc>
          <w:tcPr>
            <w:tcW w:w="229" w:type="dxa"/>
            <w:tcBorders/>
            <w:shd w:fill="auto" w:val="clear"/>
            <w:vAlign w:val="center"/>
          </w:tcPr>
          <w:p>
            <w:pPr>
              <w:pStyle w:val="TableContents"/>
              <w:spacing w:before="0" w:after="0"/>
              <w:ind w:left="0" w:right="0" w:hanging="0"/>
              <w:jc w:val="left"/>
              <w:rPr/>
            </w:pPr>
            <w:r>
              <w:rPr/>
              <w:t> </w:t>
            </w:r>
          </w:p>
        </w:tc>
        <w:tc>
          <w:tcPr>
            <w:tcW w:w="733"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26,566</w:t>
            </w:r>
          </w:p>
        </w:tc>
        <w:tc>
          <w:tcPr>
            <w:tcW w:w="158" w:type="dxa"/>
            <w:tcBorders/>
            <w:shd w:fill="auto" w:val="clear"/>
            <w:vAlign w:val="center"/>
          </w:tcPr>
          <w:p>
            <w:pPr>
              <w:pStyle w:val="TableContents"/>
              <w:spacing w:before="0" w:after="0"/>
              <w:ind w:left="0" w:right="0" w:hanging="0"/>
              <w:jc w:val="left"/>
              <w:rPr/>
            </w:pPr>
            <w:r>
              <w:rPr/>
              <w:t> </w:t>
            </w:r>
          </w:p>
        </w:tc>
        <w:tc>
          <w:tcPr>
            <w:tcW w:w="158" w:type="dxa"/>
            <w:tcBorders/>
            <w:shd w:fill="auto" w:val="clear"/>
            <w:vAlign w:val="center"/>
          </w:tcPr>
          <w:p>
            <w:pPr>
              <w:pStyle w:val="TableContents"/>
              <w:spacing w:before="0" w:after="0"/>
              <w:ind w:left="0" w:right="0" w:hanging="0"/>
              <w:jc w:val="left"/>
              <w:rPr/>
            </w:pPr>
            <w:r>
              <w:rPr/>
              <w:t> </w:t>
            </w:r>
          </w:p>
        </w:tc>
        <w:tc>
          <w:tcPr>
            <w:tcW w:w="158" w:type="dxa"/>
            <w:tcBorders/>
            <w:shd w:fill="auto" w:val="clear"/>
            <w:vAlign w:val="center"/>
          </w:tcPr>
          <w:p>
            <w:pPr>
              <w:pStyle w:val="TableContents"/>
              <w:spacing w:before="0" w:after="0"/>
              <w:ind w:left="0" w:right="0" w:hanging="0"/>
              <w:jc w:val="left"/>
              <w:rPr/>
            </w:pPr>
            <w:r>
              <w:rPr/>
              <w:t> </w:t>
            </w:r>
          </w:p>
        </w:tc>
        <w:tc>
          <w:tcPr>
            <w:tcW w:w="229" w:type="dxa"/>
            <w:tcBorders/>
            <w:shd w:fill="auto" w:val="clear"/>
            <w:vAlign w:val="center"/>
          </w:tcPr>
          <w:p>
            <w:pPr>
              <w:pStyle w:val="TableContents"/>
              <w:spacing w:before="0" w:after="0"/>
              <w:ind w:left="0" w:right="0" w:hanging="0"/>
              <w:jc w:val="left"/>
              <w:rPr/>
            </w:pPr>
            <w:r>
              <w:rPr/>
              <w:t> </w:t>
            </w:r>
          </w:p>
        </w:tc>
        <w:tc>
          <w:tcPr>
            <w:tcW w:w="733"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21,476</w:t>
            </w:r>
          </w:p>
        </w:tc>
        <w:tc>
          <w:tcPr>
            <w:tcW w:w="191" w:type="dxa"/>
            <w:tcBorders/>
            <w:shd w:fill="auto" w:val="clear"/>
            <w:vAlign w:val="center"/>
          </w:tcPr>
          <w:p>
            <w:pPr>
              <w:pStyle w:val="TableContents"/>
              <w:spacing w:before="0" w:after="0"/>
              <w:ind w:left="0" w:right="0" w:hanging="0"/>
              <w:jc w:val="left"/>
              <w:rPr/>
            </w:pPr>
            <w:r>
              <w:rPr/>
              <w:t> </w:t>
            </w:r>
          </w:p>
        </w:tc>
      </w:tr>
      <w:tr>
        <w:trPr/>
        <w:tc>
          <w:tcPr>
            <w:tcW w:w="237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Asia (excluding China)</w:t>
            </w:r>
          </w:p>
        </w:tc>
        <w:tc>
          <w:tcPr>
            <w:tcW w:w="146" w:type="dxa"/>
            <w:tcBorders/>
            <w:shd w:fill="auto" w:val="clear"/>
            <w:vAlign w:val="center"/>
          </w:tcPr>
          <w:p>
            <w:pPr>
              <w:pStyle w:val="TableContents"/>
              <w:spacing w:before="0" w:after="0"/>
              <w:ind w:left="0" w:right="0" w:hanging="0"/>
              <w:jc w:val="left"/>
              <w:rPr/>
            </w:pPr>
            <w:r>
              <w:rPr/>
              <w:t> </w:t>
            </w:r>
          </w:p>
        </w:tc>
        <w:tc>
          <w:tcPr>
            <w:tcW w:w="229" w:type="dxa"/>
            <w:tcBorders/>
            <w:shd w:fill="auto" w:val="clear"/>
            <w:vAlign w:val="center"/>
          </w:tcPr>
          <w:p>
            <w:pPr>
              <w:pStyle w:val="TableContents"/>
              <w:spacing w:before="0" w:after="0"/>
              <w:ind w:left="0" w:right="0" w:hanging="0"/>
              <w:jc w:val="left"/>
              <w:rPr/>
            </w:pPr>
            <w:r>
              <w:rPr/>
              <w:t> </w:t>
            </w:r>
          </w:p>
        </w:tc>
        <w:tc>
          <w:tcPr>
            <w:tcW w:w="733"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10,652</w:t>
            </w:r>
          </w:p>
        </w:tc>
        <w:tc>
          <w:tcPr>
            <w:tcW w:w="158" w:type="dxa"/>
            <w:tcBorders/>
            <w:shd w:fill="auto" w:val="clear"/>
            <w:vAlign w:val="center"/>
          </w:tcPr>
          <w:p>
            <w:pPr>
              <w:pStyle w:val="TableContents"/>
              <w:spacing w:before="0" w:after="0"/>
              <w:ind w:left="0" w:right="0" w:hanging="0"/>
              <w:jc w:val="left"/>
              <w:rPr/>
            </w:pPr>
            <w:r>
              <w:rPr/>
              <w:t> </w:t>
            </w:r>
          </w:p>
        </w:tc>
        <w:tc>
          <w:tcPr>
            <w:tcW w:w="158" w:type="dxa"/>
            <w:tcBorders/>
            <w:shd w:fill="auto" w:val="clear"/>
            <w:vAlign w:val="center"/>
          </w:tcPr>
          <w:p>
            <w:pPr>
              <w:pStyle w:val="TableContents"/>
              <w:spacing w:before="0" w:after="0"/>
              <w:ind w:left="0" w:right="0" w:hanging="0"/>
              <w:jc w:val="left"/>
              <w:rPr/>
            </w:pPr>
            <w:r>
              <w:rPr/>
              <w:t> </w:t>
            </w:r>
          </w:p>
        </w:tc>
        <w:tc>
          <w:tcPr>
            <w:tcW w:w="158" w:type="dxa"/>
            <w:tcBorders/>
            <w:shd w:fill="auto" w:val="clear"/>
            <w:vAlign w:val="center"/>
          </w:tcPr>
          <w:p>
            <w:pPr>
              <w:pStyle w:val="TableContents"/>
              <w:spacing w:before="0" w:after="0"/>
              <w:ind w:left="0" w:right="0" w:hanging="0"/>
              <w:jc w:val="left"/>
              <w:rPr/>
            </w:pPr>
            <w:r>
              <w:rPr/>
              <w:t> </w:t>
            </w:r>
          </w:p>
        </w:tc>
        <w:tc>
          <w:tcPr>
            <w:tcW w:w="229" w:type="dxa"/>
            <w:tcBorders/>
            <w:shd w:fill="auto" w:val="clear"/>
            <w:vAlign w:val="center"/>
          </w:tcPr>
          <w:p>
            <w:pPr>
              <w:pStyle w:val="TableContents"/>
              <w:spacing w:before="0" w:after="0"/>
              <w:ind w:left="0" w:right="0" w:hanging="0"/>
              <w:jc w:val="left"/>
              <w:rPr/>
            </w:pPr>
            <w:r>
              <w:rPr/>
              <w:t> </w:t>
            </w:r>
          </w:p>
        </w:tc>
        <w:tc>
          <w:tcPr>
            <w:tcW w:w="733"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5,767</w:t>
            </w:r>
          </w:p>
        </w:tc>
        <w:tc>
          <w:tcPr>
            <w:tcW w:w="191" w:type="dxa"/>
            <w:tcBorders/>
            <w:shd w:fill="auto" w:val="clear"/>
            <w:vAlign w:val="center"/>
          </w:tcPr>
          <w:p>
            <w:pPr>
              <w:pStyle w:val="TableContents"/>
              <w:spacing w:before="0" w:after="0"/>
              <w:ind w:left="0" w:right="0" w:hanging="0"/>
              <w:jc w:val="left"/>
              <w:rPr/>
            </w:pPr>
            <w:r>
              <w:rPr/>
              <w:t> </w:t>
            </w:r>
          </w:p>
        </w:tc>
      </w:tr>
      <w:tr>
        <w:trPr/>
        <w:tc>
          <w:tcPr>
            <w:tcW w:w="237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Western Europe</w:t>
            </w:r>
          </w:p>
        </w:tc>
        <w:tc>
          <w:tcPr>
            <w:tcW w:w="146" w:type="dxa"/>
            <w:tcBorders/>
            <w:shd w:fill="auto" w:val="clear"/>
            <w:vAlign w:val="center"/>
          </w:tcPr>
          <w:p>
            <w:pPr>
              <w:pStyle w:val="TableContents"/>
              <w:spacing w:before="0" w:after="0"/>
              <w:ind w:left="0" w:right="0" w:hanging="0"/>
              <w:jc w:val="left"/>
              <w:rPr/>
            </w:pPr>
            <w:r>
              <w:rPr/>
              <w:t> </w:t>
            </w:r>
          </w:p>
        </w:tc>
        <w:tc>
          <w:tcPr>
            <w:tcW w:w="229" w:type="dxa"/>
            <w:tcBorders/>
            <w:shd w:fill="auto" w:val="clear"/>
            <w:vAlign w:val="center"/>
          </w:tcPr>
          <w:p>
            <w:pPr>
              <w:pStyle w:val="TableContents"/>
              <w:spacing w:before="0" w:after="0"/>
              <w:ind w:left="0" w:right="0" w:hanging="0"/>
              <w:jc w:val="left"/>
              <w:rPr/>
            </w:pPr>
            <w:r>
              <w:rPr/>
              <w:t> </w:t>
            </w:r>
          </w:p>
        </w:tc>
        <w:tc>
          <w:tcPr>
            <w:tcW w:w="733"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10,168</w:t>
            </w:r>
          </w:p>
        </w:tc>
        <w:tc>
          <w:tcPr>
            <w:tcW w:w="158" w:type="dxa"/>
            <w:tcBorders/>
            <w:shd w:fill="auto" w:val="clear"/>
            <w:vAlign w:val="center"/>
          </w:tcPr>
          <w:p>
            <w:pPr>
              <w:pStyle w:val="TableContents"/>
              <w:spacing w:before="0" w:after="0"/>
              <w:ind w:left="0" w:right="0" w:hanging="0"/>
              <w:jc w:val="left"/>
              <w:rPr/>
            </w:pPr>
            <w:r>
              <w:rPr/>
              <w:t> </w:t>
            </w:r>
          </w:p>
        </w:tc>
        <w:tc>
          <w:tcPr>
            <w:tcW w:w="158" w:type="dxa"/>
            <w:tcBorders/>
            <w:shd w:fill="auto" w:val="clear"/>
            <w:vAlign w:val="center"/>
          </w:tcPr>
          <w:p>
            <w:pPr>
              <w:pStyle w:val="TableContents"/>
              <w:spacing w:before="0" w:after="0"/>
              <w:ind w:left="0" w:right="0" w:hanging="0"/>
              <w:jc w:val="left"/>
              <w:rPr/>
            </w:pPr>
            <w:r>
              <w:rPr/>
              <w:t> </w:t>
            </w:r>
          </w:p>
        </w:tc>
        <w:tc>
          <w:tcPr>
            <w:tcW w:w="158" w:type="dxa"/>
            <w:tcBorders/>
            <w:shd w:fill="auto" w:val="clear"/>
            <w:vAlign w:val="center"/>
          </w:tcPr>
          <w:p>
            <w:pPr>
              <w:pStyle w:val="TableContents"/>
              <w:spacing w:before="0" w:after="0"/>
              <w:ind w:left="0" w:right="0" w:hanging="0"/>
              <w:jc w:val="left"/>
              <w:rPr/>
            </w:pPr>
            <w:r>
              <w:rPr/>
              <w:t> </w:t>
            </w:r>
          </w:p>
        </w:tc>
        <w:tc>
          <w:tcPr>
            <w:tcW w:w="229" w:type="dxa"/>
            <w:tcBorders/>
            <w:shd w:fill="auto" w:val="clear"/>
            <w:vAlign w:val="center"/>
          </w:tcPr>
          <w:p>
            <w:pPr>
              <w:pStyle w:val="TableContents"/>
              <w:spacing w:before="0" w:after="0"/>
              <w:ind w:left="0" w:right="0" w:hanging="0"/>
              <w:jc w:val="left"/>
              <w:rPr/>
            </w:pPr>
            <w:r>
              <w:rPr/>
              <w:t> </w:t>
            </w:r>
          </w:p>
        </w:tc>
        <w:tc>
          <w:tcPr>
            <w:tcW w:w="733"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7,061</w:t>
            </w:r>
          </w:p>
        </w:tc>
        <w:tc>
          <w:tcPr>
            <w:tcW w:w="191" w:type="dxa"/>
            <w:tcBorders/>
            <w:shd w:fill="auto" w:val="clear"/>
            <w:vAlign w:val="center"/>
          </w:tcPr>
          <w:p>
            <w:pPr>
              <w:pStyle w:val="TableContents"/>
              <w:spacing w:before="0" w:after="0"/>
              <w:ind w:left="0" w:right="0" w:hanging="0"/>
              <w:jc w:val="left"/>
              <w:rPr/>
            </w:pPr>
            <w:r>
              <w:rPr/>
              <w:t> </w:t>
            </w:r>
          </w:p>
        </w:tc>
      </w:tr>
      <w:tr>
        <w:trPr/>
        <w:tc>
          <w:tcPr>
            <w:tcW w:w="237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Canada</w:t>
            </w:r>
          </w:p>
        </w:tc>
        <w:tc>
          <w:tcPr>
            <w:tcW w:w="146" w:type="dxa"/>
            <w:tcBorders/>
            <w:shd w:fill="auto" w:val="clear"/>
            <w:vAlign w:val="center"/>
          </w:tcPr>
          <w:p>
            <w:pPr>
              <w:pStyle w:val="TableContents"/>
              <w:spacing w:before="0" w:after="0"/>
              <w:ind w:left="0" w:right="0" w:hanging="0"/>
              <w:jc w:val="left"/>
              <w:rPr/>
            </w:pPr>
            <w:r>
              <w:rPr/>
              <w:t> </w:t>
            </w:r>
          </w:p>
        </w:tc>
        <w:tc>
          <w:tcPr>
            <w:tcW w:w="229" w:type="dxa"/>
            <w:tcBorders/>
            <w:shd w:fill="auto" w:val="clear"/>
            <w:vAlign w:val="center"/>
          </w:tcPr>
          <w:p>
            <w:pPr>
              <w:pStyle w:val="TableContents"/>
              <w:spacing w:before="0" w:after="0"/>
              <w:ind w:left="0" w:right="0" w:hanging="0"/>
              <w:jc w:val="left"/>
              <w:rPr/>
            </w:pPr>
            <w:r>
              <w:rPr/>
              <w:t> </w:t>
            </w:r>
          </w:p>
        </w:tc>
        <w:tc>
          <w:tcPr>
            <w:tcW w:w="733"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7,196</w:t>
            </w:r>
          </w:p>
        </w:tc>
        <w:tc>
          <w:tcPr>
            <w:tcW w:w="158" w:type="dxa"/>
            <w:tcBorders/>
            <w:shd w:fill="auto" w:val="clear"/>
            <w:vAlign w:val="center"/>
          </w:tcPr>
          <w:p>
            <w:pPr>
              <w:pStyle w:val="TableContents"/>
              <w:spacing w:before="0" w:after="0"/>
              <w:ind w:left="0" w:right="0" w:hanging="0"/>
              <w:jc w:val="left"/>
              <w:rPr/>
            </w:pPr>
            <w:r>
              <w:rPr/>
              <w:t> </w:t>
            </w:r>
          </w:p>
        </w:tc>
        <w:tc>
          <w:tcPr>
            <w:tcW w:w="158" w:type="dxa"/>
            <w:tcBorders/>
            <w:shd w:fill="auto" w:val="clear"/>
            <w:vAlign w:val="center"/>
          </w:tcPr>
          <w:p>
            <w:pPr>
              <w:pStyle w:val="TableContents"/>
              <w:spacing w:before="0" w:after="0"/>
              <w:ind w:left="0" w:right="0" w:hanging="0"/>
              <w:jc w:val="left"/>
              <w:rPr/>
            </w:pPr>
            <w:r>
              <w:rPr/>
              <w:t> </w:t>
            </w:r>
          </w:p>
        </w:tc>
        <w:tc>
          <w:tcPr>
            <w:tcW w:w="158" w:type="dxa"/>
            <w:tcBorders/>
            <w:shd w:fill="auto" w:val="clear"/>
            <w:vAlign w:val="center"/>
          </w:tcPr>
          <w:p>
            <w:pPr>
              <w:pStyle w:val="TableContents"/>
              <w:spacing w:before="0" w:after="0"/>
              <w:ind w:left="0" w:right="0" w:hanging="0"/>
              <w:jc w:val="left"/>
              <w:rPr/>
            </w:pPr>
            <w:r>
              <w:rPr/>
              <w:t> </w:t>
            </w:r>
          </w:p>
        </w:tc>
        <w:tc>
          <w:tcPr>
            <w:tcW w:w="229" w:type="dxa"/>
            <w:tcBorders/>
            <w:shd w:fill="auto" w:val="clear"/>
            <w:vAlign w:val="center"/>
          </w:tcPr>
          <w:p>
            <w:pPr>
              <w:pStyle w:val="TableContents"/>
              <w:spacing w:before="0" w:after="0"/>
              <w:ind w:left="0" w:right="0" w:hanging="0"/>
              <w:jc w:val="left"/>
              <w:rPr/>
            </w:pPr>
            <w:r>
              <w:rPr/>
              <w:t> </w:t>
            </w:r>
          </w:p>
        </w:tc>
        <w:tc>
          <w:tcPr>
            <w:tcW w:w="733"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1,772</w:t>
            </w:r>
          </w:p>
        </w:tc>
        <w:tc>
          <w:tcPr>
            <w:tcW w:w="191" w:type="dxa"/>
            <w:tcBorders/>
            <w:shd w:fill="auto" w:val="clear"/>
            <w:vAlign w:val="center"/>
          </w:tcPr>
          <w:p>
            <w:pPr>
              <w:pStyle w:val="TableContents"/>
              <w:spacing w:before="0" w:after="0"/>
              <w:ind w:left="0" w:right="0" w:hanging="0"/>
              <w:jc w:val="left"/>
              <w:rPr/>
            </w:pPr>
            <w:r>
              <w:rPr/>
              <w:t> </w:t>
            </w:r>
          </w:p>
        </w:tc>
      </w:tr>
      <w:tr>
        <w:trPr/>
        <w:tc>
          <w:tcPr>
            <w:tcW w:w="237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Latin America</w:t>
            </w:r>
          </w:p>
        </w:tc>
        <w:tc>
          <w:tcPr>
            <w:tcW w:w="146" w:type="dxa"/>
            <w:tcBorders/>
            <w:shd w:fill="auto" w:val="clear"/>
            <w:vAlign w:val="center"/>
          </w:tcPr>
          <w:p>
            <w:pPr>
              <w:pStyle w:val="TableContents"/>
              <w:spacing w:before="0" w:after="0"/>
              <w:ind w:left="0" w:right="0" w:hanging="0"/>
              <w:jc w:val="left"/>
              <w:rPr/>
            </w:pPr>
            <w:r>
              <w:rPr/>
              <w:t> </w:t>
            </w:r>
          </w:p>
        </w:tc>
        <w:tc>
          <w:tcPr>
            <w:tcW w:w="229" w:type="dxa"/>
            <w:tcBorders/>
            <w:shd w:fill="auto" w:val="clear"/>
            <w:vAlign w:val="center"/>
          </w:tcPr>
          <w:p>
            <w:pPr>
              <w:pStyle w:val="TableContents"/>
              <w:spacing w:before="0" w:after="0"/>
              <w:ind w:left="0" w:right="0" w:hanging="0"/>
              <w:jc w:val="left"/>
              <w:rPr/>
            </w:pPr>
            <w:r>
              <w:rPr/>
              <w:t> </w:t>
            </w:r>
          </w:p>
        </w:tc>
        <w:tc>
          <w:tcPr>
            <w:tcW w:w="733"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1,603</w:t>
            </w:r>
          </w:p>
        </w:tc>
        <w:tc>
          <w:tcPr>
            <w:tcW w:w="158" w:type="dxa"/>
            <w:tcBorders/>
            <w:shd w:fill="auto" w:val="clear"/>
            <w:vAlign w:val="center"/>
          </w:tcPr>
          <w:p>
            <w:pPr>
              <w:pStyle w:val="TableContents"/>
              <w:spacing w:before="0" w:after="0"/>
              <w:ind w:left="0" w:right="0" w:hanging="0"/>
              <w:jc w:val="left"/>
              <w:rPr/>
            </w:pPr>
            <w:r>
              <w:rPr/>
              <w:t> </w:t>
            </w:r>
          </w:p>
        </w:tc>
        <w:tc>
          <w:tcPr>
            <w:tcW w:w="158" w:type="dxa"/>
            <w:tcBorders/>
            <w:shd w:fill="auto" w:val="clear"/>
            <w:vAlign w:val="center"/>
          </w:tcPr>
          <w:p>
            <w:pPr>
              <w:pStyle w:val="TableContents"/>
              <w:spacing w:before="0" w:after="0"/>
              <w:ind w:left="0" w:right="0" w:hanging="0"/>
              <w:jc w:val="left"/>
              <w:rPr/>
            </w:pPr>
            <w:r>
              <w:rPr/>
              <w:t> </w:t>
            </w:r>
          </w:p>
        </w:tc>
        <w:tc>
          <w:tcPr>
            <w:tcW w:w="158" w:type="dxa"/>
            <w:tcBorders/>
            <w:shd w:fill="auto" w:val="clear"/>
            <w:vAlign w:val="center"/>
          </w:tcPr>
          <w:p>
            <w:pPr>
              <w:pStyle w:val="TableContents"/>
              <w:spacing w:before="0" w:after="0"/>
              <w:ind w:left="0" w:right="0" w:hanging="0"/>
              <w:jc w:val="left"/>
              <w:rPr/>
            </w:pPr>
            <w:r>
              <w:rPr/>
              <w:t> </w:t>
            </w:r>
          </w:p>
        </w:tc>
        <w:tc>
          <w:tcPr>
            <w:tcW w:w="229" w:type="dxa"/>
            <w:tcBorders/>
            <w:shd w:fill="auto" w:val="clear"/>
            <w:vAlign w:val="center"/>
          </w:tcPr>
          <w:p>
            <w:pPr>
              <w:pStyle w:val="TableContents"/>
              <w:spacing w:before="0" w:after="0"/>
              <w:ind w:left="0" w:right="0" w:hanging="0"/>
              <w:jc w:val="left"/>
              <w:rPr/>
            </w:pPr>
            <w:r>
              <w:rPr/>
              <w:t> </w:t>
            </w:r>
          </w:p>
        </w:tc>
        <w:tc>
          <w:tcPr>
            <w:tcW w:w="733"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1,886</w:t>
            </w:r>
          </w:p>
        </w:tc>
        <w:tc>
          <w:tcPr>
            <w:tcW w:w="191" w:type="dxa"/>
            <w:tcBorders/>
            <w:shd w:fill="auto" w:val="clear"/>
            <w:vAlign w:val="center"/>
          </w:tcPr>
          <w:p>
            <w:pPr>
              <w:pStyle w:val="TableContents"/>
              <w:spacing w:before="0" w:after="0"/>
              <w:ind w:left="0" w:right="0" w:hanging="0"/>
              <w:jc w:val="left"/>
              <w:rPr/>
            </w:pPr>
            <w:r>
              <w:rPr/>
              <w:t> </w:t>
            </w:r>
          </w:p>
        </w:tc>
      </w:tr>
      <w:tr>
        <w:trPr/>
        <w:tc>
          <w:tcPr>
            <w:tcW w:w="2371" w:type="dxa"/>
            <w:tcBorders/>
            <w:shd w:fill="auto" w:val="clear"/>
            <w:vAlign w:val="center"/>
          </w:tcPr>
          <w:p>
            <w:pPr>
              <w:pStyle w:val="TableContents"/>
              <w:spacing w:before="0" w:after="0"/>
              <w:ind w:left="0" w:right="0" w:hanging="0"/>
              <w:jc w:val="left"/>
              <w:rPr>
                <w:rFonts w:ascii="Times New Roman" w:hAnsi="Times New Roman"/>
                <w:sz w:val="20"/>
              </w:rPr>
            </w:pPr>
            <w:r>
              <w:rPr>
                <w:rFonts w:ascii="Times New Roman;serif" w:hAnsi="Times New Roman;serif"/>
                <w:b w:val="false"/>
                <w:sz w:val="20"/>
              </w:rPr>
              <w:t>Russia/the CIS &amp; Ukraine</w:t>
            </w:r>
            <w:r>
              <w:rPr>
                <w:rFonts w:ascii="Times New Roman;serif" w:hAnsi="Times New Roman;serif"/>
                <w:b w:val="false"/>
                <w:sz w:val="13"/>
              </w:rPr>
              <w:t>(1)</w:t>
            </w:r>
          </w:p>
        </w:tc>
        <w:tc>
          <w:tcPr>
            <w:tcW w:w="146" w:type="dxa"/>
            <w:tcBorders/>
            <w:shd w:fill="auto" w:val="clear"/>
            <w:vAlign w:val="center"/>
          </w:tcPr>
          <w:p>
            <w:pPr>
              <w:pStyle w:val="TableContents"/>
              <w:spacing w:before="0" w:after="0"/>
              <w:ind w:left="0" w:right="0" w:hanging="0"/>
              <w:jc w:val="left"/>
              <w:rPr/>
            </w:pPr>
            <w:r>
              <w:rPr/>
              <w:t> </w:t>
            </w:r>
          </w:p>
        </w:tc>
        <w:tc>
          <w:tcPr>
            <w:tcW w:w="229" w:type="dxa"/>
            <w:tcBorders/>
            <w:shd w:fill="auto" w:val="clear"/>
            <w:vAlign w:val="center"/>
          </w:tcPr>
          <w:p>
            <w:pPr>
              <w:pStyle w:val="TableContents"/>
              <w:spacing w:before="0" w:after="0"/>
              <w:ind w:left="0" w:right="0" w:hanging="0"/>
              <w:jc w:val="left"/>
              <w:rPr/>
            </w:pPr>
            <w:r>
              <w:rPr/>
              <w:t> </w:t>
            </w:r>
          </w:p>
        </w:tc>
        <w:tc>
          <w:tcPr>
            <w:tcW w:w="733"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135</w:t>
            </w:r>
          </w:p>
        </w:tc>
        <w:tc>
          <w:tcPr>
            <w:tcW w:w="158" w:type="dxa"/>
            <w:tcBorders/>
            <w:shd w:fill="auto" w:val="clear"/>
            <w:vAlign w:val="center"/>
          </w:tcPr>
          <w:p>
            <w:pPr>
              <w:pStyle w:val="TableContents"/>
              <w:spacing w:before="0" w:after="0"/>
              <w:ind w:left="0" w:right="0" w:hanging="0"/>
              <w:jc w:val="left"/>
              <w:rPr/>
            </w:pPr>
            <w:r>
              <w:rPr/>
              <w:t> </w:t>
            </w:r>
          </w:p>
        </w:tc>
        <w:tc>
          <w:tcPr>
            <w:tcW w:w="158" w:type="dxa"/>
            <w:tcBorders/>
            <w:shd w:fill="auto" w:val="clear"/>
            <w:vAlign w:val="center"/>
          </w:tcPr>
          <w:p>
            <w:pPr>
              <w:pStyle w:val="TableContents"/>
              <w:spacing w:before="0" w:after="0"/>
              <w:ind w:left="0" w:right="0" w:hanging="0"/>
              <w:jc w:val="left"/>
              <w:rPr/>
            </w:pPr>
            <w:r>
              <w:rPr/>
              <w:t> </w:t>
            </w:r>
          </w:p>
        </w:tc>
        <w:tc>
          <w:tcPr>
            <w:tcW w:w="158" w:type="dxa"/>
            <w:tcBorders/>
            <w:shd w:fill="auto" w:val="clear"/>
            <w:vAlign w:val="center"/>
          </w:tcPr>
          <w:p>
            <w:pPr>
              <w:pStyle w:val="TableContents"/>
              <w:spacing w:before="0" w:after="0"/>
              <w:ind w:left="0" w:right="0" w:hanging="0"/>
              <w:jc w:val="left"/>
              <w:rPr/>
            </w:pPr>
            <w:r>
              <w:rPr/>
              <w:t> </w:t>
            </w:r>
          </w:p>
        </w:tc>
        <w:tc>
          <w:tcPr>
            <w:tcW w:w="229" w:type="dxa"/>
            <w:tcBorders/>
            <w:shd w:fill="auto" w:val="clear"/>
            <w:vAlign w:val="center"/>
          </w:tcPr>
          <w:p>
            <w:pPr>
              <w:pStyle w:val="TableContents"/>
              <w:spacing w:before="0" w:after="0"/>
              <w:ind w:left="0" w:right="0" w:hanging="0"/>
              <w:jc w:val="left"/>
              <w:rPr/>
            </w:pPr>
            <w:r>
              <w:rPr/>
              <w:t> </w:t>
            </w:r>
          </w:p>
        </w:tc>
        <w:tc>
          <w:tcPr>
            <w:tcW w:w="733"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1,010</w:t>
            </w:r>
          </w:p>
        </w:tc>
        <w:tc>
          <w:tcPr>
            <w:tcW w:w="191" w:type="dxa"/>
            <w:tcBorders/>
            <w:shd w:fill="auto" w:val="clear"/>
            <w:vAlign w:val="center"/>
          </w:tcPr>
          <w:p>
            <w:pPr>
              <w:pStyle w:val="TableContents"/>
              <w:spacing w:before="0" w:after="0"/>
              <w:ind w:left="0" w:right="0" w:hanging="0"/>
              <w:jc w:val="left"/>
              <w:rPr/>
            </w:pPr>
            <w:r>
              <w:rPr/>
              <w:t> </w:t>
            </w:r>
          </w:p>
        </w:tc>
      </w:tr>
      <w:tr>
        <w:trPr/>
        <w:tc>
          <w:tcPr>
            <w:tcW w:w="237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Rest of the World</w:t>
            </w:r>
          </w:p>
        </w:tc>
        <w:tc>
          <w:tcPr>
            <w:tcW w:w="146" w:type="dxa"/>
            <w:tcBorders/>
            <w:shd w:fill="auto" w:val="clear"/>
            <w:vAlign w:val="center"/>
          </w:tcPr>
          <w:p>
            <w:pPr>
              <w:pStyle w:val="TableContents"/>
              <w:spacing w:before="0" w:after="0"/>
              <w:ind w:left="0" w:right="0" w:hanging="0"/>
              <w:jc w:val="left"/>
              <w:rPr/>
            </w:pPr>
            <w:r>
              <w:rPr/>
              <w:t> </w:t>
            </w:r>
          </w:p>
        </w:tc>
        <w:tc>
          <w:tcPr>
            <w:tcW w:w="229"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733"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3,873</w:t>
            </w:r>
          </w:p>
        </w:tc>
        <w:tc>
          <w:tcPr>
            <w:tcW w:w="158"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58"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58" w:type="dxa"/>
            <w:tcBorders/>
            <w:shd w:fill="auto" w:val="clear"/>
            <w:vAlign w:val="center"/>
          </w:tcPr>
          <w:p>
            <w:pPr>
              <w:pStyle w:val="TableContents"/>
              <w:spacing w:before="0" w:after="0"/>
              <w:ind w:left="0" w:right="0" w:hanging="0"/>
              <w:jc w:val="left"/>
              <w:rPr/>
            </w:pPr>
            <w:r>
              <w:rPr/>
              <w:t> </w:t>
            </w:r>
          </w:p>
        </w:tc>
        <w:tc>
          <w:tcPr>
            <w:tcW w:w="229"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733"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1,997</w:t>
            </w:r>
          </w:p>
        </w:tc>
        <w:tc>
          <w:tcPr>
            <w:tcW w:w="1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r>
        <w:trPr/>
        <w:tc>
          <w:tcPr>
            <w:tcW w:w="237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Total</w:t>
            </w:r>
          </w:p>
        </w:tc>
        <w:tc>
          <w:tcPr>
            <w:tcW w:w="146" w:type="dxa"/>
            <w:tcBorders/>
            <w:shd w:fill="auto" w:val="clear"/>
            <w:vAlign w:val="center"/>
          </w:tcPr>
          <w:p>
            <w:pPr>
              <w:pStyle w:val="TableContents"/>
              <w:spacing w:before="0" w:after="0"/>
              <w:ind w:left="0" w:right="0" w:hanging="0"/>
              <w:jc w:val="left"/>
              <w:rPr/>
            </w:pPr>
            <w:r>
              <w:rPr/>
              <w:t> </w:t>
            </w:r>
          </w:p>
        </w:tc>
        <w:tc>
          <w:tcPr>
            <w:tcW w:w="229"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33"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86,946</w:t>
            </w:r>
          </w:p>
        </w:tc>
        <w:tc>
          <w:tcPr>
            <w:tcW w:w="158"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58"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58" w:type="dxa"/>
            <w:tcBorders/>
            <w:shd w:fill="auto" w:val="clear"/>
            <w:vAlign w:val="center"/>
          </w:tcPr>
          <w:p>
            <w:pPr>
              <w:pStyle w:val="TableContents"/>
              <w:spacing w:before="0" w:after="0"/>
              <w:ind w:left="0" w:right="0" w:hanging="0"/>
              <w:jc w:val="left"/>
              <w:rPr/>
            </w:pPr>
            <w:r>
              <w:rPr/>
              <w:t> </w:t>
            </w:r>
          </w:p>
        </w:tc>
        <w:tc>
          <w:tcPr>
            <w:tcW w:w="229"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33"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60,036</w:t>
            </w:r>
          </w:p>
        </w:tc>
        <w:tc>
          <w:tcPr>
            <w:tcW w:w="19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bl>
    <w:p>
      <w:pPr>
        <w:pStyle w:val="TextBody"/>
        <w:pBdr>
          <w:bottom w:val="single" w:sz="4" w:space="1" w:color="000000"/>
        </w:pBdr>
        <w:spacing w:before="0" w:after="0"/>
        <w:jc w:val="left"/>
        <w:rPr/>
      </w:pPr>
      <w:r>
        <w:rPr/>
        <w:t> </w:t>
      </w:r>
    </w:p>
    <w:p>
      <w:pPr>
        <w:pStyle w:val="TextBody"/>
        <w:spacing w:before="200" w:after="0"/>
        <w:jc w:val="both"/>
        <w:rPr>
          <w:rFonts w:ascii="Times New Roman" w:hAnsi="Times New Roman"/>
          <w:b w:val="false"/>
          <w:sz w:val="20"/>
        </w:rPr>
      </w:pPr>
      <w:r>
        <w:rPr>
          <w:rFonts w:ascii="Times New Roman" w:hAnsi="Times New Roman"/>
          <w:b w:val="false"/>
          <w:sz w:val="20"/>
        </w:rPr>
        <w:t>(1)</w:t>
      </w:r>
    </w:p>
    <w:p>
      <w:pPr>
        <w:pStyle w:val="TextBody"/>
        <w:spacing w:before="200" w:after="283"/>
        <w:jc w:val="both"/>
        <w:rPr>
          <w:rFonts w:ascii="Times New Roman;serif" w:hAnsi="Times New Roman;serif"/>
          <w:sz w:val="20"/>
        </w:rPr>
      </w:pPr>
      <w:r>
        <w:rPr>
          <w:rFonts w:ascii="Times New Roman;serif" w:hAnsi="Times New Roman;serif"/>
          <w:b w:val="false"/>
          <w:sz w:val="20"/>
        </w:rPr>
        <w:t>In addition to Russia, the Company has IMAX Systems in the Commonwealth of Independent States (</w:t>
      </w:r>
      <w:r>
        <w:rPr>
          <w:rFonts w:ascii="Times New Roman;serif" w:hAnsi="Times New Roman;serif"/>
          <w:sz w:val="20"/>
        </w:rPr>
        <w:t>“</w:t>
      </w:r>
      <w:r>
        <w:rPr>
          <w:rFonts w:ascii="Times New Roman;serif" w:hAnsi="Times New Roman;serif"/>
          <w:b w:val="false"/>
          <w:sz w:val="20"/>
        </w:rPr>
        <w:t>CIS”) which are Azerbaijan, Belarus, Kazakhstan, and Kyrgyzstan. Commencing in March 2022, in response to the ongoing conflict between Russia and Ukraine and resulting sanctions, the Company suspended its operations in Russia and Belarus. As of March 31, 2023, the IMAX network includes 54 systems in Russia, eight systems in Ukraine, and one</w:t>
      </w:r>
      <w:r>
        <w:rPr>
          <w:rFonts w:ascii="Times New Roman;serif" w:hAnsi="Times New Roman;serif"/>
          <w:sz w:val="20"/>
        </w:rPr>
        <w:t xml:space="preserve"> </w:t>
      </w:r>
      <w:r>
        <w:rPr>
          <w:rFonts w:ascii="Times New Roman;serif" w:hAnsi="Times New Roman;serif"/>
          <w:b w:val="false"/>
          <w:sz w:val="20"/>
        </w:rPr>
        <w:t>system in Belarus.</w:t>
      </w:r>
    </w:p>
    <w:p>
      <w:pPr>
        <w:pStyle w:val="TextBody"/>
        <w:spacing w:before="200" w:after="0"/>
        <w:jc w:val="both"/>
        <w:rPr>
          <w:rFonts w:ascii="Times New Roman" w:hAnsi="Times New Roman"/>
          <w:sz w:val="20"/>
        </w:rPr>
      </w:pPr>
      <w:r>
        <w:rPr>
          <w:rFonts w:ascii="Times New Roman;serif" w:hAnsi="Times New Roman;serif"/>
          <w:b w:val="false"/>
          <w:sz w:val="20"/>
        </w:rPr>
        <w:t>United States and Greater China each comprises greater than 10% of the Company’s total revenues for the three months ended March 31, 2023 and 2022.</w:t>
      </w:r>
      <w:r>
        <w:rPr>
          <w:rFonts w:ascii="Times New Roman" w:hAnsi="Times New Roman"/>
          <w:sz w:val="20"/>
        </w:rPr>
        <w:t xml:space="preserve"> </w:t>
      </w:r>
    </w:p>
    <w:p>
      <w:pPr>
        <w:pStyle w:val="TextBody"/>
        <w:spacing w:before="240" w:after="0"/>
        <w:jc w:val="center"/>
        <w:rPr>
          <w:rFonts w:ascii="Times New Roman;serif" w:hAnsi="Times New Roman;serif"/>
          <w:b w:val="false"/>
          <w:sz w:val="20"/>
        </w:rPr>
      </w:pPr>
      <w:r>
        <w:rPr>
          <w:rFonts w:ascii="Times New Roman;serif" w:hAnsi="Times New Roman;serif"/>
          <w:b w:val="false"/>
          <w:sz w:val="20"/>
        </w:rPr>
        <w:t>34</w:t>
      </w:r>
    </w:p>
    <w:p>
      <w:pPr>
        <w:pStyle w:val="HorizontalLine"/>
        <w:rPr/>
      </w:pPr>
      <w:r>
        <w:rPr/>
      </w:r>
    </w:p>
    <w:p>
      <w:pPr>
        <w:pStyle w:val="TextBody"/>
        <w:spacing w:before="0" w:after="0"/>
        <w:jc w:val="left"/>
        <w:rPr/>
      </w:pPr>
      <w:r>
        <w:rPr/>
        <w:t> </w:t>
      </w:r>
    </w:p>
    <w:p>
      <w:pPr>
        <w:pStyle w:val="TextBody"/>
        <w:spacing w:before="200" w:after="0"/>
        <w:jc w:val="both"/>
        <w:rPr>
          <w:rFonts w:ascii="Times New Roman" w:hAnsi="Times New Roman"/>
          <w:sz w:val="20"/>
        </w:rPr>
      </w:pPr>
      <w:r>
        <w:rPr>
          <w:rFonts w:ascii="Times New Roman;serif" w:hAnsi="Times New Roman;serif"/>
          <w:b/>
          <w:sz w:val="20"/>
        </w:rPr>
        <w:t>14. Employee</w:t>
      </w:r>
      <w:r>
        <w:rPr>
          <w:rFonts w:ascii="Times New Roman" w:hAnsi="Times New Roman"/>
          <w:sz w:val="20"/>
        </w:rPr>
        <w:t>’</w:t>
      </w:r>
      <w:r>
        <w:rPr>
          <w:rFonts w:ascii="Times New Roman;serif" w:hAnsi="Times New Roman;serif"/>
          <w:b/>
          <w:sz w:val="20"/>
        </w:rPr>
        <w:t>s Pension and Postretirement Benefits</w:t>
      </w:r>
    </w:p>
    <w:p>
      <w:pPr>
        <w:pStyle w:val="TextBody"/>
        <w:spacing w:before="200" w:after="0"/>
        <w:jc w:val="both"/>
        <w:rPr>
          <w:rFonts w:ascii="Times New Roman;serif" w:hAnsi="Times New Roman;serif"/>
          <w:b/>
          <w:i/>
          <w:sz w:val="20"/>
        </w:rPr>
      </w:pPr>
      <w:r>
        <w:rPr>
          <w:rFonts w:ascii="Times New Roman;serif" w:hAnsi="Times New Roman;serif"/>
          <w:b/>
          <w:i/>
          <w:sz w:val="20"/>
        </w:rPr>
        <w:t>(a) Defined Benefit Plan</w:t>
      </w:r>
    </w:p>
    <w:p>
      <w:pPr>
        <w:pStyle w:val="TextBody"/>
        <w:spacing w:before="200" w:after="0"/>
        <w:jc w:val="both"/>
        <w:rPr>
          <w:rFonts w:ascii="Times New Roman" w:hAnsi="Times New Roman"/>
          <w:sz w:val="20"/>
        </w:rPr>
      </w:pPr>
      <w:r>
        <w:rPr>
          <w:rFonts w:ascii="Times New Roman;serif" w:hAnsi="Times New Roman;serif"/>
          <w:b w:val="false"/>
          <w:sz w:val="20"/>
        </w:rPr>
        <w:t xml:space="preserve">The Company has an unfunded defined benefit pension plan, the Supplemental Executive Retirement Plan (the </w:t>
      </w:r>
      <w:r>
        <w:rPr>
          <w:rFonts w:ascii="Times New Roman;serif" w:hAnsi="Times New Roman;serif"/>
          <w:sz w:val="20"/>
        </w:rPr>
        <w:t>“</w:t>
      </w:r>
      <w:r>
        <w:rPr>
          <w:rFonts w:ascii="Times New Roman;serif" w:hAnsi="Times New Roman;serif"/>
          <w:b w:val="false"/>
          <w:sz w:val="20"/>
        </w:rPr>
        <w:t>SERP”), covering its CEO, Richard L.</w:t>
      </w:r>
      <w:r>
        <w:rPr>
          <w:rFonts w:ascii="Times New Roman" w:hAnsi="Times New Roman"/>
          <w:sz w:val="20"/>
        </w:rPr>
        <w:t xml:space="preserve"> </w:t>
      </w:r>
      <w:r>
        <w:rPr>
          <w:rFonts w:ascii="Times New Roman;serif" w:hAnsi="Times New Roman;serif"/>
          <w:b w:val="false"/>
          <w:sz w:val="20"/>
        </w:rPr>
        <w:t>Gelfond. Under the terms of the SERP, if Mr. Gelfond</w:t>
      </w:r>
      <w:r>
        <w:rPr>
          <w:rFonts w:ascii="Times New Roman" w:hAnsi="Times New Roman"/>
          <w:sz w:val="20"/>
        </w:rPr>
        <w:t>’</w:t>
      </w:r>
      <w:r>
        <w:rPr>
          <w:rFonts w:ascii="Times New Roman;serif" w:hAnsi="Times New Roman;serif"/>
          <w:b w:val="false"/>
          <w:sz w:val="20"/>
        </w:rPr>
        <w:t>s employment is terminated other than for cause (as defined in his employment agreement), he is entitled to receive SERP benefits in the form of a lump sum payment. SERP benefit payments to Mr. Gelfond are subject to a deferral for six months after the termination of his employment, at which time Mr. Gelfond will be entitled to receive interest on the deferred amount credited at the applicable federal rate for short-term obligations. Pursuant to an amendment to his employment agreement dated September 19, 2022, the term of Mr. Gelfond’s employment was extended through December 31, 2025, although Mr. Gelfond has not informed the Company that he intends to retire at that time. Under the terms of his employment agreement, as amended, the total benefit payable to Mr. Gelfond under the SERP is fixed at $20.3</w:t>
      </w:r>
      <w:r>
        <w:rPr>
          <w:rFonts w:ascii="Times New Roman" w:hAnsi="Times New Roman"/>
          <w:sz w:val="20"/>
        </w:rPr>
        <w:t xml:space="preserve"> </w:t>
      </w:r>
      <w:r>
        <w:rPr>
          <w:rFonts w:ascii="Times New Roman;serif" w:hAnsi="Times New Roman;serif"/>
          <w:b w:val="false"/>
          <w:sz w:val="20"/>
        </w:rPr>
        <w:t>million.</w:t>
      </w:r>
    </w:p>
    <w:p>
      <w:pPr>
        <w:pStyle w:val="TextBody"/>
        <w:spacing w:before="200" w:after="0"/>
        <w:jc w:val="both"/>
        <w:rPr>
          <w:rFonts w:ascii="Times New Roman" w:hAnsi="Times New Roman"/>
          <w:sz w:val="20"/>
        </w:rPr>
      </w:pPr>
      <w:r>
        <w:rPr>
          <w:rFonts w:ascii="Times New Roman;serif" w:hAnsi="Times New Roman;serif"/>
          <w:b w:val="false"/>
          <w:sz w:val="20"/>
        </w:rPr>
        <w:t>As of March 31, 2023, the Company's projected benefit obligation under the SERP is $17.5</w:t>
      </w:r>
      <w:r>
        <w:rPr>
          <w:rFonts w:ascii="Times New Roman" w:hAnsi="Times New Roman"/>
          <w:sz w:val="20"/>
        </w:rPr>
        <w:t xml:space="preserve"> </w:t>
      </w:r>
      <w:r>
        <w:rPr>
          <w:rFonts w:ascii="Times New Roman;serif" w:hAnsi="Times New Roman;serif"/>
          <w:b w:val="false"/>
          <w:sz w:val="20"/>
        </w:rPr>
        <w:t>million</w:t>
      </w:r>
      <w:r>
        <w:rPr>
          <w:rFonts w:ascii="Times New Roman" w:hAnsi="Times New Roman"/>
          <w:sz w:val="20"/>
        </w:rPr>
        <w:t xml:space="preserve"> </w:t>
      </w:r>
      <w:r>
        <w:rPr>
          <w:rFonts w:ascii="Times New Roman;serif" w:hAnsi="Times New Roman;serif"/>
          <w:b w:val="false"/>
          <w:sz w:val="20"/>
        </w:rPr>
        <w:t>(December 31, 2022 — $17.3</w:t>
      </w:r>
      <w:r>
        <w:rPr>
          <w:rFonts w:ascii="Times New Roman" w:hAnsi="Times New Roman"/>
          <w:sz w:val="20"/>
        </w:rPr>
        <w:t xml:space="preserve"> </w:t>
      </w:r>
      <w:r>
        <w:rPr>
          <w:rFonts w:ascii="Times New Roman;serif" w:hAnsi="Times New Roman;serif"/>
          <w:b w:val="false"/>
          <w:sz w:val="20"/>
        </w:rPr>
        <w:t>million). For the three months ended March 31, 2023, the Company recorded interest costs of $0.2</w:t>
      </w:r>
      <w:r>
        <w:rPr>
          <w:rFonts w:ascii="Times New Roman" w:hAnsi="Times New Roman"/>
          <w:sz w:val="20"/>
        </w:rPr>
        <w:t xml:space="preserve"> </w:t>
      </w:r>
      <w:r>
        <w:rPr>
          <w:rFonts w:ascii="Times New Roman;serif" w:hAnsi="Times New Roman;serif"/>
          <w:b w:val="false"/>
          <w:sz w:val="20"/>
        </w:rPr>
        <w:t>million (2022</w:t>
      </w:r>
      <w:r>
        <w:rPr>
          <w:rFonts w:ascii="Times New Roman" w:hAnsi="Times New Roman"/>
          <w:sz w:val="20"/>
        </w:rPr>
        <w:t xml:space="preserve"> — </w:t>
      </w:r>
      <w:r>
        <w:rPr>
          <w:rFonts w:ascii="Times New Roman;serif" w:hAnsi="Times New Roman;serif"/>
          <w:b w:val="false"/>
          <w:sz w:val="20"/>
        </w:rPr>
        <w:t>less than $0.1</w:t>
      </w:r>
      <w:r>
        <w:rPr>
          <w:rFonts w:ascii="Times New Roman" w:hAnsi="Times New Roman"/>
          <w:sz w:val="20"/>
        </w:rPr>
        <w:t xml:space="preserve"> </w:t>
      </w:r>
      <w:r>
        <w:rPr>
          <w:rFonts w:ascii="Times New Roman;serif" w:hAnsi="Times New Roman;serif"/>
          <w:b w:val="false"/>
          <w:sz w:val="20"/>
        </w:rPr>
        <w:t>million) related to the SERP. The Company expects to recognize additional interest costs of $0.6</w:t>
      </w:r>
      <w:r>
        <w:rPr>
          <w:rFonts w:ascii="Times New Roman" w:hAnsi="Times New Roman"/>
          <w:sz w:val="20"/>
        </w:rPr>
        <w:t xml:space="preserve"> </w:t>
      </w:r>
      <w:r>
        <w:rPr>
          <w:rFonts w:ascii="Times New Roman;serif" w:hAnsi="Times New Roman;serif"/>
          <w:b w:val="false"/>
          <w:sz w:val="20"/>
        </w:rPr>
        <w:t>million related to the SERP during the remainder of 2023. No</w:t>
      </w:r>
      <w:r>
        <w:rPr>
          <w:rFonts w:ascii="Times New Roman" w:hAnsi="Times New Roman"/>
          <w:sz w:val="20"/>
        </w:rPr>
        <w:t xml:space="preserve"> </w:t>
      </w:r>
      <w:r>
        <w:rPr>
          <w:rFonts w:ascii="Times New Roman;serif" w:hAnsi="Times New Roman;serif"/>
          <w:b w:val="false"/>
          <w:sz w:val="20"/>
        </w:rPr>
        <w:t>contributions are expected to be made to the SERP in 2023.</w:t>
      </w:r>
      <w:r>
        <w:rPr>
          <w:rFonts w:ascii="Times New Roman" w:hAnsi="Times New Roman"/>
          <w:sz w:val="20"/>
        </w:rPr>
        <w:t xml:space="preserve"> </w:t>
      </w:r>
    </w:p>
    <w:p>
      <w:pPr>
        <w:pStyle w:val="TextBody"/>
        <w:spacing w:before="200" w:after="0"/>
        <w:jc w:val="both"/>
        <w:rPr>
          <w:rFonts w:ascii="Times New Roman" w:hAnsi="Times New Roman"/>
          <w:b/>
          <w:i/>
          <w:sz w:val="20"/>
        </w:rPr>
      </w:pPr>
      <w:r>
        <w:rPr>
          <w:rFonts w:ascii="Times New Roman" w:hAnsi="Times New Roman"/>
          <w:b/>
          <w:i/>
          <w:sz w:val="20"/>
        </w:rPr>
        <w:t>(b)</w:t>
      </w:r>
    </w:p>
    <w:p>
      <w:pPr>
        <w:pStyle w:val="TextBody"/>
        <w:spacing w:before="200" w:after="283"/>
        <w:jc w:val="both"/>
        <w:rPr>
          <w:rFonts w:ascii="Times New Roman;serif" w:hAnsi="Times New Roman;serif"/>
          <w:b/>
          <w:i/>
          <w:sz w:val="20"/>
        </w:rPr>
      </w:pPr>
      <w:r>
        <w:rPr>
          <w:rFonts w:ascii="Times New Roman;serif" w:hAnsi="Times New Roman;serif"/>
          <w:b/>
          <w:i/>
          <w:sz w:val="20"/>
        </w:rPr>
        <w:t>Defined Contribution Pension Plan</w:t>
      </w:r>
    </w:p>
    <w:p>
      <w:pPr>
        <w:pStyle w:val="TextBody"/>
        <w:spacing w:before="200" w:after="0"/>
        <w:jc w:val="both"/>
        <w:rPr>
          <w:rFonts w:ascii="Times New Roman" w:hAnsi="Times New Roman"/>
          <w:sz w:val="20"/>
        </w:rPr>
      </w:pPr>
      <w:r>
        <w:rPr>
          <w:rFonts w:ascii="Times New Roman;serif" w:hAnsi="Times New Roman;serif"/>
          <w:b w:val="false"/>
          <w:sz w:val="20"/>
        </w:rPr>
        <w:t>The Company also maintains defined contribution plans for its employees, including its executive officers. The Company makes contributions to these plans on behalf of employees in an amount up to 5% of their base salary subject to certain prescribed maximums.</w:t>
      </w:r>
      <w:r>
        <w:rPr>
          <w:rFonts w:ascii="Times New Roman" w:hAnsi="Times New Roman"/>
          <w:sz w:val="20"/>
        </w:rPr>
        <w:t xml:space="preserve"> </w:t>
      </w:r>
      <w:r>
        <w:rPr>
          <w:rFonts w:ascii="Times New Roman;serif" w:hAnsi="Times New Roman;serif"/>
          <w:b w:val="false"/>
          <w:sz w:val="20"/>
        </w:rPr>
        <w:t>During the three months ended March 31, 2023, the Company contributed and recorded expense of $0.3</w:t>
      </w:r>
      <w:r>
        <w:rPr>
          <w:rFonts w:ascii="Times New Roman" w:hAnsi="Times New Roman"/>
          <w:sz w:val="20"/>
        </w:rPr>
        <w:t xml:space="preserve"> </w:t>
      </w:r>
      <w:r>
        <w:rPr>
          <w:rFonts w:ascii="Times New Roman;serif" w:hAnsi="Times New Roman;serif"/>
          <w:b w:val="false"/>
          <w:sz w:val="20"/>
        </w:rPr>
        <w:t>million</w:t>
      </w:r>
      <w:r>
        <w:rPr>
          <w:rFonts w:ascii="Times New Roman" w:hAnsi="Times New Roman"/>
          <w:sz w:val="20"/>
        </w:rPr>
        <w:t xml:space="preserve"> </w:t>
      </w:r>
      <w:r>
        <w:rPr>
          <w:rFonts w:ascii="Times New Roman;serif" w:hAnsi="Times New Roman;serif"/>
          <w:b w:val="false"/>
          <w:sz w:val="20"/>
        </w:rPr>
        <w:t>(2022</w:t>
      </w:r>
      <w:r>
        <w:rPr>
          <w:rFonts w:ascii="Times New Roman" w:hAnsi="Times New Roman"/>
          <w:sz w:val="20"/>
        </w:rPr>
        <w:t xml:space="preserve"> — </w:t>
      </w:r>
      <w:r>
        <w:rPr>
          <w:rFonts w:ascii="Times New Roman;serif" w:hAnsi="Times New Roman;serif"/>
          <w:b w:val="false"/>
          <w:sz w:val="20"/>
        </w:rPr>
        <w:t>$0.3</w:t>
      </w:r>
      <w:r>
        <w:rPr>
          <w:rFonts w:ascii="Times New Roman" w:hAnsi="Times New Roman"/>
          <w:sz w:val="20"/>
        </w:rPr>
        <w:t xml:space="preserve"> </w:t>
      </w:r>
      <w:r>
        <w:rPr>
          <w:rFonts w:ascii="Times New Roman;serif" w:hAnsi="Times New Roman;serif"/>
          <w:b w:val="false"/>
          <w:sz w:val="20"/>
        </w:rPr>
        <w:t>million) to its Canadian defined contribution plan and $0.3</w:t>
      </w:r>
      <w:r>
        <w:rPr>
          <w:rFonts w:ascii="Times New Roman" w:hAnsi="Times New Roman"/>
          <w:sz w:val="20"/>
        </w:rPr>
        <w:t xml:space="preserve"> </w:t>
      </w:r>
      <w:r>
        <w:rPr>
          <w:rFonts w:ascii="Times New Roman;serif" w:hAnsi="Times New Roman;serif"/>
          <w:b w:val="false"/>
          <w:sz w:val="20"/>
        </w:rPr>
        <w:t>million</w:t>
      </w:r>
      <w:r>
        <w:rPr>
          <w:rFonts w:ascii="Times New Roman" w:hAnsi="Times New Roman"/>
          <w:sz w:val="20"/>
        </w:rPr>
        <w:t xml:space="preserve"> </w:t>
      </w:r>
      <w:r>
        <w:rPr>
          <w:rFonts w:ascii="Times New Roman;serif" w:hAnsi="Times New Roman;serif"/>
          <w:b w:val="false"/>
          <w:sz w:val="20"/>
        </w:rPr>
        <w:t>(2022</w:t>
      </w:r>
      <w:r>
        <w:rPr>
          <w:rFonts w:ascii="Times New Roman" w:hAnsi="Times New Roman"/>
          <w:sz w:val="20"/>
        </w:rPr>
        <w:t xml:space="preserve"> — </w:t>
      </w:r>
      <w:r>
        <w:rPr>
          <w:rFonts w:ascii="Times New Roman;serif" w:hAnsi="Times New Roman;serif"/>
          <w:b w:val="false"/>
          <w:sz w:val="20"/>
        </w:rPr>
        <w:t>$0.3</w:t>
      </w:r>
      <w:r>
        <w:rPr>
          <w:rFonts w:ascii="Times New Roman" w:hAnsi="Times New Roman"/>
          <w:sz w:val="20"/>
        </w:rPr>
        <w:t xml:space="preserve"> </w:t>
      </w:r>
      <w:r>
        <w:rPr>
          <w:rFonts w:ascii="Times New Roman;serif" w:hAnsi="Times New Roman;serif"/>
          <w:b w:val="false"/>
          <w:sz w:val="20"/>
        </w:rPr>
        <w:t>million) to its defined contribution employee plan under Section 401(k) of the U.S. Internal Revenue Code.</w:t>
      </w:r>
    </w:p>
    <w:p>
      <w:pPr>
        <w:pStyle w:val="TextBody"/>
        <w:spacing w:before="200" w:after="0"/>
        <w:jc w:val="both"/>
        <w:rPr>
          <w:rFonts w:ascii="Times New Roman" w:hAnsi="Times New Roman"/>
          <w:b/>
          <w:i/>
          <w:sz w:val="20"/>
        </w:rPr>
      </w:pPr>
      <w:r>
        <w:rPr>
          <w:rFonts w:ascii="Times New Roman" w:hAnsi="Times New Roman"/>
          <w:b/>
          <w:i/>
          <w:sz w:val="20"/>
        </w:rPr>
        <w:t>(c)</w:t>
      </w:r>
    </w:p>
    <w:p>
      <w:pPr>
        <w:pStyle w:val="TextBody"/>
        <w:spacing w:before="200" w:after="283"/>
        <w:jc w:val="both"/>
        <w:rPr>
          <w:rFonts w:ascii="Times New Roman;serif" w:hAnsi="Times New Roman;serif"/>
          <w:b/>
          <w:i/>
          <w:sz w:val="20"/>
        </w:rPr>
      </w:pPr>
      <w:r>
        <w:rPr>
          <w:rFonts w:ascii="Times New Roman;serif" w:hAnsi="Times New Roman;serif"/>
          <w:b/>
          <w:i/>
          <w:sz w:val="20"/>
        </w:rPr>
        <w:t>Postretirement Benefits – Executives</w:t>
      </w:r>
    </w:p>
    <w:p>
      <w:pPr>
        <w:pStyle w:val="TextBody"/>
        <w:spacing w:before="200" w:after="0"/>
        <w:jc w:val="both"/>
        <w:rPr>
          <w:rFonts w:ascii="Times New Roman;serif" w:hAnsi="Times New Roman;serif"/>
          <w:b w:val="false"/>
          <w:sz w:val="20"/>
        </w:rPr>
      </w:pPr>
      <w:r>
        <w:rPr>
          <w:rFonts w:ascii="Times New Roman;serif" w:hAnsi="Times New Roman;serif"/>
          <w:b w:val="false"/>
          <w:sz w:val="20"/>
        </w:rPr>
        <w:t>The Company has an unfunded postretirement plan for Mr. Gelfond and Bradley J. Wechsler, former Chairman of the Company's Board of Directors (the “Executive Postretirement Benefit Plan”). The Executive Postretirement Benefit Plan provides that the Company will maintain health benefits for Messrs. Gelfond and Wechsler until they become eligible for Medicare and, thereafter, the Company will provide Medicare supplemental coverage as selected by Messrs. Gelfond and Wechsler. Mr. Wechsler retired from the Company’s Board of Directors on June 9, 2021. The Company maintained Mr. Wechsler’s health benefits through December 31, 2021, and thereafter is providing him with Medicare supplemental coverage or its cash equivalent.</w:t>
      </w:r>
    </w:p>
    <w:p>
      <w:pPr>
        <w:pStyle w:val="TextBody"/>
        <w:spacing w:before="200" w:after="0"/>
        <w:jc w:val="both"/>
        <w:rPr>
          <w:rFonts w:ascii="Times New Roman" w:hAnsi="Times New Roman"/>
          <w:sz w:val="20"/>
        </w:rPr>
      </w:pPr>
      <w:r>
        <w:rPr>
          <w:rFonts w:ascii="Times New Roman;serif" w:hAnsi="Times New Roman;serif"/>
          <w:b w:val="false"/>
          <w:sz w:val="20"/>
        </w:rPr>
        <w:t>As of March 31, 2023, the Company’s postretirement benefits obligation under this plan is $0.5</w:t>
      </w:r>
      <w:r>
        <w:rPr>
          <w:rFonts w:ascii="Times New Roman" w:hAnsi="Times New Roman"/>
          <w:sz w:val="20"/>
        </w:rPr>
        <w:t xml:space="preserve"> </w:t>
      </w:r>
      <w:r>
        <w:rPr>
          <w:rFonts w:ascii="Times New Roman;serif" w:hAnsi="Times New Roman;serif"/>
          <w:b w:val="false"/>
          <w:sz w:val="20"/>
        </w:rPr>
        <w:t>million</w:t>
      </w:r>
      <w:r>
        <w:rPr>
          <w:rFonts w:ascii="Times New Roman" w:hAnsi="Times New Roman"/>
          <w:sz w:val="20"/>
        </w:rPr>
        <w:t xml:space="preserve"> </w:t>
      </w:r>
      <w:r>
        <w:rPr>
          <w:rFonts w:ascii="Times New Roman;serif" w:hAnsi="Times New Roman;serif"/>
          <w:b w:val="false"/>
          <w:sz w:val="20"/>
        </w:rPr>
        <w:t>(December 31, 2022 — $0.5</w:t>
      </w:r>
      <w:r>
        <w:rPr>
          <w:rFonts w:ascii="Times New Roman" w:hAnsi="Times New Roman"/>
          <w:sz w:val="20"/>
        </w:rPr>
        <w:t xml:space="preserve"> </w:t>
      </w:r>
      <w:r>
        <w:rPr>
          <w:rFonts w:ascii="Times New Roman;serif" w:hAnsi="Times New Roman;serif"/>
          <w:b w:val="false"/>
          <w:sz w:val="20"/>
        </w:rPr>
        <w:t>million). For the three months ended March 31, 2023, the Company has recorded an expense of less than $0.1</w:t>
      </w:r>
      <w:r>
        <w:rPr>
          <w:rFonts w:ascii="Times New Roman" w:hAnsi="Times New Roman"/>
          <w:sz w:val="20"/>
        </w:rPr>
        <w:t xml:space="preserve"> </w:t>
      </w:r>
      <w:r>
        <w:rPr>
          <w:rFonts w:ascii="Times New Roman;serif" w:hAnsi="Times New Roman;serif"/>
          <w:b w:val="false"/>
          <w:sz w:val="20"/>
        </w:rPr>
        <w:t>million</w:t>
      </w:r>
      <w:r>
        <w:rPr>
          <w:rFonts w:ascii="Times New Roman" w:hAnsi="Times New Roman"/>
          <w:sz w:val="20"/>
        </w:rPr>
        <w:t xml:space="preserve"> </w:t>
      </w:r>
      <w:r>
        <w:rPr>
          <w:rFonts w:ascii="Times New Roman;serif" w:hAnsi="Times New Roman;serif"/>
          <w:b w:val="false"/>
          <w:sz w:val="20"/>
        </w:rPr>
        <w:t>(2022 — less than $0.1</w:t>
      </w:r>
      <w:r>
        <w:rPr>
          <w:rFonts w:ascii="Times New Roman" w:hAnsi="Times New Roman"/>
          <w:sz w:val="20"/>
        </w:rPr>
        <w:t xml:space="preserve"> </w:t>
      </w:r>
      <w:r>
        <w:rPr>
          <w:rFonts w:ascii="Times New Roman;serif" w:hAnsi="Times New Roman;serif"/>
          <w:b w:val="false"/>
          <w:sz w:val="20"/>
        </w:rPr>
        <w:t>million) related to this plan.</w:t>
      </w:r>
      <w:r>
        <w:rPr>
          <w:rFonts w:ascii="Times New Roman" w:hAnsi="Times New Roman"/>
          <w:sz w:val="20"/>
        </w:rPr>
        <w:t xml:space="preserve"> </w:t>
      </w:r>
    </w:p>
    <w:p>
      <w:pPr>
        <w:pStyle w:val="TextBody"/>
        <w:spacing w:before="200" w:after="0"/>
        <w:jc w:val="both"/>
        <w:rPr>
          <w:rFonts w:ascii="Times New Roman" w:hAnsi="Times New Roman"/>
          <w:b/>
          <w:i/>
          <w:sz w:val="20"/>
        </w:rPr>
      </w:pPr>
      <w:r>
        <w:rPr>
          <w:rFonts w:ascii="Times New Roman" w:hAnsi="Times New Roman"/>
          <w:b/>
          <w:i/>
          <w:sz w:val="20"/>
        </w:rPr>
        <w:t>(d)</w:t>
      </w:r>
    </w:p>
    <w:p>
      <w:pPr>
        <w:pStyle w:val="TextBody"/>
        <w:spacing w:before="200" w:after="283"/>
        <w:jc w:val="both"/>
        <w:rPr>
          <w:rFonts w:ascii="Times New Roman;serif" w:hAnsi="Times New Roman;serif"/>
          <w:b/>
          <w:i/>
          <w:sz w:val="20"/>
        </w:rPr>
      </w:pPr>
      <w:r>
        <w:rPr>
          <w:rFonts w:ascii="Times New Roman;serif" w:hAnsi="Times New Roman;serif"/>
          <w:b/>
          <w:i/>
          <w:sz w:val="20"/>
        </w:rPr>
        <w:t xml:space="preserve">Postretirement Benefits – Canadian Employees </w:t>
      </w:r>
    </w:p>
    <w:p>
      <w:pPr>
        <w:pStyle w:val="TextBody"/>
        <w:spacing w:before="200" w:after="0"/>
        <w:jc w:val="both"/>
        <w:rPr>
          <w:rFonts w:ascii="Times New Roman" w:hAnsi="Times New Roman"/>
          <w:sz w:val="20"/>
        </w:rPr>
      </w:pPr>
      <w:r>
        <w:rPr>
          <w:rFonts w:ascii="Times New Roman;serif" w:hAnsi="Times New Roman;serif"/>
          <w:b w:val="false"/>
          <w:sz w:val="20"/>
        </w:rPr>
        <w:t>The Company has an unfunded postretirement plan for its Canadian employees meeting specific eligibility requirements. The Company will provide eligible participants, upon retirement, with health and welfare benefits. As of March 31, 2023, the Company’s postretirement benefits obligation under this plan is $0.9</w:t>
      </w:r>
      <w:r>
        <w:rPr>
          <w:rFonts w:ascii="Times New Roman" w:hAnsi="Times New Roman"/>
          <w:sz w:val="20"/>
        </w:rPr>
        <w:t xml:space="preserve"> </w:t>
      </w:r>
      <w:r>
        <w:rPr>
          <w:rFonts w:ascii="Times New Roman;serif" w:hAnsi="Times New Roman;serif"/>
          <w:b w:val="false"/>
          <w:sz w:val="20"/>
        </w:rPr>
        <w:t>million</w:t>
      </w:r>
      <w:r>
        <w:rPr>
          <w:rFonts w:ascii="Times New Roman" w:hAnsi="Times New Roman"/>
          <w:sz w:val="20"/>
        </w:rPr>
        <w:t xml:space="preserve"> </w:t>
      </w:r>
      <w:r>
        <w:rPr>
          <w:rFonts w:ascii="Times New Roman;serif" w:hAnsi="Times New Roman;serif"/>
          <w:b w:val="false"/>
          <w:sz w:val="20"/>
        </w:rPr>
        <w:t>(December 31, 2022 — $1.0</w:t>
      </w:r>
      <w:r>
        <w:rPr>
          <w:rFonts w:ascii="Times New Roman" w:hAnsi="Times New Roman"/>
          <w:sz w:val="20"/>
        </w:rPr>
        <w:t xml:space="preserve"> </w:t>
      </w:r>
      <w:r>
        <w:rPr>
          <w:rFonts w:ascii="Times New Roman;serif" w:hAnsi="Times New Roman;serif"/>
          <w:b w:val="false"/>
          <w:sz w:val="20"/>
        </w:rPr>
        <w:t>million). For the three months ended March 31, 2023, the Company has recorded expense of less than $0.1</w:t>
      </w:r>
      <w:r>
        <w:rPr>
          <w:rFonts w:ascii="Times New Roman" w:hAnsi="Times New Roman"/>
          <w:sz w:val="20"/>
        </w:rPr>
        <w:t xml:space="preserve"> </w:t>
      </w:r>
      <w:r>
        <w:rPr>
          <w:rFonts w:ascii="Times New Roman;serif" w:hAnsi="Times New Roman;serif"/>
          <w:b w:val="false"/>
          <w:sz w:val="20"/>
        </w:rPr>
        <w:t>million</w:t>
      </w:r>
      <w:r>
        <w:rPr>
          <w:rFonts w:ascii="Times New Roman" w:hAnsi="Times New Roman"/>
          <w:sz w:val="20"/>
        </w:rPr>
        <w:t xml:space="preserve"> </w:t>
      </w:r>
      <w:r>
        <w:rPr>
          <w:rFonts w:ascii="Times New Roman;serif" w:hAnsi="Times New Roman;serif"/>
          <w:b w:val="false"/>
          <w:sz w:val="20"/>
        </w:rPr>
        <w:t>(2022 — less than $0.1</w:t>
      </w:r>
      <w:r>
        <w:rPr>
          <w:rFonts w:ascii="Times New Roman" w:hAnsi="Times New Roman"/>
          <w:sz w:val="20"/>
        </w:rPr>
        <w:t xml:space="preserve"> </w:t>
      </w:r>
      <w:r>
        <w:rPr>
          <w:rFonts w:ascii="Times New Roman;serif" w:hAnsi="Times New Roman;serif"/>
          <w:b w:val="false"/>
          <w:sz w:val="20"/>
        </w:rPr>
        <w:t>million) related to this plan.</w:t>
      </w:r>
    </w:p>
    <w:p>
      <w:pPr>
        <w:pStyle w:val="TextBody"/>
        <w:spacing w:before="200" w:after="0"/>
        <w:jc w:val="both"/>
        <w:rPr>
          <w:rFonts w:ascii="Times New Roman" w:hAnsi="Times New Roman"/>
          <w:b/>
          <w:i/>
          <w:sz w:val="20"/>
        </w:rPr>
      </w:pPr>
      <w:r>
        <w:rPr>
          <w:rFonts w:ascii="Times New Roman" w:hAnsi="Times New Roman"/>
          <w:b/>
          <w:i/>
          <w:sz w:val="20"/>
        </w:rPr>
        <w:t>(e)</w:t>
      </w:r>
    </w:p>
    <w:p>
      <w:pPr>
        <w:pStyle w:val="TextBody"/>
        <w:spacing w:before="200" w:after="283"/>
        <w:jc w:val="both"/>
        <w:rPr>
          <w:rFonts w:ascii="Times New Roman;serif" w:hAnsi="Times New Roman;serif"/>
          <w:b/>
          <w:i/>
          <w:sz w:val="20"/>
        </w:rPr>
      </w:pPr>
      <w:r>
        <w:rPr>
          <w:rFonts w:ascii="Times New Roman;serif" w:hAnsi="Times New Roman;serif"/>
          <w:b/>
          <w:i/>
          <w:sz w:val="20"/>
        </w:rPr>
        <w:t>Deferred Compensation Benefit Plan</w:t>
      </w:r>
    </w:p>
    <w:p>
      <w:pPr>
        <w:pStyle w:val="TextBody"/>
        <w:spacing w:before="200" w:after="0"/>
        <w:jc w:val="both"/>
        <w:rPr>
          <w:rFonts w:ascii="Times New Roman" w:hAnsi="Times New Roman"/>
          <w:sz w:val="20"/>
        </w:rPr>
      </w:pPr>
      <w:r>
        <w:rPr>
          <w:rFonts w:ascii="Times New Roman;serif" w:hAnsi="Times New Roman;serif"/>
          <w:b w:val="false"/>
          <w:sz w:val="20"/>
        </w:rPr>
        <w:t>The Company maintained a nonqualified deferred compensation benefit plan (the “Retirement Plan”) covering the former CEO of IMAX Entertainment and Senior Executive Vice President of the Company. Under the terms of the Retirement Plan, the benefits were due to vest in full if the executive incurred a separation from service from the Company (as defined therein).</w:t>
      </w:r>
      <w:r>
        <w:rPr>
          <w:rFonts w:ascii="Times New Roman" w:hAnsi="Times New Roman"/>
          <w:sz w:val="20"/>
        </w:rPr>
        <w:t xml:space="preserve"> </w:t>
      </w:r>
      <w:r>
        <w:rPr>
          <w:rFonts w:ascii="Times New Roman;serif" w:hAnsi="Times New Roman;serif"/>
          <w:b w:val="false"/>
          <w:sz w:val="20"/>
        </w:rPr>
        <w:t>In 2018, the executive incurred a separation from service from the Company, and as such, the Retirement Plan benefits became fully vested as of December 31, 2018.</w:t>
      </w:r>
      <w:r>
        <w:rPr>
          <w:rFonts w:ascii="Times New Roman" w:hAnsi="Times New Roman"/>
          <w:sz w:val="20"/>
        </w:rPr>
        <w:t xml:space="preserve"> </w:t>
      </w:r>
    </w:p>
    <w:p>
      <w:pPr>
        <w:pStyle w:val="TextBody"/>
        <w:spacing w:before="240" w:after="0"/>
        <w:jc w:val="center"/>
        <w:rPr>
          <w:rFonts w:ascii="Times New Roman;serif" w:hAnsi="Times New Roman;serif"/>
          <w:b w:val="false"/>
          <w:sz w:val="20"/>
        </w:rPr>
      </w:pPr>
      <w:r>
        <w:rPr>
          <w:rFonts w:ascii="Times New Roman;serif" w:hAnsi="Times New Roman;serif"/>
          <w:b w:val="false"/>
          <w:sz w:val="20"/>
        </w:rPr>
        <w:t>35</w:t>
      </w:r>
    </w:p>
    <w:p>
      <w:pPr>
        <w:pStyle w:val="HorizontalLine"/>
        <w:rPr/>
      </w:pPr>
      <w:r>
        <w:rPr/>
      </w:r>
    </w:p>
    <w:p>
      <w:pPr>
        <w:pStyle w:val="TextBody"/>
        <w:spacing w:before="0" w:after="0"/>
        <w:jc w:val="left"/>
        <w:rPr/>
      </w:pPr>
      <w:r>
        <w:rPr/>
        <w:t> </w:t>
      </w:r>
    </w:p>
    <w:p>
      <w:pPr>
        <w:pStyle w:val="TextBody"/>
        <w:spacing w:before="200" w:after="0"/>
        <w:jc w:val="both"/>
        <w:rPr>
          <w:rFonts w:ascii="Times New Roman" w:hAnsi="Times New Roman"/>
          <w:sz w:val="20"/>
        </w:rPr>
      </w:pPr>
      <w:r>
        <w:rPr>
          <w:rFonts w:ascii="Times New Roman;serif" w:hAnsi="Times New Roman;serif"/>
          <w:b w:val="false"/>
          <w:sz w:val="20"/>
        </w:rPr>
        <w:t>As of March 31, 2023, the benefit obligation related to the Retirement Plan was $3.9</w:t>
      </w:r>
      <w:r>
        <w:rPr>
          <w:rFonts w:ascii="Times New Roman" w:hAnsi="Times New Roman"/>
          <w:sz w:val="20"/>
        </w:rPr>
        <w:t xml:space="preserve"> </w:t>
      </w:r>
      <w:r>
        <w:rPr>
          <w:rFonts w:ascii="Times New Roman;serif" w:hAnsi="Times New Roman;serif"/>
          <w:b w:val="false"/>
          <w:sz w:val="20"/>
        </w:rPr>
        <w:t>million</w:t>
      </w:r>
      <w:r>
        <w:rPr>
          <w:rFonts w:ascii="Times New Roman" w:hAnsi="Times New Roman"/>
          <w:sz w:val="20"/>
        </w:rPr>
        <w:t xml:space="preserve"> </w:t>
      </w:r>
      <w:r>
        <w:rPr>
          <w:rFonts w:ascii="Times New Roman;serif" w:hAnsi="Times New Roman;serif"/>
          <w:b w:val="false"/>
          <w:sz w:val="20"/>
        </w:rPr>
        <w:t>(December 31, 2022 — $3.9</w:t>
      </w:r>
      <w:r>
        <w:rPr>
          <w:rFonts w:ascii="Times New Roman" w:hAnsi="Times New Roman"/>
          <w:sz w:val="20"/>
        </w:rPr>
        <w:t xml:space="preserve"> </w:t>
      </w:r>
      <w:r>
        <w:rPr>
          <w:rFonts w:ascii="Times New Roman;serif" w:hAnsi="Times New Roman;serif"/>
          <w:b w:val="false"/>
          <w:sz w:val="20"/>
        </w:rPr>
        <w:t>million) and is recorded on the Company’s Condensed Consolidated Balance Sheets within Accrued and Other Liabilities. As the Retirement Plan is fully vested, the benefit obligation is measured at the present value of the benefits expected to be paid in the future with the accretion of interest recognized in the Condensed Consolidated Statements of Operations within Retirement Benefits Non-Service Expense.</w:t>
      </w:r>
    </w:p>
    <w:p>
      <w:pPr>
        <w:pStyle w:val="TextBody"/>
        <w:spacing w:before="200" w:after="0"/>
        <w:jc w:val="both"/>
        <w:rPr>
          <w:rFonts w:ascii="Times New Roman" w:hAnsi="Times New Roman"/>
          <w:sz w:val="20"/>
        </w:rPr>
      </w:pPr>
      <w:r>
        <w:rPr>
          <w:rFonts w:ascii="Times New Roman;serif" w:hAnsi="Times New Roman;serif"/>
          <w:b w:val="false"/>
          <w:sz w:val="20"/>
        </w:rPr>
        <w:t>The Retirement Plan is funded by an investment in company-owned life insurance (“COLI”), which is recorded at its fair value on the Company’s Condensed Consolidated Balance Sheets within Prepaid Expenses. As of March 31, 2023, fair value of the COLI asset was $3.4</w:t>
      </w:r>
      <w:r>
        <w:rPr>
          <w:rFonts w:ascii="Times New Roman" w:hAnsi="Times New Roman"/>
          <w:sz w:val="20"/>
        </w:rPr>
        <w:t xml:space="preserve"> </w:t>
      </w:r>
      <w:r>
        <w:rPr>
          <w:rFonts w:ascii="Times New Roman;serif" w:hAnsi="Times New Roman;serif"/>
          <w:b w:val="false"/>
          <w:sz w:val="20"/>
        </w:rPr>
        <w:t>million</w:t>
      </w:r>
      <w:r>
        <w:rPr>
          <w:rFonts w:ascii="Times New Roman" w:hAnsi="Times New Roman"/>
          <w:sz w:val="20"/>
        </w:rPr>
        <w:t xml:space="preserve"> </w:t>
      </w:r>
      <w:r>
        <w:rPr>
          <w:rFonts w:ascii="Times New Roman;serif" w:hAnsi="Times New Roman;serif"/>
          <w:b w:val="false"/>
          <w:sz w:val="20"/>
        </w:rPr>
        <w:t>(December 31, 2022 — $3.4</w:t>
      </w:r>
      <w:r>
        <w:rPr>
          <w:rFonts w:ascii="Times New Roman" w:hAnsi="Times New Roman"/>
          <w:sz w:val="20"/>
        </w:rPr>
        <w:t xml:space="preserve"> </w:t>
      </w:r>
      <w:r>
        <w:rPr>
          <w:rFonts w:ascii="Times New Roman;serif" w:hAnsi="Times New Roman;serif"/>
          <w:b w:val="false"/>
          <w:sz w:val="20"/>
        </w:rPr>
        <w:t>million). Gains and losses resulting from changes in the cash surrender value of the COLI asset are recognized in the Condensed Consolidated Statements of Operations within Realized and Unrealized Investment Gains.</w:t>
      </w:r>
    </w:p>
    <w:p>
      <w:pPr>
        <w:pStyle w:val="TextBody"/>
        <w:spacing w:before="200" w:after="0"/>
        <w:jc w:val="both"/>
        <w:rPr>
          <w:rFonts w:ascii="Times New Roman;serif" w:hAnsi="Times New Roman;serif"/>
          <w:b/>
          <w:sz w:val="20"/>
        </w:rPr>
      </w:pPr>
      <w:r>
        <w:rPr>
          <w:rFonts w:ascii="Times New Roman;serif" w:hAnsi="Times New Roman;serif"/>
          <w:b/>
          <w:sz w:val="20"/>
        </w:rPr>
        <w:t>15. Financial Instruments</w:t>
      </w:r>
    </w:p>
    <w:p>
      <w:pPr>
        <w:pStyle w:val="TextBody"/>
        <w:spacing w:before="200" w:after="0"/>
        <w:jc w:val="both"/>
        <w:rPr>
          <w:rFonts w:ascii="Times New Roman" w:hAnsi="Times New Roman"/>
          <w:b/>
          <w:i/>
          <w:sz w:val="20"/>
        </w:rPr>
      </w:pPr>
      <w:r>
        <w:rPr>
          <w:rFonts w:ascii="Times New Roman" w:hAnsi="Times New Roman"/>
          <w:b/>
          <w:i/>
          <w:sz w:val="20"/>
        </w:rPr>
        <w:t>(a)</w:t>
      </w:r>
    </w:p>
    <w:p>
      <w:pPr>
        <w:pStyle w:val="TextBody"/>
        <w:spacing w:before="200" w:after="283"/>
        <w:jc w:val="both"/>
        <w:rPr>
          <w:rFonts w:ascii="Times New Roman;serif" w:hAnsi="Times New Roman;serif"/>
          <w:b/>
          <w:i/>
          <w:sz w:val="20"/>
        </w:rPr>
      </w:pPr>
      <w:r>
        <w:rPr>
          <w:rFonts w:ascii="Times New Roman;serif" w:hAnsi="Times New Roman;serif"/>
          <w:b/>
          <w:i/>
          <w:sz w:val="20"/>
        </w:rPr>
        <w:t>Financial Instruments</w:t>
      </w:r>
    </w:p>
    <w:p>
      <w:pPr>
        <w:pStyle w:val="TextBody"/>
        <w:spacing w:before="200" w:after="0"/>
        <w:jc w:val="both"/>
        <w:rPr>
          <w:rFonts w:ascii="Times New Roman" w:hAnsi="Times New Roman"/>
          <w:sz w:val="20"/>
        </w:rPr>
      </w:pPr>
      <w:r>
        <w:rPr>
          <w:rFonts w:ascii="Times New Roman;serif" w:hAnsi="Times New Roman;serif"/>
          <w:b w:val="false"/>
          <w:sz w:val="20"/>
        </w:rPr>
        <w:t>The Company maintains cash with various major financial institutions. The Company’s cash is invested with highly rated financial institutions. The Company’s $99.2</w:t>
      </w:r>
      <w:r>
        <w:rPr>
          <w:rFonts w:ascii="Times New Roman" w:hAnsi="Times New Roman"/>
          <w:sz w:val="20"/>
        </w:rPr>
        <w:t xml:space="preserve"> </w:t>
      </w:r>
      <w:r>
        <w:rPr>
          <w:rFonts w:ascii="Times New Roman;serif" w:hAnsi="Times New Roman;serif"/>
          <w:b w:val="false"/>
          <w:sz w:val="20"/>
        </w:rPr>
        <w:t>million</w:t>
      </w:r>
      <w:r>
        <w:rPr>
          <w:rFonts w:ascii="Times New Roman" w:hAnsi="Times New Roman"/>
          <w:sz w:val="20"/>
        </w:rPr>
        <w:t xml:space="preserve"> </w:t>
      </w:r>
      <w:r>
        <w:rPr>
          <w:rFonts w:ascii="Times New Roman;serif" w:hAnsi="Times New Roman;serif"/>
          <w:b w:val="false"/>
          <w:sz w:val="20"/>
        </w:rPr>
        <w:t>balance of cash and cash equivalents as of March 31, 2023 (December 31, 2022 — $97.4</w:t>
      </w:r>
      <w:r>
        <w:rPr>
          <w:rFonts w:ascii="Times New Roman" w:hAnsi="Times New Roman"/>
          <w:sz w:val="20"/>
        </w:rPr>
        <w:t xml:space="preserve"> </w:t>
      </w:r>
      <w:r>
        <w:rPr>
          <w:rFonts w:ascii="Times New Roman;serif" w:hAnsi="Times New Roman;serif"/>
          <w:b w:val="false"/>
          <w:sz w:val="20"/>
        </w:rPr>
        <w:t>million) includes $83.6</w:t>
      </w:r>
      <w:r>
        <w:rPr>
          <w:rFonts w:ascii="Times New Roman" w:hAnsi="Times New Roman"/>
          <w:sz w:val="20"/>
        </w:rPr>
        <w:t xml:space="preserve"> </w:t>
      </w:r>
      <w:r>
        <w:rPr>
          <w:rFonts w:ascii="Times New Roman;serif" w:hAnsi="Times New Roman;serif"/>
          <w:b w:val="false"/>
          <w:sz w:val="20"/>
        </w:rPr>
        <w:t>million</w:t>
      </w:r>
      <w:r>
        <w:rPr>
          <w:rFonts w:ascii="Times New Roman" w:hAnsi="Times New Roman"/>
          <w:sz w:val="20"/>
        </w:rPr>
        <w:t xml:space="preserve"> </w:t>
      </w:r>
      <w:r>
        <w:rPr>
          <w:rFonts w:ascii="Times New Roman;serif" w:hAnsi="Times New Roman;serif"/>
          <w:b w:val="false"/>
          <w:sz w:val="20"/>
        </w:rPr>
        <w:t>in cash held outside of Canada (December 31, 2022 — $79.7</w:t>
      </w:r>
      <w:r>
        <w:rPr>
          <w:rFonts w:ascii="Times New Roman" w:hAnsi="Times New Roman"/>
          <w:sz w:val="20"/>
        </w:rPr>
        <w:t xml:space="preserve"> </w:t>
      </w:r>
      <w:r>
        <w:rPr>
          <w:rFonts w:ascii="Times New Roman;serif" w:hAnsi="Times New Roman;serif"/>
          <w:b w:val="false"/>
          <w:sz w:val="20"/>
        </w:rPr>
        <w:t>million), of which $47.2</w:t>
      </w:r>
      <w:r>
        <w:rPr>
          <w:rFonts w:ascii="Times New Roman" w:hAnsi="Times New Roman"/>
          <w:sz w:val="20"/>
        </w:rPr>
        <w:t xml:space="preserve"> </w:t>
      </w:r>
      <w:r>
        <w:rPr>
          <w:rFonts w:ascii="Times New Roman;serif" w:hAnsi="Times New Roman;serif"/>
          <w:b w:val="false"/>
          <w:sz w:val="20"/>
        </w:rPr>
        <w:t>million</w:t>
      </w:r>
      <w:r>
        <w:rPr>
          <w:rFonts w:ascii="Times New Roman" w:hAnsi="Times New Roman"/>
          <w:sz w:val="20"/>
        </w:rPr>
        <w:t xml:space="preserve"> </w:t>
      </w:r>
      <w:r>
        <w:rPr>
          <w:rFonts w:ascii="Times New Roman;serif" w:hAnsi="Times New Roman;serif"/>
          <w:b w:val="false"/>
          <w:sz w:val="20"/>
        </w:rPr>
        <w:t>was held in the PRC (December 31, 2022 — $43.7</w:t>
      </w:r>
      <w:r>
        <w:rPr>
          <w:rFonts w:ascii="Times New Roman" w:hAnsi="Times New Roman"/>
          <w:sz w:val="20"/>
        </w:rPr>
        <w:t xml:space="preserve"> </w:t>
      </w:r>
      <w:r>
        <w:rPr>
          <w:rFonts w:ascii="Times New Roman;serif" w:hAnsi="Times New Roman;serif"/>
          <w:b w:val="false"/>
          <w:sz w:val="20"/>
        </w:rPr>
        <w:t>million).</w:t>
      </w:r>
      <w:r>
        <w:rPr>
          <w:rFonts w:ascii="Times New Roman" w:hAnsi="Times New Roman"/>
          <w:sz w:val="20"/>
        </w:rPr>
        <w:t xml:space="preserve"> </w:t>
      </w:r>
    </w:p>
    <w:p>
      <w:pPr>
        <w:pStyle w:val="TextBody"/>
        <w:spacing w:before="200" w:after="0"/>
        <w:jc w:val="both"/>
        <w:rPr>
          <w:rFonts w:ascii="Times New Roman" w:hAnsi="Times New Roman"/>
          <w:b/>
          <w:i/>
          <w:sz w:val="20"/>
        </w:rPr>
      </w:pPr>
      <w:r>
        <w:rPr>
          <w:rFonts w:ascii="Times New Roman" w:hAnsi="Times New Roman"/>
          <w:b/>
          <w:i/>
          <w:sz w:val="20"/>
        </w:rPr>
        <w:t>(b)</w:t>
      </w:r>
    </w:p>
    <w:p>
      <w:pPr>
        <w:pStyle w:val="TextBody"/>
        <w:spacing w:before="200" w:after="283"/>
        <w:jc w:val="both"/>
        <w:rPr>
          <w:rFonts w:ascii="Times New Roman;serif" w:hAnsi="Times New Roman;serif"/>
          <w:b/>
          <w:i/>
          <w:sz w:val="20"/>
        </w:rPr>
      </w:pPr>
      <w:r>
        <w:rPr>
          <w:rFonts w:ascii="Times New Roman;serif" w:hAnsi="Times New Roman;serif"/>
          <w:b/>
          <w:i/>
          <w:sz w:val="20"/>
        </w:rPr>
        <w:t xml:space="preserve">Fair Value Measurements </w:t>
      </w:r>
    </w:p>
    <w:p>
      <w:pPr>
        <w:pStyle w:val="TextBody"/>
        <w:spacing w:before="200" w:after="0"/>
        <w:jc w:val="both"/>
        <w:rPr>
          <w:rFonts w:ascii="Times New Roman" w:hAnsi="Times New Roman"/>
          <w:sz w:val="20"/>
        </w:rPr>
      </w:pPr>
      <w:r>
        <w:rPr>
          <w:rFonts w:ascii="Times New Roman;serif" w:hAnsi="Times New Roman;serif"/>
          <w:b w:val="false"/>
          <w:sz w:val="20"/>
        </w:rPr>
        <w:t>The carrying values of the Company’s Cash and Cash Equivalents, Accounts Receivable, Accounts Payable and Accrued Liabilities due within one year approximate their fair values due to the short-term maturity of these instruments. Including these instruments, the Company’s financial instruments consist of the following:</w:t>
      </w:r>
      <w:r>
        <w:rPr>
          <w:rFonts w:ascii="Times New Roman" w:hAnsi="Times New Roman"/>
          <w:sz w:val="20"/>
        </w:rPr>
        <w:t xml:space="preserve"> </w:t>
      </w:r>
    </w:p>
    <w:p>
      <w:pPr>
        <w:pStyle w:val="TextBody"/>
        <w:spacing w:before="0" w:after="0"/>
        <w:jc w:val="both"/>
        <w:rPr/>
      </w:pPr>
      <w:r>
        <w:rPr/>
        <w:t> </w:t>
      </w:r>
    </w:p>
    <w:tbl>
      <w:tblPr>
        <w:tblW w:w="9927" w:type="dxa"/>
        <w:jc w:val="left"/>
        <w:tblInd w:w="0" w:type="dxa"/>
        <w:tblCellMar>
          <w:top w:w="28" w:type="dxa"/>
          <w:left w:w="28" w:type="dxa"/>
          <w:bottom w:w="28" w:type="dxa"/>
          <w:right w:w="28" w:type="dxa"/>
        </w:tblCellMar>
      </w:tblPr>
      <w:tblGrid>
        <w:gridCol w:w="4426"/>
        <w:gridCol w:w="146"/>
        <w:gridCol w:w="211"/>
        <w:gridCol w:w="841"/>
        <w:gridCol w:w="166"/>
        <w:gridCol w:w="146"/>
        <w:gridCol w:w="211"/>
        <w:gridCol w:w="841"/>
        <w:gridCol w:w="166"/>
        <w:gridCol w:w="146"/>
        <w:gridCol w:w="211"/>
        <w:gridCol w:w="841"/>
        <w:gridCol w:w="166"/>
        <w:gridCol w:w="146"/>
        <w:gridCol w:w="211"/>
        <w:gridCol w:w="841"/>
        <w:gridCol w:w="211"/>
      </w:tblGrid>
      <w:tr>
        <w:trPr/>
        <w:tc>
          <w:tcPr>
            <w:tcW w:w="442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41" w:type="dxa"/>
            <w:tcBorders/>
            <w:shd w:fill="auto" w:val="clear"/>
            <w:vAlign w:val="center"/>
          </w:tcPr>
          <w:p>
            <w:pPr>
              <w:pStyle w:val="TableContents"/>
              <w:spacing w:before="0" w:after="283"/>
              <w:rPr>
                <w:sz w:val="4"/>
                <w:szCs w:val="4"/>
              </w:rPr>
            </w:pPr>
            <w:r>
              <w:rPr>
                <w:sz w:val="4"/>
                <w:szCs w:val="4"/>
              </w:rPr>
            </w:r>
          </w:p>
        </w:tc>
        <w:tc>
          <w:tcPr>
            <w:tcW w:w="16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41" w:type="dxa"/>
            <w:tcBorders/>
            <w:shd w:fill="auto" w:val="clear"/>
            <w:vAlign w:val="center"/>
          </w:tcPr>
          <w:p>
            <w:pPr>
              <w:pStyle w:val="TableContents"/>
              <w:spacing w:before="0" w:after="283"/>
              <w:rPr>
                <w:sz w:val="4"/>
                <w:szCs w:val="4"/>
              </w:rPr>
            </w:pPr>
            <w:r>
              <w:rPr>
                <w:sz w:val="4"/>
                <w:szCs w:val="4"/>
              </w:rPr>
            </w:r>
          </w:p>
        </w:tc>
        <w:tc>
          <w:tcPr>
            <w:tcW w:w="16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41" w:type="dxa"/>
            <w:tcBorders/>
            <w:shd w:fill="auto" w:val="clear"/>
            <w:vAlign w:val="center"/>
          </w:tcPr>
          <w:p>
            <w:pPr>
              <w:pStyle w:val="TableContents"/>
              <w:spacing w:before="0" w:after="283"/>
              <w:rPr>
                <w:sz w:val="4"/>
                <w:szCs w:val="4"/>
              </w:rPr>
            </w:pPr>
            <w:r>
              <w:rPr>
                <w:sz w:val="4"/>
                <w:szCs w:val="4"/>
              </w:rPr>
            </w:r>
          </w:p>
        </w:tc>
        <w:tc>
          <w:tcPr>
            <w:tcW w:w="16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41"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r>
      <w:tr>
        <w:trPr/>
        <w:tc>
          <w:tcPr>
            <w:tcW w:w="442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416" w:type="dxa"/>
            <w:gridSpan w:val="6"/>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As of March 31, 2023</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2416" w:type="dxa"/>
            <w:gridSpan w:val="6"/>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As of December 31, 2022</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4426" w:type="dxa"/>
            <w:tcBorders/>
            <w:shd w:fill="auto" w:val="clear"/>
            <w:vAlign w:val="center"/>
          </w:tcPr>
          <w:p>
            <w:pPr>
              <w:pStyle w:val="TableContents"/>
              <w:spacing w:before="0" w:after="0"/>
              <w:ind w:left="0" w:right="0" w:hanging="0"/>
              <w:jc w:val="left"/>
              <w:rPr>
                <w:rFonts w:ascii="Times New Roman;serif" w:hAnsi="Times New Roman;serif"/>
                <w:b w:val="false"/>
                <w:i/>
                <w:sz w:val="16"/>
              </w:rPr>
            </w:pPr>
            <w:r>
              <w:rPr>
                <w:rFonts w:ascii="Times New Roman;serif" w:hAnsi="Times New Roman;serif"/>
                <w:b w:val="false"/>
                <w:i/>
                <w:sz w:val="16"/>
              </w:rPr>
              <w:t>(In thousands of U.S. Dollars)</w:t>
            </w:r>
          </w:p>
        </w:tc>
        <w:tc>
          <w:tcPr>
            <w:tcW w:w="146" w:type="dxa"/>
            <w:tcBorders/>
            <w:shd w:fill="auto" w:val="clear"/>
            <w:vAlign w:val="center"/>
          </w:tcPr>
          <w:p>
            <w:pPr>
              <w:pStyle w:val="TableContents"/>
              <w:spacing w:before="0" w:after="0"/>
              <w:ind w:left="0" w:right="0" w:hanging="0"/>
              <w:jc w:val="left"/>
              <w:rPr/>
            </w:pPr>
            <w:r>
              <w:rPr/>
              <w:t> </w:t>
            </w:r>
          </w:p>
        </w:tc>
        <w:tc>
          <w:tcPr>
            <w:tcW w:w="1052"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Carrying</w:t>
              <w:br/>
              <w:t>Amount</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052"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Estimated</w:t>
              <w:br/>
              <w:t>Fair Value</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052"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Carrying</w:t>
              <w:br/>
              <w:t>Amount</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052"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Estimated</w:t>
              <w:br/>
              <w:t>Fair Value</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4426" w:type="dxa"/>
            <w:tcBorders/>
            <w:shd w:fill="auto" w:val="clear"/>
            <w:vAlign w:val="center"/>
          </w:tcPr>
          <w:p>
            <w:pPr>
              <w:pStyle w:val="TableContents"/>
              <w:spacing w:before="0" w:after="0"/>
              <w:ind w:left="0" w:right="0" w:hanging="0"/>
              <w:jc w:val="left"/>
              <w:rPr>
                <w:rFonts w:ascii="Times New Roman;serif" w:hAnsi="Times New Roman;serif"/>
                <w:b w:val="false"/>
                <w:sz w:val="20"/>
                <w:u w:val="single"/>
              </w:rPr>
            </w:pPr>
            <w:r>
              <w:rPr>
                <w:rFonts w:ascii="Times New Roman;serif" w:hAnsi="Times New Roman;serif"/>
                <w:b w:val="false"/>
                <w:sz w:val="20"/>
                <w:u w:val="single"/>
              </w:rPr>
              <w:t>Level 1</w:t>
            </w:r>
          </w:p>
        </w:tc>
        <w:tc>
          <w:tcPr>
            <w:tcW w:w="146" w:type="dxa"/>
            <w:tcBorders/>
            <w:shd w:fill="auto" w:val="clear"/>
            <w:vAlign w:val="center"/>
          </w:tcPr>
          <w:p>
            <w:pPr>
              <w:pStyle w:val="TableContents"/>
              <w:spacing w:before="0" w:after="0"/>
              <w:ind w:left="0" w:right="0" w:hanging="0"/>
              <w:jc w:val="left"/>
              <w:rPr/>
            </w:pPr>
            <w:r>
              <w:rPr/>
              <w:t> </w:t>
            </w:r>
          </w:p>
        </w:tc>
        <w:tc>
          <w:tcPr>
            <w:tcW w:w="1052" w:type="dxa"/>
            <w:gridSpan w:val="2"/>
            <w:tcBorders/>
            <w:shd w:fill="auto" w:val="clear"/>
            <w:vAlign w:val="center"/>
          </w:tcPr>
          <w:p>
            <w:pPr>
              <w:pStyle w:val="TableContents"/>
              <w:spacing w:before="0" w:after="0"/>
              <w:ind w:left="0" w:right="0" w:hanging="0"/>
              <w:jc w:val="center"/>
              <w:rPr/>
            </w:pPr>
            <w:r>
              <w:rPr/>
              <w:t> </w:t>
            </w:r>
          </w:p>
        </w:tc>
        <w:tc>
          <w:tcPr>
            <w:tcW w:w="166"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052" w:type="dxa"/>
            <w:gridSpan w:val="2"/>
            <w:tcBorders/>
            <w:shd w:fill="auto" w:val="clear"/>
            <w:vAlign w:val="center"/>
          </w:tcPr>
          <w:p>
            <w:pPr>
              <w:pStyle w:val="TableContents"/>
              <w:spacing w:before="0" w:after="0"/>
              <w:ind w:left="0" w:right="0" w:hanging="0"/>
              <w:jc w:val="center"/>
              <w:rPr/>
            </w:pPr>
            <w:r>
              <w:rPr/>
              <w:t> </w:t>
            </w:r>
          </w:p>
        </w:tc>
        <w:tc>
          <w:tcPr>
            <w:tcW w:w="166"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052" w:type="dxa"/>
            <w:gridSpan w:val="2"/>
            <w:tcBorders/>
            <w:shd w:fill="auto" w:val="clear"/>
            <w:vAlign w:val="center"/>
          </w:tcPr>
          <w:p>
            <w:pPr>
              <w:pStyle w:val="TableContents"/>
              <w:spacing w:before="0" w:after="0"/>
              <w:ind w:left="0" w:right="0" w:hanging="0"/>
              <w:jc w:val="center"/>
              <w:rPr/>
            </w:pPr>
            <w:r>
              <w:rPr/>
              <w:t> </w:t>
            </w:r>
          </w:p>
        </w:tc>
        <w:tc>
          <w:tcPr>
            <w:tcW w:w="166"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052" w:type="dxa"/>
            <w:gridSpan w:val="2"/>
            <w:tcBorders/>
            <w:shd w:fill="auto" w:val="clear"/>
            <w:vAlign w:val="center"/>
          </w:tcPr>
          <w:p>
            <w:pPr>
              <w:pStyle w:val="TableContents"/>
              <w:spacing w:before="0" w:after="0"/>
              <w:ind w:left="0" w:right="0" w:hanging="0"/>
              <w:jc w:val="center"/>
              <w:rPr/>
            </w:pPr>
            <w:r>
              <w:rPr/>
              <w:t> </w:t>
            </w:r>
          </w:p>
        </w:tc>
        <w:tc>
          <w:tcPr>
            <w:tcW w:w="211" w:type="dxa"/>
            <w:tcBorders/>
            <w:shd w:fill="auto" w:val="clear"/>
            <w:vAlign w:val="center"/>
          </w:tcPr>
          <w:p>
            <w:pPr>
              <w:pStyle w:val="TableContents"/>
              <w:spacing w:before="0" w:after="0"/>
              <w:ind w:left="0" w:right="0" w:hanging="0"/>
              <w:jc w:val="center"/>
              <w:rPr/>
            </w:pPr>
            <w:r>
              <w:rPr/>
              <w:t> </w:t>
            </w:r>
          </w:p>
        </w:tc>
      </w:tr>
      <w:tr>
        <w:trPr/>
        <w:tc>
          <w:tcPr>
            <w:tcW w:w="4426" w:type="dxa"/>
            <w:tcBorders/>
            <w:shd w:fill="auto" w:val="clear"/>
            <w:vAlign w:val="center"/>
          </w:tcPr>
          <w:p>
            <w:pPr>
              <w:pStyle w:val="TableContents"/>
              <w:spacing w:before="0" w:after="0"/>
              <w:ind w:left="0" w:right="0" w:hanging="0"/>
              <w:jc w:val="left"/>
              <w:rPr>
                <w:rFonts w:ascii="Times New Roman" w:hAnsi="Times New Roman"/>
                <w:sz w:val="20"/>
              </w:rPr>
            </w:pPr>
            <w:r>
              <w:rPr>
                <w:rFonts w:ascii="Times New Roman;serif" w:hAnsi="Times New Roman;serif"/>
                <w:b w:val="false"/>
                <w:sz w:val="20"/>
              </w:rPr>
              <w:t>Cash and cash equivalents</w:t>
            </w:r>
            <w:r>
              <w:rPr>
                <w:rFonts w:ascii="Times New Roman;serif" w:hAnsi="Times New Roman;serif"/>
                <w:b w:val="false"/>
                <w:sz w:val="13"/>
              </w:rPr>
              <w:t>(1)</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84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99,246</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84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99,246</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84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97,401</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84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97,401</w:t>
            </w:r>
          </w:p>
        </w:tc>
        <w:tc>
          <w:tcPr>
            <w:tcW w:w="211" w:type="dxa"/>
            <w:tcBorders/>
            <w:shd w:fill="auto" w:val="clear"/>
            <w:vAlign w:val="center"/>
          </w:tcPr>
          <w:p>
            <w:pPr>
              <w:pStyle w:val="TableContents"/>
              <w:spacing w:before="0" w:after="0"/>
              <w:ind w:left="0" w:right="0" w:hanging="0"/>
              <w:jc w:val="left"/>
              <w:rPr/>
            </w:pPr>
            <w:r>
              <w:rPr/>
              <w:t> </w:t>
            </w:r>
          </w:p>
        </w:tc>
      </w:tr>
      <w:tr>
        <w:trPr/>
        <w:tc>
          <w:tcPr>
            <w:tcW w:w="4426" w:type="dxa"/>
            <w:tcBorders/>
            <w:shd w:fill="auto" w:val="clear"/>
            <w:vAlign w:val="center"/>
          </w:tcPr>
          <w:p>
            <w:pPr>
              <w:pStyle w:val="TableContents"/>
              <w:spacing w:before="0" w:after="0"/>
              <w:ind w:left="0" w:right="0" w:hanging="0"/>
              <w:jc w:val="left"/>
              <w:rPr>
                <w:rFonts w:ascii="Times New Roman" w:hAnsi="Times New Roman"/>
                <w:sz w:val="20"/>
              </w:rPr>
            </w:pPr>
            <w:r>
              <w:rPr>
                <w:rFonts w:ascii="Times New Roman;serif" w:hAnsi="Times New Roman;serif"/>
                <w:b w:val="false"/>
                <w:sz w:val="20"/>
              </w:rPr>
              <w:t>Equity securities</w:t>
            </w:r>
            <w:r>
              <w:rPr>
                <w:rFonts w:ascii="Times New Roman;serif" w:hAnsi="Times New Roman;serif"/>
                <w:b w:val="false"/>
                <w:sz w:val="13"/>
              </w:rPr>
              <w:t>(2)</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84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1,050</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84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1,050</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84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1,035</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84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1,035</w:t>
            </w:r>
          </w:p>
        </w:tc>
        <w:tc>
          <w:tcPr>
            <w:tcW w:w="211" w:type="dxa"/>
            <w:tcBorders/>
            <w:shd w:fill="auto" w:val="clear"/>
            <w:vAlign w:val="center"/>
          </w:tcPr>
          <w:p>
            <w:pPr>
              <w:pStyle w:val="TableContents"/>
              <w:spacing w:before="0" w:after="0"/>
              <w:ind w:left="0" w:right="0" w:hanging="0"/>
              <w:jc w:val="left"/>
              <w:rPr/>
            </w:pPr>
            <w:r>
              <w:rPr/>
              <w:t> </w:t>
            </w:r>
          </w:p>
        </w:tc>
      </w:tr>
      <w:tr>
        <w:trPr/>
        <w:tc>
          <w:tcPr>
            <w:tcW w:w="4426" w:type="dxa"/>
            <w:tcBorders/>
            <w:shd w:fill="auto" w:val="clear"/>
            <w:vAlign w:val="center"/>
          </w:tcPr>
          <w:p>
            <w:pPr>
              <w:pStyle w:val="TableContents"/>
              <w:spacing w:before="0" w:after="0"/>
              <w:ind w:left="0" w:right="0" w:hanging="0"/>
              <w:jc w:val="left"/>
              <w:rPr>
                <w:rFonts w:ascii="Times New Roman;serif" w:hAnsi="Times New Roman;serif"/>
                <w:b w:val="false"/>
                <w:sz w:val="20"/>
                <w:u w:val="single"/>
              </w:rPr>
            </w:pPr>
            <w:r>
              <w:rPr>
                <w:rFonts w:ascii="Times New Roman;serif" w:hAnsi="Times New Roman;serif"/>
                <w:b w:val="false"/>
                <w:sz w:val="20"/>
                <w:u w:val="single"/>
              </w:rPr>
              <w:t>Level 2</w:t>
            </w:r>
          </w:p>
        </w:tc>
        <w:tc>
          <w:tcPr>
            <w:tcW w:w="146" w:type="dxa"/>
            <w:tcBorders/>
            <w:shd w:fill="auto" w:val="clear"/>
            <w:vAlign w:val="center"/>
          </w:tcPr>
          <w:p>
            <w:pPr>
              <w:pStyle w:val="TableContents"/>
              <w:spacing w:before="0" w:after="0"/>
              <w:ind w:left="0" w:right="0" w:hanging="0"/>
              <w:jc w:val="left"/>
              <w:rPr/>
            </w:pPr>
            <w:r>
              <w:rPr/>
              <w:t> </w:t>
            </w:r>
          </w:p>
        </w:tc>
        <w:tc>
          <w:tcPr>
            <w:tcW w:w="1052" w:type="dxa"/>
            <w:gridSpan w:val="2"/>
            <w:tcBorders/>
            <w:shd w:fill="auto" w:val="clear"/>
            <w:vAlign w:val="center"/>
          </w:tcPr>
          <w:p>
            <w:pPr>
              <w:pStyle w:val="TableContents"/>
              <w:spacing w:before="0" w:after="0"/>
              <w:ind w:left="0" w:right="0" w:hanging="0"/>
              <w:jc w:val="left"/>
              <w:rPr/>
            </w:pPr>
            <w:r>
              <w:rPr/>
              <w:t> </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052" w:type="dxa"/>
            <w:gridSpan w:val="2"/>
            <w:tcBorders/>
            <w:shd w:fill="auto" w:val="clear"/>
            <w:vAlign w:val="center"/>
          </w:tcPr>
          <w:p>
            <w:pPr>
              <w:pStyle w:val="TableContents"/>
              <w:spacing w:before="0" w:after="0"/>
              <w:ind w:left="0" w:right="0" w:hanging="0"/>
              <w:jc w:val="left"/>
              <w:rPr/>
            </w:pPr>
            <w:r>
              <w:rPr/>
              <w:t> </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052" w:type="dxa"/>
            <w:gridSpan w:val="2"/>
            <w:tcBorders/>
            <w:shd w:fill="auto" w:val="clear"/>
            <w:vAlign w:val="center"/>
          </w:tcPr>
          <w:p>
            <w:pPr>
              <w:pStyle w:val="TableContents"/>
              <w:spacing w:before="0" w:after="0"/>
              <w:ind w:left="0" w:right="0" w:hanging="0"/>
              <w:jc w:val="left"/>
              <w:rPr/>
            </w:pPr>
            <w:r>
              <w:rPr/>
              <w:t> </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052" w:type="dxa"/>
            <w:gridSpan w:val="2"/>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r>
      <w:tr>
        <w:trPr/>
        <w:tc>
          <w:tcPr>
            <w:tcW w:w="4426" w:type="dxa"/>
            <w:tcBorders/>
            <w:shd w:fill="auto" w:val="clear"/>
            <w:vAlign w:val="center"/>
          </w:tcPr>
          <w:p>
            <w:pPr>
              <w:pStyle w:val="TableContents"/>
              <w:spacing w:before="0" w:after="0"/>
              <w:ind w:left="0" w:right="0" w:hanging="0"/>
              <w:jc w:val="left"/>
              <w:rPr>
                <w:rFonts w:ascii="Times New Roman" w:hAnsi="Times New Roman"/>
                <w:sz w:val="20"/>
              </w:rPr>
            </w:pPr>
            <w:r>
              <w:rPr>
                <w:rFonts w:ascii="Times New Roman;serif" w:hAnsi="Times New Roman;serif"/>
                <w:b w:val="false"/>
                <w:sz w:val="20"/>
              </w:rPr>
              <w:t>Net financed sales receivables</w:t>
            </w:r>
            <w:r>
              <w:rPr>
                <w:rFonts w:ascii="Times New Roman;serif" w:hAnsi="Times New Roman;serif"/>
                <w:b w:val="false"/>
                <w:sz w:val="13"/>
              </w:rPr>
              <w:t>(3)</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84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100,425</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84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96,801</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84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101,052</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84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100,059</w:t>
            </w:r>
          </w:p>
        </w:tc>
        <w:tc>
          <w:tcPr>
            <w:tcW w:w="211" w:type="dxa"/>
            <w:tcBorders/>
            <w:shd w:fill="auto" w:val="clear"/>
            <w:vAlign w:val="center"/>
          </w:tcPr>
          <w:p>
            <w:pPr>
              <w:pStyle w:val="TableContents"/>
              <w:spacing w:before="0" w:after="0"/>
              <w:ind w:left="0" w:right="0" w:hanging="0"/>
              <w:jc w:val="left"/>
              <w:rPr/>
            </w:pPr>
            <w:r>
              <w:rPr/>
              <w:t> </w:t>
            </w:r>
          </w:p>
        </w:tc>
      </w:tr>
      <w:tr>
        <w:trPr/>
        <w:tc>
          <w:tcPr>
            <w:tcW w:w="4426" w:type="dxa"/>
            <w:tcBorders/>
            <w:shd w:fill="auto" w:val="clear"/>
            <w:vAlign w:val="center"/>
          </w:tcPr>
          <w:p>
            <w:pPr>
              <w:pStyle w:val="TableContents"/>
              <w:spacing w:before="0" w:after="0"/>
              <w:ind w:left="0" w:right="0" w:hanging="0"/>
              <w:jc w:val="left"/>
              <w:rPr>
                <w:rFonts w:ascii="Times New Roman" w:hAnsi="Times New Roman"/>
                <w:sz w:val="20"/>
              </w:rPr>
            </w:pPr>
            <w:r>
              <w:rPr>
                <w:rFonts w:ascii="Times New Roman;serif" w:hAnsi="Times New Roman;serif"/>
                <w:b w:val="false"/>
                <w:sz w:val="20"/>
              </w:rPr>
              <w:t>Net investment in sales-type leases</w:t>
            </w:r>
            <w:r>
              <w:rPr>
                <w:rFonts w:ascii="Times New Roman;serif" w:hAnsi="Times New Roman;serif"/>
                <w:b w:val="false"/>
                <w:sz w:val="13"/>
              </w:rPr>
              <w:t>(3)</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84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30,762</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84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30,716</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84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28,332</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84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27,972</w:t>
            </w:r>
          </w:p>
        </w:tc>
        <w:tc>
          <w:tcPr>
            <w:tcW w:w="211" w:type="dxa"/>
            <w:tcBorders/>
            <w:shd w:fill="auto" w:val="clear"/>
            <w:vAlign w:val="center"/>
          </w:tcPr>
          <w:p>
            <w:pPr>
              <w:pStyle w:val="TableContents"/>
              <w:spacing w:before="0" w:after="0"/>
              <w:ind w:left="0" w:right="0" w:hanging="0"/>
              <w:jc w:val="left"/>
              <w:rPr/>
            </w:pPr>
            <w:r>
              <w:rPr/>
              <w:t> </w:t>
            </w:r>
          </w:p>
        </w:tc>
      </w:tr>
      <w:tr>
        <w:trPr/>
        <w:tc>
          <w:tcPr>
            <w:tcW w:w="4426" w:type="dxa"/>
            <w:tcBorders/>
            <w:shd w:fill="auto" w:val="clear"/>
            <w:vAlign w:val="center"/>
          </w:tcPr>
          <w:p>
            <w:pPr>
              <w:pStyle w:val="TableContents"/>
              <w:spacing w:before="0" w:after="0"/>
              <w:ind w:left="0" w:right="0" w:hanging="0"/>
              <w:jc w:val="left"/>
              <w:rPr>
                <w:rFonts w:ascii="Times New Roman" w:hAnsi="Times New Roman"/>
                <w:sz w:val="20"/>
              </w:rPr>
            </w:pPr>
            <w:r>
              <w:rPr>
                <w:rFonts w:ascii="Times New Roman;serif" w:hAnsi="Times New Roman;serif"/>
                <w:b w:val="false"/>
                <w:sz w:val="20"/>
              </w:rPr>
              <w:t>Equity securities</w:t>
            </w:r>
            <w:r>
              <w:rPr>
                <w:rFonts w:ascii="Times New Roman;serif" w:hAnsi="Times New Roman;serif"/>
                <w:b w:val="false"/>
                <w:sz w:val="13"/>
              </w:rPr>
              <w:t>(1)</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84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1,000</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84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1,000</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84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1,000</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84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1,000</w:t>
            </w:r>
          </w:p>
        </w:tc>
        <w:tc>
          <w:tcPr>
            <w:tcW w:w="211" w:type="dxa"/>
            <w:tcBorders/>
            <w:shd w:fill="auto" w:val="clear"/>
            <w:vAlign w:val="center"/>
          </w:tcPr>
          <w:p>
            <w:pPr>
              <w:pStyle w:val="TableContents"/>
              <w:spacing w:before="0" w:after="0"/>
              <w:ind w:left="0" w:right="0" w:hanging="0"/>
              <w:jc w:val="left"/>
              <w:rPr/>
            </w:pPr>
            <w:r>
              <w:rPr/>
              <w:t> </w:t>
            </w:r>
          </w:p>
        </w:tc>
      </w:tr>
      <w:tr>
        <w:trPr/>
        <w:tc>
          <w:tcPr>
            <w:tcW w:w="4426" w:type="dxa"/>
            <w:tcBorders/>
            <w:shd w:fill="auto" w:val="clear"/>
            <w:vAlign w:val="center"/>
          </w:tcPr>
          <w:p>
            <w:pPr>
              <w:pStyle w:val="TableContents"/>
              <w:spacing w:before="0" w:after="0"/>
              <w:ind w:left="0" w:right="0" w:hanging="0"/>
              <w:jc w:val="left"/>
              <w:rPr>
                <w:rFonts w:ascii="Times New Roman" w:hAnsi="Times New Roman"/>
                <w:sz w:val="20"/>
              </w:rPr>
            </w:pPr>
            <w:r>
              <w:rPr>
                <w:rFonts w:ascii="Times New Roman;serif" w:hAnsi="Times New Roman;serif"/>
                <w:b w:val="false"/>
                <w:sz w:val="20"/>
              </w:rPr>
              <w:t>COLI</w:t>
            </w:r>
            <w:r>
              <w:rPr>
                <w:rFonts w:ascii="Times New Roman;serif" w:hAnsi="Times New Roman;serif"/>
                <w:b w:val="false"/>
                <w:sz w:val="13"/>
              </w:rPr>
              <w:t>(4)</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84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3,428</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84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3,428</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84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3,398</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84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3,398</w:t>
            </w:r>
          </w:p>
        </w:tc>
        <w:tc>
          <w:tcPr>
            <w:tcW w:w="211" w:type="dxa"/>
            <w:tcBorders/>
            <w:shd w:fill="auto" w:val="clear"/>
            <w:vAlign w:val="center"/>
          </w:tcPr>
          <w:p>
            <w:pPr>
              <w:pStyle w:val="TableContents"/>
              <w:spacing w:before="0" w:after="0"/>
              <w:ind w:left="0" w:right="0" w:hanging="0"/>
              <w:jc w:val="left"/>
              <w:rPr/>
            </w:pPr>
            <w:r>
              <w:rPr/>
              <w:t> </w:t>
            </w:r>
          </w:p>
        </w:tc>
      </w:tr>
      <w:tr>
        <w:trPr/>
        <w:tc>
          <w:tcPr>
            <w:tcW w:w="4426" w:type="dxa"/>
            <w:tcBorders/>
            <w:shd w:fill="auto" w:val="clear"/>
            <w:vAlign w:val="center"/>
          </w:tcPr>
          <w:p>
            <w:pPr>
              <w:pStyle w:val="TableContents"/>
              <w:spacing w:before="0" w:after="0"/>
              <w:ind w:left="0" w:right="0" w:hanging="0"/>
              <w:jc w:val="left"/>
              <w:rPr>
                <w:rFonts w:ascii="Times New Roman" w:hAnsi="Times New Roman"/>
                <w:sz w:val="20"/>
              </w:rPr>
            </w:pPr>
            <w:r>
              <w:rPr>
                <w:rFonts w:ascii="Times New Roman;serif" w:hAnsi="Times New Roman;serif"/>
                <w:b w:val="false"/>
                <w:sz w:val="20"/>
              </w:rPr>
              <w:t xml:space="preserve">Foreign exchange contracts </w:t>
            </w:r>
            <w:r>
              <w:rPr>
                <w:rFonts w:ascii="Times New Roman" w:hAnsi="Times New Roman"/>
                <w:sz w:val="20"/>
              </w:rPr>
              <w:t>— </w:t>
            </w:r>
            <w:r>
              <w:rPr>
                <w:rFonts w:ascii="Times New Roman;serif" w:hAnsi="Times New Roman;serif"/>
                <w:b w:val="false"/>
                <w:sz w:val="20"/>
              </w:rPr>
              <w:t>designated forwards</w:t>
            </w:r>
            <w:r>
              <w:rPr>
                <w:rFonts w:ascii="Times New Roman;serif" w:hAnsi="Times New Roman;serif"/>
                <w:b w:val="false"/>
                <w:sz w:val="13"/>
              </w:rPr>
              <w:t>(2)</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84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(176</w:t>
            </w:r>
          </w:p>
        </w:tc>
        <w:tc>
          <w:tcPr>
            <w:tcW w:w="16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84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(176</w:t>
            </w:r>
          </w:p>
        </w:tc>
        <w:tc>
          <w:tcPr>
            <w:tcW w:w="16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84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(649</w:t>
            </w:r>
          </w:p>
        </w:tc>
        <w:tc>
          <w:tcPr>
            <w:tcW w:w="16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84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(649</w:t>
            </w:r>
          </w:p>
        </w:tc>
        <w:tc>
          <w:tcPr>
            <w:tcW w:w="21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4426" w:type="dxa"/>
            <w:tcBorders/>
            <w:shd w:fill="auto" w:val="clear"/>
            <w:vAlign w:val="center"/>
          </w:tcPr>
          <w:p>
            <w:pPr>
              <w:pStyle w:val="TableContents"/>
              <w:spacing w:before="0" w:after="0"/>
              <w:ind w:left="0" w:right="0" w:hanging="0"/>
              <w:jc w:val="left"/>
              <w:rPr>
                <w:rFonts w:ascii="Times New Roman" w:hAnsi="Times New Roman"/>
                <w:sz w:val="20"/>
              </w:rPr>
            </w:pPr>
            <w:r>
              <w:rPr>
                <w:rFonts w:ascii="Times New Roman;serif" w:hAnsi="Times New Roman;serif"/>
                <w:b w:val="false"/>
                <w:sz w:val="20"/>
              </w:rPr>
              <w:t>Wells Fargo Credit Facility borrowings</w:t>
            </w:r>
            <w:r>
              <w:rPr>
                <w:rFonts w:ascii="Times New Roman;serif" w:hAnsi="Times New Roman;serif"/>
                <w:b w:val="false"/>
                <w:sz w:val="13"/>
              </w:rPr>
              <w:t>(1)</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84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(20,000</w:t>
            </w:r>
          </w:p>
        </w:tc>
        <w:tc>
          <w:tcPr>
            <w:tcW w:w="16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84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(20,000</w:t>
            </w:r>
          </w:p>
        </w:tc>
        <w:tc>
          <w:tcPr>
            <w:tcW w:w="16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84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(25,000</w:t>
            </w:r>
          </w:p>
        </w:tc>
        <w:tc>
          <w:tcPr>
            <w:tcW w:w="16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84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(25,000</w:t>
            </w:r>
          </w:p>
        </w:tc>
        <w:tc>
          <w:tcPr>
            <w:tcW w:w="21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4426" w:type="dxa"/>
            <w:tcBorders/>
            <w:shd w:fill="auto" w:val="clear"/>
            <w:vAlign w:val="center"/>
          </w:tcPr>
          <w:p>
            <w:pPr>
              <w:pStyle w:val="TableContents"/>
              <w:spacing w:before="0" w:after="0"/>
              <w:ind w:left="0" w:right="0" w:hanging="0"/>
              <w:jc w:val="left"/>
              <w:rPr>
                <w:rFonts w:ascii="Times New Roman" w:hAnsi="Times New Roman"/>
                <w:sz w:val="20"/>
              </w:rPr>
            </w:pPr>
            <w:r>
              <w:rPr>
                <w:rFonts w:ascii="Times New Roman;serif" w:hAnsi="Times New Roman;serif"/>
                <w:b w:val="false"/>
                <w:sz w:val="20"/>
              </w:rPr>
              <w:t>HSBC China Facility borrowings</w:t>
            </w:r>
            <w:r>
              <w:rPr>
                <w:rFonts w:ascii="Times New Roman;serif" w:hAnsi="Times New Roman;serif"/>
                <w:b w:val="false"/>
                <w:sz w:val="13"/>
              </w:rPr>
              <w:t>(1)</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84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(12,165</w:t>
            </w:r>
          </w:p>
        </w:tc>
        <w:tc>
          <w:tcPr>
            <w:tcW w:w="16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84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(12,165</w:t>
            </w:r>
          </w:p>
        </w:tc>
        <w:tc>
          <w:tcPr>
            <w:tcW w:w="16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84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(12,496</w:t>
            </w:r>
          </w:p>
        </w:tc>
        <w:tc>
          <w:tcPr>
            <w:tcW w:w="16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84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(12,496</w:t>
            </w:r>
          </w:p>
        </w:tc>
        <w:tc>
          <w:tcPr>
            <w:tcW w:w="21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4426" w:type="dxa"/>
            <w:tcBorders/>
            <w:shd w:fill="auto" w:val="clear"/>
            <w:vAlign w:val="center"/>
          </w:tcPr>
          <w:p>
            <w:pPr>
              <w:pStyle w:val="TableContents"/>
              <w:spacing w:before="0" w:after="0"/>
              <w:ind w:left="0" w:right="0" w:hanging="0"/>
              <w:jc w:val="left"/>
              <w:rPr>
                <w:rFonts w:ascii="Times New Roman" w:hAnsi="Times New Roman"/>
                <w:sz w:val="20"/>
              </w:rPr>
            </w:pPr>
            <w:r>
              <w:rPr>
                <w:rFonts w:ascii="Times New Roman;serif" w:hAnsi="Times New Roman;serif"/>
                <w:b w:val="false"/>
                <w:sz w:val="20"/>
              </w:rPr>
              <w:t>Bank of China Facility borrowings</w:t>
            </w:r>
            <w:r>
              <w:rPr>
                <w:rFonts w:ascii="Times New Roman;serif" w:hAnsi="Times New Roman;serif"/>
                <w:b w:val="false"/>
                <w:sz w:val="13"/>
              </w:rPr>
              <w:t>(1)</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84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(379</w:t>
            </w:r>
          </w:p>
        </w:tc>
        <w:tc>
          <w:tcPr>
            <w:tcW w:w="16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84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(379</w:t>
            </w:r>
          </w:p>
        </w:tc>
        <w:tc>
          <w:tcPr>
            <w:tcW w:w="16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84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(374</w:t>
            </w:r>
          </w:p>
        </w:tc>
        <w:tc>
          <w:tcPr>
            <w:tcW w:w="16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84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(374</w:t>
            </w:r>
          </w:p>
        </w:tc>
        <w:tc>
          <w:tcPr>
            <w:tcW w:w="21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4426" w:type="dxa"/>
            <w:tcBorders/>
            <w:shd w:fill="auto" w:val="clear"/>
            <w:vAlign w:val="center"/>
          </w:tcPr>
          <w:p>
            <w:pPr>
              <w:pStyle w:val="TableContents"/>
              <w:spacing w:before="0" w:after="0"/>
              <w:ind w:left="0" w:right="0" w:hanging="0"/>
              <w:jc w:val="left"/>
              <w:rPr>
                <w:rFonts w:ascii="Times New Roman" w:hAnsi="Times New Roman"/>
                <w:sz w:val="20"/>
              </w:rPr>
            </w:pPr>
            <w:r>
              <w:rPr>
                <w:rFonts w:ascii="Times New Roman;serif" w:hAnsi="Times New Roman;serif"/>
                <w:b w:val="false"/>
                <w:sz w:val="20"/>
              </w:rPr>
              <w:t>Federal Economic Development Loan</w:t>
            </w:r>
            <w:r>
              <w:rPr>
                <w:rFonts w:ascii="Times New Roman;serif" w:hAnsi="Times New Roman;serif"/>
                <w:b w:val="false"/>
                <w:sz w:val="13"/>
              </w:rPr>
              <w:t>(3)</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84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(2,043</w:t>
            </w:r>
          </w:p>
        </w:tc>
        <w:tc>
          <w:tcPr>
            <w:tcW w:w="16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84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(2,043</w:t>
            </w:r>
          </w:p>
        </w:tc>
        <w:tc>
          <w:tcPr>
            <w:tcW w:w="16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84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(1,782</w:t>
            </w:r>
          </w:p>
        </w:tc>
        <w:tc>
          <w:tcPr>
            <w:tcW w:w="16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84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(1,782</w:t>
            </w:r>
          </w:p>
        </w:tc>
        <w:tc>
          <w:tcPr>
            <w:tcW w:w="21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4426" w:type="dxa"/>
            <w:tcBorders/>
            <w:shd w:fill="auto" w:val="clear"/>
            <w:vAlign w:val="center"/>
          </w:tcPr>
          <w:p>
            <w:pPr>
              <w:pStyle w:val="TableContents"/>
              <w:spacing w:before="0" w:after="0"/>
              <w:ind w:left="0" w:right="0" w:hanging="0"/>
              <w:jc w:val="left"/>
              <w:rPr>
                <w:rFonts w:ascii="Times New Roman" w:hAnsi="Times New Roman"/>
                <w:sz w:val="20"/>
              </w:rPr>
            </w:pPr>
            <w:r>
              <w:rPr>
                <w:rFonts w:ascii="Times New Roman;serif" w:hAnsi="Times New Roman;serif"/>
                <w:b w:val="false"/>
                <w:sz w:val="20"/>
              </w:rPr>
              <w:t>Convertible Notes</w:t>
            </w:r>
            <w:r>
              <w:rPr>
                <w:rFonts w:ascii="Times New Roman;serif" w:hAnsi="Times New Roman;serif"/>
                <w:b w:val="false"/>
                <w:sz w:val="13"/>
              </w:rPr>
              <w:t>(5)</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84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(230,000</w:t>
            </w:r>
          </w:p>
        </w:tc>
        <w:tc>
          <w:tcPr>
            <w:tcW w:w="16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84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(218,210</w:t>
            </w:r>
          </w:p>
        </w:tc>
        <w:tc>
          <w:tcPr>
            <w:tcW w:w="16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84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(230,000</w:t>
            </w:r>
          </w:p>
        </w:tc>
        <w:tc>
          <w:tcPr>
            <w:tcW w:w="16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84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(196,717</w:t>
            </w:r>
          </w:p>
        </w:tc>
        <w:tc>
          <w:tcPr>
            <w:tcW w:w="21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4426" w:type="dxa"/>
            <w:tcBorders/>
            <w:shd w:fill="auto" w:val="clear"/>
            <w:vAlign w:val="center"/>
          </w:tcPr>
          <w:p>
            <w:pPr>
              <w:pStyle w:val="TableContents"/>
              <w:spacing w:before="0" w:after="0"/>
              <w:ind w:left="0" w:right="0" w:hanging="0"/>
              <w:jc w:val="left"/>
              <w:rPr>
                <w:rFonts w:ascii="Times New Roman;serif" w:hAnsi="Times New Roman;serif"/>
                <w:b w:val="false"/>
                <w:sz w:val="20"/>
                <w:u w:val="single"/>
              </w:rPr>
            </w:pPr>
            <w:r>
              <w:rPr>
                <w:rFonts w:ascii="Times New Roman;serif" w:hAnsi="Times New Roman;serif"/>
                <w:b w:val="false"/>
                <w:sz w:val="20"/>
                <w:u w:val="single"/>
              </w:rPr>
              <w:t>Level 3</w:t>
            </w:r>
          </w:p>
        </w:tc>
        <w:tc>
          <w:tcPr>
            <w:tcW w:w="146" w:type="dxa"/>
            <w:tcBorders/>
            <w:shd w:fill="auto" w:val="clear"/>
            <w:vAlign w:val="center"/>
          </w:tcPr>
          <w:p>
            <w:pPr>
              <w:pStyle w:val="TableContents"/>
              <w:spacing w:before="0" w:after="0"/>
              <w:ind w:left="0" w:right="0" w:hanging="0"/>
              <w:jc w:val="left"/>
              <w:rPr/>
            </w:pPr>
            <w:r>
              <w:rPr/>
              <w:t> </w:t>
            </w:r>
          </w:p>
        </w:tc>
        <w:tc>
          <w:tcPr>
            <w:tcW w:w="1052" w:type="dxa"/>
            <w:gridSpan w:val="2"/>
            <w:tcBorders/>
            <w:shd w:fill="auto" w:val="clear"/>
            <w:vAlign w:val="center"/>
          </w:tcPr>
          <w:p>
            <w:pPr>
              <w:pStyle w:val="TableContents"/>
              <w:spacing w:before="0" w:after="0"/>
              <w:ind w:left="0" w:right="0" w:hanging="0"/>
              <w:jc w:val="right"/>
              <w:rPr/>
            </w:pPr>
            <w:r>
              <w:rPr/>
              <w:t> </w:t>
            </w:r>
          </w:p>
        </w:tc>
        <w:tc>
          <w:tcPr>
            <w:tcW w:w="16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052" w:type="dxa"/>
            <w:gridSpan w:val="2"/>
            <w:tcBorders/>
            <w:shd w:fill="auto" w:val="clear"/>
            <w:vAlign w:val="center"/>
          </w:tcPr>
          <w:p>
            <w:pPr>
              <w:pStyle w:val="TableContents"/>
              <w:spacing w:before="0" w:after="0"/>
              <w:ind w:left="0" w:right="0" w:hanging="0"/>
              <w:jc w:val="right"/>
              <w:rPr/>
            </w:pPr>
            <w:r>
              <w:rPr/>
              <w:t> </w:t>
            </w:r>
          </w:p>
        </w:tc>
        <w:tc>
          <w:tcPr>
            <w:tcW w:w="16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052" w:type="dxa"/>
            <w:gridSpan w:val="2"/>
            <w:tcBorders/>
            <w:shd w:fill="auto" w:val="clear"/>
            <w:vAlign w:val="center"/>
          </w:tcPr>
          <w:p>
            <w:pPr>
              <w:pStyle w:val="TableContents"/>
              <w:spacing w:before="0" w:after="0"/>
              <w:ind w:left="0" w:right="0" w:hanging="0"/>
              <w:jc w:val="right"/>
              <w:rPr/>
            </w:pPr>
            <w:r>
              <w:rPr/>
              <w:t> </w:t>
            </w:r>
          </w:p>
        </w:tc>
        <w:tc>
          <w:tcPr>
            <w:tcW w:w="16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052" w:type="dxa"/>
            <w:gridSpan w:val="2"/>
            <w:tcBorders/>
            <w:shd w:fill="auto" w:val="clear"/>
            <w:vAlign w:val="center"/>
          </w:tcPr>
          <w:p>
            <w:pPr>
              <w:pStyle w:val="TableContents"/>
              <w:spacing w:before="0" w:after="0"/>
              <w:ind w:left="0" w:right="0" w:hanging="0"/>
              <w:jc w:val="right"/>
              <w:rPr/>
            </w:pPr>
            <w:r>
              <w:rPr/>
              <w:t> </w:t>
            </w:r>
          </w:p>
        </w:tc>
        <w:tc>
          <w:tcPr>
            <w:tcW w:w="211" w:type="dxa"/>
            <w:tcBorders/>
            <w:shd w:fill="auto" w:val="clear"/>
            <w:vAlign w:val="center"/>
          </w:tcPr>
          <w:p>
            <w:pPr>
              <w:pStyle w:val="TableContents"/>
              <w:spacing w:before="0" w:after="0"/>
              <w:ind w:left="0" w:right="0" w:hanging="0"/>
              <w:jc w:val="right"/>
              <w:rPr/>
            </w:pPr>
            <w:r>
              <w:rPr/>
              <w:t> </w:t>
            </w:r>
          </w:p>
        </w:tc>
      </w:tr>
      <w:tr>
        <w:trPr/>
        <w:tc>
          <w:tcPr>
            <w:tcW w:w="4426" w:type="dxa"/>
            <w:tcBorders/>
            <w:shd w:fill="auto" w:val="clear"/>
            <w:vAlign w:val="center"/>
          </w:tcPr>
          <w:p>
            <w:pPr>
              <w:pStyle w:val="TableContents"/>
              <w:spacing w:before="0" w:after="0"/>
              <w:ind w:left="0" w:right="0" w:hanging="0"/>
              <w:jc w:val="left"/>
              <w:rPr>
                <w:rFonts w:ascii="Times New Roman" w:hAnsi="Times New Roman"/>
                <w:sz w:val="20"/>
              </w:rPr>
            </w:pPr>
            <w:r>
              <w:rPr>
                <w:rFonts w:ascii="Times New Roman;serif" w:hAnsi="Times New Roman;serif"/>
                <w:b w:val="false"/>
                <w:sz w:val="20"/>
              </w:rPr>
              <w:t>Interest in film classified as a financial instrument</w:t>
            </w:r>
            <w:r>
              <w:rPr>
                <w:rFonts w:ascii="Times New Roman;serif" w:hAnsi="Times New Roman;serif"/>
                <w:b w:val="false"/>
                <w:sz w:val="13"/>
              </w:rPr>
              <w:t>(6)</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841" w:type="dxa"/>
            <w:tcBorders/>
            <w:shd w:fill="auto" w:val="clear"/>
            <w:vAlign w:val="center"/>
          </w:tcPr>
          <w:p>
            <w:pPr>
              <w:pStyle w:val="TableContents"/>
              <w:spacing w:before="0" w:after="0"/>
              <w:ind w:left="0" w:right="0" w:hanging="0"/>
              <w:jc w:val="right"/>
              <w:rPr/>
            </w:pPr>
            <w:r>
              <w:rPr/>
              <w:t>—</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841" w:type="dxa"/>
            <w:tcBorders/>
            <w:shd w:fill="auto" w:val="clear"/>
            <w:vAlign w:val="center"/>
          </w:tcPr>
          <w:p>
            <w:pPr>
              <w:pStyle w:val="TableContents"/>
              <w:spacing w:before="0" w:after="0"/>
              <w:ind w:left="0" w:right="0" w:hanging="0"/>
              <w:jc w:val="right"/>
              <w:rPr/>
            </w:pPr>
            <w:r>
              <w:rPr/>
              <w:t>—</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841" w:type="dxa"/>
            <w:tcBorders/>
            <w:shd w:fill="auto" w:val="clear"/>
            <w:vAlign w:val="center"/>
          </w:tcPr>
          <w:p>
            <w:pPr>
              <w:pStyle w:val="TableContents"/>
              <w:spacing w:before="0" w:after="0"/>
              <w:ind w:left="0" w:right="0" w:hanging="0"/>
              <w:jc w:val="right"/>
              <w:rPr/>
            </w:pPr>
            <w:r>
              <w:rPr/>
              <w:t>—</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841" w:type="dxa"/>
            <w:tcBorders/>
            <w:shd w:fill="auto" w:val="clear"/>
            <w:vAlign w:val="center"/>
          </w:tcPr>
          <w:p>
            <w:pPr>
              <w:pStyle w:val="TableContents"/>
              <w:spacing w:before="0" w:after="0"/>
              <w:ind w:left="0" w:right="0" w:hanging="0"/>
              <w:jc w:val="right"/>
              <w:rPr/>
            </w:pPr>
            <w:r>
              <w:rPr/>
              <w:t>—</w:t>
            </w:r>
          </w:p>
        </w:tc>
        <w:tc>
          <w:tcPr>
            <w:tcW w:w="211" w:type="dxa"/>
            <w:tcBorders/>
            <w:shd w:fill="auto" w:val="clear"/>
            <w:vAlign w:val="center"/>
          </w:tcPr>
          <w:p>
            <w:pPr>
              <w:pStyle w:val="TableContents"/>
              <w:spacing w:before="0" w:after="0"/>
              <w:ind w:left="0" w:right="0" w:hanging="0"/>
              <w:jc w:val="left"/>
              <w:rPr/>
            </w:pPr>
            <w:r>
              <w:rPr/>
              <w:t> </w:t>
            </w:r>
          </w:p>
        </w:tc>
      </w:tr>
    </w:tbl>
    <w:p>
      <w:pPr>
        <w:pStyle w:val="TextBody"/>
        <w:pBdr>
          <w:bottom w:val="single" w:sz="4" w:space="1" w:color="000000"/>
        </w:pBdr>
        <w:spacing w:before="0" w:after="0"/>
        <w:jc w:val="both"/>
        <w:rPr/>
      </w:pPr>
      <w:r>
        <w:rPr/>
        <w:t> </w:t>
      </w:r>
    </w:p>
    <w:p>
      <w:pPr>
        <w:pStyle w:val="TextBody"/>
        <w:spacing w:before="200" w:after="0"/>
        <w:jc w:val="both"/>
        <w:rPr>
          <w:rFonts w:ascii="Times New Roman" w:hAnsi="Times New Roman"/>
          <w:b w:val="false"/>
          <w:sz w:val="20"/>
        </w:rPr>
      </w:pPr>
      <w:r>
        <w:rPr>
          <w:rFonts w:ascii="Times New Roman" w:hAnsi="Times New Roman"/>
          <w:b w:val="false"/>
          <w:sz w:val="20"/>
        </w:rPr>
        <w:t>(1)</w:t>
      </w:r>
    </w:p>
    <w:p>
      <w:pPr>
        <w:pStyle w:val="TextBody"/>
        <w:spacing w:before="200" w:after="0"/>
        <w:jc w:val="both"/>
        <w:rPr>
          <w:rFonts w:ascii="Times New Roman;serif" w:hAnsi="Times New Roman;serif"/>
          <w:b w:val="false"/>
          <w:sz w:val="20"/>
        </w:rPr>
      </w:pPr>
      <w:r>
        <w:rPr>
          <w:rFonts w:ascii="Times New Roman;serif" w:hAnsi="Times New Roman;serif"/>
          <w:b w:val="false"/>
          <w:sz w:val="20"/>
        </w:rPr>
        <w:t>Recorded at cost, which approximates fair value.</w:t>
      </w:r>
    </w:p>
    <w:p>
      <w:pPr>
        <w:pStyle w:val="TextBody"/>
        <w:spacing w:before="200" w:after="0"/>
        <w:jc w:val="both"/>
        <w:rPr>
          <w:rFonts w:ascii="Times New Roman" w:hAnsi="Times New Roman"/>
          <w:b w:val="false"/>
          <w:sz w:val="20"/>
        </w:rPr>
      </w:pPr>
      <w:r>
        <w:rPr>
          <w:rFonts w:ascii="Times New Roman" w:hAnsi="Times New Roman"/>
          <w:b w:val="false"/>
          <w:sz w:val="20"/>
        </w:rPr>
        <w:t>(2)</w:t>
      </w:r>
    </w:p>
    <w:p>
      <w:pPr>
        <w:pStyle w:val="TextBody"/>
        <w:spacing w:before="200" w:after="0"/>
        <w:jc w:val="both"/>
        <w:rPr>
          <w:rFonts w:ascii="Times New Roman;serif" w:hAnsi="Times New Roman;serif"/>
          <w:b w:val="false"/>
          <w:sz w:val="20"/>
        </w:rPr>
      </w:pPr>
      <w:r>
        <w:rPr>
          <w:rFonts w:ascii="Times New Roman;serif" w:hAnsi="Times New Roman;serif"/>
          <w:b w:val="false"/>
          <w:sz w:val="20"/>
        </w:rPr>
        <w:t>Fair value is determined using quoted prices in active markets.</w:t>
      </w:r>
    </w:p>
    <w:p>
      <w:pPr>
        <w:pStyle w:val="TextBody"/>
        <w:spacing w:before="200" w:after="0"/>
        <w:jc w:val="both"/>
        <w:rPr>
          <w:rFonts w:ascii="Times New Roman" w:hAnsi="Times New Roman"/>
          <w:b w:val="false"/>
          <w:sz w:val="20"/>
        </w:rPr>
      </w:pPr>
      <w:r>
        <w:rPr>
          <w:rFonts w:ascii="Times New Roman" w:hAnsi="Times New Roman"/>
          <w:b w:val="false"/>
          <w:sz w:val="20"/>
        </w:rPr>
        <w:t>(3)</w:t>
      </w:r>
    </w:p>
    <w:p>
      <w:pPr>
        <w:pStyle w:val="TextBody"/>
        <w:spacing w:before="200" w:after="0"/>
        <w:jc w:val="both"/>
        <w:rPr>
          <w:rFonts w:ascii="Times New Roman;serif" w:hAnsi="Times New Roman;serif"/>
          <w:b w:val="false"/>
          <w:sz w:val="20"/>
        </w:rPr>
      </w:pPr>
      <w:r>
        <w:rPr>
          <w:rFonts w:ascii="Times New Roman;serif" w:hAnsi="Times New Roman;serif"/>
          <w:b w:val="false"/>
          <w:sz w:val="20"/>
        </w:rPr>
        <w:t>Fair value is estimated based on discounting future cash flows at currently available interest rates with comparable terms.</w:t>
      </w:r>
    </w:p>
    <w:p>
      <w:pPr>
        <w:pStyle w:val="TextBody"/>
        <w:spacing w:before="200" w:after="0"/>
        <w:jc w:val="both"/>
        <w:rPr>
          <w:rFonts w:ascii="Times New Roman" w:hAnsi="Times New Roman"/>
          <w:b w:val="false"/>
          <w:sz w:val="20"/>
        </w:rPr>
      </w:pPr>
      <w:r>
        <w:rPr>
          <w:rFonts w:ascii="Times New Roman" w:hAnsi="Times New Roman"/>
          <w:b w:val="false"/>
          <w:sz w:val="20"/>
        </w:rPr>
        <w:t>(4)</w:t>
      </w:r>
    </w:p>
    <w:p>
      <w:pPr>
        <w:pStyle w:val="TextBody"/>
        <w:spacing w:before="200" w:after="0"/>
        <w:jc w:val="both"/>
        <w:rPr>
          <w:rFonts w:ascii="Times New Roman;serif" w:hAnsi="Times New Roman;serif"/>
          <w:b w:val="false"/>
          <w:sz w:val="20"/>
        </w:rPr>
      </w:pPr>
      <w:r>
        <w:rPr>
          <w:rFonts w:ascii="Times New Roman;serif" w:hAnsi="Times New Roman;serif"/>
          <w:b w:val="false"/>
          <w:sz w:val="20"/>
        </w:rPr>
        <w:t>Measured at cash surrender value, which approximates fair value.</w:t>
      </w:r>
    </w:p>
    <w:p>
      <w:pPr>
        <w:pStyle w:val="TextBody"/>
        <w:spacing w:before="200" w:after="0"/>
        <w:jc w:val="both"/>
        <w:rPr>
          <w:rFonts w:ascii="Times New Roman" w:hAnsi="Times New Roman"/>
          <w:b w:val="false"/>
          <w:sz w:val="20"/>
        </w:rPr>
      </w:pPr>
      <w:r>
        <w:rPr>
          <w:rFonts w:ascii="Times New Roman" w:hAnsi="Times New Roman"/>
          <w:b w:val="false"/>
          <w:sz w:val="20"/>
        </w:rPr>
        <w:t>(5)</w:t>
      </w:r>
    </w:p>
    <w:p>
      <w:pPr>
        <w:pStyle w:val="TextBody"/>
        <w:spacing w:before="200" w:after="283"/>
        <w:jc w:val="both"/>
        <w:rPr>
          <w:rFonts w:ascii="Times New Roman;serif" w:hAnsi="Times New Roman;serif"/>
          <w:b w:val="false"/>
          <w:sz w:val="20"/>
        </w:rPr>
      </w:pPr>
      <w:r>
        <w:rPr>
          <w:rFonts w:ascii="Times New Roman;serif" w:hAnsi="Times New Roman;serif"/>
          <w:b w:val="false"/>
          <w:sz w:val="20"/>
        </w:rPr>
        <w:t>Fair value is determined using quoted market prices that are observable in the market or that could be derived from observable market data.</w:t>
      </w:r>
    </w:p>
    <w:p>
      <w:pPr>
        <w:pStyle w:val="TextBody"/>
        <w:spacing w:before="240" w:after="0"/>
        <w:jc w:val="center"/>
        <w:rPr>
          <w:rFonts w:ascii="Times New Roman;serif" w:hAnsi="Times New Roman;serif"/>
          <w:b w:val="false"/>
          <w:sz w:val="20"/>
        </w:rPr>
      </w:pPr>
      <w:r>
        <w:rPr>
          <w:rFonts w:ascii="Times New Roman;serif" w:hAnsi="Times New Roman;serif"/>
          <w:b w:val="false"/>
          <w:sz w:val="20"/>
        </w:rPr>
        <w:t>36</w:t>
      </w:r>
    </w:p>
    <w:p>
      <w:pPr>
        <w:pStyle w:val="HorizontalLine"/>
        <w:rPr/>
      </w:pPr>
      <w:r>
        <w:rPr/>
      </w:r>
    </w:p>
    <w:p>
      <w:pPr>
        <w:pStyle w:val="TextBody"/>
        <w:spacing w:before="0" w:after="0"/>
        <w:jc w:val="left"/>
        <w:rPr/>
      </w:pPr>
      <w:r>
        <w:rPr/>
        <w:t> </w:t>
      </w:r>
    </w:p>
    <w:p>
      <w:pPr>
        <w:pStyle w:val="TextBody"/>
        <w:spacing w:before="200" w:after="0"/>
        <w:jc w:val="both"/>
        <w:rPr>
          <w:rFonts w:ascii="Times New Roman" w:hAnsi="Times New Roman"/>
          <w:b w:val="false"/>
          <w:sz w:val="20"/>
        </w:rPr>
      </w:pPr>
      <w:r>
        <w:rPr>
          <w:rFonts w:ascii="Times New Roman" w:hAnsi="Times New Roman"/>
          <w:b w:val="false"/>
          <w:sz w:val="20"/>
        </w:rPr>
        <w:t>(6)</w:t>
      </w:r>
    </w:p>
    <w:p>
      <w:pPr>
        <w:pStyle w:val="TextBody"/>
        <w:spacing w:before="200" w:after="0"/>
        <w:jc w:val="both"/>
        <w:rPr>
          <w:rFonts w:ascii="Times New Roman;serif" w:hAnsi="Times New Roman;serif"/>
          <w:b w:val="false"/>
          <w:sz w:val="20"/>
        </w:rPr>
      </w:pPr>
      <w:r>
        <w:rPr>
          <w:rFonts w:ascii="Times New Roman;serif" w:hAnsi="Times New Roman;serif"/>
          <w:b w:val="false"/>
          <w:sz w:val="20"/>
        </w:rPr>
        <w:t>Recorded at amortized cost less impairment losses. Inputs used in the calculation of estimated fair value include management’s projection of future box office and ancillary receipts for the film net of distribution costs and other costs in accordance with the investment agreement. See 15(e) below.</w:t>
      </w:r>
    </w:p>
    <w:p>
      <w:pPr>
        <w:pStyle w:val="TextBody"/>
        <w:spacing w:before="200" w:after="0"/>
        <w:jc w:val="both"/>
        <w:rPr>
          <w:rFonts w:ascii="Times New Roman" w:hAnsi="Times New Roman"/>
          <w:b/>
          <w:i/>
          <w:sz w:val="20"/>
        </w:rPr>
      </w:pPr>
      <w:r>
        <w:rPr>
          <w:rFonts w:ascii="Times New Roman" w:hAnsi="Times New Roman"/>
          <w:b/>
          <w:i/>
          <w:sz w:val="20"/>
        </w:rPr>
        <w:t>(c)</w:t>
      </w:r>
    </w:p>
    <w:p>
      <w:pPr>
        <w:pStyle w:val="TextBody"/>
        <w:spacing w:before="200" w:after="283"/>
        <w:jc w:val="both"/>
        <w:rPr>
          <w:rFonts w:ascii="Times New Roman;serif" w:hAnsi="Times New Roman;serif"/>
          <w:b/>
          <w:i/>
          <w:sz w:val="20"/>
        </w:rPr>
      </w:pPr>
      <w:r>
        <w:rPr>
          <w:rFonts w:ascii="Times New Roman;serif" w:hAnsi="Times New Roman;serif"/>
          <w:b/>
          <w:i/>
          <w:sz w:val="20"/>
        </w:rPr>
        <w:t>Foreign Exchange Risk Management</w:t>
      </w:r>
    </w:p>
    <w:p>
      <w:pPr>
        <w:pStyle w:val="TextBody"/>
        <w:spacing w:before="200" w:after="0"/>
        <w:jc w:val="both"/>
        <w:rPr>
          <w:rFonts w:ascii="Times New Roman" w:hAnsi="Times New Roman"/>
          <w:sz w:val="20"/>
        </w:rPr>
      </w:pPr>
      <w:r>
        <w:rPr>
          <w:rFonts w:ascii="Times New Roman;serif" w:hAnsi="Times New Roman;serif"/>
          <w:b w:val="false"/>
          <w:sz w:val="20"/>
        </w:rPr>
        <w:t>The Company is exposed to market risk from changes in foreign currency rates.</w:t>
      </w:r>
      <w:r>
        <w:rPr>
          <w:rFonts w:ascii="Times New Roman" w:hAnsi="Times New Roman"/>
          <w:sz w:val="20"/>
        </w:rPr>
        <w:t xml:space="preserve"> </w:t>
      </w:r>
    </w:p>
    <w:p>
      <w:pPr>
        <w:pStyle w:val="TextBody"/>
        <w:spacing w:before="200" w:after="0"/>
        <w:jc w:val="both"/>
        <w:rPr>
          <w:rFonts w:ascii="Times New Roman" w:hAnsi="Times New Roman"/>
          <w:sz w:val="20"/>
        </w:rPr>
      </w:pPr>
      <w:r>
        <w:rPr>
          <w:rFonts w:ascii="Times New Roman;serif" w:hAnsi="Times New Roman;serif"/>
          <w:b w:val="false"/>
          <w:sz w:val="20"/>
        </w:rPr>
        <w:t>A majority of the Company’s revenues is denominated in U.S. Dollars while a significant portion of its costs and expenses is denominated in Canadian Dollars. A portion of the Company’s net U.S. Dollar cash is converted to Canadian Dollars to fund Canadian Dollar expenses through the spot market. In China and Japan, the Company has ongoing operating expenses related to its operations in RMB and Japanese Yen, respectively. Net cash flows are converted to and from U.S. Dollars through the spot market. The Company also has cash receipts under leases denominated in RMB, Japanese Yen, Canadian Dollars and Euros which are converted to U.S. Dollars through the spot market. In addition, because IMAX films generate box office in 87</w:t>
      </w:r>
      <w:r>
        <w:rPr>
          <w:rFonts w:ascii="Times New Roman" w:hAnsi="Times New Roman"/>
          <w:sz w:val="20"/>
        </w:rPr>
        <w:t xml:space="preserve"> </w:t>
      </w:r>
      <w:r>
        <w:rPr>
          <w:rFonts w:ascii="Times New Roman;serif" w:hAnsi="Times New Roman;serif"/>
          <w:b w:val="false"/>
          <w:sz w:val="20"/>
        </w:rPr>
        <w:t>different countries, unfavorable exchange rates between applicable local currencies and the U.S. Dollar could have an impact on box-office receipts and the Company’s revenues and results of operations. The Company’s policy is to not use any financial instruments for trading or other speculative purposes.</w:t>
      </w:r>
      <w:r>
        <w:rPr>
          <w:rFonts w:ascii="Times New Roman" w:hAnsi="Times New Roman"/>
          <w:sz w:val="20"/>
        </w:rPr>
        <w:t xml:space="preserve"> </w:t>
      </w:r>
    </w:p>
    <w:p>
      <w:pPr>
        <w:pStyle w:val="TextBody"/>
        <w:spacing w:before="200" w:after="0"/>
        <w:jc w:val="both"/>
        <w:rPr>
          <w:rFonts w:ascii="Times New Roman" w:hAnsi="Times New Roman"/>
          <w:sz w:val="20"/>
        </w:rPr>
      </w:pPr>
      <w:r>
        <w:rPr>
          <w:rFonts w:ascii="Times New Roman;serif" w:hAnsi="Times New Roman;serif"/>
          <w:b w:val="false"/>
          <w:sz w:val="20"/>
        </w:rPr>
        <w:t>The Company has entered into a series of foreign currency forward contracts to manage the risks associated with the volatility of foreign currencies. Certain of these foreign currency forward contracts met the criteria required for hedge accounting under the Derivatives and Hedging Topic of the FASB ASC at inception, and continue to meet hedge effectiveness tests as of March 31, 2023</w:t>
      </w:r>
      <w:r>
        <w:rPr>
          <w:rFonts w:ascii="Times New Roman" w:hAnsi="Times New Roman"/>
          <w:sz w:val="20"/>
        </w:rPr>
        <w:t xml:space="preserve"> </w:t>
      </w:r>
      <w:r>
        <w:rPr>
          <w:rFonts w:ascii="Times New Roman;serif" w:hAnsi="Times New Roman;serif"/>
          <w:b w:val="false"/>
          <w:sz w:val="20"/>
        </w:rPr>
        <w:t>(the “Foreign Currency Hedges”), with settlement dates throughout 2023 and 2024. Foreign currency derivatives are recognized and measured in the Condensed Consolidated Balance Sheets at fair value. Changes in the fair value (i.e., gains or losses) are recognized in the Condensed Consolidated Statements of Operations except for derivatives designated and qualifying as foreign currency cash flow hedging instruments. The Company currently has cash flow hedging instruments associated with Selling, General and Administrative Expenses. For foreign currency cash flow hedging instruments related to Selling, General and Administrative Expenses, the effective portion of the gain or loss in a hedge of a forecasted transaction is reported in Accumulated Other Comprehensive (Loss) Income (“AOCI”) and reclassified to the Condensed Consolidated Statements of Operations when the forecasted transaction occurs. Any ineffective portion is recognized immediately in the Condensed Consolidated Statements of Operations.</w:t>
      </w:r>
    </w:p>
    <w:p>
      <w:pPr>
        <w:pStyle w:val="TextBody"/>
        <w:spacing w:before="200" w:after="0"/>
        <w:jc w:val="both"/>
        <w:rPr>
          <w:rFonts w:ascii="Times New Roman" w:hAnsi="Times New Roman"/>
          <w:sz w:val="20"/>
        </w:rPr>
      </w:pPr>
      <w:r>
        <w:rPr>
          <w:rFonts w:ascii="Times New Roman;serif" w:hAnsi="Times New Roman;serif"/>
          <w:b w:val="false"/>
          <w:sz w:val="20"/>
        </w:rPr>
        <w:t>The notional value of foreign currency cash flow hedging instruments that qualify for hedge accounting as of March 31, 2023 was $34.4</w:t>
      </w:r>
      <w:r>
        <w:rPr>
          <w:rFonts w:ascii="Times New Roman" w:hAnsi="Times New Roman"/>
          <w:sz w:val="20"/>
        </w:rPr>
        <w:t xml:space="preserve"> </w:t>
      </w:r>
      <w:r>
        <w:rPr>
          <w:rFonts w:ascii="Times New Roman;serif" w:hAnsi="Times New Roman;serif"/>
          <w:b w:val="false"/>
          <w:sz w:val="20"/>
        </w:rPr>
        <w:t>million</w:t>
      </w:r>
      <w:r>
        <w:rPr>
          <w:rFonts w:ascii="Times New Roman" w:hAnsi="Times New Roman"/>
          <w:sz w:val="20"/>
        </w:rPr>
        <w:t xml:space="preserve"> </w:t>
      </w:r>
      <w:r>
        <w:rPr>
          <w:rFonts w:ascii="Times New Roman;serif" w:hAnsi="Times New Roman;serif"/>
          <w:b w:val="false"/>
          <w:sz w:val="20"/>
        </w:rPr>
        <w:t>(December 31, 2022</w:t>
      </w:r>
      <w:r>
        <w:rPr>
          <w:rFonts w:ascii="Times New Roman" w:hAnsi="Times New Roman"/>
          <w:sz w:val="20"/>
        </w:rPr>
        <w:t xml:space="preserve"> — </w:t>
      </w:r>
      <w:r>
        <w:rPr>
          <w:rFonts w:ascii="Times New Roman;serif" w:hAnsi="Times New Roman;serif"/>
          <w:b w:val="false"/>
          <w:sz w:val="20"/>
        </w:rPr>
        <w:t>$24.7</w:t>
      </w:r>
      <w:r>
        <w:rPr>
          <w:rFonts w:ascii="Times New Roman" w:hAnsi="Times New Roman"/>
          <w:sz w:val="20"/>
        </w:rPr>
        <w:t xml:space="preserve"> </w:t>
      </w:r>
      <w:r>
        <w:rPr>
          <w:rFonts w:ascii="Times New Roman;serif" w:hAnsi="Times New Roman;serif"/>
          <w:b w:val="false"/>
          <w:sz w:val="20"/>
        </w:rPr>
        <w:t>million). The Company currently does not hold any derivatives which are not designated as hedging instruments.</w:t>
      </w:r>
      <w:r>
        <w:rPr>
          <w:rFonts w:ascii="Times New Roman" w:hAnsi="Times New Roman"/>
          <w:sz w:val="20"/>
        </w:rPr>
        <w:t xml:space="preserve"> </w:t>
      </w:r>
    </w:p>
    <w:p>
      <w:pPr>
        <w:pStyle w:val="TextBody"/>
        <w:spacing w:before="200" w:after="0"/>
        <w:jc w:val="both"/>
        <w:rPr>
          <w:rFonts w:ascii="Times New Roman;serif" w:hAnsi="Times New Roman;serif"/>
          <w:b w:val="false"/>
          <w:sz w:val="20"/>
        </w:rPr>
      </w:pPr>
      <w:r>
        <w:rPr>
          <w:rFonts w:ascii="Times New Roman;serif" w:hAnsi="Times New Roman;serif"/>
          <w:b w:val="false"/>
          <w:sz w:val="20"/>
        </w:rPr>
        <w:t>The following tabular disclosures reflect the impact that derivative instruments and hedging activities have on the Company’s Condensed Consolidated Financial Statements:</w:t>
      </w:r>
    </w:p>
    <w:p>
      <w:pPr>
        <w:pStyle w:val="TextBody"/>
        <w:spacing w:before="200" w:after="200"/>
        <w:jc w:val="both"/>
        <w:rPr>
          <w:rFonts w:ascii="Times New Roman" w:hAnsi="Times New Roman"/>
          <w:sz w:val="20"/>
        </w:rPr>
      </w:pPr>
      <w:r>
        <w:rPr>
          <w:rFonts w:ascii="Times New Roman;serif" w:hAnsi="Times New Roman;serif"/>
          <w:b w:val="false"/>
          <w:sz w:val="20"/>
          <w:u w:val="single"/>
        </w:rPr>
        <w:t>Fair value of derivatives in foreign exchange contracts</w:t>
      </w:r>
      <w:r>
        <w:rPr>
          <w:rFonts w:ascii="Times New Roman;serif" w:hAnsi="Times New Roman;serif"/>
          <w:b w:val="false"/>
          <w:sz w:val="20"/>
        </w:rPr>
        <w:t>:</w:t>
      </w:r>
    </w:p>
    <w:tbl>
      <w:tblPr>
        <w:tblW w:w="9222" w:type="dxa"/>
        <w:jc w:val="left"/>
        <w:tblInd w:w="0" w:type="dxa"/>
        <w:tblCellMar>
          <w:top w:w="28" w:type="dxa"/>
          <w:left w:w="28" w:type="dxa"/>
          <w:bottom w:w="28" w:type="dxa"/>
          <w:right w:w="28" w:type="dxa"/>
        </w:tblCellMar>
      </w:tblPr>
      <w:tblGrid>
        <w:gridCol w:w="3961"/>
        <w:gridCol w:w="146"/>
        <w:gridCol w:w="2416"/>
        <w:gridCol w:w="146"/>
        <w:gridCol w:w="261"/>
        <w:gridCol w:w="594"/>
        <w:gridCol w:w="166"/>
        <w:gridCol w:w="146"/>
        <w:gridCol w:w="333"/>
        <w:gridCol w:w="762"/>
        <w:gridCol w:w="291"/>
      </w:tblGrid>
      <w:tr>
        <w:trPr/>
        <w:tc>
          <w:tcPr>
            <w:tcW w:w="3961"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41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61" w:type="dxa"/>
            <w:tcBorders/>
            <w:shd w:fill="auto" w:val="clear"/>
            <w:vAlign w:val="center"/>
          </w:tcPr>
          <w:p>
            <w:pPr>
              <w:pStyle w:val="TableContents"/>
              <w:spacing w:before="0" w:after="283"/>
              <w:rPr>
                <w:sz w:val="4"/>
                <w:szCs w:val="4"/>
              </w:rPr>
            </w:pPr>
            <w:r>
              <w:rPr>
                <w:sz w:val="4"/>
                <w:szCs w:val="4"/>
              </w:rPr>
            </w:r>
          </w:p>
        </w:tc>
        <w:tc>
          <w:tcPr>
            <w:tcW w:w="594" w:type="dxa"/>
            <w:tcBorders/>
            <w:shd w:fill="auto" w:val="clear"/>
            <w:vAlign w:val="center"/>
          </w:tcPr>
          <w:p>
            <w:pPr>
              <w:pStyle w:val="TableContents"/>
              <w:spacing w:before="0" w:after="283"/>
              <w:rPr>
                <w:sz w:val="4"/>
                <w:szCs w:val="4"/>
              </w:rPr>
            </w:pPr>
            <w:r>
              <w:rPr>
                <w:sz w:val="4"/>
                <w:szCs w:val="4"/>
              </w:rPr>
            </w:r>
          </w:p>
        </w:tc>
        <w:tc>
          <w:tcPr>
            <w:tcW w:w="16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333" w:type="dxa"/>
            <w:tcBorders/>
            <w:shd w:fill="auto" w:val="clear"/>
            <w:vAlign w:val="center"/>
          </w:tcPr>
          <w:p>
            <w:pPr>
              <w:pStyle w:val="TableContents"/>
              <w:spacing w:before="0" w:after="283"/>
              <w:rPr>
                <w:sz w:val="4"/>
                <w:szCs w:val="4"/>
              </w:rPr>
            </w:pPr>
            <w:r>
              <w:rPr>
                <w:sz w:val="4"/>
                <w:szCs w:val="4"/>
              </w:rPr>
            </w:r>
          </w:p>
        </w:tc>
        <w:tc>
          <w:tcPr>
            <w:tcW w:w="762" w:type="dxa"/>
            <w:tcBorders/>
            <w:shd w:fill="auto" w:val="clear"/>
            <w:vAlign w:val="center"/>
          </w:tcPr>
          <w:p>
            <w:pPr>
              <w:pStyle w:val="TableContents"/>
              <w:spacing w:before="0" w:after="283"/>
              <w:rPr>
                <w:sz w:val="4"/>
                <w:szCs w:val="4"/>
              </w:rPr>
            </w:pPr>
            <w:r>
              <w:rPr>
                <w:sz w:val="4"/>
                <w:szCs w:val="4"/>
              </w:rPr>
            </w:r>
          </w:p>
        </w:tc>
        <w:tc>
          <w:tcPr>
            <w:tcW w:w="291" w:type="dxa"/>
            <w:tcBorders/>
            <w:shd w:fill="auto" w:val="clear"/>
            <w:vAlign w:val="center"/>
          </w:tcPr>
          <w:p>
            <w:pPr>
              <w:pStyle w:val="TableContents"/>
              <w:spacing w:before="0" w:after="283"/>
              <w:rPr>
                <w:sz w:val="4"/>
                <w:szCs w:val="4"/>
              </w:rPr>
            </w:pPr>
            <w:r>
              <w:rPr>
                <w:sz w:val="4"/>
                <w:szCs w:val="4"/>
              </w:rPr>
            </w:r>
          </w:p>
        </w:tc>
      </w:tr>
      <w:tr>
        <w:trPr/>
        <w:tc>
          <w:tcPr>
            <w:tcW w:w="396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416"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855" w:type="dxa"/>
            <w:gridSpan w:val="2"/>
            <w:tcBorders/>
            <w:shd w:fill="auto" w:val="cle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March 31,</w:t>
            </w:r>
          </w:p>
        </w:tc>
        <w:tc>
          <w:tcPr>
            <w:tcW w:w="166"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095" w:type="dxa"/>
            <w:gridSpan w:val="2"/>
            <w:tcBorders/>
            <w:shd w:fill="auto" w:val="cle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December 31,</w:t>
            </w:r>
          </w:p>
        </w:tc>
        <w:tc>
          <w:tcPr>
            <w:tcW w:w="291" w:type="dxa"/>
            <w:tcBorders/>
            <w:shd w:fill="auto" w:val="clear"/>
            <w:vAlign w:val="center"/>
          </w:tcPr>
          <w:p>
            <w:pPr>
              <w:pStyle w:val="TableContents"/>
              <w:spacing w:before="0" w:after="0"/>
              <w:ind w:left="0" w:right="0" w:hanging="0"/>
              <w:jc w:val="center"/>
              <w:rPr/>
            </w:pPr>
            <w:r>
              <w:rPr/>
              <w:t> </w:t>
            </w:r>
          </w:p>
        </w:tc>
      </w:tr>
      <w:tr>
        <w:trPr/>
        <w:tc>
          <w:tcPr>
            <w:tcW w:w="3961" w:type="dxa"/>
            <w:tcBorders/>
            <w:shd w:fill="auto" w:val="clear"/>
            <w:vAlign w:val="center"/>
          </w:tcPr>
          <w:p>
            <w:pPr>
              <w:pStyle w:val="TableContents"/>
              <w:spacing w:before="0" w:after="0"/>
              <w:ind w:left="0" w:right="0" w:hanging="0"/>
              <w:jc w:val="left"/>
              <w:rPr>
                <w:rFonts w:ascii="Times New Roman;serif" w:hAnsi="Times New Roman;serif"/>
                <w:b w:val="false"/>
                <w:i/>
                <w:sz w:val="16"/>
              </w:rPr>
            </w:pPr>
            <w:r>
              <w:rPr>
                <w:rFonts w:ascii="Times New Roman;serif" w:hAnsi="Times New Roman;serif"/>
                <w:b w:val="false"/>
                <w:i/>
                <w:sz w:val="16"/>
              </w:rPr>
              <w:t>(In thousands of U.S. Dollars)</w:t>
            </w:r>
          </w:p>
        </w:tc>
        <w:tc>
          <w:tcPr>
            <w:tcW w:w="146" w:type="dxa"/>
            <w:tcBorders/>
            <w:shd w:fill="auto" w:val="clear"/>
            <w:vAlign w:val="center"/>
          </w:tcPr>
          <w:p>
            <w:pPr>
              <w:pStyle w:val="TableContents"/>
              <w:spacing w:before="0" w:after="0"/>
              <w:ind w:left="0" w:right="0" w:hanging="0"/>
              <w:jc w:val="left"/>
              <w:rPr/>
            </w:pPr>
            <w:r>
              <w:rPr/>
              <w:t> </w:t>
            </w:r>
          </w:p>
        </w:tc>
        <w:tc>
          <w:tcPr>
            <w:tcW w:w="241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sz w:val="16"/>
              </w:rPr>
            </w:pPr>
            <w:r>
              <w:rPr>
                <w:rFonts w:ascii="Times New Roman;serif" w:hAnsi="Times New Roman;serif"/>
                <w:b/>
                <w:sz w:val="16"/>
              </w:rPr>
              <w:t>Balance Sheet Location</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pPr>
            <w:r>
              <w:rPr/>
              <w:t> </w:t>
            </w:r>
          </w:p>
        </w:tc>
        <w:tc>
          <w:tcPr>
            <w:tcW w:w="855"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2023</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095"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2022</w:t>
            </w:r>
          </w:p>
        </w:tc>
        <w:tc>
          <w:tcPr>
            <w:tcW w:w="2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396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Derivatives designated as hedging instruments:</w:t>
            </w:r>
          </w:p>
        </w:tc>
        <w:tc>
          <w:tcPr>
            <w:tcW w:w="146" w:type="dxa"/>
            <w:tcBorders/>
            <w:shd w:fill="auto" w:val="clear"/>
            <w:vAlign w:val="center"/>
          </w:tcPr>
          <w:p>
            <w:pPr>
              <w:pStyle w:val="TableContents"/>
              <w:spacing w:before="0" w:after="0"/>
              <w:ind w:left="0" w:right="0" w:hanging="0"/>
              <w:jc w:val="left"/>
              <w:rPr/>
            </w:pPr>
            <w:r>
              <w:rPr/>
              <w:t> </w:t>
            </w:r>
          </w:p>
        </w:tc>
        <w:tc>
          <w:tcPr>
            <w:tcW w:w="241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855" w:type="dxa"/>
            <w:gridSpan w:val="2"/>
            <w:tcBorders/>
            <w:shd w:fill="auto" w:val="clear"/>
            <w:vAlign w:val="center"/>
          </w:tcPr>
          <w:p>
            <w:pPr>
              <w:pStyle w:val="TableContents"/>
              <w:spacing w:before="0" w:after="0"/>
              <w:ind w:left="0" w:right="0" w:hanging="0"/>
              <w:jc w:val="right"/>
              <w:rPr/>
            </w:pPr>
            <w:r>
              <w:rPr/>
              <w:t> </w:t>
            </w:r>
          </w:p>
        </w:tc>
        <w:tc>
          <w:tcPr>
            <w:tcW w:w="16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095" w:type="dxa"/>
            <w:gridSpan w:val="2"/>
            <w:tcBorders/>
            <w:shd w:fill="auto" w:val="clear"/>
            <w:vAlign w:val="center"/>
          </w:tcPr>
          <w:p>
            <w:pPr>
              <w:pStyle w:val="TableContents"/>
              <w:spacing w:before="0" w:after="0"/>
              <w:ind w:left="0" w:right="0" w:hanging="0"/>
              <w:jc w:val="right"/>
              <w:rPr/>
            </w:pPr>
            <w:r>
              <w:rPr/>
              <w:t> </w:t>
            </w:r>
          </w:p>
        </w:tc>
        <w:tc>
          <w:tcPr>
            <w:tcW w:w="291" w:type="dxa"/>
            <w:tcBorders/>
            <w:shd w:fill="auto" w:val="clear"/>
            <w:vAlign w:val="center"/>
          </w:tcPr>
          <w:p>
            <w:pPr>
              <w:pStyle w:val="TableContents"/>
              <w:spacing w:before="0" w:after="0"/>
              <w:ind w:left="0" w:right="0" w:firstLine="100"/>
              <w:jc w:val="right"/>
              <w:rPr/>
            </w:pPr>
            <w:r>
              <w:rPr/>
              <w:t> </w:t>
            </w:r>
          </w:p>
        </w:tc>
      </w:tr>
      <w:tr>
        <w:trPr/>
        <w:tc>
          <w:tcPr>
            <w:tcW w:w="3961" w:type="dxa"/>
            <w:tcBorders/>
            <w:shd w:fill="auto" w:val="clear"/>
            <w:vAlign w:val="center"/>
          </w:tcPr>
          <w:p>
            <w:pPr>
              <w:pStyle w:val="TableContents"/>
              <w:spacing w:before="0" w:after="0"/>
              <w:ind w:left="100" w:right="0" w:hanging="0"/>
              <w:jc w:val="left"/>
              <w:rPr>
                <w:rFonts w:ascii="Times New Roman;serif" w:hAnsi="Times New Roman;serif"/>
                <w:b w:val="false"/>
                <w:sz w:val="20"/>
              </w:rPr>
            </w:pPr>
            <w:r>
              <w:rPr>
                <w:rFonts w:ascii="Times New Roman;serif" w:hAnsi="Times New Roman;serif"/>
                <w:b w:val="false"/>
                <w:sz w:val="20"/>
              </w:rPr>
              <w:t>Foreign exchange contracts — Forwards</w:t>
            </w:r>
          </w:p>
        </w:tc>
        <w:tc>
          <w:tcPr>
            <w:tcW w:w="146" w:type="dxa"/>
            <w:tcBorders/>
            <w:shd w:fill="auto" w:val="clear"/>
            <w:vAlign w:val="center"/>
          </w:tcPr>
          <w:p>
            <w:pPr>
              <w:pStyle w:val="TableContents"/>
              <w:spacing w:before="0" w:after="0"/>
              <w:ind w:left="0" w:right="0" w:hanging="0"/>
              <w:jc w:val="left"/>
              <w:rPr/>
            </w:pPr>
            <w:r>
              <w:rPr/>
              <w:t> </w:t>
            </w:r>
          </w:p>
        </w:tc>
        <w:tc>
          <w:tcPr>
            <w:tcW w:w="241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Other assets</w:t>
            </w:r>
          </w:p>
        </w:tc>
        <w:tc>
          <w:tcPr>
            <w:tcW w:w="146" w:type="dxa"/>
            <w:tcBorders/>
            <w:shd w:fill="auto" w:val="clear"/>
            <w:vAlign w:val="center"/>
          </w:tcPr>
          <w:p>
            <w:pPr>
              <w:pStyle w:val="TableContents"/>
              <w:spacing w:before="0" w:after="0"/>
              <w:ind w:left="0" w:right="0" w:hanging="0"/>
              <w:jc w:val="right"/>
              <w:rPr/>
            </w:pPr>
            <w:r>
              <w:rPr/>
              <w:t> </w:t>
            </w:r>
          </w:p>
        </w:tc>
        <w:tc>
          <w:tcPr>
            <w:tcW w:w="26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594"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193</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333"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62"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50</w:t>
            </w:r>
          </w:p>
        </w:tc>
        <w:tc>
          <w:tcPr>
            <w:tcW w:w="291" w:type="dxa"/>
            <w:tcBorders/>
            <w:shd w:fill="auto" w:val="clear"/>
            <w:vAlign w:val="center"/>
          </w:tcPr>
          <w:p>
            <w:pPr>
              <w:pStyle w:val="TableContents"/>
              <w:spacing w:before="0" w:after="0"/>
              <w:ind w:left="0" w:right="0" w:firstLine="100"/>
              <w:jc w:val="left"/>
              <w:rPr/>
            </w:pPr>
            <w:r>
              <w:rPr/>
              <w:t> </w:t>
            </w:r>
          </w:p>
        </w:tc>
      </w:tr>
      <w:tr>
        <w:trPr/>
        <w:tc>
          <w:tcPr>
            <w:tcW w:w="3961" w:type="dxa"/>
            <w:tcBorders/>
            <w:shd w:fill="auto" w:val="clear"/>
            <w:vAlign w:val="center"/>
          </w:tcPr>
          <w:p>
            <w:pPr>
              <w:pStyle w:val="TableContents"/>
              <w:spacing w:before="0" w:after="283"/>
              <w:ind w:left="0" w:right="0" w:firstLine="100"/>
              <w:rPr>
                <w:sz w:val="4"/>
                <w:szCs w:val="4"/>
              </w:rPr>
            </w:pPr>
            <w:r>
              <w:rPr>
                <w:sz w:val="4"/>
                <w:szCs w:val="4"/>
              </w:rPr>
            </w:r>
          </w:p>
        </w:tc>
        <w:tc>
          <w:tcPr>
            <w:tcW w:w="146" w:type="dxa"/>
            <w:tcBorders/>
            <w:shd w:fill="auto" w:val="clear"/>
            <w:vAlign w:val="center"/>
          </w:tcPr>
          <w:p>
            <w:pPr>
              <w:pStyle w:val="TableContents"/>
              <w:spacing w:before="0" w:after="0"/>
              <w:ind w:left="0" w:right="0" w:hanging="0"/>
              <w:jc w:val="left"/>
              <w:rPr/>
            </w:pPr>
            <w:r>
              <w:rPr/>
              <w:t> </w:t>
            </w:r>
          </w:p>
        </w:tc>
        <w:tc>
          <w:tcPr>
            <w:tcW w:w="241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Accrued and other liabilities</w:t>
            </w:r>
          </w:p>
        </w:tc>
        <w:tc>
          <w:tcPr>
            <w:tcW w:w="146" w:type="dxa"/>
            <w:tcBorders/>
            <w:shd w:fill="auto" w:val="clear"/>
            <w:vAlign w:val="center"/>
          </w:tcPr>
          <w:p>
            <w:pPr>
              <w:pStyle w:val="TableContents"/>
              <w:spacing w:before="0" w:after="0"/>
              <w:ind w:left="0" w:right="0" w:hanging="0"/>
              <w:jc w:val="right"/>
              <w:rPr/>
            </w:pPr>
            <w:r>
              <w:rPr/>
              <w:t> </w:t>
            </w:r>
          </w:p>
        </w:tc>
        <w:tc>
          <w:tcPr>
            <w:tcW w:w="261" w:type="dxa"/>
            <w:tcBorders/>
            <w:shd w:fill="auto" w:val="clear"/>
            <w:vAlign w:val="center"/>
          </w:tcPr>
          <w:p>
            <w:pPr>
              <w:pStyle w:val="TableContents"/>
              <w:spacing w:before="0" w:after="0"/>
              <w:ind w:left="0" w:right="0" w:hanging="0"/>
              <w:jc w:val="left"/>
              <w:rPr/>
            </w:pPr>
            <w:r>
              <w:rPr/>
              <w:t> </w:t>
            </w:r>
          </w:p>
        </w:tc>
        <w:tc>
          <w:tcPr>
            <w:tcW w:w="594"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(369</w:t>
            </w:r>
          </w:p>
        </w:tc>
        <w:tc>
          <w:tcPr>
            <w:tcW w:w="16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shd w:fill="auto" w:val="clear"/>
            <w:vAlign w:val="center"/>
          </w:tcPr>
          <w:p>
            <w:pPr>
              <w:pStyle w:val="TableContents"/>
              <w:spacing w:before="0" w:after="0"/>
              <w:ind w:left="0" w:right="0" w:hanging="0"/>
              <w:jc w:val="right"/>
              <w:rPr/>
            </w:pPr>
            <w:r>
              <w:rPr/>
              <w:t> </w:t>
            </w:r>
          </w:p>
        </w:tc>
        <w:tc>
          <w:tcPr>
            <w:tcW w:w="333" w:type="dxa"/>
            <w:tcBorders/>
            <w:shd w:fill="auto" w:val="clear"/>
            <w:vAlign w:val="center"/>
          </w:tcPr>
          <w:p>
            <w:pPr>
              <w:pStyle w:val="TableContents"/>
              <w:spacing w:before="0" w:after="0"/>
              <w:ind w:left="0" w:right="0" w:hanging="0"/>
              <w:jc w:val="left"/>
              <w:rPr/>
            </w:pPr>
            <w:r>
              <w:rPr/>
              <w:t> </w:t>
            </w:r>
          </w:p>
        </w:tc>
        <w:tc>
          <w:tcPr>
            <w:tcW w:w="762"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(699</w:t>
            </w:r>
          </w:p>
        </w:tc>
        <w:tc>
          <w:tcPr>
            <w:tcW w:w="29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396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41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261" w:type="dxa"/>
            <w:tcBorders>
              <w:top w:val="single" w:sz="4" w:space="0" w:color="000000"/>
              <w:bottom w:val="double" w:sz="6" w:space="0" w:color="000000"/>
            </w:tcBorders>
            <w:shd w:fill="auto" w:val="clear"/>
            <w:tcMar>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594" w:type="dxa"/>
            <w:tcBorders>
              <w:top w:val="single" w:sz="4" w:space="0" w:color="000000"/>
              <w:bottom w:val="double" w:sz="6" w:space="0" w:color="000000"/>
            </w:tcBorders>
            <w:shd w:fill="auto" w:val="clear"/>
            <w:tcMar>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(176</w:t>
            </w:r>
          </w:p>
        </w:tc>
        <w:tc>
          <w:tcPr>
            <w:tcW w:w="166" w:type="dxa"/>
            <w:tcBorders>
              <w:top w:val="single" w:sz="4" w:space="0" w:color="000000"/>
              <w:bottom w:val="double" w:sz="6" w:space="0" w:color="000000"/>
            </w:tcBorders>
            <w:shd w:fill="auto" w:val="clear"/>
            <w:tcMar>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shd w:fill="auto" w:val="clear"/>
            <w:vAlign w:val="center"/>
          </w:tcPr>
          <w:p>
            <w:pPr>
              <w:pStyle w:val="TableContents"/>
              <w:spacing w:before="0" w:after="0"/>
              <w:ind w:left="0" w:right="0" w:hanging="0"/>
              <w:jc w:val="right"/>
              <w:rPr/>
            </w:pPr>
            <w:r>
              <w:rPr/>
              <w:t> </w:t>
            </w:r>
          </w:p>
        </w:tc>
        <w:tc>
          <w:tcPr>
            <w:tcW w:w="333" w:type="dxa"/>
            <w:tcBorders>
              <w:top w:val="single" w:sz="4" w:space="0" w:color="000000"/>
              <w:bottom w:val="double" w:sz="6" w:space="0" w:color="000000"/>
            </w:tcBorders>
            <w:shd w:fill="auto" w:val="clear"/>
            <w:tcMar>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62" w:type="dxa"/>
            <w:tcBorders>
              <w:top w:val="single" w:sz="4" w:space="0" w:color="000000"/>
              <w:bottom w:val="double" w:sz="6" w:space="0" w:color="000000"/>
            </w:tcBorders>
            <w:shd w:fill="auto" w:val="clear"/>
            <w:tcMar>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(649</w:t>
            </w:r>
          </w:p>
        </w:tc>
        <w:tc>
          <w:tcPr>
            <w:tcW w:w="291" w:type="dxa"/>
            <w:tcBorders>
              <w:top w:val="single" w:sz="4" w:space="0" w:color="000000"/>
              <w:bottom w:val="double" w:sz="6" w:space="0" w:color="000000"/>
            </w:tcBorders>
            <w:shd w:fill="auto" w:val="clear"/>
            <w:tcMar>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bl>
    <w:p>
      <w:pPr>
        <w:pStyle w:val="TextBody"/>
        <w:spacing w:before="0" w:after="0"/>
        <w:jc w:val="left"/>
        <w:rPr/>
      </w:pPr>
      <w:r>
        <w:rPr/>
        <w:t> </w:t>
      </w:r>
    </w:p>
    <w:p>
      <w:pPr>
        <w:pStyle w:val="TextBody"/>
        <w:spacing w:before="240" w:after="0"/>
        <w:jc w:val="center"/>
        <w:rPr>
          <w:rFonts w:ascii="Times New Roman;serif" w:hAnsi="Times New Roman;serif"/>
          <w:b w:val="false"/>
          <w:sz w:val="20"/>
        </w:rPr>
      </w:pPr>
      <w:r>
        <w:rPr>
          <w:rFonts w:ascii="Times New Roman;serif" w:hAnsi="Times New Roman;serif"/>
          <w:b w:val="false"/>
          <w:sz w:val="20"/>
        </w:rPr>
        <w:t>37</w:t>
      </w:r>
    </w:p>
    <w:p>
      <w:pPr>
        <w:pStyle w:val="HorizontalLine"/>
        <w:rPr/>
      </w:pPr>
      <w:r>
        <w:rPr/>
      </w:r>
    </w:p>
    <w:p>
      <w:pPr>
        <w:pStyle w:val="TextBody"/>
        <w:spacing w:before="0" w:after="0"/>
        <w:jc w:val="left"/>
        <w:rPr/>
      </w:pPr>
      <w:r>
        <w:rPr/>
        <w:t> </w:t>
      </w:r>
    </w:p>
    <w:p>
      <w:pPr>
        <w:pStyle w:val="TextBody"/>
        <w:spacing w:before="0" w:after="0"/>
        <w:jc w:val="both"/>
        <w:rPr/>
      </w:pPr>
      <w:r>
        <w:rPr/>
        <w:t> </w:t>
      </w:r>
    </w:p>
    <w:p>
      <w:pPr>
        <w:pStyle w:val="TextBody"/>
        <w:spacing w:before="0" w:after="200"/>
        <w:jc w:val="both"/>
        <w:rPr>
          <w:rFonts w:ascii="Times New Roman" w:hAnsi="Times New Roman"/>
          <w:sz w:val="20"/>
        </w:rPr>
      </w:pPr>
      <w:r>
        <w:rPr>
          <w:rFonts w:ascii="Times New Roman;serif" w:hAnsi="Times New Roman;serif"/>
          <w:b w:val="false"/>
          <w:sz w:val="20"/>
          <w:u w:val="single"/>
        </w:rPr>
        <w:t>Derivatives in foreign currency hedging relationships are as follows</w:t>
      </w:r>
      <w:r>
        <w:rPr>
          <w:rFonts w:ascii="Times New Roman;serif" w:hAnsi="Times New Roman;serif"/>
          <w:b w:val="false"/>
          <w:sz w:val="20"/>
        </w:rPr>
        <w:t>:</w:t>
      </w:r>
    </w:p>
    <w:tbl>
      <w:tblPr>
        <w:tblW w:w="7554" w:type="dxa"/>
        <w:jc w:val="left"/>
        <w:tblInd w:w="0" w:type="dxa"/>
        <w:tblCellMar>
          <w:top w:w="28" w:type="dxa"/>
          <w:left w:w="28" w:type="dxa"/>
          <w:bottom w:w="28" w:type="dxa"/>
          <w:right w:w="28" w:type="dxa"/>
        </w:tblCellMar>
      </w:tblPr>
      <w:tblGrid>
        <w:gridCol w:w="2356"/>
        <w:gridCol w:w="246"/>
        <w:gridCol w:w="2116"/>
        <w:gridCol w:w="146"/>
        <w:gridCol w:w="309"/>
        <w:gridCol w:w="706"/>
        <w:gridCol w:w="243"/>
        <w:gridCol w:w="214"/>
        <w:gridCol w:w="309"/>
        <w:gridCol w:w="618"/>
        <w:gridCol w:w="291"/>
      </w:tblGrid>
      <w:tr>
        <w:trPr/>
        <w:tc>
          <w:tcPr>
            <w:tcW w:w="2356" w:type="dxa"/>
            <w:tcBorders/>
            <w:shd w:fill="auto" w:val="clear"/>
            <w:vAlign w:val="center"/>
          </w:tcPr>
          <w:p>
            <w:pPr>
              <w:pStyle w:val="TableContents"/>
              <w:spacing w:before="0" w:after="283"/>
              <w:rPr>
                <w:sz w:val="4"/>
                <w:szCs w:val="4"/>
              </w:rPr>
            </w:pPr>
            <w:r>
              <w:rPr>
                <w:sz w:val="4"/>
                <w:szCs w:val="4"/>
              </w:rPr>
            </w:r>
          </w:p>
        </w:tc>
        <w:tc>
          <w:tcPr>
            <w:tcW w:w="246" w:type="dxa"/>
            <w:tcBorders/>
            <w:shd w:fill="auto" w:val="clear"/>
            <w:vAlign w:val="center"/>
          </w:tcPr>
          <w:p>
            <w:pPr>
              <w:pStyle w:val="TableContents"/>
              <w:spacing w:before="0" w:after="283"/>
              <w:rPr>
                <w:sz w:val="4"/>
                <w:szCs w:val="4"/>
              </w:rPr>
            </w:pPr>
            <w:r>
              <w:rPr>
                <w:sz w:val="4"/>
                <w:szCs w:val="4"/>
              </w:rPr>
            </w:r>
          </w:p>
        </w:tc>
        <w:tc>
          <w:tcPr>
            <w:tcW w:w="211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309" w:type="dxa"/>
            <w:tcBorders/>
            <w:shd w:fill="auto" w:val="clear"/>
            <w:vAlign w:val="center"/>
          </w:tcPr>
          <w:p>
            <w:pPr>
              <w:pStyle w:val="TableContents"/>
              <w:spacing w:before="0" w:after="283"/>
              <w:rPr>
                <w:sz w:val="4"/>
                <w:szCs w:val="4"/>
              </w:rPr>
            </w:pPr>
            <w:r>
              <w:rPr>
                <w:sz w:val="4"/>
                <w:szCs w:val="4"/>
              </w:rPr>
            </w:r>
          </w:p>
        </w:tc>
        <w:tc>
          <w:tcPr>
            <w:tcW w:w="706" w:type="dxa"/>
            <w:tcBorders/>
            <w:shd w:fill="auto" w:val="clear"/>
            <w:vAlign w:val="center"/>
          </w:tcPr>
          <w:p>
            <w:pPr>
              <w:pStyle w:val="TableContents"/>
              <w:spacing w:before="0" w:after="283"/>
              <w:rPr>
                <w:sz w:val="4"/>
                <w:szCs w:val="4"/>
              </w:rPr>
            </w:pPr>
            <w:r>
              <w:rPr>
                <w:sz w:val="4"/>
                <w:szCs w:val="4"/>
              </w:rPr>
            </w:r>
          </w:p>
        </w:tc>
        <w:tc>
          <w:tcPr>
            <w:tcW w:w="243" w:type="dxa"/>
            <w:tcBorders/>
            <w:shd w:fill="auto" w:val="clear"/>
            <w:vAlign w:val="center"/>
          </w:tcPr>
          <w:p>
            <w:pPr>
              <w:pStyle w:val="TableContents"/>
              <w:spacing w:before="0" w:after="283"/>
              <w:rPr>
                <w:sz w:val="4"/>
                <w:szCs w:val="4"/>
              </w:rPr>
            </w:pPr>
            <w:r>
              <w:rPr>
                <w:sz w:val="4"/>
                <w:szCs w:val="4"/>
              </w:rPr>
            </w:r>
          </w:p>
        </w:tc>
        <w:tc>
          <w:tcPr>
            <w:tcW w:w="214" w:type="dxa"/>
            <w:tcBorders/>
            <w:shd w:fill="auto" w:val="clear"/>
            <w:vAlign w:val="center"/>
          </w:tcPr>
          <w:p>
            <w:pPr>
              <w:pStyle w:val="TableContents"/>
              <w:spacing w:before="0" w:after="283"/>
              <w:rPr>
                <w:sz w:val="4"/>
                <w:szCs w:val="4"/>
              </w:rPr>
            </w:pPr>
            <w:r>
              <w:rPr>
                <w:sz w:val="4"/>
                <w:szCs w:val="4"/>
              </w:rPr>
            </w:r>
          </w:p>
        </w:tc>
        <w:tc>
          <w:tcPr>
            <w:tcW w:w="309" w:type="dxa"/>
            <w:tcBorders/>
            <w:shd w:fill="auto" w:val="clear"/>
            <w:vAlign w:val="center"/>
          </w:tcPr>
          <w:p>
            <w:pPr>
              <w:pStyle w:val="TableContents"/>
              <w:spacing w:before="0" w:after="283"/>
              <w:rPr>
                <w:sz w:val="4"/>
                <w:szCs w:val="4"/>
              </w:rPr>
            </w:pPr>
            <w:r>
              <w:rPr>
                <w:sz w:val="4"/>
                <w:szCs w:val="4"/>
              </w:rPr>
            </w:r>
          </w:p>
        </w:tc>
        <w:tc>
          <w:tcPr>
            <w:tcW w:w="618" w:type="dxa"/>
            <w:tcBorders/>
            <w:shd w:fill="auto" w:val="clear"/>
            <w:vAlign w:val="center"/>
          </w:tcPr>
          <w:p>
            <w:pPr>
              <w:pStyle w:val="TableContents"/>
              <w:spacing w:before="0" w:after="283"/>
              <w:rPr>
                <w:sz w:val="4"/>
                <w:szCs w:val="4"/>
              </w:rPr>
            </w:pPr>
            <w:r>
              <w:rPr>
                <w:sz w:val="4"/>
                <w:szCs w:val="4"/>
              </w:rPr>
            </w:r>
          </w:p>
        </w:tc>
        <w:tc>
          <w:tcPr>
            <w:tcW w:w="291" w:type="dxa"/>
            <w:tcBorders/>
            <w:shd w:fill="auto" w:val="clear"/>
            <w:vAlign w:val="center"/>
          </w:tcPr>
          <w:p>
            <w:pPr>
              <w:pStyle w:val="TableContents"/>
              <w:spacing w:before="0" w:after="283"/>
              <w:rPr>
                <w:sz w:val="4"/>
                <w:szCs w:val="4"/>
              </w:rPr>
            </w:pPr>
            <w:r>
              <w:rPr>
                <w:sz w:val="4"/>
                <w:szCs w:val="4"/>
              </w:rPr>
            </w:r>
          </w:p>
        </w:tc>
      </w:tr>
      <w:tr>
        <w:trPr/>
        <w:tc>
          <w:tcPr>
            <w:tcW w:w="2356" w:type="dxa"/>
            <w:tcBorders/>
            <w:shd w:fill="auto" w:val="clear"/>
            <w:vAlign w:val="center"/>
          </w:tcPr>
          <w:p>
            <w:pPr>
              <w:pStyle w:val="TableContents"/>
              <w:spacing w:before="0" w:after="0"/>
              <w:ind w:left="0" w:right="0" w:hanging="0"/>
              <w:jc w:val="left"/>
              <w:rPr/>
            </w:pPr>
            <w:r>
              <w:rPr/>
              <w:t> </w:t>
            </w:r>
          </w:p>
        </w:tc>
        <w:tc>
          <w:tcPr>
            <w:tcW w:w="246" w:type="dxa"/>
            <w:tcBorders/>
            <w:shd w:fill="auto" w:val="clear"/>
            <w:vAlign w:val="center"/>
          </w:tcPr>
          <w:p>
            <w:pPr>
              <w:pStyle w:val="TableContents"/>
              <w:spacing w:before="0" w:after="0"/>
              <w:ind w:left="0" w:right="0" w:hanging="0"/>
              <w:jc w:val="left"/>
              <w:rPr/>
            </w:pPr>
            <w:r>
              <w:rPr/>
              <w:t> </w:t>
            </w:r>
          </w:p>
        </w:tc>
        <w:tc>
          <w:tcPr>
            <w:tcW w:w="211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399" w:type="dxa"/>
            <w:gridSpan w:val="6"/>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Three Months Ended March 31,</w:t>
            </w:r>
          </w:p>
        </w:tc>
        <w:tc>
          <w:tcPr>
            <w:tcW w:w="2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2356" w:type="dxa"/>
            <w:tcBorders/>
            <w:shd w:fill="auto" w:val="clear"/>
            <w:vAlign w:val="center"/>
          </w:tcPr>
          <w:p>
            <w:pPr>
              <w:pStyle w:val="TableContents"/>
              <w:spacing w:before="0" w:after="0"/>
              <w:ind w:left="0" w:right="0" w:hanging="0"/>
              <w:jc w:val="left"/>
              <w:rPr>
                <w:rFonts w:ascii="Times New Roman;serif" w:hAnsi="Times New Roman;serif"/>
                <w:b w:val="false"/>
                <w:i/>
                <w:sz w:val="16"/>
              </w:rPr>
            </w:pPr>
            <w:r>
              <w:rPr>
                <w:rFonts w:ascii="Times New Roman;serif" w:hAnsi="Times New Roman;serif"/>
                <w:b w:val="false"/>
                <w:i/>
                <w:sz w:val="16"/>
              </w:rPr>
              <w:t>(In thousands of U.S. Dollars)</w:t>
            </w:r>
          </w:p>
        </w:tc>
        <w:tc>
          <w:tcPr>
            <w:tcW w:w="246" w:type="dxa"/>
            <w:tcBorders/>
            <w:shd w:fill="auto" w:val="clear"/>
            <w:vAlign w:val="center"/>
          </w:tcPr>
          <w:p>
            <w:pPr>
              <w:pStyle w:val="TableContents"/>
              <w:spacing w:before="0" w:after="0"/>
              <w:ind w:left="0" w:right="0" w:hanging="0"/>
              <w:jc w:val="left"/>
              <w:rPr/>
            </w:pPr>
            <w:r>
              <w:rPr/>
              <w:t> </w:t>
            </w:r>
          </w:p>
        </w:tc>
        <w:tc>
          <w:tcPr>
            <w:tcW w:w="211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015"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2023</w:t>
            </w:r>
          </w:p>
        </w:tc>
        <w:tc>
          <w:tcPr>
            <w:tcW w:w="243"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214" w:type="dxa"/>
            <w:tcBorders/>
            <w:shd w:fill="auto" w:val="clear"/>
            <w:vAlign w:val="center"/>
          </w:tcPr>
          <w:p>
            <w:pPr>
              <w:pStyle w:val="TableContents"/>
              <w:spacing w:before="0" w:after="0"/>
              <w:ind w:left="0" w:right="0" w:hanging="0"/>
              <w:jc w:val="center"/>
              <w:rPr/>
            </w:pPr>
            <w:r>
              <w:rPr/>
              <w:t> </w:t>
            </w:r>
          </w:p>
        </w:tc>
        <w:tc>
          <w:tcPr>
            <w:tcW w:w="927"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2022</w:t>
            </w:r>
          </w:p>
        </w:tc>
        <w:tc>
          <w:tcPr>
            <w:tcW w:w="2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235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Foreign exchange contracts</w:t>
            </w:r>
          </w:p>
        </w:tc>
        <w:tc>
          <w:tcPr>
            <w:tcW w:w="246" w:type="dxa"/>
            <w:tcBorders/>
            <w:shd w:fill="auto" w:val="clear"/>
            <w:vAlign w:val="center"/>
          </w:tcPr>
          <w:p>
            <w:pPr>
              <w:pStyle w:val="TableContents"/>
              <w:spacing w:before="0" w:after="0"/>
              <w:ind w:left="0" w:right="0" w:hanging="0"/>
              <w:jc w:val="left"/>
              <w:rPr/>
            </w:pPr>
            <w:r>
              <w:rPr/>
              <w:t> </w:t>
            </w:r>
          </w:p>
        </w:tc>
        <w:tc>
          <w:tcPr>
            <w:tcW w:w="211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Derivative Gain</w:t>
            </w:r>
          </w:p>
        </w:tc>
        <w:tc>
          <w:tcPr>
            <w:tcW w:w="146" w:type="dxa"/>
            <w:tcBorders/>
            <w:shd w:fill="auto" w:val="clear"/>
            <w:vAlign w:val="center"/>
          </w:tcPr>
          <w:p>
            <w:pPr>
              <w:pStyle w:val="TableContents"/>
              <w:spacing w:before="0" w:after="0"/>
              <w:ind w:left="0" w:right="0" w:hanging="0"/>
              <w:jc w:val="left"/>
              <w:rPr/>
            </w:pPr>
            <w:r>
              <w:rPr/>
              <w:t> </w:t>
            </w:r>
          </w:p>
        </w:tc>
        <w:tc>
          <w:tcPr>
            <w:tcW w:w="1015" w:type="dxa"/>
            <w:gridSpan w:val="2"/>
            <w:tcBorders/>
            <w:shd w:fill="auto" w:val="clear"/>
            <w:vAlign w:val="center"/>
          </w:tcPr>
          <w:p>
            <w:pPr>
              <w:pStyle w:val="TableContents"/>
              <w:spacing w:before="0" w:after="0"/>
              <w:ind w:left="0" w:right="0" w:hanging="0"/>
              <w:jc w:val="right"/>
              <w:rPr/>
            </w:pPr>
            <w:r>
              <w:rPr/>
              <w:t> </w:t>
            </w:r>
          </w:p>
        </w:tc>
        <w:tc>
          <w:tcPr>
            <w:tcW w:w="243" w:type="dxa"/>
            <w:tcBorders/>
            <w:shd w:fill="auto" w:val="clear"/>
            <w:vAlign w:val="center"/>
          </w:tcPr>
          <w:p>
            <w:pPr>
              <w:pStyle w:val="TableContents"/>
              <w:spacing w:before="0" w:after="0"/>
              <w:ind w:left="0" w:right="0" w:hanging="0"/>
              <w:jc w:val="right"/>
              <w:rPr/>
            </w:pPr>
            <w:r>
              <w:rPr/>
              <w:t> </w:t>
            </w:r>
          </w:p>
        </w:tc>
        <w:tc>
          <w:tcPr>
            <w:tcW w:w="214" w:type="dxa"/>
            <w:tcBorders/>
            <w:shd w:fill="auto" w:val="clear"/>
            <w:vAlign w:val="center"/>
          </w:tcPr>
          <w:p>
            <w:pPr>
              <w:pStyle w:val="TableContents"/>
              <w:spacing w:before="0" w:after="0"/>
              <w:ind w:left="0" w:right="0" w:hanging="0"/>
              <w:jc w:val="right"/>
              <w:rPr/>
            </w:pPr>
            <w:r>
              <w:rPr/>
              <w:t> </w:t>
            </w:r>
          </w:p>
        </w:tc>
        <w:tc>
          <w:tcPr>
            <w:tcW w:w="927" w:type="dxa"/>
            <w:gridSpan w:val="2"/>
            <w:tcBorders/>
            <w:shd w:fill="auto" w:val="clear"/>
            <w:vAlign w:val="center"/>
          </w:tcPr>
          <w:p>
            <w:pPr>
              <w:pStyle w:val="TableContents"/>
              <w:spacing w:before="0" w:after="0"/>
              <w:ind w:left="0" w:right="0" w:hanging="0"/>
              <w:jc w:val="right"/>
              <w:rPr/>
            </w:pPr>
            <w:r>
              <w:rPr/>
              <w:t> </w:t>
            </w:r>
          </w:p>
        </w:tc>
        <w:tc>
          <w:tcPr>
            <w:tcW w:w="291" w:type="dxa"/>
            <w:tcBorders/>
            <w:shd w:fill="auto" w:val="clear"/>
            <w:vAlign w:val="center"/>
          </w:tcPr>
          <w:p>
            <w:pPr>
              <w:pStyle w:val="TableContents"/>
              <w:spacing w:before="0" w:after="0"/>
              <w:ind w:left="0" w:right="0" w:firstLine="100"/>
              <w:jc w:val="right"/>
              <w:rPr/>
            </w:pPr>
            <w:r>
              <w:rPr/>
              <w:t> </w:t>
            </w:r>
          </w:p>
        </w:tc>
      </w:tr>
      <w:tr>
        <w:trPr/>
        <w:tc>
          <w:tcPr>
            <w:tcW w:w="2356" w:type="dxa"/>
            <w:tcBorders/>
            <w:shd w:fill="auto" w:val="clear"/>
            <w:vAlign w:val="center"/>
          </w:tcPr>
          <w:p>
            <w:pPr>
              <w:pStyle w:val="TableContents"/>
              <w:spacing w:before="0" w:after="0"/>
              <w:ind w:left="100" w:right="0" w:hanging="0"/>
              <w:jc w:val="left"/>
              <w:rPr/>
            </w:pPr>
            <w:r>
              <w:rPr/>
              <w:t xml:space="preserve">— </w:t>
            </w:r>
            <w:r>
              <w:rPr>
                <w:rFonts w:ascii="Times New Roman;serif" w:hAnsi="Times New Roman;serif"/>
                <w:b w:val="false"/>
                <w:sz w:val="20"/>
              </w:rPr>
              <w:t>Forwards</w:t>
            </w:r>
          </w:p>
        </w:tc>
        <w:tc>
          <w:tcPr>
            <w:tcW w:w="246" w:type="dxa"/>
            <w:tcBorders/>
            <w:shd w:fill="auto" w:val="clear"/>
            <w:vAlign w:val="center"/>
          </w:tcPr>
          <w:p>
            <w:pPr>
              <w:pStyle w:val="TableContents"/>
              <w:spacing w:before="0" w:after="0"/>
              <w:ind w:left="0" w:right="0" w:firstLine="100"/>
              <w:jc w:val="left"/>
              <w:rPr/>
            </w:pPr>
            <w:r>
              <w:rPr/>
              <w:t> </w:t>
            </w:r>
          </w:p>
        </w:tc>
        <w:tc>
          <w:tcPr>
            <w:tcW w:w="2116" w:type="dxa"/>
            <w:tcBorders/>
            <w:shd w:fill="auto" w:val="clear"/>
            <w:vAlign w:val="center"/>
          </w:tcPr>
          <w:p>
            <w:pPr>
              <w:pStyle w:val="TableContents"/>
              <w:spacing w:before="0" w:after="0"/>
              <w:ind w:left="100" w:right="0" w:hanging="0"/>
              <w:jc w:val="left"/>
              <w:rPr>
                <w:rFonts w:ascii="Times New Roman;serif" w:hAnsi="Times New Roman;serif"/>
                <w:b w:val="false"/>
                <w:sz w:val="20"/>
              </w:rPr>
            </w:pPr>
            <w:r>
              <w:rPr>
                <w:rFonts w:ascii="Times New Roman;serif" w:hAnsi="Times New Roman;serif"/>
                <w:b w:val="false"/>
                <w:sz w:val="20"/>
              </w:rPr>
              <w:t>Recognized in OCI</w:t>
            </w:r>
          </w:p>
        </w:tc>
        <w:tc>
          <w:tcPr>
            <w:tcW w:w="146" w:type="dxa"/>
            <w:tcBorders/>
            <w:shd w:fill="auto" w:val="clear"/>
            <w:vAlign w:val="center"/>
          </w:tcPr>
          <w:p>
            <w:pPr>
              <w:pStyle w:val="TableContents"/>
              <w:spacing w:before="0" w:after="0"/>
              <w:ind w:left="0" w:right="0" w:hanging="0"/>
              <w:jc w:val="left"/>
              <w:rPr/>
            </w:pPr>
            <w:r>
              <w:rPr/>
              <w:t> </w:t>
            </w:r>
          </w:p>
        </w:tc>
        <w:tc>
          <w:tcPr>
            <w:tcW w:w="1015" w:type="dxa"/>
            <w:gridSpan w:val="2"/>
            <w:tcBorders/>
            <w:shd w:fill="auto" w:val="clear"/>
            <w:vAlign w:val="center"/>
          </w:tcPr>
          <w:p>
            <w:pPr>
              <w:pStyle w:val="TableContents"/>
              <w:spacing w:before="0" w:after="0"/>
              <w:ind w:left="0" w:right="0" w:hanging="0"/>
              <w:jc w:val="right"/>
              <w:rPr/>
            </w:pPr>
            <w:r>
              <w:rPr/>
              <w:t> </w:t>
            </w:r>
          </w:p>
        </w:tc>
        <w:tc>
          <w:tcPr>
            <w:tcW w:w="243" w:type="dxa"/>
            <w:tcBorders/>
            <w:shd w:fill="auto" w:val="clear"/>
            <w:vAlign w:val="center"/>
          </w:tcPr>
          <w:p>
            <w:pPr>
              <w:pStyle w:val="TableContents"/>
              <w:spacing w:before="0" w:after="0"/>
              <w:ind w:left="0" w:right="0" w:hanging="0"/>
              <w:jc w:val="right"/>
              <w:rPr/>
            </w:pPr>
            <w:r>
              <w:rPr/>
              <w:t> </w:t>
            </w:r>
          </w:p>
        </w:tc>
        <w:tc>
          <w:tcPr>
            <w:tcW w:w="214" w:type="dxa"/>
            <w:tcBorders/>
            <w:shd w:fill="auto" w:val="clear"/>
            <w:vAlign w:val="center"/>
          </w:tcPr>
          <w:p>
            <w:pPr>
              <w:pStyle w:val="TableContents"/>
              <w:spacing w:before="0" w:after="0"/>
              <w:ind w:left="0" w:right="0" w:hanging="0"/>
              <w:jc w:val="right"/>
              <w:rPr/>
            </w:pPr>
            <w:r>
              <w:rPr/>
              <w:t> </w:t>
            </w:r>
          </w:p>
        </w:tc>
        <w:tc>
          <w:tcPr>
            <w:tcW w:w="927" w:type="dxa"/>
            <w:gridSpan w:val="2"/>
            <w:tcBorders/>
            <w:shd w:fill="auto" w:val="clear"/>
            <w:vAlign w:val="center"/>
          </w:tcPr>
          <w:p>
            <w:pPr>
              <w:pStyle w:val="TableContents"/>
              <w:spacing w:before="0" w:after="0"/>
              <w:ind w:left="0" w:right="0" w:hanging="0"/>
              <w:jc w:val="right"/>
              <w:rPr/>
            </w:pPr>
            <w:r>
              <w:rPr/>
              <w:t> </w:t>
            </w:r>
          </w:p>
        </w:tc>
        <w:tc>
          <w:tcPr>
            <w:tcW w:w="291" w:type="dxa"/>
            <w:tcBorders/>
            <w:shd w:fill="auto" w:val="clear"/>
            <w:vAlign w:val="center"/>
          </w:tcPr>
          <w:p>
            <w:pPr>
              <w:pStyle w:val="TableContents"/>
              <w:spacing w:before="0" w:after="0"/>
              <w:ind w:left="0" w:right="0" w:firstLine="100"/>
              <w:jc w:val="right"/>
              <w:rPr/>
            </w:pPr>
            <w:r>
              <w:rPr/>
              <w:t> </w:t>
            </w:r>
          </w:p>
        </w:tc>
      </w:tr>
      <w:tr>
        <w:trPr/>
        <w:tc>
          <w:tcPr>
            <w:tcW w:w="2356" w:type="dxa"/>
            <w:tcBorders/>
            <w:shd w:fill="auto" w:val="clear"/>
            <w:vAlign w:val="center"/>
          </w:tcPr>
          <w:p>
            <w:pPr>
              <w:pStyle w:val="TableContents"/>
              <w:spacing w:before="0" w:after="0"/>
              <w:ind w:left="100" w:right="0" w:hanging="0"/>
              <w:jc w:val="left"/>
              <w:rPr/>
            </w:pPr>
            <w:r>
              <w:rPr/>
              <w:t> </w:t>
            </w:r>
          </w:p>
        </w:tc>
        <w:tc>
          <w:tcPr>
            <w:tcW w:w="246" w:type="dxa"/>
            <w:tcBorders/>
            <w:shd w:fill="auto" w:val="clear"/>
            <w:vAlign w:val="center"/>
          </w:tcPr>
          <w:p>
            <w:pPr>
              <w:pStyle w:val="TableContents"/>
              <w:spacing w:before="0" w:after="0"/>
              <w:ind w:left="0" w:right="0" w:firstLine="100"/>
              <w:jc w:val="left"/>
              <w:rPr/>
            </w:pPr>
            <w:r>
              <w:rPr/>
              <w:t> </w:t>
            </w:r>
          </w:p>
        </w:tc>
        <w:tc>
          <w:tcPr>
            <w:tcW w:w="2116" w:type="dxa"/>
            <w:tcBorders/>
            <w:shd w:fill="auto" w:val="clear"/>
            <w:vAlign w:val="center"/>
          </w:tcPr>
          <w:p>
            <w:pPr>
              <w:pStyle w:val="TableContents"/>
              <w:spacing w:before="0" w:after="0"/>
              <w:ind w:left="100" w:right="0" w:hanging="0"/>
              <w:jc w:val="left"/>
              <w:rPr>
                <w:rFonts w:ascii="Times New Roman;serif" w:hAnsi="Times New Roman;serif"/>
                <w:b w:val="false"/>
                <w:sz w:val="20"/>
              </w:rPr>
            </w:pPr>
            <w:r>
              <w:rPr>
                <w:rFonts w:ascii="Times New Roman;serif" w:hAnsi="Times New Roman;serif"/>
                <w:b w:val="false"/>
                <w:sz w:val="20"/>
              </w:rPr>
              <w:t>(Effective Portion)</w:t>
            </w:r>
          </w:p>
        </w:tc>
        <w:tc>
          <w:tcPr>
            <w:tcW w:w="146" w:type="dxa"/>
            <w:tcBorders/>
            <w:shd w:fill="auto" w:val="clear"/>
            <w:vAlign w:val="center"/>
          </w:tcPr>
          <w:p>
            <w:pPr>
              <w:pStyle w:val="TableContents"/>
              <w:spacing w:before="0" w:after="0"/>
              <w:ind w:left="0" w:right="0" w:hanging="0"/>
              <w:jc w:val="left"/>
              <w:rPr/>
            </w:pPr>
            <w:r>
              <w:rPr/>
              <w:t> </w:t>
            </w:r>
          </w:p>
        </w:tc>
        <w:tc>
          <w:tcPr>
            <w:tcW w:w="309"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0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134</w:t>
            </w:r>
          </w:p>
        </w:tc>
        <w:tc>
          <w:tcPr>
            <w:tcW w:w="243"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214" w:type="dxa"/>
            <w:tcBorders/>
            <w:shd w:fill="auto" w:val="clear"/>
            <w:vAlign w:val="center"/>
          </w:tcPr>
          <w:p>
            <w:pPr>
              <w:pStyle w:val="TableContents"/>
              <w:spacing w:before="0" w:after="0"/>
              <w:ind w:left="0" w:right="0" w:hanging="0"/>
              <w:jc w:val="right"/>
              <w:rPr/>
            </w:pPr>
            <w:r>
              <w:rPr/>
              <w:t> </w:t>
            </w:r>
          </w:p>
        </w:tc>
        <w:tc>
          <w:tcPr>
            <w:tcW w:w="309"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18"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315</w:t>
            </w:r>
          </w:p>
        </w:tc>
        <w:tc>
          <w:tcPr>
            <w:tcW w:w="29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firstLine="100"/>
              <w:jc w:val="left"/>
              <w:rPr/>
            </w:pPr>
            <w:r>
              <w:rPr/>
              <w:t> </w:t>
            </w:r>
          </w:p>
        </w:tc>
      </w:tr>
      <w:tr>
        <w:trPr/>
        <w:tc>
          <w:tcPr>
            <w:tcW w:w="2356" w:type="dxa"/>
            <w:tcBorders/>
            <w:shd w:fill="auto" w:val="clear"/>
            <w:vAlign w:val="center"/>
          </w:tcPr>
          <w:p>
            <w:pPr>
              <w:pStyle w:val="TableContents"/>
              <w:spacing w:before="0" w:after="0"/>
              <w:ind w:left="100" w:right="0" w:hanging="0"/>
              <w:jc w:val="left"/>
              <w:rPr/>
            </w:pPr>
            <w:r>
              <w:rPr/>
              <w:t> </w:t>
            </w:r>
          </w:p>
        </w:tc>
        <w:tc>
          <w:tcPr>
            <w:tcW w:w="246" w:type="dxa"/>
            <w:tcBorders/>
            <w:shd w:fill="auto" w:val="clear"/>
            <w:vAlign w:val="center"/>
          </w:tcPr>
          <w:p>
            <w:pPr>
              <w:pStyle w:val="TableContents"/>
              <w:spacing w:before="0" w:after="0"/>
              <w:ind w:left="0" w:right="0" w:hanging="0"/>
              <w:jc w:val="left"/>
              <w:rPr/>
            </w:pPr>
            <w:r>
              <w:rPr/>
              <w:t> </w:t>
            </w:r>
          </w:p>
        </w:tc>
        <w:tc>
          <w:tcPr>
            <w:tcW w:w="211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015" w:type="dxa"/>
            <w:gridSpan w:val="2"/>
            <w:tcBorders/>
            <w:shd w:fill="auto" w:val="clear"/>
            <w:vAlign w:val="center"/>
          </w:tcPr>
          <w:p>
            <w:pPr>
              <w:pStyle w:val="TableContents"/>
              <w:spacing w:before="0" w:after="0"/>
              <w:ind w:left="0" w:right="0" w:hanging="0"/>
              <w:jc w:val="left"/>
              <w:rPr/>
            </w:pPr>
            <w:r>
              <w:rPr/>
              <w:t> </w:t>
            </w:r>
          </w:p>
        </w:tc>
        <w:tc>
          <w:tcPr>
            <w:tcW w:w="243" w:type="dxa"/>
            <w:tcBorders/>
            <w:shd w:fill="auto" w:val="clear"/>
            <w:vAlign w:val="center"/>
          </w:tcPr>
          <w:p>
            <w:pPr>
              <w:pStyle w:val="TableContents"/>
              <w:spacing w:before="0" w:after="0"/>
              <w:ind w:left="0" w:right="0" w:hanging="0"/>
              <w:jc w:val="left"/>
              <w:rPr/>
            </w:pPr>
            <w:r>
              <w:rPr/>
              <w:t> </w:t>
            </w:r>
          </w:p>
        </w:tc>
        <w:tc>
          <w:tcPr>
            <w:tcW w:w="214" w:type="dxa"/>
            <w:tcBorders/>
            <w:shd w:fill="auto" w:val="clear"/>
            <w:vAlign w:val="center"/>
          </w:tcPr>
          <w:p>
            <w:pPr>
              <w:pStyle w:val="TableContents"/>
              <w:spacing w:before="0" w:after="0"/>
              <w:ind w:left="0" w:right="0" w:hanging="0"/>
              <w:jc w:val="left"/>
              <w:rPr/>
            </w:pPr>
            <w:r>
              <w:rPr/>
              <w:t> </w:t>
            </w:r>
          </w:p>
        </w:tc>
        <w:tc>
          <w:tcPr>
            <w:tcW w:w="927" w:type="dxa"/>
            <w:gridSpan w:val="2"/>
            <w:tcBorders/>
            <w:shd w:fill="auto" w:val="clear"/>
            <w:vAlign w:val="center"/>
          </w:tcPr>
          <w:p>
            <w:pPr>
              <w:pStyle w:val="TableContents"/>
              <w:spacing w:before="0" w:after="0"/>
              <w:ind w:left="0" w:right="0" w:hanging="0"/>
              <w:jc w:val="left"/>
              <w:rPr/>
            </w:pPr>
            <w:r>
              <w:rPr/>
              <w:t> </w:t>
            </w:r>
          </w:p>
        </w:tc>
        <w:tc>
          <w:tcPr>
            <w:tcW w:w="291" w:type="dxa"/>
            <w:tcBorders/>
            <w:shd w:fill="auto" w:val="clear"/>
            <w:vAlign w:val="center"/>
          </w:tcPr>
          <w:p>
            <w:pPr>
              <w:pStyle w:val="TableContents"/>
              <w:spacing w:before="0" w:after="0"/>
              <w:ind w:left="0" w:right="0" w:firstLine="100"/>
              <w:jc w:val="left"/>
              <w:rPr/>
            </w:pPr>
            <w:r>
              <w:rPr/>
              <w:t> </w:t>
            </w:r>
          </w:p>
        </w:tc>
      </w:tr>
      <w:tr>
        <w:trPr/>
        <w:tc>
          <w:tcPr>
            <w:tcW w:w="2356" w:type="dxa"/>
            <w:tcBorders/>
            <w:shd w:fill="auto" w:val="clear"/>
            <w:vAlign w:val="center"/>
          </w:tcPr>
          <w:p>
            <w:pPr>
              <w:pStyle w:val="TableContents"/>
              <w:spacing w:before="0" w:after="0"/>
              <w:ind w:left="100" w:right="0" w:hanging="0"/>
              <w:jc w:val="left"/>
              <w:rPr/>
            </w:pPr>
            <w:r>
              <w:rPr/>
              <w:t> </w:t>
            </w:r>
          </w:p>
        </w:tc>
        <w:tc>
          <w:tcPr>
            <w:tcW w:w="246" w:type="dxa"/>
            <w:tcBorders/>
            <w:shd w:fill="auto" w:val="clear"/>
            <w:vAlign w:val="center"/>
          </w:tcPr>
          <w:p>
            <w:pPr>
              <w:pStyle w:val="TableContents"/>
              <w:spacing w:before="0" w:after="0"/>
              <w:ind w:left="0" w:right="0" w:hanging="0"/>
              <w:jc w:val="left"/>
              <w:rPr/>
            </w:pPr>
            <w:r>
              <w:rPr/>
              <w:t> </w:t>
            </w:r>
          </w:p>
        </w:tc>
        <w:tc>
          <w:tcPr>
            <w:tcW w:w="2116" w:type="dxa"/>
            <w:tcBorders/>
            <w:shd w:fill="auto" w:val="clear"/>
            <w:vAlign w:val="center"/>
          </w:tcPr>
          <w:p>
            <w:pPr>
              <w:pStyle w:val="TableContents"/>
              <w:spacing w:before="0" w:after="0"/>
              <w:ind w:left="0" w:right="0" w:hanging="0"/>
              <w:jc w:val="left"/>
              <w:rPr>
                <w:rFonts w:ascii="Times New Roman;serif" w:hAnsi="Times New Roman;serif"/>
                <w:b/>
                <w:sz w:val="16"/>
              </w:rPr>
            </w:pPr>
            <w:r>
              <w:rPr>
                <w:rFonts w:ascii="Times New Roman;serif" w:hAnsi="Times New Roman;serif"/>
                <w:b/>
                <w:sz w:val="16"/>
              </w:rPr>
              <w:t>Location of Derivative Loss</w:t>
            </w:r>
          </w:p>
        </w:tc>
        <w:tc>
          <w:tcPr>
            <w:tcW w:w="146" w:type="dxa"/>
            <w:tcBorders/>
            <w:shd w:fill="auto" w:val="clear"/>
            <w:vAlign w:val="center"/>
          </w:tcPr>
          <w:p>
            <w:pPr>
              <w:pStyle w:val="TableContents"/>
              <w:spacing w:before="0" w:after="0"/>
              <w:ind w:left="0" w:right="0" w:hanging="0"/>
              <w:jc w:val="left"/>
              <w:rPr/>
            </w:pPr>
            <w:r>
              <w:rPr/>
              <w:t> </w:t>
            </w:r>
          </w:p>
        </w:tc>
        <w:tc>
          <w:tcPr>
            <w:tcW w:w="1015" w:type="dxa"/>
            <w:gridSpan w:val="2"/>
            <w:tcBorders/>
            <w:shd w:fill="auto" w:val="clear"/>
            <w:vAlign w:val="center"/>
          </w:tcPr>
          <w:p>
            <w:pPr>
              <w:pStyle w:val="TableContents"/>
              <w:spacing w:before="0" w:after="0"/>
              <w:ind w:left="0" w:right="0" w:hanging="0"/>
              <w:jc w:val="left"/>
              <w:rPr/>
            </w:pPr>
            <w:r>
              <w:rPr/>
              <w:t> </w:t>
            </w:r>
          </w:p>
        </w:tc>
        <w:tc>
          <w:tcPr>
            <w:tcW w:w="243" w:type="dxa"/>
            <w:tcBorders/>
            <w:shd w:fill="auto" w:val="clear"/>
            <w:vAlign w:val="center"/>
          </w:tcPr>
          <w:p>
            <w:pPr>
              <w:pStyle w:val="TableContents"/>
              <w:spacing w:before="0" w:after="0"/>
              <w:ind w:left="0" w:right="0" w:hanging="0"/>
              <w:jc w:val="left"/>
              <w:rPr/>
            </w:pPr>
            <w:r>
              <w:rPr/>
              <w:t> </w:t>
            </w:r>
          </w:p>
        </w:tc>
        <w:tc>
          <w:tcPr>
            <w:tcW w:w="214" w:type="dxa"/>
            <w:tcBorders/>
            <w:shd w:fill="auto" w:val="clear"/>
            <w:vAlign w:val="center"/>
          </w:tcPr>
          <w:p>
            <w:pPr>
              <w:pStyle w:val="TableContents"/>
              <w:spacing w:before="0" w:after="0"/>
              <w:ind w:left="0" w:right="0" w:hanging="0"/>
              <w:jc w:val="left"/>
              <w:rPr/>
            </w:pPr>
            <w:r>
              <w:rPr/>
              <w:t> </w:t>
            </w:r>
          </w:p>
        </w:tc>
        <w:tc>
          <w:tcPr>
            <w:tcW w:w="927" w:type="dxa"/>
            <w:gridSpan w:val="2"/>
            <w:tcBorders/>
            <w:shd w:fill="auto" w:val="clear"/>
            <w:vAlign w:val="center"/>
          </w:tcPr>
          <w:p>
            <w:pPr>
              <w:pStyle w:val="TableContents"/>
              <w:spacing w:before="0" w:after="0"/>
              <w:ind w:left="0" w:right="0" w:hanging="0"/>
              <w:jc w:val="left"/>
              <w:rPr/>
            </w:pPr>
            <w:r>
              <w:rPr/>
              <w:t> </w:t>
            </w:r>
          </w:p>
        </w:tc>
        <w:tc>
          <w:tcPr>
            <w:tcW w:w="291" w:type="dxa"/>
            <w:tcBorders/>
            <w:shd w:fill="auto" w:val="clear"/>
            <w:vAlign w:val="center"/>
          </w:tcPr>
          <w:p>
            <w:pPr>
              <w:pStyle w:val="TableContents"/>
              <w:spacing w:before="0" w:after="0"/>
              <w:ind w:left="0" w:right="0" w:hanging="0"/>
              <w:jc w:val="left"/>
              <w:rPr/>
            </w:pPr>
            <w:r>
              <w:rPr/>
              <w:t> </w:t>
            </w:r>
          </w:p>
        </w:tc>
      </w:tr>
      <w:tr>
        <w:trPr/>
        <w:tc>
          <w:tcPr>
            <w:tcW w:w="2356" w:type="dxa"/>
            <w:tcBorders/>
            <w:shd w:fill="auto" w:val="clear"/>
            <w:vAlign w:val="center"/>
          </w:tcPr>
          <w:p>
            <w:pPr>
              <w:pStyle w:val="TableContents"/>
              <w:spacing w:before="0" w:after="0"/>
              <w:ind w:left="0" w:right="0" w:hanging="0"/>
              <w:jc w:val="left"/>
              <w:rPr/>
            </w:pPr>
            <w:r>
              <w:rPr/>
              <w:t> </w:t>
            </w:r>
          </w:p>
        </w:tc>
        <w:tc>
          <w:tcPr>
            <w:tcW w:w="246" w:type="dxa"/>
            <w:tcBorders/>
            <w:shd w:fill="auto" w:val="clear"/>
            <w:vAlign w:val="center"/>
          </w:tcPr>
          <w:p>
            <w:pPr>
              <w:pStyle w:val="TableContents"/>
              <w:spacing w:before="0" w:after="0"/>
              <w:ind w:left="0" w:right="0" w:hanging="0"/>
              <w:jc w:val="left"/>
              <w:rPr/>
            </w:pPr>
            <w:r>
              <w:rPr/>
              <w:t> </w:t>
            </w:r>
          </w:p>
        </w:tc>
        <w:tc>
          <w:tcPr>
            <w:tcW w:w="2116" w:type="dxa"/>
            <w:tcBorders/>
            <w:shd w:fill="auto" w:val="clear"/>
            <w:vAlign w:val="center"/>
          </w:tcPr>
          <w:p>
            <w:pPr>
              <w:pStyle w:val="TableContents"/>
              <w:spacing w:before="0" w:after="0"/>
              <w:ind w:left="0" w:right="0" w:hanging="0"/>
              <w:jc w:val="left"/>
              <w:rPr>
                <w:rFonts w:ascii="Times New Roman;serif" w:hAnsi="Times New Roman;serif"/>
                <w:b/>
                <w:sz w:val="16"/>
              </w:rPr>
            </w:pPr>
            <w:r>
              <w:rPr>
                <w:rFonts w:ascii="Times New Roman;serif" w:hAnsi="Times New Roman;serif"/>
                <w:b/>
                <w:sz w:val="16"/>
              </w:rPr>
              <w:t>Reclassified from AOCI</w:t>
            </w:r>
          </w:p>
        </w:tc>
        <w:tc>
          <w:tcPr>
            <w:tcW w:w="146" w:type="dxa"/>
            <w:tcBorders/>
            <w:shd w:fill="auto" w:val="clear"/>
            <w:vAlign w:val="center"/>
          </w:tcPr>
          <w:p>
            <w:pPr>
              <w:pStyle w:val="TableContents"/>
              <w:spacing w:before="0" w:after="0"/>
              <w:ind w:left="0" w:right="0" w:hanging="0"/>
              <w:jc w:val="left"/>
              <w:rPr/>
            </w:pPr>
            <w:r>
              <w:rPr/>
              <w:t> </w:t>
            </w:r>
          </w:p>
        </w:tc>
        <w:tc>
          <w:tcPr>
            <w:tcW w:w="2399" w:type="dxa"/>
            <w:gridSpan w:val="6"/>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Three Months Ended March 31,</w:t>
            </w:r>
          </w:p>
        </w:tc>
        <w:tc>
          <w:tcPr>
            <w:tcW w:w="2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2356" w:type="dxa"/>
            <w:tcBorders/>
            <w:shd w:fill="auto" w:val="clear"/>
            <w:vAlign w:val="center"/>
          </w:tcPr>
          <w:p>
            <w:pPr>
              <w:pStyle w:val="TableContents"/>
              <w:spacing w:before="0" w:after="0"/>
              <w:ind w:left="0" w:right="0" w:hanging="0"/>
              <w:jc w:val="left"/>
              <w:rPr>
                <w:rFonts w:ascii="Times New Roman;serif" w:hAnsi="Times New Roman;serif"/>
                <w:b w:val="false"/>
                <w:i/>
                <w:sz w:val="16"/>
              </w:rPr>
            </w:pPr>
            <w:r>
              <w:rPr>
                <w:rFonts w:ascii="Times New Roman;serif" w:hAnsi="Times New Roman;serif"/>
                <w:b w:val="false"/>
                <w:i/>
                <w:sz w:val="16"/>
              </w:rPr>
              <w:t>(In thousands of U.S. Dollars)</w:t>
            </w:r>
          </w:p>
        </w:tc>
        <w:tc>
          <w:tcPr>
            <w:tcW w:w="246" w:type="dxa"/>
            <w:tcBorders/>
            <w:shd w:fill="auto" w:val="clear"/>
            <w:vAlign w:val="center"/>
          </w:tcPr>
          <w:p>
            <w:pPr>
              <w:pStyle w:val="TableContents"/>
              <w:spacing w:before="0" w:after="0"/>
              <w:ind w:left="0" w:right="0" w:hanging="0"/>
              <w:jc w:val="left"/>
              <w:rPr/>
            </w:pPr>
            <w:r>
              <w:rPr/>
              <w:t> </w:t>
            </w:r>
          </w:p>
        </w:tc>
        <w:tc>
          <w:tcPr>
            <w:tcW w:w="211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sz w:val="16"/>
              </w:rPr>
            </w:pPr>
            <w:r>
              <w:rPr>
                <w:rFonts w:ascii="Times New Roman;serif" w:hAnsi="Times New Roman;serif"/>
                <w:b/>
                <w:sz w:val="16"/>
              </w:rPr>
              <w:t>(Effective Portion)</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015"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2023</w:t>
            </w:r>
          </w:p>
        </w:tc>
        <w:tc>
          <w:tcPr>
            <w:tcW w:w="243"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214" w:type="dxa"/>
            <w:tcBorders/>
            <w:shd w:fill="auto" w:val="clear"/>
            <w:vAlign w:val="center"/>
          </w:tcPr>
          <w:p>
            <w:pPr>
              <w:pStyle w:val="TableContents"/>
              <w:spacing w:before="0" w:after="0"/>
              <w:ind w:left="0" w:right="0" w:hanging="0"/>
              <w:jc w:val="center"/>
              <w:rPr/>
            </w:pPr>
            <w:r>
              <w:rPr/>
              <w:t> </w:t>
            </w:r>
          </w:p>
        </w:tc>
        <w:tc>
          <w:tcPr>
            <w:tcW w:w="927"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2022</w:t>
            </w:r>
          </w:p>
        </w:tc>
        <w:tc>
          <w:tcPr>
            <w:tcW w:w="2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235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Foreign exchange contracts</w:t>
            </w:r>
          </w:p>
        </w:tc>
        <w:tc>
          <w:tcPr>
            <w:tcW w:w="246" w:type="dxa"/>
            <w:tcBorders/>
            <w:shd w:fill="auto" w:val="clear"/>
            <w:vAlign w:val="center"/>
          </w:tcPr>
          <w:p>
            <w:pPr>
              <w:pStyle w:val="TableContents"/>
              <w:spacing w:before="0" w:after="0"/>
              <w:ind w:left="0" w:right="0" w:hanging="0"/>
              <w:jc w:val="left"/>
              <w:rPr/>
            </w:pPr>
            <w:r>
              <w:rPr/>
              <w:t> </w:t>
            </w:r>
          </w:p>
        </w:tc>
        <w:tc>
          <w:tcPr>
            <w:tcW w:w="211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Selling, general and</w:t>
            </w:r>
          </w:p>
        </w:tc>
        <w:tc>
          <w:tcPr>
            <w:tcW w:w="146" w:type="dxa"/>
            <w:tcBorders/>
            <w:shd w:fill="auto" w:val="clear"/>
            <w:vAlign w:val="center"/>
          </w:tcPr>
          <w:p>
            <w:pPr>
              <w:pStyle w:val="TableContents"/>
              <w:spacing w:before="0" w:after="0"/>
              <w:ind w:left="0" w:right="0" w:hanging="0"/>
              <w:jc w:val="left"/>
              <w:rPr/>
            </w:pPr>
            <w:r>
              <w:rPr/>
              <w:t> </w:t>
            </w:r>
          </w:p>
        </w:tc>
        <w:tc>
          <w:tcPr>
            <w:tcW w:w="1015" w:type="dxa"/>
            <w:gridSpan w:val="2"/>
            <w:tcBorders/>
            <w:shd w:fill="auto" w:val="clear"/>
            <w:vAlign w:val="center"/>
          </w:tcPr>
          <w:p>
            <w:pPr>
              <w:pStyle w:val="TableContents"/>
              <w:spacing w:before="0" w:after="0"/>
              <w:ind w:left="0" w:right="0" w:hanging="0"/>
              <w:jc w:val="right"/>
              <w:rPr/>
            </w:pPr>
            <w:r>
              <w:rPr/>
              <w:t> </w:t>
            </w:r>
          </w:p>
        </w:tc>
        <w:tc>
          <w:tcPr>
            <w:tcW w:w="243" w:type="dxa"/>
            <w:tcBorders/>
            <w:shd w:fill="auto" w:val="clear"/>
            <w:vAlign w:val="center"/>
          </w:tcPr>
          <w:p>
            <w:pPr>
              <w:pStyle w:val="TableContents"/>
              <w:spacing w:before="0" w:after="0"/>
              <w:ind w:left="0" w:right="0" w:hanging="0"/>
              <w:jc w:val="right"/>
              <w:rPr/>
            </w:pPr>
            <w:r>
              <w:rPr/>
              <w:t> </w:t>
            </w:r>
          </w:p>
        </w:tc>
        <w:tc>
          <w:tcPr>
            <w:tcW w:w="214" w:type="dxa"/>
            <w:tcBorders/>
            <w:shd w:fill="auto" w:val="clear"/>
            <w:vAlign w:val="center"/>
          </w:tcPr>
          <w:p>
            <w:pPr>
              <w:pStyle w:val="TableContents"/>
              <w:spacing w:before="0" w:after="0"/>
              <w:ind w:left="0" w:right="0" w:hanging="0"/>
              <w:jc w:val="right"/>
              <w:rPr/>
            </w:pPr>
            <w:r>
              <w:rPr/>
              <w:t> </w:t>
            </w:r>
          </w:p>
        </w:tc>
        <w:tc>
          <w:tcPr>
            <w:tcW w:w="927" w:type="dxa"/>
            <w:gridSpan w:val="2"/>
            <w:tcBorders/>
            <w:shd w:fill="auto" w:val="clear"/>
            <w:vAlign w:val="center"/>
          </w:tcPr>
          <w:p>
            <w:pPr>
              <w:pStyle w:val="TableContents"/>
              <w:spacing w:before="0" w:after="0"/>
              <w:ind w:left="0" w:right="0" w:hanging="0"/>
              <w:jc w:val="right"/>
              <w:rPr/>
            </w:pPr>
            <w:r>
              <w:rPr/>
              <w:t> </w:t>
            </w:r>
          </w:p>
        </w:tc>
        <w:tc>
          <w:tcPr>
            <w:tcW w:w="291" w:type="dxa"/>
            <w:tcBorders/>
            <w:shd w:fill="auto" w:val="clear"/>
            <w:vAlign w:val="center"/>
          </w:tcPr>
          <w:p>
            <w:pPr>
              <w:pStyle w:val="TableContents"/>
              <w:spacing w:before="0" w:after="0"/>
              <w:ind w:left="0" w:right="0" w:firstLine="100"/>
              <w:jc w:val="right"/>
              <w:rPr/>
            </w:pPr>
            <w:r>
              <w:rPr/>
              <w:t> </w:t>
            </w:r>
          </w:p>
        </w:tc>
      </w:tr>
      <w:tr>
        <w:trPr/>
        <w:tc>
          <w:tcPr>
            <w:tcW w:w="2356" w:type="dxa"/>
            <w:tcBorders/>
            <w:shd w:fill="auto" w:val="clear"/>
            <w:vAlign w:val="center"/>
          </w:tcPr>
          <w:p>
            <w:pPr>
              <w:pStyle w:val="TableContents"/>
              <w:spacing w:before="0" w:after="0"/>
              <w:ind w:left="100" w:right="0" w:hanging="0"/>
              <w:jc w:val="left"/>
              <w:rPr/>
            </w:pPr>
            <w:r>
              <w:rPr/>
              <w:t xml:space="preserve">— </w:t>
            </w:r>
            <w:r>
              <w:rPr>
                <w:rFonts w:ascii="Times New Roman;serif" w:hAnsi="Times New Roman;serif"/>
                <w:b w:val="false"/>
                <w:sz w:val="20"/>
              </w:rPr>
              <w:t>Forwards</w:t>
            </w:r>
          </w:p>
        </w:tc>
        <w:tc>
          <w:tcPr>
            <w:tcW w:w="246" w:type="dxa"/>
            <w:tcBorders/>
            <w:shd w:fill="auto" w:val="clear"/>
            <w:vAlign w:val="center"/>
          </w:tcPr>
          <w:p>
            <w:pPr>
              <w:pStyle w:val="TableContents"/>
              <w:spacing w:before="0" w:after="0"/>
              <w:ind w:left="0" w:right="0" w:firstLine="100"/>
              <w:jc w:val="left"/>
              <w:rPr/>
            </w:pPr>
            <w:r>
              <w:rPr/>
              <w:t> </w:t>
            </w:r>
          </w:p>
        </w:tc>
        <w:tc>
          <w:tcPr>
            <w:tcW w:w="2116" w:type="dxa"/>
            <w:tcBorders/>
            <w:shd w:fill="auto" w:val="clear"/>
            <w:vAlign w:val="center"/>
          </w:tcPr>
          <w:p>
            <w:pPr>
              <w:pStyle w:val="TableContents"/>
              <w:spacing w:before="0" w:after="0"/>
              <w:ind w:left="100" w:right="0" w:hanging="0"/>
              <w:jc w:val="left"/>
              <w:rPr>
                <w:rFonts w:ascii="Times New Roman;serif" w:hAnsi="Times New Roman;serif"/>
                <w:b w:val="false"/>
                <w:sz w:val="20"/>
              </w:rPr>
            </w:pPr>
            <w:r>
              <w:rPr>
                <w:rFonts w:ascii="Times New Roman;serif" w:hAnsi="Times New Roman;serif"/>
                <w:b w:val="false"/>
                <w:sz w:val="20"/>
              </w:rPr>
              <w:t>administrative expenses</w:t>
            </w:r>
          </w:p>
        </w:tc>
        <w:tc>
          <w:tcPr>
            <w:tcW w:w="146" w:type="dxa"/>
            <w:tcBorders/>
            <w:shd w:fill="auto" w:val="clear"/>
            <w:vAlign w:val="center"/>
          </w:tcPr>
          <w:p>
            <w:pPr>
              <w:pStyle w:val="TableContents"/>
              <w:spacing w:before="0" w:after="0"/>
              <w:ind w:left="0" w:right="0" w:hanging="0"/>
              <w:jc w:val="left"/>
              <w:rPr/>
            </w:pPr>
            <w:r>
              <w:rPr/>
              <w:t> </w:t>
            </w:r>
          </w:p>
        </w:tc>
        <w:tc>
          <w:tcPr>
            <w:tcW w:w="309"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0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(339</w:t>
            </w:r>
          </w:p>
        </w:tc>
        <w:tc>
          <w:tcPr>
            <w:tcW w:w="243"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214" w:type="dxa"/>
            <w:tcBorders/>
            <w:shd w:fill="auto" w:val="clear"/>
            <w:vAlign w:val="center"/>
          </w:tcPr>
          <w:p>
            <w:pPr>
              <w:pStyle w:val="TableContents"/>
              <w:spacing w:before="0" w:after="0"/>
              <w:ind w:left="0" w:right="0" w:hanging="0"/>
              <w:jc w:val="right"/>
              <w:rPr/>
            </w:pPr>
            <w:r>
              <w:rPr/>
              <w:t> </w:t>
            </w:r>
          </w:p>
        </w:tc>
        <w:tc>
          <w:tcPr>
            <w:tcW w:w="309"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18"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(29</w:t>
            </w:r>
          </w:p>
        </w:tc>
        <w:tc>
          <w:tcPr>
            <w:tcW w:w="29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bl>
    <w:p>
      <w:pPr>
        <w:pStyle w:val="TextBody"/>
        <w:spacing w:before="200" w:after="0"/>
        <w:jc w:val="both"/>
        <w:rPr>
          <w:rFonts w:ascii="Times New Roman;serif" w:hAnsi="Times New Roman;serif"/>
          <w:b w:val="false"/>
          <w:sz w:val="20"/>
        </w:rPr>
      </w:pPr>
      <w:r>
        <w:rPr>
          <w:rFonts w:ascii="Times New Roman;serif" w:hAnsi="Times New Roman;serif"/>
          <w:b w:val="false"/>
          <w:sz w:val="20"/>
        </w:rPr>
        <w:t>The Company’s estimated net amount of the existing loss as of March 31, 2023 is $(0.2) million, which is expected to be reclassified to the Condensed Consolidated Statements of Operations within the next twelve months.</w:t>
      </w:r>
    </w:p>
    <w:p>
      <w:pPr>
        <w:pStyle w:val="TextBody"/>
        <w:spacing w:before="200" w:after="0"/>
        <w:jc w:val="both"/>
        <w:rPr>
          <w:rFonts w:ascii="Times New Roman" w:hAnsi="Times New Roman"/>
          <w:b/>
          <w:i/>
          <w:sz w:val="20"/>
        </w:rPr>
      </w:pPr>
      <w:r>
        <w:rPr>
          <w:rFonts w:ascii="Times New Roman" w:hAnsi="Times New Roman"/>
          <w:b/>
          <w:i/>
          <w:sz w:val="20"/>
        </w:rPr>
        <w:t>(d)</w:t>
      </w:r>
    </w:p>
    <w:p>
      <w:pPr>
        <w:pStyle w:val="TextBody"/>
        <w:spacing w:before="200" w:after="283"/>
        <w:jc w:val="both"/>
        <w:rPr>
          <w:rFonts w:ascii="Times New Roman;serif" w:hAnsi="Times New Roman;serif"/>
          <w:b/>
          <w:i/>
          <w:sz w:val="20"/>
        </w:rPr>
      </w:pPr>
      <w:r>
        <w:rPr>
          <w:rFonts w:ascii="Times New Roman;serif" w:hAnsi="Times New Roman;serif"/>
          <w:b/>
          <w:i/>
          <w:sz w:val="20"/>
        </w:rPr>
        <w:t>Investments in Equity Securities</w:t>
      </w:r>
    </w:p>
    <w:p>
      <w:pPr>
        <w:pStyle w:val="TextBody"/>
        <w:spacing w:before="200" w:after="0"/>
        <w:jc w:val="both"/>
        <w:rPr>
          <w:rFonts w:ascii="Times New Roman" w:hAnsi="Times New Roman"/>
          <w:sz w:val="20"/>
        </w:rPr>
      </w:pPr>
      <w:r>
        <w:rPr>
          <w:rFonts w:ascii="Times New Roman;serif" w:hAnsi="Times New Roman;serif"/>
          <w:b w:val="false"/>
          <w:sz w:val="20"/>
        </w:rPr>
        <w:t>The Company has an investment in the shares of an exchange traded fund which is classified as an equity investment. As of March 31, 2023, the value of the investment was $1.1</w:t>
      </w:r>
      <w:r>
        <w:rPr>
          <w:rFonts w:ascii="Times New Roman" w:hAnsi="Times New Roman"/>
          <w:sz w:val="20"/>
        </w:rPr>
        <w:t xml:space="preserve"> </w:t>
      </w:r>
      <w:r>
        <w:rPr>
          <w:rFonts w:ascii="Times New Roman;serif" w:hAnsi="Times New Roman;serif"/>
          <w:b w:val="false"/>
          <w:sz w:val="20"/>
        </w:rPr>
        <w:t>million</w:t>
      </w:r>
      <w:r>
        <w:rPr>
          <w:rFonts w:ascii="Times New Roman" w:hAnsi="Times New Roman"/>
          <w:sz w:val="20"/>
        </w:rPr>
        <w:t xml:space="preserve"> </w:t>
      </w:r>
      <w:r>
        <w:rPr>
          <w:rFonts w:ascii="Times New Roman;serif" w:hAnsi="Times New Roman;serif"/>
          <w:b w:val="false"/>
          <w:sz w:val="20"/>
        </w:rPr>
        <w:t>(December 31, 2022 — $1.0</w:t>
      </w:r>
      <w:r>
        <w:rPr>
          <w:rFonts w:ascii="Times New Roman" w:hAnsi="Times New Roman"/>
          <w:sz w:val="20"/>
        </w:rPr>
        <w:t xml:space="preserve"> </w:t>
      </w:r>
      <w:r>
        <w:rPr>
          <w:rFonts w:ascii="Times New Roman;serif" w:hAnsi="Times New Roman;serif"/>
          <w:b w:val="false"/>
          <w:sz w:val="20"/>
        </w:rPr>
        <w:t>million) and is recorded within Investment in Equity Securities in the Condensed Consolidated Balance Sheets.</w:t>
      </w:r>
    </w:p>
    <w:p>
      <w:pPr>
        <w:pStyle w:val="TextBody"/>
        <w:spacing w:before="200" w:after="0"/>
        <w:jc w:val="both"/>
        <w:rPr>
          <w:rFonts w:ascii="Times New Roman" w:hAnsi="Times New Roman"/>
          <w:sz w:val="20"/>
        </w:rPr>
      </w:pPr>
      <w:r>
        <w:rPr>
          <w:rFonts w:ascii="Times New Roman;serif" w:hAnsi="Times New Roman;serif"/>
          <w:b w:val="false"/>
          <w:sz w:val="20"/>
        </w:rPr>
        <w:t>The Company held an investment in the preferred shares of enterprises which meets the criteria for classification as an equity security carried at historical cost, net of impairment charges. The carrying value of the equity security investment was $1.0</w:t>
      </w:r>
      <w:r>
        <w:rPr>
          <w:rFonts w:ascii="Times New Roman" w:hAnsi="Times New Roman"/>
          <w:sz w:val="20"/>
        </w:rPr>
        <w:t xml:space="preserve"> </w:t>
      </w:r>
      <w:r>
        <w:rPr>
          <w:rFonts w:ascii="Times New Roman;serif" w:hAnsi="Times New Roman;serif"/>
          <w:b w:val="false"/>
          <w:sz w:val="20"/>
        </w:rPr>
        <w:t>million</w:t>
      </w:r>
      <w:r>
        <w:rPr>
          <w:rFonts w:ascii="Times New Roman" w:hAnsi="Times New Roman"/>
          <w:sz w:val="20"/>
        </w:rPr>
        <w:t xml:space="preserve"> </w:t>
      </w:r>
      <w:r>
        <w:rPr>
          <w:rFonts w:ascii="Times New Roman;serif" w:hAnsi="Times New Roman;serif"/>
          <w:b w:val="false"/>
          <w:sz w:val="20"/>
        </w:rPr>
        <w:t>as of March 31, 2023 (December 31, 2022 — $1.0</w:t>
      </w:r>
      <w:r>
        <w:rPr>
          <w:rFonts w:ascii="Times New Roman" w:hAnsi="Times New Roman"/>
          <w:sz w:val="20"/>
        </w:rPr>
        <w:t xml:space="preserve"> </w:t>
      </w:r>
      <w:r>
        <w:rPr>
          <w:rFonts w:ascii="Times New Roman;serif" w:hAnsi="Times New Roman;serif"/>
          <w:b w:val="false"/>
          <w:sz w:val="20"/>
        </w:rPr>
        <w:t>million) and is recorded within Other Assets in the Condensed Consolidated Balance Sheets.</w:t>
      </w:r>
    </w:p>
    <w:p>
      <w:pPr>
        <w:pStyle w:val="TextBody"/>
        <w:spacing w:before="200" w:after="0"/>
        <w:jc w:val="both"/>
        <w:rPr>
          <w:rFonts w:ascii="Times New Roman" w:hAnsi="Times New Roman"/>
          <w:b/>
          <w:i/>
          <w:sz w:val="20"/>
        </w:rPr>
      </w:pPr>
      <w:r>
        <w:rPr>
          <w:rFonts w:ascii="Times New Roman" w:hAnsi="Times New Roman"/>
          <w:b/>
          <w:i/>
          <w:sz w:val="20"/>
        </w:rPr>
        <w:t>(e)</w:t>
      </w:r>
    </w:p>
    <w:p>
      <w:pPr>
        <w:pStyle w:val="TextBody"/>
        <w:spacing w:before="200" w:after="283"/>
        <w:jc w:val="both"/>
        <w:rPr>
          <w:rFonts w:ascii="Times New Roman;serif" w:hAnsi="Times New Roman;serif"/>
          <w:b/>
          <w:i/>
          <w:sz w:val="20"/>
        </w:rPr>
      </w:pPr>
      <w:r>
        <w:rPr>
          <w:rFonts w:ascii="Times New Roman;serif" w:hAnsi="Times New Roman;serif"/>
          <w:b/>
          <w:i/>
          <w:sz w:val="20"/>
        </w:rPr>
        <w:t xml:space="preserve">Interest in Film </w:t>
      </w:r>
    </w:p>
    <w:p>
      <w:pPr>
        <w:pStyle w:val="TextBody"/>
        <w:spacing w:before="200" w:after="0"/>
        <w:jc w:val="both"/>
        <w:rPr>
          <w:rFonts w:ascii="Times New Roman" w:hAnsi="Times New Roman"/>
          <w:sz w:val="20"/>
        </w:rPr>
      </w:pPr>
      <w:r>
        <w:rPr>
          <w:rFonts w:ascii="Times New Roman;serif" w:hAnsi="Times New Roman;serif"/>
          <w:b w:val="false"/>
          <w:sz w:val="20"/>
        </w:rPr>
        <w:t>On January 10, 2022, IMAX (Shanghai) Culture and Technology Co., Ltd, a wholly-owned subsidiary of IMAX China, entered into a joint film investment agreement with Wanda Film (Horgos) Co. Ltd. to invest RMB 30.0</w:t>
      </w:r>
      <w:r>
        <w:rPr>
          <w:rFonts w:ascii="Times New Roman" w:hAnsi="Times New Roman"/>
          <w:sz w:val="20"/>
        </w:rPr>
        <w:t xml:space="preserve"> </w:t>
      </w:r>
      <w:r>
        <w:rPr>
          <w:rFonts w:ascii="Times New Roman;serif" w:hAnsi="Times New Roman;serif"/>
          <w:b w:val="false"/>
          <w:sz w:val="20"/>
        </w:rPr>
        <w:t>million ($4.7</w:t>
      </w:r>
      <w:r>
        <w:rPr>
          <w:rFonts w:ascii="Times New Roman" w:hAnsi="Times New Roman"/>
          <w:sz w:val="20"/>
        </w:rPr>
        <w:t xml:space="preserve"> </w:t>
      </w:r>
      <w:r>
        <w:rPr>
          <w:rFonts w:ascii="Times New Roman;serif" w:hAnsi="Times New Roman;serif"/>
          <w:b w:val="false"/>
          <w:sz w:val="20"/>
        </w:rPr>
        <w:t xml:space="preserve">million) in the movie </w:t>
      </w:r>
      <w:r>
        <w:rPr>
          <w:rFonts w:ascii="Times New Roman;serif" w:hAnsi="Times New Roman;serif"/>
          <w:b w:val="false"/>
          <w:i/>
          <w:sz w:val="20"/>
        </w:rPr>
        <w:t>Mozart from Space</w:t>
      </w:r>
      <w:r>
        <w:rPr>
          <w:rFonts w:ascii="Times New Roman;serif" w:hAnsi="Times New Roman;serif"/>
          <w:b w:val="false"/>
          <w:sz w:val="20"/>
        </w:rPr>
        <w:t>, which was released on July 15, 2022. Pursuant to the investment agreement, IMAX (Shanghai) Culture and Technology Co., Ltd. has the right to receive a share of the profits or losses of the film distribution. IMAX (Shanghai) Culture and Technology Co., Ltd.’s commitment is limited to its investment and has no further obligation if the actual movie production cost exceeds the original budget. The investment meets the criteria for classification as a financial asset. The investment is measured at amortized cost less impairment losses and is recorded within Other Assets in the Condensed Consolidated Balance Sheets.</w:t>
      </w:r>
    </w:p>
    <w:p>
      <w:pPr>
        <w:pStyle w:val="TextBody"/>
        <w:spacing w:before="200" w:after="0"/>
        <w:jc w:val="both"/>
        <w:rPr>
          <w:rFonts w:ascii="Times New Roman" w:hAnsi="Times New Roman"/>
          <w:sz w:val="20"/>
        </w:rPr>
      </w:pPr>
      <w:r>
        <w:rPr>
          <w:rFonts w:ascii="Times New Roman;serif" w:hAnsi="Times New Roman;serif"/>
          <w:b w:val="false"/>
          <w:sz w:val="20"/>
        </w:rPr>
        <w:t>During the second quarter of 2022, the Company recognized a full impairment of its RMB 30.0</w:t>
      </w:r>
      <w:r>
        <w:rPr>
          <w:rFonts w:ascii="Times New Roman" w:hAnsi="Times New Roman"/>
          <w:sz w:val="20"/>
        </w:rPr>
        <w:t xml:space="preserve"> </w:t>
      </w:r>
      <w:r>
        <w:rPr>
          <w:rFonts w:ascii="Times New Roman;serif" w:hAnsi="Times New Roman;serif"/>
          <w:b w:val="false"/>
          <w:sz w:val="20"/>
        </w:rPr>
        <w:t>million ($4.5</w:t>
      </w:r>
      <w:r>
        <w:rPr>
          <w:rFonts w:ascii="Times New Roman" w:hAnsi="Times New Roman"/>
          <w:sz w:val="20"/>
        </w:rPr>
        <w:t xml:space="preserve"> </w:t>
      </w:r>
      <w:r>
        <w:rPr>
          <w:rFonts w:ascii="Times New Roman;serif" w:hAnsi="Times New Roman;serif"/>
          <w:b w:val="false"/>
          <w:sz w:val="20"/>
        </w:rPr>
        <w:t xml:space="preserve">million) investment in </w:t>
      </w:r>
      <w:r>
        <w:rPr>
          <w:rFonts w:ascii="Times New Roman;serif" w:hAnsi="Times New Roman;serif"/>
          <w:b w:val="false"/>
          <w:i/>
          <w:sz w:val="20"/>
        </w:rPr>
        <w:t xml:space="preserve">Mozart from Space </w:t>
      </w:r>
      <w:r>
        <w:rPr>
          <w:rFonts w:ascii="Times New Roman;serif" w:hAnsi="Times New Roman;serif"/>
          <w:b w:val="false"/>
          <w:sz w:val="20"/>
        </w:rPr>
        <w:t>based on projected box office results and distribution costs.</w:t>
      </w:r>
    </w:p>
    <w:p>
      <w:pPr>
        <w:pStyle w:val="TextBody"/>
        <w:spacing w:before="200" w:after="0"/>
        <w:jc w:val="both"/>
        <w:rPr>
          <w:rFonts w:ascii="Times New Roman;serif" w:hAnsi="Times New Roman;serif"/>
          <w:b/>
          <w:sz w:val="20"/>
        </w:rPr>
      </w:pPr>
      <w:r>
        <w:rPr>
          <w:rFonts w:ascii="Times New Roman;serif" w:hAnsi="Times New Roman;serif"/>
          <w:b/>
          <w:sz w:val="20"/>
        </w:rPr>
        <w:t>16. Executive Transition Costs</w:t>
      </w:r>
    </w:p>
    <w:p>
      <w:pPr>
        <w:pStyle w:val="TextBody"/>
        <w:spacing w:before="200" w:after="0"/>
        <w:jc w:val="both"/>
        <w:rPr>
          <w:rFonts w:ascii="Times New Roman" w:hAnsi="Times New Roman"/>
          <w:sz w:val="20"/>
        </w:rPr>
      </w:pPr>
      <w:r>
        <w:rPr>
          <w:rFonts w:ascii="Times New Roman;serif" w:hAnsi="Times New Roman;serif"/>
          <w:b w:val="false"/>
          <w:sz w:val="20"/>
        </w:rPr>
        <w:t>On March 13, 2023, the Company and Megan Colligan, President, IMAX Entertainment and Executive Vice President of the Company agreed to conclude Ms. Colligan’s employment with the Company, effective April 30, 2023. Pursuant to the employment agreement between the Company and Ms. Colligan, dated as of October 10, 2018,</w:t>
      </w:r>
      <w:r>
        <w:rPr>
          <w:rFonts w:ascii="Times New Roman" w:hAnsi="Times New Roman"/>
          <w:sz w:val="20"/>
        </w:rPr>
        <w:t xml:space="preserve"> </w:t>
      </w:r>
      <w:r>
        <w:rPr>
          <w:rFonts w:ascii="Times New Roman;serif" w:hAnsi="Times New Roman;serif"/>
          <w:b w:val="false"/>
          <w:sz w:val="20"/>
        </w:rPr>
        <w:t>and the letter agreement between the Company and Ms. Colligan, dated as of March 15, 2023, the Company recognized executive transition costs of $1.4</w:t>
      </w:r>
      <w:r>
        <w:rPr>
          <w:rFonts w:ascii="Times New Roman" w:hAnsi="Times New Roman"/>
          <w:sz w:val="20"/>
        </w:rPr>
        <w:t xml:space="preserve"> </w:t>
      </w:r>
      <w:r>
        <w:rPr>
          <w:rFonts w:ascii="Times New Roman;serif" w:hAnsi="Times New Roman;serif"/>
          <w:b w:val="false"/>
          <w:sz w:val="20"/>
        </w:rPr>
        <w:t>million associated with the departure of Ms. Colligan during the first quarter of 2023. The costs include severance of $1.6</w:t>
      </w:r>
      <w:r>
        <w:rPr>
          <w:rFonts w:ascii="Times New Roman" w:hAnsi="Times New Roman"/>
          <w:sz w:val="20"/>
        </w:rPr>
        <w:t xml:space="preserve"> </w:t>
      </w:r>
      <w:r>
        <w:rPr>
          <w:rFonts w:ascii="Times New Roman;serif" w:hAnsi="Times New Roman;serif"/>
          <w:b w:val="false"/>
          <w:sz w:val="20"/>
        </w:rPr>
        <w:t>million, transition services covering three months of $0.8</w:t>
      </w:r>
      <w:r>
        <w:rPr>
          <w:rFonts w:ascii="Times New Roman" w:hAnsi="Times New Roman"/>
          <w:sz w:val="20"/>
        </w:rPr>
        <w:t xml:space="preserve"> </w:t>
      </w:r>
      <w:r>
        <w:rPr>
          <w:rFonts w:ascii="Times New Roman;serif" w:hAnsi="Times New Roman;serif"/>
          <w:b w:val="false"/>
          <w:sz w:val="20"/>
        </w:rPr>
        <w:t>million, and the reversal of previously recognized share-based compensation costs of $1.0</w:t>
      </w:r>
      <w:r>
        <w:rPr>
          <w:rFonts w:ascii="Times New Roman" w:hAnsi="Times New Roman"/>
          <w:sz w:val="20"/>
        </w:rPr>
        <w:t xml:space="preserve"> </w:t>
      </w:r>
      <w:r>
        <w:rPr>
          <w:rFonts w:ascii="Times New Roman;serif" w:hAnsi="Times New Roman;serif"/>
          <w:b w:val="false"/>
          <w:sz w:val="20"/>
        </w:rPr>
        <w:t>million for PSU forfeitures.</w:t>
      </w:r>
      <w:r>
        <w:rPr>
          <w:rFonts w:ascii="Times New Roman" w:hAnsi="Times New Roman"/>
          <w:sz w:val="20"/>
        </w:rPr>
        <w:t xml:space="preserve"> </w:t>
      </w:r>
    </w:p>
    <w:p>
      <w:pPr>
        <w:pStyle w:val="TextBody"/>
        <w:spacing w:before="240" w:after="0"/>
        <w:jc w:val="center"/>
        <w:rPr>
          <w:rFonts w:ascii="Times New Roman;serif" w:hAnsi="Times New Roman;serif"/>
          <w:b w:val="false"/>
          <w:sz w:val="20"/>
        </w:rPr>
      </w:pPr>
      <w:r>
        <w:rPr>
          <w:rFonts w:ascii="Times New Roman;serif" w:hAnsi="Times New Roman;serif"/>
          <w:b w:val="false"/>
          <w:sz w:val="20"/>
        </w:rPr>
        <w:t>38</w:t>
      </w:r>
    </w:p>
    <w:p>
      <w:pPr>
        <w:pStyle w:val="HorizontalLine"/>
        <w:rPr/>
      </w:pPr>
      <w:r>
        <w:rPr/>
      </w:r>
    </w:p>
    <w:p>
      <w:pPr>
        <w:pStyle w:val="TextBody"/>
        <w:spacing w:before="0" w:after="0"/>
        <w:jc w:val="left"/>
        <w:rPr/>
      </w:pPr>
      <w:r>
        <w:rPr/>
        <w:t> </w:t>
      </w:r>
    </w:p>
    <w:p>
      <w:pPr>
        <w:pStyle w:val="TextBody"/>
        <w:spacing w:before="200" w:after="0"/>
        <w:jc w:val="both"/>
        <w:rPr>
          <w:rFonts w:ascii="Times New Roman;serif" w:hAnsi="Times New Roman;serif"/>
          <w:b/>
          <w:sz w:val="20"/>
        </w:rPr>
      </w:pPr>
      <w:r>
        <w:rPr>
          <w:rFonts w:ascii="Times New Roman;serif" w:hAnsi="Times New Roman;serif"/>
          <w:b/>
          <w:sz w:val="20"/>
        </w:rPr>
        <w:t>17. Non-Controlling Interests</w:t>
      </w:r>
    </w:p>
    <w:p>
      <w:pPr>
        <w:pStyle w:val="TextBody"/>
        <w:spacing w:before="200" w:after="0"/>
        <w:jc w:val="both"/>
        <w:rPr>
          <w:rFonts w:ascii="Times New Roman" w:hAnsi="Times New Roman"/>
          <w:b/>
          <w:i/>
          <w:sz w:val="20"/>
        </w:rPr>
      </w:pPr>
      <w:r>
        <w:rPr>
          <w:rFonts w:ascii="Times New Roman" w:hAnsi="Times New Roman"/>
          <w:b/>
          <w:i/>
          <w:sz w:val="20"/>
        </w:rPr>
        <w:t>(a)</w:t>
      </w:r>
    </w:p>
    <w:p>
      <w:pPr>
        <w:pStyle w:val="TextBody"/>
        <w:spacing w:before="200" w:after="283"/>
        <w:jc w:val="both"/>
        <w:rPr>
          <w:rFonts w:ascii="Times New Roman;serif" w:hAnsi="Times New Roman;serif"/>
          <w:b/>
          <w:i/>
          <w:sz w:val="20"/>
        </w:rPr>
      </w:pPr>
      <w:r>
        <w:rPr>
          <w:rFonts w:ascii="Times New Roman;serif" w:hAnsi="Times New Roman;serif"/>
          <w:b/>
          <w:i/>
          <w:sz w:val="20"/>
        </w:rPr>
        <w:t>IMAX China Non-Controlling Interest</w:t>
      </w:r>
    </w:p>
    <w:p>
      <w:pPr>
        <w:pStyle w:val="TextBody"/>
        <w:spacing w:before="200" w:after="0"/>
        <w:jc w:val="both"/>
        <w:rPr>
          <w:rFonts w:ascii="Times New Roman" w:hAnsi="Times New Roman"/>
          <w:sz w:val="20"/>
        </w:rPr>
      </w:pPr>
      <w:r>
        <w:rPr>
          <w:rFonts w:ascii="Times New Roman;serif" w:hAnsi="Times New Roman;serif"/>
          <w:b w:val="false"/>
          <w:sz w:val="20"/>
        </w:rPr>
        <w:t>The Company indirectly owns 71.63%</w:t>
      </w:r>
      <w:r>
        <w:rPr>
          <w:rFonts w:ascii="Times New Roman" w:hAnsi="Times New Roman"/>
          <w:sz w:val="20"/>
        </w:rPr>
        <w:t xml:space="preserve"> </w:t>
      </w:r>
      <w:r>
        <w:rPr>
          <w:rFonts w:ascii="Times New Roman;serif" w:hAnsi="Times New Roman;serif"/>
          <w:b w:val="false"/>
          <w:sz w:val="20"/>
        </w:rPr>
        <w:t>of IMAX China, whose shares trade on the Hong Kong Stock Exchange (December 31, 2022</w:t>
      </w:r>
      <w:r>
        <w:rPr>
          <w:rFonts w:ascii="Times New Roman" w:hAnsi="Times New Roman"/>
          <w:sz w:val="20"/>
        </w:rPr>
        <w:t xml:space="preserve"> — </w:t>
      </w:r>
      <w:r>
        <w:rPr>
          <w:rFonts w:ascii="Times New Roman;serif" w:hAnsi="Times New Roman;serif"/>
          <w:b w:val="false"/>
          <w:sz w:val="20"/>
        </w:rPr>
        <w:t>71.73%). IMAX China remains a consolidated subsidiary of the Company. As of March 31, 2023, the balance of the Company’s non-controlling interest in IMAX China is $69.1</w:t>
      </w:r>
      <w:r>
        <w:rPr>
          <w:rFonts w:ascii="Times New Roman" w:hAnsi="Times New Roman"/>
          <w:sz w:val="20"/>
        </w:rPr>
        <w:t xml:space="preserve"> </w:t>
      </w:r>
      <w:r>
        <w:rPr>
          <w:rFonts w:ascii="Times New Roman;serif" w:hAnsi="Times New Roman;serif"/>
          <w:b w:val="false"/>
          <w:sz w:val="20"/>
        </w:rPr>
        <w:t>million</w:t>
      </w:r>
      <w:r>
        <w:rPr>
          <w:rFonts w:ascii="Times New Roman" w:hAnsi="Times New Roman"/>
          <w:sz w:val="20"/>
        </w:rPr>
        <w:t xml:space="preserve"> </w:t>
      </w:r>
      <w:r>
        <w:rPr>
          <w:rFonts w:ascii="Times New Roman;serif" w:hAnsi="Times New Roman;serif"/>
          <w:b w:val="false"/>
          <w:sz w:val="20"/>
        </w:rPr>
        <w:t>(December 31, 2022</w:t>
      </w:r>
      <w:r>
        <w:rPr>
          <w:rFonts w:ascii="Times New Roman" w:hAnsi="Times New Roman"/>
          <w:sz w:val="20"/>
        </w:rPr>
        <w:t xml:space="preserve"> — </w:t>
      </w:r>
      <w:r>
        <w:rPr>
          <w:rFonts w:ascii="Times New Roman;serif" w:hAnsi="Times New Roman;serif"/>
          <w:b w:val="false"/>
          <w:sz w:val="20"/>
        </w:rPr>
        <w:t>$65.7</w:t>
      </w:r>
      <w:r>
        <w:rPr>
          <w:rFonts w:ascii="Times New Roman" w:hAnsi="Times New Roman"/>
          <w:sz w:val="20"/>
        </w:rPr>
        <w:t xml:space="preserve"> </w:t>
      </w:r>
      <w:r>
        <w:rPr>
          <w:rFonts w:ascii="Times New Roman;serif" w:hAnsi="Times New Roman;serif"/>
          <w:b w:val="false"/>
          <w:sz w:val="20"/>
        </w:rPr>
        <w:t>million). For the three months ended March 31, 2023, the net income attributable to the non-controlling interest in IMAX China was $2.7</w:t>
      </w:r>
      <w:r>
        <w:rPr>
          <w:rFonts w:ascii="Times New Roman" w:hAnsi="Times New Roman"/>
          <w:sz w:val="20"/>
        </w:rPr>
        <w:t xml:space="preserve"> </w:t>
      </w:r>
      <w:r>
        <w:rPr>
          <w:rFonts w:ascii="Times New Roman;serif" w:hAnsi="Times New Roman;serif"/>
          <w:b w:val="false"/>
          <w:sz w:val="20"/>
        </w:rPr>
        <w:t>million</w:t>
      </w:r>
      <w:r>
        <w:rPr>
          <w:rFonts w:ascii="Times New Roman" w:hAnsi="Times New Roman"/>
          <w:sz w:val="20"/>
        </w:rPr>
        <w:t xml:space="preserve"> </w:t>
      </w:r>
      <w:r>
        <w:rPr>
          <w:rFonts w:ascii="Times New Roman;serif" w:hAnsi="Times New Roman;serif"/>
          <w:b w:val="false"/>
          <w:sz w:val="20"/>
        </w:rPr>
        <w:t>(2022 — $1.7</w:t>
      </w:r>
      <w:r>
        <w:rPr>
          <w:rFonts w:ascii="Times New Roman" w:hAnsi="Times New Roman"/>
          <w:sz w:val="20"/>
        </w:rPr>
        <w:t xml:space="preserve"> </w:t>
      </w:r>
      <w:r>
        <w:rPr>
          <w:rFonts w:ascii="Times New Roman;serif" w:hAnsi="Times New Roman;serif"/>
          <w:b w:val="false"/>
          <w:sz w:val="20"/>
        </w:rPr>
        <w:t>million).</w:t>
      </w:r>
      <w:r>
        <w:rPr>
          <w:rFonts w:ascii="Times New Roman" w:hAnsi="Times New Roman"/>
          <w:sz w:val="20"/>
        </w:rPr>
        <w:t xml:space="preserve"> </w:t>
      </w:r>
    </w:p>
    <w:p>
      <w:pPr>
        <w:pStyle w:val="TextBody"/>
        <w:spacing w:before="200" w:after="0"/>
        <w:jc w:val="both"/>
        <w:rPr>
          <w:rFonts w:ascii="Times New Roman" w:hAnsi="Times New Roman"/>
          <w:b/>
          <w:i/>
          <w:sz w:val="20"/>
        </w:rPr>
      </w:pPr>
      <w:r>
        <w:rPr>
          <w:rFonts w:ascii="Times New Roman" w:hAnsi="Times New Roman"/>
          <w:b/>
          <w:i/>
          <w:sz w:val="20"/>
        </w:rPr>
        <w:t>(b)</w:t>
      </w:r>
    </w:p>
    <w:p>
      <w:pPr>
        <w:pStyle w:val="TextBody"/>
        <w:spacing w:before="200" w:after="283"/>
        <w:jc w:val="both"/>
        <w:rPr>
          <w:rFonts w:ascii="Times New Roman;serif" w:hAnsi="Times New Roman;serif"/>
          <w:b/>
          <w:i/>
          <w:sz w:val="20"/>
        </w:rPr>
      </w:pPr>
      <w:r>
        <w:rPr>
          <w:rFonts w:ascii="Times New Roman;serif" w:hAnsi="Times New Roman;serif"/>
          <w:b/>
          <w:i/>
          <w:sz w:val="20"/>
        </w:rPr>
        <w:t>Other Non-Controlling Interest</w:t>
      </w:r>
    </w:p>
    <w:p>
      <w:pPr>
        <w:pStyle w:val="TextBody"/>
        <w:spacing w:before="200" w:after="0"/>
        <w:jc w:val="both"/>
        <w:rPr>
          <w:rFonts w:ascii="Times New Roman" w:hAnsi="Times New Roman"/>
          <w:sz w:val="20"/>
        </w:rPr>
      </w:pPr>
      <w:r>
        <w:rPr>
          <w:rFonts w:ascii="Times New Roman;serif" w:hAnsi="Times New Roman;serif"/>
          <w:b w:val="false"/>
          <w:sz w:val="20"/>
        </w:rPr>
        <w:t>The Company’s Original Film Fund was established in 2014 to co-finance a portfolio of 10</w:t>
      </w:r>
      <w:r>
        <w:rPr>
          <w:rFonts w:ascii="Times New Roman;serif" w:hAnsi="Times New Roman;serif"/>
          <w:sz w:val="20"/>
        </w:rPr>
        <w:t xml:space="preserve"> </w:t>
      </w:r>
      <w:r>
        <w:rPr>
          <w:rFonts w:ascii="Times New Roman;serif" w:hAnsi="Times New Roman;serif"/>
          <w:b w:val="false"/>
          <w:sz w:val="20"/>
        </w:rPr>
        <w:t>original large-format films. The initial investment in the Original Film Fund was committed by a third party in the amount of $25.0</w:t>
      </w:r>
      <w:r>
        <w:rPr>
          <w:rFonts w:ascii="Times New Roman;serif" w:hAnsi="Times New Roman;serif"/>
          <w:sz w:val="20"/>
        </w:rPr>
        <w:t xml:space="preserve"> </w:t>
      </w:r>
      <w:r>
        <w:rPr>
          <w:rFonts w:ascii="Times New Roman;serif" w:hAnsi="Times New Roman;serif"/>
          <w:b w:val="false"/>
          <w:sz w:val="20"/>
        </w:rPr>
        <w:t>million, with the possibility of contributing additional funds. The Company has contributed $9.0</w:t>
      </w:r>
      <w:r>
        <w:rPr>
          <w:rFonts w:ascii="Times New Roman;serif" w:hAnsi="Times New Roman;serif"/>
          <w:sz w:val="20"/>
        </w:rPr>
        <w:t xml:space="preserve"> </w:t>
      </w:r>
      <w:r>
        <w:rPr>
          <w:rFonts w:ascii="Times New Roman;serif" w:hAnsi="Times New Roman;serif"/>
          <w:b w:val="false"/>
          <w:sz w:val="20"/>
        </w:rPr>
        <w:t>million to the Original Film Fund since 2014 and has reached its maximum contribution.</w:t>
      </w:r>
      <w:r>
        <w:rPr>
          <w:rFonts w:ascii="Times New Roman" w:hAnsi="Times New Roman"/>
          <w:sz w:val="20"/>
        </w:rPr>
        <w:t xml:space="preserve"> </w:t>
      </w:r>
      <w:r>
        <w:rPr>
          <w:rFonts w:ascii="Times New Roman;serif" w:hAnsi="Times New Roman;serif"/>
          <w:b w:val="false"/>
          <w:sz w:val="20"/>
        </w:rPr>
        <w:t>As of March 31, 2023, the Original Film Fund has invested $22.3</w:t>
      </w:r>
      <w:r>
        <w:rPr>
          <w:rFonts w:ascii="Times New Roman" w:hAnsi="Times New Roman"/>
          <w:sz w:val="20"/>
        </w:rPr>
        <w:t xml:space="preserve"> </w:t>
      </w:r>
      <w:r>
        <w:rPr>
          <w:rFonts w:ascii="Times New Roman;serif" w:hAnsi="Times New Roman;serif"/>
          <w:b w:val="false"/>
          <w:sz w:val="20"/>
        </w:rPr>
        <w:t>million</w:t>
      </w:r>
      <w:r>
        <w:rPr>
          <w:rFonts w:ascii="Times New Roman" w:hAnsi="Times New Roman"/>
          <w:sz w:val="20"/>
        </w:rPr>
        <w:t xml:space="preserve"> </w:t>
      </w:r>
      <w:r>
        <w:rPr>
          <w:rFonts w:ascii="Times New Roman;serif" w:hAnsi="Times New Roman;serif"/>
          <w:b w:val="false"/>
          <w:sz w:val="20"/>
        </w:rPr>
        <w:t>toward the development of original films. The related production, financing and distribution agreement includes put and call rights relating to change of control of the rights, title and interest in the co-financed pictures.</w:t>
      </w:r>
    </w:p>
    <w:p>
      <w:pPr>
        <w:pStyle w:val="TextBody"/>
        <w:spacing w:before="200" w:after="0"/>
        <w:jc w:val="both"/>
        <w:rPr>
          <w:rFonts w:ascii="Times New Roman" w:hAnsi="Times New Roman"/>
          <w:b/>
          <w:i/>
          <w:sz w:val="20"/>
        </w:rPr>
      </w:pPr>
      <w:r>
        <w:rPr>
          <w:rFonts w:ascii="Times New Roman" w:hAnsi="Times New Roman"/>
          <w:b/>
          <w:i/>
          <w:sz w:val="20"/>
        </w:rPr>
        <w:t>(c)</w:t>
      </w:r>
    </w:p>
    <w:p>
      <w:pPr>
        <w:pStyle w:val="TextBody"/>
        <w:spacing w:before="200" w:after="283"/>
        <w:jc w:val="both"/>
        <w:rPr>
          <w:rFonts w:ascii="Times New Roman;serif" w:hAnsi="Times New Roman;serif"/>
          <w:b/>
          <w:i/>
          <w:sz w:val="20"/>
        </w:rPr>
      </w:pPr>
      <w:r>
        <w:rPr>
          <w:rFonts w:ascii="Times New Roman;serif" w:hAnsi="Times New Roman;serif"/>
          <w:b/>
          <w:i/>
          <w:sz w:val="20"/>
        </w:rPr>
        <w:t>Non-Controlling Interest in Temporary Equity</w:t>
      </w:r>
    </w:p>
    <w:p>
      <w:pPr>
        <w:pStyle w:val="TextBody"/>
        <w:spacing w:before="200" w:after="0"/>
        <w:jc w:val="both"/>
        <w:rPr>
          <w:rFonts w:ascii="Times New Roman;serif" w:hAnsi="Times New Roman;serif"/>
          <w:b w:val="false"/>
          <w:sz w:val="20"/>
        </w:rPr>
      </w:pPr>
      <w:r>
        <w:rPr>
          <w:rFonts w:ascii="Times New Roman;serif" w:hAnsi="Times New Roman;serif"/>
          <w:b w:val="false"/>
          <w:sz w:val="20"/>
        </w:rPr>
        <w:t>The following table summarizes the movement of the non-controlling interest in temporary equity related to the Original Film Fund for the three months ended March 31, 2023 and 2022:</w:t>
      </w:r>
    </w:p>
    <w:p>
      <w:pPr>
        <w:pStyle w:val="TextBody"/>
        <w:spacing w:before="0" w:after="0"/>
        <w:jc w:val="both"/>
        <w:rPr/>
      </w:pPr>
      <w:r>
        <w:rPr/>
        <w:t> </w:t>
      </w:r>
    </w:p>
    <w:tbl>
      <w:tblPr>
        <w:tblW w:w="4114" w:type="dxa"/>
        <w:jc w:val="left"/>
        <w:tblInd w:w="0" w:type="dxa"/>
        <w:tblCellMar>
          <w:top w:w="28" w:type="dxa"/>
          <w:left w:w="28" w:type="dxa"/>
          <w:bottom w:w="28" w:type="dxa"/>
          <w:right w:w="28" w:type="dxa"/>
        </w:tblCellMar>
      </w:tblPr>
      <w:tblGrid>
        <w:gridCol w:w="2221"/>
        <w:gridCol w:w="146"/>
        <w:gridCol w:w="211"/>
        <w:gridCol w:w="421"/>
        <w:gridCol w:w="146"/>
        <w:gridCol w:w="146"/>
        <w:gridCol w:w="211"/>
        <w:gridCol w:w="421"/>
        <w:gridCol w:w="191"/>
      </w:tblGrid>
      <w:tr>
        <w:trPr/>
        <w:tc>
          <w:tcPr>
            <w:tcW w:w="2221"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421"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421" w:type="dxa"/>
            <w:tcBorders/>
            <w:shd w:fill="auto" w:val="clear"/>
            <w:vAlign w:val="center"/>
          </w:tcPr>
          <w:p>
            <w:pPr>
              <w:pStyle w:val="TableContents"/>
              <w:spacing w:before="0" w:after="283"/>
              <w:rPr>
                <w:sz w:val="4"/>
                <w:szCs w:val="4"/>
              </w:rPr>
            </w:pPr>
            <w:r>
              <w:rPr>
                <w:sz w:val="4"/>
                <w:szCs w:val="4"/>
              </w:rPr>
            </w:r>
          </w:p>
        </w:tc>
        <w:tc>
          <w:tcPr>
            <w:tcW w:w="191" w:type="dxa"/>
            <w:tcBorders/>
            <w:shd w:fill="auto" w:val="clear"/>
            <w:vAlign w:val="center"/>
          </w:tcPr>
          <w:p>
            <w:pPr>
              <w:pStyle w:val="TableContents"/>
              <w:spacing w:before="0" w:after="283"/>
              <w:rPr>
                <w:sz w:val="4"/>
                <w:szCs w:val="4"/>
              </w:rPr>
            </w:pPr>
            <w:r>
              <w:rPr>
                <w:sz w:val="4"/>
                <w:szCs w:val="4"/>
              </w:rPr>
            </w:r>
          </w:p>
        </w:tc>
      </w:tr>
      <w:tr>
        <w:trPr/>
        <w:tc>
          <w:tcPr>
            <w:tcW w:w="222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556" w:type="dxa"/>
            <w:gridSpan w:val="6"/>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March 31,</w:t>
            </w:r>
          </w:p>
        </w:tc>
        <w:tc>
          <w:tcPr>
            <w:tcW w:w="1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2221" w:type="dxa"/>
            <w:tcBorders/>
            <w:shd w:fill="auto" w:val="clear"/>
            <w:vAlign w:val="center"/>
          </w:tcPr>
          <w:p>
            <w:pPr>
              <w:pStyle w:val="TableContents"/>
              <w:spacing w:before="0" w:after="0"/>
              <w:ind w:left="0" w:right="0" w:hanging="0"/>
              <w:jc w:val="left"/>
              <w:rPr>
                <w:rFonts w:ascii="Times New Roman;serif" w:hAnsi="Times New Roman;serif"/>
                <w:b w:val="false"/>
                <w:i/>
                <w:sz w:val="16"/>
              </w:rPr>
            </w:pPr>
            <w:r>
              <w:rPr>
                <w:rFonts w:ascii="Times New Roman;serif" w:hAnsi="Times New Roman;serif"/>
                <w:b w:val="false"/>
                <w:i/>
                <w:sz w:val="16"/>
              </w:rPr>
              <w:t>(In thousands of U.S. Dollars)</w:t>
            </w:r>
          </w:p>
        </w:tc>
        <w:tc>
          <w:tcPr>
            <w:tcW w:w="146" w:type="dxa"/>
            <w:tcBorders/>
            <w:shd w:fill="auto" w:val="clear"/>
            <w:vAlign w:val="center"/>
          </w:tcPr>
          <w:p>
            <w:pPr>
              <w:pStyle w:val="TableContents"/>
              <w:spacing w:before="0" w:after="0"/>
              <w:ind w:left="0" w:right="0" w:hanging="0"/>
              <w:jc w:val="left"/>
              <w:rPr/>
            </w:pPr>
            <w:r>
              <w:rPr/>
              <w:t> </w:t>
            </w:r>
          </w:p>
        </w:tc>
        <w:tc>
          <w:tcPr>
            <w:tcW w:w="632"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2023</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632"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2022</w:t>
            </w:r>
          </w:p>
        </w:tc>
        <w:tc>
          <w:tcPr>
            <w:tcW w:w="1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222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Beginning balance</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42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722</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42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758</w:t>
            </w:r>
          </w:p>
        </w:tc>
        <w:tc>
          <w:tcPr>
            <w:tcW w:w="191" w:type="dxa"/>
            <w:tcBorders/>
            <w:shd w:fill="auto" w:val="clear"/>
            <w:vAlign w:val="center"/>
          </w:tcPr>
          <w:p>
            <w:pPr>
              <w:pStyle w:val="TableContents"/>
              <w:spacing w:before="0" w:after="0"/>
              <w:ind w:left="0" w:right="0" w:hanging="0"/>
              <w:jc w:val="left"/>
              <w:rPr/>
            </w:pPr>
            <w:r>
              <w:rPr/>
              <w:t> </w:t>
            </w:r>
          </w:p>
        </w:tc>
      </w:tr>
      <w:tr>
        <w:trPr/>
        <w:tc>
          <w:tcPr>
            <w:tcW w:w="222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Net income</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42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9</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42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w:t>
            </w:r>
          </w:p>
        </w:tc>
        <w:tc>
          <w:tcPr>
            <w:tcW w:w="1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r>
        <w:trPr/>
        <w:tc>
          <w:tcPr>
            <w:tcW w:w="222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Ending balance</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42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731</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42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761</w:t>
            </w:r>
          </w:p>
        </w:tc>
        <w:tc>
          <w:tcPr>
            <w:tcW w:w="19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bl>
    <w:p>
      <w:pPr>
        <w:pStyle w:val="TextBody"/>
        <w:spacing w:before="0" w:after="0"/>
        <w:jc w:val="left"/>
        <w:rPr/>
      </w:pPr>
      <w:r>
        <w:rPr/>
        <w:t> </w:t>
      </w:r>
    </w:p>
    <w:p>
      <w:pPr>
        <w:pStyle w:val="TextBody"/>
        <w:spacing w:before="240" w:after="0"/>
        <w:jc w:val="center"/>
        <w:rPr>
          <w:rFonts w:ascii="Times New Roman;serif" w:hAnsi="Times New Roman;serif"/>
          <w:b w:val="false"/>
          <w:sz w:val="20"/>
        </w:rPr>
      </w:pPr>
      <w:r>
        <w:rPr>
          <w:rFonts w:ascii="Times New Roman;serif" w:hAnsi="Times New Roman;serif"/>
          <w:b w:val="false"/>
          <w:sz w:val="20"/>
        </w:rPr>
        <w:t>39</w:t>
      </w:r>
    </w:p>
    <w:p>
      <w:pPr>
        <w:pStyle w:val="HorizontalLine"/>
        <w:rPr/>
      </w:pPr>
      <w:r>
        <w:rPr/>
      </w:r>
    </w:p>
    <w:p>
      <w:pPr>
        <w:pStyle w:val="TextBody"/>
        <w:spacing w:before="0" w:after="0"/>
        <w:jc w:val="left"/>
        <w:rPr/>
      </w:pPr>
      <w:r>
        <w:rPr/>
        <w:t> </w:t>
      </w:r>
    </w:p>
    <w:p>
      <w:pPr>
        <w:pStyle w:val="TextBody"/>
        <w:spacing w:before="200" w:after="0"/>
        <w:jc w:val="left"/>
        <w:rPr>
          <w:rFonts w:ascii="Times New Roman" w:hAnsi="Times New Roman"/>
          <w:sz w:val="20"/>
        </w:rPr>
      </w:pPr>
      <w:bookmarkStart w:id="12" w:name="item_2_managements_discussion_analysis_f"/>
      <w:bookmarkEnd w:id="12"/>
      <w:r>
        <w:rPr>
          <w:rFonts w:ascii="Times New Roman;serif" w:hAnsi="Times New Roman;serif"/>
          <w:b/>
          <w:sz w:val="20"/>
        </w:rPr>
        <w:t>Item 2.</w:t>
      </w:r>
      <w:r>
        <w:rPr>
          <w:rFonts w:ascii="Times New Roman" w:hAnsi="Times New Roman"/>
          <w:sz w:val="20"/>
        </w:rPr>
        <w:t xml:space="preserve"> </w:t>
      </w:r>
      <w:r>
        <w:rPr>
          <w:rFonts w:ascii="Times New Roman;serif" w:hAnsi="Times New Roman;serif"/>
          <w:b/>
          <w:i/>
          <w:sz w:val="20"/>
        </w:rPr>
        <w:t>Management</w:t>
      </w:r>
      <w:r>
        <w:rPr>
          <w:rFonts w:ascii="Times New Roman" w:hAnsi="Times New Roman"/>
          <w:sz w:val="20"/>
        </w:rPr>
        <w:t>’</w:t>
      </w:r>
      <w:r>
        <w:rPr>
          <w:rFonts w:ascii="Times New Roman;serif" w:hAnsi="Times New Roman;serif"/>
          <w:b/>
          <w:i/>
          <w:sz w:val="20"/>
        </w:rPr>
        <w:t>s Discussion and Analysis of Financial Condition and Results of Operations</w:t>
      </w:r>
    </w:p>
    <w:p>
      <w:pPr>
        <w:pStyle w:val="TextBody"/>
        <w:spacing w:before="200" w:after="0"/>
        <w:jc w:val="both"/>
        <w:rPr>
          <w:rFonts w:ascii="Times New Roman" w:hAnsi="Times New Roman"/>
          <w:sz w:val="20"/>
        </w:rPr>
      </w:pPr>
      <w:r>
        <w:rPr>
          <w:rFonts w:ascii="Times New Roman;serif" w:hAnsi="Times New Roman;serif"/>
          <w:b w:val="false"/>
          <w:sz w:val="20"/>
        </w:rPr>
        <w:t>Presented below is Management’s Discussion and Analysis of Financial Condition and Results of Operations (or “MD&amp;A”) for IMAX Corporation and its consolidated subsidiaries (“IMAX” or the “Company”) for the three months ended March 31, 2023 and 2022. In the first quarter of 2023, the Company revised its internal segment reporting, including the information provided to its Chief Operating Decision Maker (“CODM”) to assess segment performance and allocate resources, and, as a result, updated its reportable segments. Prior period comparatives in this MD&amp;A have been revised to conform with the updated segment reporting presentation. MD&amp;A should be read in conjunction with Note 13, “Segment Reporting,” in the accompanying Condensed Consolidated Financial Statements in Item 1.</w:t>
      </w:r>
      <w:r>
        <w:rPr>
          <w:rFonts w:ascii="Times New Roman" w:hAnsi="Times New Roman"/>
          <w:sz w:val="20"/>
        </w:rPr>
        <w:t xml:space="preserve"> </w:t>
      </w:r>
    </w:p>
    <w:p>
      <w:pPr>
        <w:pStyle w:val="TextBody"/>
        <w:spacing w:before="200" w:after="0"/>
        <w:jc w:val="both"/>
        <w:rPr>
          <w:rFonts w:ascii="Times New Roman;serif" w:hAnsi="Times New Roman;serif"/>
          <w:b w:val="false"/>
          <w:sz w:val="20"/>
        </w:rPr>
      </w:pPr>
      <w:r>
        <w:rPr>
          <w:rFonts w:ascii="Times New Roman;serif" w:hAnsi="Times New Roman;serif"/>
          <w:b w:val="false"/>
          <w:sz w:val="20"/>
        </w:rPr>
        <w:t>As of March 31, 2023, the Company indirectly owns 71.63% of IMAX China Holding, Inc. (“IMAX China”), whose shares trade on the Hong Kong Stock Exchange. IMAX China is a consolidated subsidiary of the Company. For the three months ended March 31, 2023, net income attributable to IMAX China is $9.4 million, of which $6.7 million is attributable to the shareholders of the Company (2022 — $5.7 million and $4.0 million, respectively).</w:t>
      </w:r>
    </w:p>
    <w:p>
      <w:pPr>
        <w:pStyle w:val="TextBody"/>
        <w:spacing w:before="200" w:after="0"/>
        <w:jc w:val="left"/>
        <w:rPr>
          <w:rFonts w:ascii="Times New Roman;serif" w:hAnsi="Times New Roman;serif"/>
          <w:b/>
          <w:sz w:val="20"/>
        </w:rPr>
      </w:pPr>
      <w:r>
        <w:rPr>
          <w:rFonts w:ascii="Times New Roman;serif" w:hAnsi="Times New Roman;serif"/>
          <w:b/>
          <w:sz w:val="20"/>
        </w:rPr>
        <w:t>SPECIAL NOTE REGARDING FORWARD-LOOKING INFORMATION</w:t>
      </w:r>
    </w:p>
    <w:p>
      <w:pPr>
        <w:pStyle w:val="TextBody"/>
        <w:spacing w:before="200" w:after="0"/>
        <w:jc w:val="both"/>
        <w:rPr>
          <w:rFonts w:ascii="Times New Roman" w:hAnsi="Times New Roman"/>
          <w:sz w:val="20"/>
        </w:rPr>
      </w:pPr>
      <w:r>
        <w:rPr>
          <w:rFonts w:ascii="Times New Roman;serif" w:hAnsi="Times New Roman;serif"/>
          <w:b w:val="false"/>
          <w:sz w:val="20"/>
        </w:rPr>
        <w:t>Certain statements included in this quarterly report may constitute “forward-looking statements” within the meaning of the United States Private Securities Litigation Reform Act of 1995 or “forward-looking information” within the meaning of Canadian securities laws. These forward-looking statements include, but are not limited to, references to business and technology strategies and measures to implement strategies, competitive strengths, goals, expansion and growth of business, operations and technology, future capital expenditures (including the amount and nature thereof), industry prospects and consumer behavior, plans and references to the future success of the Company and expectations regarding its future operating, financial and technological results. These forward-looking statements are based on certain assumptions and analyses made by the Company in light of its experience and its perception of historical trends, current conditions and expected future developments, as well as other factors it believes are appropriate in the circumstances. However, whether actual results and developments will conform with the expectations and predictions of the Company is subject to a number of risks and uncertainties, including, but not limited to, risks related to the adverse impact of the COVID-19 pandemic; risks associated with investments and operations in foreign jurisdictions and any future international expansion, including those related to economic, political and regulatory policies of local governments and laws and policies of the United States and Canada, as well as geopolitical conflicts, such as the conflict between Russia and Ukraine; risks related to the Company’s growth and operations in China; the performance of IMAX DMR</w:t>
      </w:r>
      <w:r>
        <w:rPr>
          <w:rFonts w:ascii="Times New Roman;serif" w:hAnsi="Times New Roman;serif"/>
          <w:b w:val="false"/>
          <w:sz w:val="13"/>
        </w:rPr>
        <w:t>®</w:t>
      </w:r>
      <w:r>
        <w:rPr>
          <w:rFonts w:ascii="Times New Roman" w:hAnsi="Times New Roman"/>
          <w:sz w:val="20"/>
        </w:rPr>
        <w:t xml:space="preserve"> </w:t>
      </w:r>
      <w:r>
        <w:rPr>
          <w:rFonts w:ascii="Times New Roman;serif" w:hAnsi="Times New Roman;serif"/>
          <w:b w:val="false"/>
          <w:sz w:val="20"/>
        </w:rPr>
        <w:t>films and other films released to the IMAX network; the signing of IMAX System agreements; conditions, changes and developments in the commercial exhibition industry; risks related to currency fluctuations; the potential impact of increased competition in the markets within which the Company operates, including competitive actions by other companies; the failure to respond to change and advancements in digital technology; risks relating to consolidation among commercial exhibitors and studios; risks related to brand extensions and new business initiatives; conditions in the in-home and out-of-home entertainment industries; the opportunities (or lack thereof) that may be presented to and pursued by the Company; risks related to cyber-security and data privacy; risks related to the Company’s inability to protect its intellectual property; risks related to climate change; risks related to weather conditions and natural disasters that may disrupt or harm the Company’s business; risks related to the Company’s indebtedness and compliance with its debt agreements; general economic, market or business conditions; risks related to political, economic and social instability, including with respect to the Russia-Ukraine conflict; the failure to convert system backlog into revenue; changes in laws or regulations; any statements of belief and any statements of assumptions underlying any of the foregoing; other factors and risks outlined in the Company’s periodic filings with the United States Securities and Exchange Commission (the “SEC”) or in Canada, the System for Electronic Document Analysis and Retrieval (the “SEDAR”); and other factors, many of which are beyond the control of the Company. Consequently, all of the forward-looking statements made in this quarterly report are qualified by these cautionary statements, and actual results or anticipated developments by the Company may not be realized, and even if substantially realized, may not have the expected consequences to, or effects on, the Company. The forward-looking statements herein are made only as of the date hereof and the Company undertakes no obligation to update publicly or otherwise revise any forward-looking statements, whether as a result of new information, future events or otherwise.</w:t>
      </w:r>
    </w:p>
    <w:p>
      <w:pPr>
        <w:pStyle w:val="TextBody"/>
        <w:pBdr>
          <w:bottom w:val="single" w:sz="4" w:space="1" w:color="000000"/>
        </w:pBdr>
        <w:spacing w:before="0" w:after="0"/>
        <w:jc w:val="both"/>
        <w:rPr/>
      </w:pPr>
      <w:r>
        <w:rPr/>
        <w:t> </w:t>
      </w:r>
    </w:p>
    <w:p>
      <w:pPr>
        <w:pStyle w:val="TextBody"/>
        <w:spacing w:before="0" w:after="0"/>
        <w:jc w:val="both"/>
        <w:rPr>
          <w:rFonts w:ascii="Times New Roman" w:hAnsi="Times New Roman"/>
          <w:sz w:val="20"/>
        </w:rPr>
      </w:pPr>
      <w:r>
        <w:rPr>
          <w:rFonts w:ascii="Times New Roman;serif" w:hAnsi="Times New Roman;serif"/>
          <w:b w:val="false"/>
          <w:sz w:val="20"/>
        </w:rPr>
        <w:t>IMAX®, IMAX® 3D, Experience It In IMAX®, The IMAX Experience®, DMR®, Filmed For IMAX</w:t>
      </w:r>
      <w:r>
        <w:rPr>
          <w:rFonts w:ascii="Times New Roman;serif" w:hAnsi="Times New Roman;serif"/>
          <w:b w:val="false"/>
          <w:sz w:val="13"/>
        </w:rPr>
        <w:t>TM</w:t>
      </w:r>
      <w:r>
        <w:rPr>
          <w:rFonts w:ascii="Times New Roman;serif" w:hAnsi="Times New Roman;serif"/>
          <w:b w:val="false"/>
          <w:sz w:val="20"/>
        </w:rPr>
        <w:t>, IMAX Live</w:t>
      </w:r>
      <w:r>
        <w:rPr>
          <w:rFonts w:ascii="Times New Roman;serif" w:hAnsi="Times New Roman;serif"/>
          <w:b w:val="false"/>
          <w:sz w:val="13"/>
        </w:rPr>
        <w:t>TM</w:t>
      </w:r>
      <w:r>
        <w:rPr>
          <w:rFonts w:ascii="Times New Roman;serif" w:hAnsi="Times New Roman;serif"/>
          <w:b w:val="false"/>
          <w:sz w:val="20"/>
        </w:rPr>
        <w:t>, IMAX Enhanced®, and SSIMWAVE® are trademarks and trade names of the Company or its subsidiaries that are registered or otherwise protected under laws of various jurisdictions.</w:t>
      </w:r>
    </w:p>
    <w:p>
      <w:pPr>
        <w:pStyle w:val="TextBody"/>
        <w:spacing w:before="200" w:after="0"/>
        <w:jc w:val="both"/>
        <w:rPr/>
      </w:pPr>
      <w:r>
        <w:rPr/>
        <w:t> </w:t>
      </w:r>
    </w:p>
    <w:p>
      <w:pPr>
        <w:pStyle w:val="TextBody"/>
        <w:spacing w:before="240" w:after="0"/>
        <w:jc w:val="center"/>
        <w:rPr>
          <w:rFonts w:ascii="Times New Roman;serif" w:hAnsi="Times New Roman;serif"/>
          <w:b w:val="false"/>
          <w:sz w:val="20"/>
        </w:rPr>
      </w:pPr>
      <w:r>
        <w:rPr>
          <w:rFonts w:ascii="Times New Roman;serif" w:hAnsi="Times New Roman;serif"/>
          <w:b w:val="false"/>
          <w:sz w:val="20"/>
        </w:rPr>
        <w:t>40</w:t>
      </w:r>
    </w:p>
    <w:p>
      <w:pPr>
        <w:pStyle w:val="HorizontalLine"/>
        <w:rPr/>
      </w:pPr>
      <w:r>
        <w:rPr/>
      </w:r>
    </w:p>
    <w:p>
      <w:pPr>
        <w:pStyle w:val="TextBody"/>
        <w:spacing w:before="0" w:after="0"/>
        <w:jc w:val="left"/>
        <w:rPr/>
      </w:pPr>
      <w:r>
        <w:rPr/>
        <w:t> </w:t>
      </w:r>
    </w:p>
    <w:p>
      <w:pPr>
        <w:pStyle w:val="TextBody"/>
        <w:spacing w:before="200" w:after="0"/>
        <w:jc w:val="both"/>
        <w:rPr>
          <w:rFonts w:ascii="Times New Roman;serif" w:hAnsi="Times New Roman;serif"/>
          <w:b w:val="false"/>
          <w:sz w:val="20"/>
        </w:rPr>
      </w:pPr>
      <w:r>
        <w:rPr>
          <w:rFonts w:ascii="Times New Roman;serif" w:hAnsi="Times New Roman;serif"/>
          <w:b w:val="false"/>
          <w:sz w:val="20"/>
        </w:rPr>
        <w:t>The Company makes available, free of charge, its Annual Reports on Form 10-K, Quarterly Reports on Form 10-Q and Current Reports on Form 8-K, and any amendments to such reports, as soon as reasonably practicable after such filings have been made with the SEC and Canadian securities regulators. Reports may be obtained free of charge through the SEC’s website at www.sec.gov or the SEDAR’s website at www.sedar.com and through the Company’s website at www.imax.com or by calling the Company’s Investor Relations Department at 212-821-0100. No information included on the Company’s website shall be deemed included or otherwise incorporated into this filing, except where expressly indicated.</w:t>
      </w:r>
    </w:p>
    <w:p>
      <w:pPr>
        <w:pStyle w:val="TextBody"/>
        <w:spacing w:before="200" w:after="0"/>
        <w:jc w:val="both"/>
        <w:rPr>
          <w:rFonts w:ascii="Times New Roman;serif" w:hAnsi="Times New Roman;serif"/>
          <w:b w:val="false"/>
          <w:sz w:val="20"/>
        </w:rPr>
      </w:pPr>
      <w:r>
        <w:rPr>
          <w:rFonts w:ascii="Times New Roman;serif" w:hAnsi="Times New Roman;serif"/>
          <w:b w:val="false"/>
          <w:sz w:val="20"/>
        </w:rPr>
        <w:t>The information posted on the Company’s Corporate and Investor Relations websites may be deemed material to investors. Accordingly, investors, media and others interested in the Company should monitor the Company’s websites in addition to the Company’s press releases, SEC and SEDAR filings and public conference calls and webcasts.</w:t>
      </w:r>
    </w:p>
    <w:p>
      <w:pPr>
        <w:pStyle w:val="TextBody"/>
        <w:spacing w:before="200" w:after="0"/>
        <w:jc w:val="both"/>
        <w:rPr>
          <w:rFonts w:ascii="Times New Roman" w:hAnsi="Times New Roman"/>
          <w:sz w:val="20"/>
        </w:rPr>
      </w:pPr>
      <w:r>
        <w:rPr>
          <w:rFonts w:ascii="Times New Roman;serif" w:hAnsi="Times New Roman;serif"/>
          <w:b/>
          <w:sz w:val="20"/>
        </w:rPr>
        <w:t>OVERVIEW</w:t>
      </w:r>
      <w:r>
        <w:rPr>
          <w:rFonts w:ascii="Times New Roman" w:hAnsi="Times New Roman"/>
          <w:sz w:val="20"/>
        </w:rPr>
        <w:t xml:space="preserve"> </w:t>
      </w:r>
    </w:p>
    <w:p>
      <w:pPr>
        <w:pStyle w:val="TextBody"/>
        <w:spacing w:before="200" w:after="0"/>
        <w:jc w:val="both"/>
        <w:rPr>
          <w:rFonts w:ascii="Times New Roman" w:hAnsi="Times New Roman"/>
          <w:sz w:val="20"/>
        </w:rPr>
      </w:pPr>
      <w:r>
        <w:rPr>
          <w:rFonts w:ascii="Times New Roman;serif" w:hAnsi="Times New Roman;serif"/>
          <w:b w:val="false"/>
          <w:sz w:val="20"/>
        </w:rPr>
        <w:t>IMAX is a premier global technology platform for entertainment and events. Through its proprietary software, theater architecture, patented intellectual property, and specialized equipment, IMAX offers a unique end-to-end solution to create superior, immersive content experiences for which the IMAX</w:t>
      </w:r>
      <w:r>
        <w:rPr>
          <w:rFonts w:ascii="Times New Roman;serif" w:hAnsi="Times New Roman;serif"/>
          <w:b w:val="false"/>
          <w:sz w:val="13"/>
        </w:rPr>
        <w:t>®</w:t>
      </w:r>
      <w:r>
        <w:rPr>
          <w:rFonts w:ascii="Times New Roman" w:hAnsi="Times New Roman"/>
          <w:sz w:val="20"/>
        </w:rPr>
        <w:t xml:space="preserve"> </w:t>
      </w:r>
      <w:r>
        <w:rPr>
          <w:rFonts w:ascii="Times New Roman;serif" w:hAnsi="Times New Roman;serif"/>
          <w:b w:val="false"/>
          <w:sz w:val="20"/>
        </w:rPr>
        <w:t>brand is globally renowned. Top filmmakers, movie studios, artists, and creators utilize the cutting-edge visual and sound technology of IMAX to connect with audiences in innovative ways. As a result, IMAX is among the most important and successful global distribution platforms for domestic and international tentpole films and, increasingly, exclusive experiences ranging from live performances to interactive events with leading artists and creators.</w:t>
      </w:r>
    </w:p>
    <w:p>
      <w:pPr>
        <w:pStyle w:val="TextBody"/>
        <w:spacing w:before="200" w:after="0"/>
        <w:jc w:val="both"/>
        <w:rPr>
          <w:rFonts w:ascii="Times New Roman;serif" w:hAnsi="Times New Roman;serif"/>
          <w:b w:val="false"/>
          <w:sz w:val="20"/>
        </w:rPr>
      </w:pPr>
      <w:r>
        <w:rPr>
          <w:rFonts w:ascii="Times New Roman;serif" w:hAnsi="Times New Roman;serif"/>
          <w:b w:val="false"/>
          <w:sz w:val="20"/>
        </w:rPr>
        <w:t>The Company leverages its proprietary technology and engineering in all aspects of its business, which principally consists of the digital remastering of films and other content into the IMAX format for distribution across the IMAX network and the sale or lease of premium IMAX theater systems (“IMAX System(s)”).</w:t>
      </w:r>
    </w:p>
    <w:p>
      <w:pPr>
        <w:pStyle w:val="TextBody"/>
        <w:spacing w:before="200" w:after="0"/>
        <w:jc w:val="both"/>
        <w:rPr>
          <w:rFonts w:ascii="Times New Roman;serif" w:hAnsi="Times New Roman;serif"/>
          <w:b w:val="false"/>
          <w:sz w:val="20"/>
        </w:rPr>
      </w:pPr>
      <w:r>
        <w:rPr>
          <w:rFonts w:ascii="Times New Roman;serif" w:hAnsi="Times New Roman;serif"/>
          <w:b w:val="false"/>
          <w:sz w:val="20"/>
        </w:rPr>
        <w:t>IMAX Systems are based on proprietary and patented image, audio and other technology developed over the course of the Company’s history since its founding in 1967. The customers for IMAX Systems are principally theater exhibitors that operate commercial multiplex theaters, and, to a much lesser extent, museums, science centers and destination entertainment sites. The Company does not own the locations, except for one, in the IMAX network, and is not an exhibitor, but instead sells or leases the IMAX System to exhibitor customers along with a license to use its trademarks and ongoing maintenance services.</w:t>
      </w:r>
    </w:p>
    <w:p>
      <w:pPr>
        <w:pStyle w:val="TextBody"/>
        <w:spacing w:before="200" w:after="0"/>
        <w:jc w:val="both"/>
        <w:rPr>
          <w:rFonts w:ascii="Times New Roman" w:hAnsi="Times New Roman"/>
          <w:sz w:val="20"/>
        </w:rPr>
      </w:pPr>
      <w:r>
        <w:rPr>
          <w:rFonts w:ascii="Times New Roman;serif" w:hAnsi="Times New Roman;serif"/>
          <w:b w:val="false"/>
          <w:sz w:val="20"/>
        </w:rPr>
        <w:t>As of March 31, 2023, there were 1,711 IMAX Systems in 87 countries and territories, including 1,631 commercial multiplexes, 12 commercial destinations, and 68 institutional locations in the Company’s global network. This compares to 1,690 IMAX Systems in 87 countries and territories as of March 31, 2022, including 1,606 commercial multiplexes, 12 commercial destinations, and 72 institutional locations in the Company’s global network. (See the table under “IMAX Network and Backlog” for additional information on the composition of the IMAX network.)</w:t>
      </w:r>
      <w:r>
        <w:rPr>
          <w:rFonts w:ascii="Times New Roman" w:hAnsi="Times New Roman"/>
          <w:sz w:val="20"/>
        </w:rPr>
        <w:t xml:space="preserve"> </w:t>
      </w:r>
    </w:p>
    <w:p>
      <w:pPr>
        <w:pStyle w:val="TextBody"/>
        <w:spacing w:before="200" w:after="0"/>
        <w:jc w:val="both"/>
        <w:rPr>
          <w:rFonts w:ascii="Times New Roman;serif" w:hAnsi="Times New Roman;serif"/>
          <w:b w:val="false"/>
          <w:sz w:val="20"/>
        </w:rPr>
      </w:pPr>
      <w:r>
        <w:rPr>
          <w:rFonts w:ascii="Times New Roman;serif" w:hAnsi="Times New Roman;serif"/>
          <w:b w:val="false"/>
          <w:sz w:val="20"/>
        </w:rPr>
        <w:t>The IMAX System provides the Company’s exhibitor customers with a combination of the following benefits:</w:t>
      </w:r>
    </w:p>
    <w:p>
      <w:pPr>
        <w:pStyle w:val="TextBody"/>
        <w:spacing w:before="200" w:after="0"/>
        <w:jc w:val="both"/>
        <w:rPr/>
      </w:pPr>
      <w:r>
        <w:rPr/>
        <w:t>•</w:t>
      </w:r>
    </w:p>
    <w:p>
      <w:pPr>
        <w:pStyle w:val="TextBody"/>
        <w:spacing w:before="200" w:after="0"/>
        <w:jc w:val="both"/>
        <w:rPr>
          <w:rFonts w:ascii="Times New Roman;serif" w:hAnsi="Times New Roman;serif"/>
          <w:b w:val="false"/>
          <w:sz w:val="20"/>
        </w:rPr>
      </w:pPr>
      <w:r>
        <w:rPr>
          <w:rFonts w:ascii="Times New Roman;serif" w:hAnsi="Times New Roman;serif"/>
          <w:b w:val="false"/>
          <w:sz w:val="20"/>
        </w:rPr>
        <w:t xml:space="preserve">the ability to exhibit content that has been enhanced through the IMAX film remastering (formerly known as “IMAX DMR”) process, which results in higher image and sound fidelity than conventional cinema experiences; </w:t>
      </w:r>
    </w:p>
    <w:p>
      <w:pPr>
        <w:pStyle w:val="TextBody"/>
        <w:spacing w:before="200" w:after="0"/>
        <w:jc w:val="both"/>
        <w:rPr/>
      </w:pPr>
      <w:r>
        <w:rPr/>
        <w:t>•</w:t>
      </w:r>
    </w:p>
    <w:p>
      <w:pPr>
        <w:pStyle w:val="TextBody"/>
        <w:spacing w:before="200" w:after="0"/>
        <w:jc w:val="both"/>
        <w:rPr>
          <w:rFonts w:ascii="Times New Roman;serif" w:hAnsi="Times New Roman;serif"/>
          <w:b w:val="false"/>
          <w:sz w:val="20"/>
        </w:rPr>
      </w:pPr>
      <w:r>
        <w:rPr>
          <w:rFonts w:ascii="Times New Roman;serif" w:hAnsi="Times New Roman;serif"/>
          <w:b w:val="false"/>
          <w:sz w:val="20"/>
        </w:rPr>
        <w:t xml:space="preserve">advanced, high-resolution projectors with specialized equipment and automated theater control systems, which generate significantly more contrast and brightness than conventional theater systems; </w:t>
      </w:r>
    </w:p>
    <w:p>
      <w:pPr>
        <w:pStyle w:val="TextBody"/>
        <w:spacing w:before="200" w:after="0"/>
        <w:jc w:val="both"/>
        <w:rPr/>
      </w:pPr>
      <w:r>
        <w:rPr/>
        <w:t>•</w:t>
      </w:r>
    </w:p>
    <w:p>
      <w:pPr>
        <w:pStyle w:val="TextBody"/>
        <w:spacing w:before="200" w:after="0"/>
        <w:jc w:val="both"/>
        <w:rPr>
          <w:rFonts w:ascii="Times New Roman;serif" w:hAnsi="Times New Roman;serif"/>
          <w:b w:val="false"/>
          <w:sz w:val="20"/>
        </w:rPr>
      </w:pPr>
      <w:r>
        <w:rPr>
          <w:rFonts w:ascii="Times New Roman;serif" w:hAnsi="Times New Roman;serif"/>
          <w:b w:val="false"/>
          <w:sz w:val="20"/>
        </w:rPr>
        <w:t>large screens and proprietary theater geometry, which result in a substantially larger field of view so that the screen extends to the edge of a viewer’s peripheral vision and creates more realistic images;</w:t>
      </w:r>
    </w:p>
    <w:p>
      <w:pPr>
        <w:pStyle w:val="TextBody"/>
        <w:spacing w:before="200" w:after="0"/>
        <w:jc w:val="both"/>
        <w:rPr/>
      </w:pPr>
      <w:r>
        <w:rPr/>
        <w:t>•</w:t>
      </w:r>
    </w:p>
    <w:p>
      <w:pPr>
        <w:pStyle w:val="TextBody"/>
        <w:spacing w:before="200" w:after="0"/>
        <w:jc w:val="both"/>
        <w:rPr>
          <w:rFonts w:ascii="Times New Roman;serif" w:hAnsi="Times New Roman;serif"/>
          <w:b w:val="false"/>
          <w:sz w:val="20"/>
        </w:rPr>
      </w:pPr>
      <w:r>
        <w:rPr>
          <w:rFonts w:ascii="Times New Roman;serif" w:hAnsi="Times New Roman;serif"/>
          <w:b w:val="false"/>
          <w:sz w:val="20"/>
        </w:rPr>
        <w:t xml:space="preserve">advanced sound system components, which deliver more expansive sound imagery and pinpointed origination of sound to every specific spot in a theater equipped with an IMAX System; </w:t>
      </w:r>
    </w:p>
    <w:p>
      <w:pPr>
        <w:pStyle w:val="TextBody"/>
        <w:spacing w:before="200" w:after="0"/>
        <w:jc w:val="both"/>
        <w:rPr/>
      </w:pPr>
      <w:r>
        <w:rPr/>
        <w:t>•</w:t>
      </w:r>
    </w:p>
    <w:p>
      <w:pPr>
        <w:pStyle w:val="TextBody"/>
        <w:spacing w:before="200" w:after="0"/>
        <w:jc w:val="both"/>
        <w:rPr>
          <w:rFonts w:ascii="Times New Roman;serif" w:hAnsi="Times New Roman;serif"/>
          <w:b w:val="false"/>
          <w:sz w:val="20"/>
        </w:rPr>
      </w:pPr>
      <w:r>
        <w:rPr>
          <w:rFonts w:ascii="Times New Roman;serif" w:hAnsi="Times New Roman;serif"/>
          <w:b w:val="false"/>
          <w:sz w:val="20"/>
        </w:rPr>
        <w:t xml:space="preserve">specialized theater acoustics, which result in a four-fold reduction in background noise; </w:t>
      </w:r>
    </w:p>
    <w:p>
      <w:pPr>
        <w:pStyle w:val="TextBody"/>
        <w:spacing w:before="200" w:after="0"/>
        <w:jc w:val="both"/>
        <w:rPr/>
      </w:pPr>
      <w:r>
        <w:rPr/>
        <w:t>•</w:t>
      </w:r>
    </w:p>
    <w:p>
      <w:pPr>
        <w:pStyle w:val="TextBody"/>
        <w:spacing w:before="200" w:after="0"/>
        <w:jc w:val="both"/>
        <w:rPr>
          <w:rFonts w:ascii="Times New Roman;serif" w:hAnsi="Times New Roman;serif"/>
          <w:b w:val="false"/>
          <w:sz w:val="20"/>
        </w:rPr>
      </w:pPr>
      <w:r>
        <w:rPr>
          <w:rFonts w:ascii="Times New Roman;serif" w:hAnsi="Times New Roman;serif"/>
          <w:b w:val="false"/>
          <w:sz w:val="20"/>
        </w:rPr>
        <w:t>ongoing maintenance and extended warranty services, and</w:t>
      </w:r>
    </w:p>
    <w:p>
      <w:pPr>
        <w:pStyle w:val="TextBody"/>
        <w:spacing w:before="200" w:after="0"/>
        <w:jc w:val="both"/>
        <w:rPr/>
      </w:pPr>
      <w:r>
        <w:rPr/>
        <w:t>•</w:t>
      </w:r>
    </w:p>
    <w:p>
      <w:pPr>
        <w:pStyle w:val="TextBody"/>
        <w:spacing w:before="200" w:after="283"/>
        <w:jc w:val="both"/>
        <w:rPr>
          <w:rFonts w:ascii="Times New Roman;serif" w:hAnsi="Times New Roman;serif"/>
          <w:b w:val="false"/>
          <w:sz w:val="20"/>
        </w:rPr>
      </w:pPr>
      <w:r>
        <w:rPr>
          <w:rFonts w:ascii="Times New Roman;serif" w:hAnsi="Times New Roman;serif"/>
          <w:b w:val="false"/>
          <w:sz w:val="20"/>
        </w:rPr>
        <w:t>a license to the globally recognized IMAX brand.</w:t>
      </w:r>
    </w:p>
    <w:p>
      <w:pPr>
        <w:pStyle w:val="TextBody"/>
        <w:spacing w:before="240" w:after="0"/>
        <w:jc w:val="center"/>
        <w:rPr>
          <w:rFonts w:ascii="Times New Roman;serif" w:hAnsi="Times New Roman;serif"/>
          <w:b w:val="false"/>
          <w:sz w:val="20"/>
        </w:rPr>
      </w:pPr>
      <w:r>
        <w:rPr>
          <w:rFonts w:ascii="Times New Roman;serif" w:hAnsi="Times New Roman;serif"/>
          <w:b w:val="false"/>
          <w:sz w:val="20"/>
        </w:rPr>
        <w:t>41</w:t>
      </w:r>
    </w:p>
    <w:p>
      <w:pPr>
        <w:pStyle w:val="HorizontalLine"/>
        <w:rPr/>
      </w:pPr>
      <w:r>
        <w:rPr/>
      </w:r>
    </w:p>
    <w:p>
      <w:pPr>
        <w:pStyle w:val="TextBody"/>
        <w:spacing w:before="0" w:after="0"/>
        <w:jc w:val="left"/>
        <w:rPr/>
      </w:pPr>
      <w:r>
        <w:rPr/>
        <w:t> </w:t>
      </w:r>
    </w:p>
    <w:p>
      <w:pPr>
        <w:pStyle w:val="TextBody"/>
        <w:spacing w:before="200" w:after="0"/>
        <w:jc w:val="both"/>
        <w:rPr>
          <w:rFonts w:ascii="Times New Roman;serif" w:hAnsi="Times New Roman;serif"/>
          <w:b w:val="false"/>
          <w:sz w:val="20"/>
        </w:rPr>
      </w:pPr>
      <w:r>
        <w:rPr>
          <w:rFonts w:ascii="Times New Roman;serif" w:hAnsi="Times New Roman;serif"/>
          <w:b w:val="false"/>
          <w:sz w:val="20"/>
        </w:rPr>
        <w:t>In addition, select movies shown in the IMAX network are filmed using proprietary IMAX film cameras or IMAX certified digital cameras, which offer filmmakers customized guidance and a workflow process to provide further enhanced and differentiated image quality and an IMAX-exclusive film aspect ratio that delivers up to 26% more image onto a standard IMAX movie screen. In select IMAX locations worldwide, movies filmed with IMAX cameras have an IMAX-exclusive 1.43 film aspect ratio, delivering up to 67% more image.</w:t>
      </w:r>
    </w:p>
    <w:p>
      <w:pPr>
        <w:pStyle w:val="TextBody"/>
        <w:spacing w:before="200" w:after="0"/>
        <w:jc w:val="both"/>
        <w:rPr>
          <w:rFonts w:ascii="Times New Roman;serif" w:hAnsi="Times New Roman;serif"/>
          <w:b w:val="false"/>
          <w:sz w:val="20"/>
        </w:rPr>
      </w:pPr>
      <w:r>
        <w:rPr>
          <w:rFonts w:ascii="Times New Roman;serif" w:hAnsi="Times New Roman;serif"/>
          <w:b w:val="false"/>
          <w:sz w:val="20"/>
        </w:rPr>
        <w:t>Together, these components create a more intense, immersive, and exciting experience than a traditional theater, enabling audiences in IMAX locations to feel as if they are a part of the on-screen action.</w:t>
      </w:r>
    </w:p>
    <w:p>
      <w:pPr>
        <w:pStyle w:val="TextBody"/>
        <w:spacing w:before="200" w:after="0"/>
        <w:jc w:val="both"/>
        <w:rPr>
          <w:rFonts w:ascii="Times New Roman" w:hAnsi="Times New Roman"/>
          <w:sz w:val="20"/>
        </w:rPr>
      </w:pPr>
      <w:r>
        <w:rPr>
          <w:rFonts w:ascii="Times New Roman;serif" w:hAnsi="Times New Roman;serif"/>
          <w:b w:val="false"/>
          <w:sz w:val="20"/>
        </w:rPr>
        <w:t xml:space="preserve">As a result of the engineering and scientific achievements that are a hallmark of </w:t>
      </w:r>
      <w:r>
        <w:rPr>
          <w:rFonts w:ascii="Times New Roman;serif" w:hAnsi="Times New Roman;serif"/>
          <w:b w:val="false"/>
          <w:i/>
          <w:sz w:val="20"/>
        </w:rPr>
        <w:t xml:space="preserve">The </w:t>
      </w:r>
      <w:r>
        <w:rPr>
          <w:rFonts w:ascii="Times New Roman;serif" w:hAnsi="Times New Roman;serif"/>
          <w:b w:val="false"/>
          <w:sz w:val="20"/>
        </w:rPr>
        <w:t xml:space="preserve">IMAX </w:t>
      </w:r>
      <w:r>
        <w:rPr>
          <w:rFonts w:ascii="Times New Roman;serif" w:hAnsi="Times New Roman;serif"/>
          <w:b w:val="false"/>
          <w:i/>
          <w:sz w:val="20"/>
        </w:rPr>
        <w:t>Experience</w:t>
      </w:r>
      <w:r>
        <w:rPr>
          <w:rFonts w:ascii="Times New Roman;serif" w:hAnsi="Times New Roman;serif"/>
          <w:b w:val="false"/>
          <w:sz w:val="13"/>
        </w:rPr>
        <w:t>®</w:t>
      </w:r>
      <w:r>
        <w:rPr>
          <w:rFonts w:ascii="Times New Roman;serif" w:hAnsi="Times New Roman;serif"/>
          <w:b w:val="false"/>
          <w:sz w:val="20"/>
        </w:rPr>
        <w:t>, the Company’s exhibitor customers typically charge a premium for films released in the IMAX network over films exhibited in their other auditoriums. The premium pricing, combined with the higher attendance levels associated with IMAX films, generates incremental box office for the Company’s exhibitor customers and for the movie studios releasing their films to the IMAX network. The incremental box office generated by films exhibited in the IMAX network has helped establish IMAX as a key premium distribution and marketing platform for Hollywood and foreign local language movie studios.</w:t>
      </w:r>
      <w:r>
        <w:rPr>
          <w:rFonts w:ascii="Times New Roman" w:hAnsi="Times New Roman"/>
          <w:sz w:val="20"/>
        </w:rPr>
        <w:t xml:space="preserve"> </w:t>
      </w:r>
    </w:p>
    <w:p>
      <w:pPr>
        <w:pStyle w:val="TextBody"/>
        <w:spacing w:before="200" w:after="0"/>
        <w:jc w:val="both"/>
        <w:rPr>
          <w:rFonts w:ascii="Times New Roman" w:hAnsi="Times New Roman"/>
          <w:sz w:val="20"/>
        </w:rPr>
      </w:pPr>
      <w:r>
        <w:rPr>
          <w:rFonts w:ascii="Times New Roman;serif" w:hAnsi="Times New Roman;serif"/>
          <w:b w:val="false"/>
          <w:sz w:val="20"/>
        </w:rPr>
        <w:t>In addition, the Company continues to experiment in bringing new, innovative IMAX Live</w:t>
      </w:r>
      <w:r>
        <w:rPr>
          <w:rFonts w:ascii="Times New Roman;serif" w:hAnsi="Times New Roman;serif"/>
          <w:b w:val="false"/>
          <w:sz w:val="13"/>
        </w:rPr>
        <w:t xml:space="preserve">TM </w:t>
      </w:r>
      <w:r>
        <w:rPr>
          <w:rFonts w:ascii="Times New Roman;serif" w:hAnsi="Times New Roman;serif"/>
          <w:b w:val="false"/>
          <w:sz w:val="20"/>
        </w:rPr>
        <w:t>events and experiences to audiences worldwide. The Company has a footprint of connected IMAX Systems capable of delivering live, interactive content with low latency and superior sight and sound. As of March 31, 2023, 258 systems in the IMAX network across North America, Europe and Asia were configured with connectivity to deliver live and interactive events.</w:t>
      </w:r>
      <w:r>
        <w:rPr>
          <w:rFonts w:ascii="Times New Roman" w:hAnsi="Times New Roman"/>
          <w:sz w:val="20"/>
        </w:rPr>
        <w:t xml:space="preserve"> </w:t>
      </w:r>
    </w:p>
    <w:p>
      <w:pPr>
        <w:pStyle w:val="TextBody"/>
        <w:spacing w:before="200" w:after="0"/>
        <w:jc w:val="both"/>
        <w:rPr>
          <w:rFonts w:ascii="Times New Roman;serif" w:hAnsi="Times New Roman;serif"/>
          <w:b w:val="false"/>
          <w:sz w:val="20"/>
        </w:rPr>
      </w:pPr>
      <w:r>
        <w:rPr>
          <w:rFonts w:ascii="Times New Roman;serif" w:hAnsi="Times New Roman;serif"/>
          <w:b w:val="false"/>
          <w:sz w:val="20"/>
        </w:rPr>
        <w:t>As a premier global technology platform for entertainment and events, the Company strives to remain at the forefront of advancements in technology. The Company offers a suite of laser-based digital projection systems (“IMAX Laser Systems”), which deliver increased resolution, sharper and brighter images, deeper contrast, and the widest range of colors available to filmmakers today. The Company further believes that its suite of IMAX Laser Systems are helping facilitate the next major renewal and upgrade cycle for the global IMAX network.</w:t>
      </w:r>
    </w:p>
    <w:p>
      <w:pPr>
        <w:pStyle w:val="TextBody"/>
        <w:spacing w:before="200" w:after="0"/>
        <w:jc w:val="both"/>
        <w:rPr>
          <w:rFonts w:ascii="Times New Roman" w:hAnsi="Times New Roman"/>
          <w:sz w:val="20"/>
        </w:rPr>
      </w:pPr>
      <w:r>
        <w:rPr>
          <w:rFonts w:ascii="Times New Roman;serif" w:hAnsi="Times New Roman;serif"/>
          <w:b w:val="false"/>
          <w:sz w:val="20"/>
        </w:rPr>
        <w:t>In September 2022, the Company acquired SSIMWAVE Inc. (“SSIMWAVE”), a leader in AI-driven video quality solutions for media and entertainment companies. The acquisition of SSIMWAVE marks a significant expansion of the Company’s strategy to deliver the highest quality images on any screen, while also creating cost efficiencies to streaming companies, broadcasters and other companies that transmit visual data — to drive new, recurring revenue and grow its global leadership in entertainment technology.</w:t>
      </w:r>
      <w:r>
        <w:rPr>
          <w:rFonts w:ascii="Times New Roman" w:hAnsi="Times New Roman"/>
          <w:sz w:val="20"/>
        </w:rPr>
        <w:t xml:space="preserve"> </w:t>
      </w:r>
    </w:p>
    <w:p>
      <w:pPr>
        <w:pStyle w:val="TextBody"/>
        <w:spacing w:before="200" w:after="0"/>
        <w:jc w:val="both"/>
        <w:rPr>
          <w:rFonts w:ascii="Times New Roman;serif" w:hAnsi="Times New Roman;serif"/>
          <w:b w:val="false"/>
          <w:sz w:val="20"/>
        </w:rPr>
      </w:pPr>
      <w:r>
        <w:rPr>
          <w:rFonts w:ascii="Times New Roman;serif" w:hAnsi="Times New Roman;serif"/>
          <w:b w:val="false"/>
          <w:sz w:val="20"/>
        </w:rPr>
        <w:t>Commencing in March 2022, in response to numerous sanctions imposed by the United States, Canada and the European Union on companies transacting in Russia and Belarus resulting from ongoing conflict between Russia and Ukraine, the Company suspended its operations in Russia and Belarus. As of March 31, 2023, the IMAX network includes 54 systems in Russia, eight systems in Ukraine, and one system in Belarus. In the first quarter of 2022, the Company recorded provisions for potential credit losses against substantially all of its receivables in Russia due to uncertainties associated with the ongoing conflict. These receivables relate to existing sale agreements as the Company is not party to any joint revenue sharing arrangements in these countries. In addition, exhibitors in Russia, Ukraine, and Belarus were placed on nonaccrual status for maintenance revenue and finance income beginning in the first quarter of 2022, which resulted in revenue deferred and not recognized of $0.6 million during the three months ended March 31, 2023. As of March 31, 2023, all IMAX Systems in Ukraine have reopened. The Company continues to closely monitor the evolving impacts of this conflict (including the sanctions imposed by the United States, Canada and the European Union) and its effects on the global economy and the Company. (See Note 3 of Notes to Condensed Consolidated Financial Statements in Part I, Item 1 and “Risk Factors - The Company conducts business internationally, which exposes it to uncertainties and risks that could negatively affect its operations, sales, and future growth prospects.” in Part I, Item 1A of the Company's 2022 Form 10-K.)</w:t>
      </w:r>
    </w:p>
    <w:p>
      <w:pPr>
        <w:pStyle w:val="TextBody"/>
        <w:spacing w:before="240" w:after="0"/>
        <w:jc w:val="center"/>
        <w:rPr>
          <w:rFonts w:ascii="Times New Roman;serif" w:hAnsi="Times New Roman;serif"/>
          <w:b w:val="false"/>
          <w:sz w:val="20"/>
        </w:rPr>
      </w:pPr>
      <w:r>
        <w:rPr>
          <w:rFonts w:ascii="Times New Roman;serif" w:hAnsi="Times New Roman;serif"/>
          <w:b w:val="false"/>
          <w:sz w:val="20"/>
        </w:rPr>
        <w:t>42</w:t>
      </w:r>
    </w:p>
    <w:p>
      <w:pPr>
        <w:pStyle w:val="HorizontalLine"/>
        <w:rPr/>
      </w:pPr>
      <w:r>
        <w:rPr/>
      </w:r>
    </w:p>
    <w:p>
      <w:pPr>
        <w:pStyle w:val="TextBody"/>
        <w:spacing w:before="0" w:after="0"/>
        <w:jc w:val="left"/>
        <w:rPr/>
      </w:pPr>
      <w:r>
        <w:rPr/>
        <w:t> </w:t>
      </w:r>
    </w:p>
    <w:p>
      <w:pPr>
        <w:pStyle w:val="TextBody"/>
        <w:spacing w:before="200" w:after="0"/>
        <w:jc w:val="both"/>
        <w:rPr>
          <w:rFonts w:ascii="Times New Roman;serif" w:hAnsi="Times New Roman;serif"/>
          <w:b w:val="false"/>
          <w:sz w:val="20"/>
        </w:rPr>
      </w:pPr>
      <w:r>
        <w:rPr>
          <w:rFonts w:ascii="Times New Roman;serif" w:hAnsi="Times New Roman;serif"/>
          <w:b w:val="false"/>
          <w:sz w:val="20"/>
        </w:rPr>
        <w:t>On September 7, 2022, Cineworld Group plc (“Cineworld”), the parent company of Regal, and certain of its subsidiaries and Regal CineMedia Holdings, LLC, filed petitions for reorganization under Chapter 11 of the United States Bankruptcy Code in the Southern District of Texas. The Company had an unsecured pre-petition claim of $11.4 million related to receivables from the entities included in the reorganization proceedings. On October 21, 2022, the Company was ratified by the bankruptcy court as a critical vendor of Cineworld, allowing the Company to collect pre-petition amounts owed to it by Cineworld, and requiring Cineworld to stay current on the Company’s post-petition receivables. On November 8, 2022, IMAX Corporation entered into a trade agreement with Cineworld (the “Trade Agreement”), pursuant to which Cineworld affirmed its pre-petition obligations to the Company and its post-petition obligations to the Company during the Chapter 11 proceedings, the amount of the receivables owed to the Company and agreed to a payment plan under which all amounts due will be settled over the period from November 9, 2022 to April 12, 2023. As of April 17, 2023, the Company had received all of the payments due from Cineworld in accordance with the terms of the Trade Agreement with respect to the pre-petition obligations. Based on its evaluation of its contracts with Cineworld, its assessment of the reorganization and its discussions with Cineworld to date, the Company has determined that no additional provision for expected credit losses is required. The Company also does not expect to see a material impact on its IMAX network with Cineworld resulting from this reorganization. There can, however, be no guarantees as to the ultimate outcome of a Chapter 11 proceeding.</w:t>
      </w:r>
    </w:p>
    <w:p>
      <w:pPr>
        <w:pStyle w:val="TextBody"/>
        <w:spacing w:before="200" w:after="0"/>
        <w:jc w:val="both"/>
        <w:rPr>
          <w:rFonts w:ascii="Times New Roman" w:hAnsi="Times New Roman"/>
          <w:sz w:val="20"/>
        </w:rPr>
      </w:pPr>
      <w:r>
        <w:rPr>
          <w:rFonts w:ascii="Times New Roman;serif" w:hAnsi="Times New Roman;serif"/>
          <w:b w:val="false"/>
          <w:sz w:val="20"/>
        </w:rPr>
        <w:t>The COVID-19 pandemic and the measures to prevent its spread have impacted and may continue to impact the Company’s business and the global economy. For additional discussion regarding the risks related to the COVID-19 pandemic on the Company’s business, see “Risk Factors – The Company experienced a significant decrease in its revenues, earnings and cash flows due to the COVID-19 pandemic and its business, financial condition and results of operations may continue to be significantly harmed in future reporting periods” in Part I, Item 1A of the Company’s 2022 Form 10-K.</w:t>
      </w:r>
      <w:r>
        <w:rPr>
          <w:rFonts w:ascii="Times New Roman" w:hAnsi="Times New Roman"/>
          <w:sz w:val="20"/>
        </w:rPr>
        <w:t xml:space="preserve"> </w:t>
      </w:r>
    </w:p>
    <w:p>
      <w:pPr>
        <w:pStyle w:val="TextBody"/>
        <w:spacing w:before="200" w:after="0"/>
        <w:jc w:val="both"/>
        <w:rPr>
          <w:rFonts w:ascii="Times New Roman;serif" w:hAnsi="Times New Roman;serif"/>
          <w:b/>
          <w:sz w:val="20"/>
        </w:rPr>
      </w:pPr>
      <w:r>
        <w:rPr>
          <w:rFonts w:ascii="Times New Roman;serif" w:hAnsi="Times New Roman;serif"/>
          <w:b/>
          <w:sz w:val="20"/>
        </w:rPr>
        <w:t>SOURCES OF REVENUE</w:t>
      </w:r>
    </w:p>
    <w:p>
      <w:pPr>
        <w:pStyle w:val="TextBody"/>
        <w:spacing w:before="200" w:after="0"/>
        <w:jc w:val="both"/>
        <w:rPr>
          <w:rFonts w:ascii="Times New Roman;serif" w:hAnsi="Times New Roman;serif"/>
          <w:b w:val="false"/>
          <w:sz w:val="20"/>
        </w:rPr>
      </w:pPr>
      <w:r>
        <w:rPr>
          <w:rFonts w:ascii="Times New Roman;serif" w:hAnsi="Times New Roman;serif"/>
          <w:b w:val="false"/>
          <w:sz w:val="20"/>
        </w:rPr>
        <w:t>The historical results of operations for the three months ended March 31, 2023 and 2022 reflect the results of operations for two reportable segments: (i) Content Solutions, which principally includes content enhancement and distribution services, previously included within the IMAX DMR, Film Distribution and Film Post-Production segments, and (ii) Technology Products and Services, which principally includes the sale, lease, and maintenance of IMAX Systems, previously included within the JRSA, IMAX Systems, IMAX Maintenance, and Other Theater Business segments. The Company’s activities that do not meet the criteria to be considered a reportable segment will be reported within All Other. (See Note 13 of Notes to Condensed Consolidated Financial Statements in Part I, Item 1).</w:t>
      </w:r>
    </w:p>
    <w:p>
      <w:pPr>
        <w:pStyle w:val="TextBody"/>
        <w:spacing w:before="200" w:after="0"/>
        <w:jc w:val="both"/>
        <w:rPr>
          <w:rFonts w:ascii="Times New Roman;serif" w:hAnsi="Times New Roman;serif"/>
          <w:b/>
          <w:sz w:val="20"/>
        </w:rPr>
      </w:pPr>
      <w:r>
        <w:rPr>
          <w:rFonts w:ascii="Times New Roman;serif" w:hAnsi="Times New Roman;serif"/>
          <w:b/>
          <w:sz w:val="20"/>
        </w:rPr>
        <w:t>Content Solutions</w:t>
      </w:r>
    </w:p>
    <w:p>
      <w:pPr>
        <w:pStyle w:val="TextBody"/>
        <w:spacing w:before="200" w:after="0"/>
        <w:jc w:val="both"/>
        <w:rPr>
          <w:rFonts w:ascii="Times New Roman" w:hAnsi="Times New Roman"/>
          <w:sz w:val="20"/>
        </w:rPr>
      </w:pPr>
      <w:r>
        <w:rPr>
          <w:rFonts w:ascii="Times New Roman;serif" w:hAnsi="Times New Roman;serif"/>
          <w:b w:val="false"/>
          <w:sz w:val="20"/>
        </w:rPr>
        <w:t>The Content Solutions segment earns revenue from the digital remastering of films and other content into IMAX formats for distribution across the IMAX network. To a lesser extent, the Content Solutions segment also earns revenue from the distribution of large-format documentary films and exclusive experiences ranging from live performance to interactive events with leading artists and creators, as well as the provision of film post-production services.</w:t>
      </w:r>
      <w:r>
        <w:rPr>
          <w:rFonts w:ascii="Times New Roman" w:hAnsi="Times New Roman"/>
          <w:sz w:val="20"/>
        </w:rPr>
        <w:t xml:space="preserve"> </w:t>
      </w:r>
    </w:p>
    <w:p>
      <w:pPr>
        <w:pStyle w:val="TextBody"/>
        <w:spacing w:before="200" w:after="0"/>
        <w:jc w:val="both"/>
        <w:rPr>
          <w:rFonts w:ascii="Times New Roman;serif" w:hAnsi="Times New Roman;serif"/>
          <w:b w:val="false"/>
          <w:i/>
          <w:sz w:val="20"/>
        </w:rPr>
      </w:pPr>
      <w:r>
        <w:rPr>
          <w:rFonts w:ascii="Times New Roman;serif" w:hAnsi="Times New Roman;serif"/>
          <w:b w:val="false"/>
          <w:i/>
          <w:sz w:val="20"/>
        </w:rPr>
        <w:t>IMAX Film Remastering and Distribution</w:t>
      </w:r>
    </w:p>
    <w:p>
      <w:pPr>
        <w:pStyle w:val="TextBody"/>
        <w:spacing w:before="200" w:after="0"/>
        <w:jc w:val="both"/>
        <w:rPr>
          <w:rFonts w:ascii="Times New Roman;serif" w:hAnsi="Times New Roman;serif"/>
          <w:b w:val="false"/>
          <w:sz w:val="20"/>
        </w:rPr>
      </w:pPr>
      <w:r>
        <w:rPr>
          <w:rFonts w:ascii="Times New Roman;serif" w:hAnsi="Times New Roman;serif"/>
          <w:b w:val="false"/>
          <w:sz w:val="20"/>
        </w:rPr>
        <w:t>IMAX film remastering is a proprietary technology that digitally remasters films and other content into IMAX formats for distribution across the IMAX network. In a typical IMAX film remastering and distribution arrangement, the Company receives a percentage of the box office receipts from a movie studio in exchange for converting a commercial film into the IMAX format and distributing it through the IMAX network. The fee earned by the Company in a typical IMAX film remastering and distribution arrangement averages approximately 12.5% of box office receipts (i.e., GBO less applicable sales taxes), except for within Greater China, where the Company receives a lower percentage of net box office receipts for certain Hollywood films.</w:t>
      </w:r>
    </w:p>
    <w:p>
      <w:pPr>
        <w:pStyle w:val="TextBody"/>
        <w:spacing w:before="200" w:after="0"/>
        <w:jc w:val="both"/>
        <w:rPr>
          <w:rFonts w:ascii="Times New Roman" w:hAnsi="Times New Roman"/>
          <w:sz w:val="20"/>
        </w:rPr>
      </w:pPr>
      <w:r>
        <w:rPr>
          <w:rFonts w:ascii="Times New Roman;serif" w:hAnsi="Times New Roman;serif"/>
          <w:b w:val="false"/>
          <w:sz w:val="20"/>
        </w:rPr>
        <w:t xml:space="preserve">IMAX film remastering digitally enhances the image resolution of films for projection on IMAX screens while maintaining or enhancing the visual clarity and sound quality to levels for which </w:t>
      </w:r>
      <w:r>
        <w:rPr>
          <w:rFonts w:ascii="Times New Roman;serif" w:hAnsi="Times New Roman;serif"/>
          <w:b w:val="false"/>
          <w:i/>
          <w:sz w:val="20"/>
        </w:rPr>
        <w:t xml:space="preserve">The </w:t>
      </w:r>
      <w:r>
        <w:rPr>
          <w:rFonts w:ascii="Times New Roman;serif" w:hAnsi="Times New Roman;serif"/>
          <w:b w:val="false"/>
          <w:sz w:val="20"/>
        </w:rPr>
        <w:t xml:space="preserve">IMAX </w:t>
      </w:r>
      <w:r>
        <w:rPr>
          <w:rFonts w:ascii="Times New Roman;serif" w:hAnsi="Times New Roman;serif"/>
          <w:b w:val="false"/>
          <w:i/>
          <w:sz w:val="20"/>
        </w:rPr>
        <w:t>Experience</w:t>
      </w:r>
      <w:r>
        <w:rPr>
          <w:rFonts w:ascii="Times New Roman" w:hAnsi="Times New Roman"/>
          <w:sz w:val="20"/>
        </w:rPr>
        <w:t xml:space="preserve"> </w:t>
      </w:r>
      <w:r>
        <w:rPr>
          <w:rFonts w:ascii="Times New Roman;serif" w:hAnsi="Times New Roman;serif"/>
          <w:b w:val="false"/>
          <w:sz w:val="20"/>
        </w:rPr>
        <w:t>is known. In addition, the original soundtrack of a film to be exhibited across the IMAX network is remastered for IMAX digital sound systems. Unlike the soundtracks played in conventional theaters, IMAX remastered soundtracks are uncompressed and full fidelity. IMAX sound systems use proprietary loudspeaker systems and proprietary surround sound configurations that ensure every theater seat is in an optimal listening position.</w:t>
      </w:r>
    </w:p>
    <w:p>
      <w:pPr>
        <w:pStyle w:val="TextBody"/>
        <w:spacing w:before="240" w:after="0"/>
        <w:jc w:val="center"/>
        <w:rPr>
          <w:rFonts w:ascii="Times New Roman;serif" w:hAnsi="Times New Roman;serif"/>
          <w:b w:val="false"/>
          <w:sz w:val="20"/>
        </w:rPr>
      </w:pPr>
      <w:r>
        <w:rPr>
          <w:rFonts w:ascii="Times New Roman;serif" w:hAnsi="Times New Roman;serif"/>
          <w:b w:val="false"/>
          <w:sz w:val="20"/>
        </w:rPr>
        <w:t>43</w:t>
      </w:r>
    </w:p>
    <w:p>
      <w:pPr>
        <w:pStyle w:val="HorizontalLine"/>
        <w:rPr/>
      </w:pPr>
      <w:r>
        <w:rPr/>
      </w:r>
    </w:p>
    <w:p>
      <w:pPr>
        <w:pStyle w:val="TextBody"/>
        <w:spacing w:before="0" w:after="0"/>
        <w:jc w:val="left"/>
        <w:rPr/>
      </w:pPr>
      <w:r>
        <w:rPr/>
        <w:t> </w:t>
      </w:r>
    </w:p>
    <w:p>
      <w:pPr>
        <w:pStyle w:val="TextBody"/>
        <w:spacing w:before="200" w:after="0"/>
        <w:jc w:val="both"/>
        <w:rPr>
          <w:rFonts w:ascii="Times New Roman" w:hAnsi="Times New Roman"/>
          <w:sz w:val="20"/>
        </w:rPr>
      </w:pPr>
      <w:r>
        <w:rPr>
          <w:rFonts w:ascii="Times New Roman;serif" w:hAnsi="Times New Roman;serif"/>
          <w:b w:val="false"/>
          <w:sz w:val="20"/>
        </w:rPr>
        <w:t>IMAX films also benefit from enhancements made by individual filmmakers exclusively for the IMAX release of the film. Collectively, the Company refers to these enhancements as “IMAX DNA.” Filmmakers and movie studios have sought IMAX-specific enhancements in recent years to generate interest in and excitement for their films. Such enhancements include shooting films with IMAX cameras to increase the audience’s immersion in the film and to take advantage of the unique dimensions of the IMAX screen by projecting the film in a larger aspect ratio that delivers up to 26% more image onto a standard IMAX movie screen. In select IMAX locations worldwide, movies filmed with IMAX cameras have an IMAX-exclusive 1.43 film aspect ratio, delivering up to 67% more image. The Company has a Filmed For IMAX</w:t>
      </w:r>
      <w:r>
        <w:rPr>
          <w:rFonts w:ascii="Times New Roman;serif" w:hAnsi="Times New Roman;serif"/>
          <w:b w:val="false"/>
          <w:sz w:val="13"/>
        </w:rPr>
        <w:t>TM</w:t>
      </w:r>
      <w:r>
        <w:rPr>
          <w:rFonts w:ascii="Times New Roman" w:hAnsi="Times New Roman"/>
          <w:sz w:val="20"/>
        </w:rPr>
        <w:t xml:space="preserve"> </w:t>
      </w:r>
      <w:r>
        <w:rPr>
          <w:rFonts w:ascii="Times New Roman;serif" w:hAnsi="Times New Roman;serif"/>
          <w:b w:val="false"/>
          <w:sz w:val="20"/>
        </w:rPr>
        <w:t xml:space="preserve">program for select films under which filmmakers craft films from their inception in numerous ways to optimize </w:t>
      </w:r>
      <w:r>
        <w:rPr>
          <w:rFonts w:ascii="Times New Roman;serif" w:hAnsi="Times New Roman;serif"/>
          <w:b w:val="false"/>
          <w:i/>
          <w:sz w:val="20"/>
        </w:rPr>
        <w:t>The</w:t>
      </w:r>
      <w:r>
        <w:rPr>
          <w:rFonts w:ascii="Times New Roman" w:hAnsi="Times New Roman"/>
          <w:sz w:val="20"/>
        </w:rPr>
        <w:t xml:space="preserve"> </w:t>
      </w:r>
      <w:r>
        <w:rPr>
          <w:rFonts w:ascii="Times New Roman;serif" w:hAnsi="Times New Roman;serif"/>
          <w:b w:val="false"/>
          <w:sz w:val="20"/>
        </w:rPr>
        <w:t xml:space="preserve">IMAX </w:t>
      </w:r>
      <w:r>
        <w:rPr>
          <w:rFonts w:ascii="Times New Roman;serif" w:hAnsi="Times New Roman;serif"/>
          <w:b w:val="false"/>
          <w:i/>
          <w:sz w:val="20"/>
        </w:rPr>
        <w:t>Experience</w:t>
      </w:r>
      <w:r>
        <w:rPr>
          <w:rFonts w:ascii="Times New Roman;serif" w:hAnsi="Times New Roman;serif"/>
          <w:b w:val="false"/>
          <w:sz w:val="20"/>
        </w:rPr>
        <w:t>. The program includes incremental and bespoke marketing support, which box office metrics demonstrate audiences respond extremely favorably to, and drives higher market share for IMAX.</w:t>
      </w:r>
    </w:p>
    <w:p>
      <w:pPr>
        <w:pStyle w:val="TextBody"/>
        <w:spacing w:before="200" w:after="0"/>
        <w:jc w:val="both"/>
        <w:rPr>
          <w:rFonts w:ascii="Times New Roman;serif" w:hAnsi="Times New Roman;serif"/>
          <w:b w:val="false"/>
          <w:sz w:val="20"/>
        </w:rPr>
      </w:pPr>
      <w:r>
        <w:rPr>
          <w:rFonts w:ascii="Times New Roman;serif" w:hAnsi="Times New Roman;serif"/>
          <w:b w:val="false"/>
          <w:sz w:val="20"/>
        </w:rPr>
        <w:t>Management believes that growth in international box office remains an important driver of growth for the Company. To support continued growth in international markets, the Company is focused on the expansion of the IMAX network and has sought to elevate its international film strategy, supplementing its slate of Hollywood films with appealing local language films released in select markets, including China, Japan, India, and South Korea. More recently, the Company has further diversified its strategy by distributing local language films in both native and foreign markets.</w:t>
      </w:r>
    </w:p>
    <w:p>
      <w:pPr>
        <w:pStyle w:val="TextBody"/>
        <w:spacing w:before="200" w:after="0"/>
        <w:jc w:val="both"/>
        <w:rPr>
          <w:rFonts w:ascii="Times New Roman" w:hAnsi="Times New Roman"/>
          <w:sz w:val="20"/>
        </w:rPr>
      </w:pPr>
      <w:r>
        <w:rPr>
          <w:rFonts w:ascii="Times New Roman;serif" w:hAnsi="Times New Roman;serif"/>
          <w:b w:val="false"/>
          <w:sz w:val="20"/>
        </w:rPr>
        <w:t>In the first quarter of 2023, the IMAX network generated over $80 million in box office from local language films, a record for the Company. Local language box office represented approximately 30% of the Company’s total box office in the quarter. This year’s quarter included the highest grossing Chinese New Year holiday and highest grossing local language title (</w:t>
      </w:r>
      <w:r>
        <w:rPr>
          <w:rFonts w:ascii="Times New Roman;serif" w:hAnsi="Times New Roman;serif"/>
          <w:b w:val="false"/>
          <w:i/>
          <w:sz w:val="20"/>
        </w:rPr>
        <w:t>Wandering Earth 2</w:t>
      </w:r>
      <w:r>
        <w:rPr>
          <w:rFonts w:ascii="Times New Roman;serif" w:hAnsi="Times New Roman;serif"/>
          <w:b w:val="false"/>
          <w:sz w:val="20"/>
        </w:rPr>
        <w:t xml:space="preserve">) in the Company’s history. The Company is also seeing its local language films increasingly generate significant IMAX box office in markets outside of those in which they are released, such as the Japanese film </w:t>
      </w:r>
      <w:r>
        <w:rPr>
          <w:rFonts w:ascii="Times New Roman;serif" w:hAnsi="Times New Roman;serif"/>
          <w:b w:val="false"/>
          <w:i/>
          <w:sz w:val="20"/>
        </w:rPr>
        <w:t xml:space="preserve">Suzume </w:t>
      </w:r>
      <w:r>
        <w:rPr>
          <w:rFonts w:ascii="Times New Roman;serif" w:hAnsi="Times New Roman;serif"/>
          <w:b w:val="false"/>
          <w:sz w:val="20"/>
        </w:rPr>
        <w:t xml:space="preserve">and the Indian film </w:t>
      </w:r>
      <w:r>
        <w:rPr>
          <w:rFonts w:ascii="Times New Roman;serif" w:hAnsi="Times New Roman;serif"/>
          <w:b w:val="false"/>
          <w:i/>
          <w:sz w:val="20"/>
        </w:rPr>
        <w:t>RRR</w:t>
      </w:r>
      <w:r>
        <w:rPr>
          <w:rFonts w:ascii="Times New Roman;serif" w:hAnsi="Times New Roman;serif"/>
          <w:b w:val="false"/>
          <w:sz w:val="20"/>
        </w:rPr>
        <w:t>.</w:t>
      </w:r>
    </w:p>
    <w:p>
      <w:pPr>
        <w:pStyle w:val="TextBody"/>
        <w:spacing w:before="200" w:after="0"/>
        <w:jc w:val="both"/>
        <w:rPr>
          <w:rFonts w:ascii="Times New Roman;serif" w:hAnsi="Times New Roman;serif"/>
          <w:b w:val="false"/>
          <w:sz w:val="20"/>
        </w:rPr>
      </w:pPr>
      <w:r>
        <w:rPr>
          <w:rFonts w:ascii="Times New Roman;serif" w:hAnsi="Times New Roman;serif"/>
          <w:b w:val="false"/>
          <w:sz w:val="20"/>
        </w:rPr>
        <w:t>The following table provides detailed information about the films that were released to the Company’s global network during the three months ended March 31, 2023 and 2022:</w:t>
      </w:r>
    </w:p>
    <w:p>
      <w:pPr>
        <w:pStyle w:val="TextBody"/>
        <w:spacing w:before="0" w:after="0"/>
        <w:jc w:val="both"/>
        <w:rPr/>
      </w:pPr>
      <w:r>
        <w:rPr/>
        <w:t> </w:t>
      </w:r>
    </w:p>
    <w:tbl>
      <w:tblPr>
        <w:tblW w:w="5430" w:type="dxa"/>
        <w:jc w:val="left"/>
        <w:tblInd w:w="0" w:type="dxa"/>
        <w:tblCellMar>
          <w:top w:w="28" w:type="dxa"/>
          <w:left w:w="28" w:type="dxa"/>
          <w:bottom w:w="28" w:type="dxa"/>
          <w:right w:w="28" w:type="dxa"/>
        </w:tblCellMar>
      </w:tblPr>
      <w:tblGrid>
        <w:gridCol w:w="2851"/>
        <w:gridCol w:w="250"/>
        <w:gridCol w:w="594"/>
        <w:gridCol w:w="250"/>
        <w:gridCol w:w="250"/>
        <w:gridCol w:w="250"/>
        <w:gridCol w:w="594"/>
        <w:gridCol w:w="391"/>
      </w:tblGrid>
      <w:tr>
        <w:trPr/>
        <w:tc>
          <w:tcPr>
            <w:tcW w:w="2851" w:type="dxa"/>
            <w:tcBorders/>
            <w:shd w:fill="auto" w:val="clear"/>
            <w:vAlign w:val="center"/>
          </w:tcPr>
          <w:p>
            <w:pPr>
              <w:pStyle w:val="TableContents"/>
              <w:spacing w:before="0" w:after="283"/>
              <w:rPr>
                <w:sz w:val="4"/>
                <w:szCs w:val="4"/>
              </w:rPr>
            </w:pPr>
            <w:r>
              <w:rPr>
                <w:sz w:val="4"/>
                <w:szCs w:val="4"/>
              </w:rPr>
            </w:r>
          </w:p>
        </w:tc>
        <w:tc>
          <w:tcPr>
            <w:tcW w:w="250" w:type="dxa"/>
            <w:tcBorders/>
            <w:shd w:fill="auto" w:val="clear"/>
            <w:vAlign w:val="center"/>
          </w:tcPr>
          <w:p>
            <w:pPr>
              <w:pStyle w:val="TableContents"/>
              <w:spacing w:before="0" w:after="283"/>
              <w:rPr>
                <w:sz w:val="4"/>
                <w:szCs w:val="4"/>
              </w:rPr>
            </w:pPr>
            <w:r>
              <w:rPr>
                <w:sz w:val="4"/>
                <w:szCs w:val="4"/>
              </w:rPr>
            </w:r>
          </w:p>
        </w:tc>
        <w:tc>
          <w:tcPr>
            <w:tcW w:w="594" w:type="dxa"/>
            <w:tcBorders/>
            <w:shd w:fill="auto" w:val="clear"/>
            <w:vAlign w:val="center"/>
          </w:tcPr>
          <w:p>
            <w:pPr>
              <w:pStyle w:val="TableContents"/>
              <w:spacing w:before="0" w:after="283"/>
              <w:rPr>
                <w:sz w:val="4"/>
                <w:szCs w:val="4"/>
              </w:rPr>
            </w:pPr>
            <w:r>
              <w:rPr>
                <w:sz w:val="4"/>
                <w:szCs w:val="4"/>
              </w:rPr>
            </w:r>
          </w:p>
        </w:tc>
        <w:tc>
          <w:tcPr>
            <w:tcW w:w="250" w:type="dxa"/>
            <w:tcBorders/>
            <w:shd w:fill="auto" w:val="clear"/>
            <w:vAlign w:val="center"/>
          </w:tcPr>
          <w:p>
            <w:pPr>
              <w:pStyle w:val="TableContents"/>
              <w:spacing w:before="0" w:after="283"/>
              <w:rPr>
                <w:sz w:val="4"/>
                <w:szCs w:val="4"/>
              </w:rPr>
            </w:pPr>
            <w:r>
              <w:rPr>
                <w:sz w:val="4"/>
                <w:szCs w:val="4"/>
              </w:rPr>
            </w:r>
          </w:p>
        </w:tc>
        <w:tc>
          <w:tcPr>
            <w:tcW w:w="250" w:type="dxa"/>
            <w:tcBorders/>
            <w:shd w:fill="auto" w:val="clear"/>
            <w:vAlign w:val="center"/>
          </w:tcPr>
          <w:p>
            <w:pPr>
              <w:pStyle w:val="TableContents"/>
              <w:spacing w:before="0" w:after="283"/>
              <w:rPr>
                <w:sz w:val="4"/>
                <w:szCs w:val="4"/>
              </w:rPr>
            </w:pPr>
            <w:r>
              <w:rPr>
                <w:sz w:val="4"/>
                <w:szCs w:val="4"/>
              </w:rPr>
            </w:r>
          </w:p>
        </w:tc>
        <w:tc>
          <w:tcPr>
            <w:tcW w:w="250" w:type="dxa"/>
            <w:tcBorders/>
            <w:shd w:fill="auto" w:val="clear"/>
            <w:vAlign w:val="center"/>
          </w:tcPr>
          <w:p>
            <w:pPr>
              <w:pStyle w:val="TableContents"/>
              <w:spacing w:before="0" w:after="283"/>
              <w:rPr>
                <w:sz w:val="4"/>
                <w:szCs w:val="4"/>
              </w:rPr>
            </w:pPr>
            <w:r>
              <w:rPr>
                <w:sz w:val="4"/>
                <w:szCs w:val="4"/>
              </w:rPr>
            </w:r>
          </w:p>
        </w:tc>
        <w:tc>
          <w:tcPr>
            <w:tcW w:w="594" w:type="dxa"/>
            <w:tcBorders/>
            <w:shd w:fill="auto" w:val="clear"/>
            <w:vAlign w:val="center"/>
          </w:tcPr>
          <w:p>
            <w:pPr>
              <w:pStyle w:val="TableContents"/>
              <w:spacing w:before="0" w:after="283"/>
              <w:rPr>
                <w:sz w:val="4"/>
                <w:szCs w:val="4"/>
              </w:rPr>
            </w:pPr>
            <w:r>
              <w:rPr>
                <w:sz w:val="4"/>
                <w:szCs w:val="4"/>
              </w:rPr>
            </w:r>
          </w:p>
        </w:tc>
        <w:tc>
          <w:tcPr>
            <w:tcW w:w="391" w:type="dxa"/>
            <w:tcBorders/>
            <w:shd w:fill="auto" w:val="clear"/>
            <w:vAlign w:val="center"/>
          </w:tcPr>
          <w:p>
            <w:pPr>
              <w:pStyle w:val="TableContents"/>
              <w:spacing w:before="0" w:after="283"/>
              <w:rPr>
                <w:sz w:val="4"/>
                <w:szCs w:val="4"/>
              </w:rPr>
            </w:pPr>
            <w:r>
              <w:rPr>
                <w:sz w:val="4"/>
                <w:szCs w:val="4"/>
              </w:rPr>
            </w:r>
          </w:p>
        </w:tc>
      </w:tr>
      <w:tr>
        <w:trPr/>
        <w:tc>
          <w:tcPr>
            <w:tcW w:w="2851" w:type="dxa"/>
            <w:tcBorders/>
            <w:shd w:fill="auto" w:val="clear"/>
            <w:vAlign w:val="center"/>
          </w:tcPr>
          <w:p>
            <w:pPr>
              <w:pStyle w:val="TableContents"/>
              <w:spacing w:before="0" w:after="0"/>
              <w:ind w:left="0" w:right="0" w:hanging="0"/>
              <w:jc w:val="left"/>
              <w:rPr/>
            </w:pPr>
            <w:r>
              <w:rPr/>
              <w:t> </w:t>
            </w:r>
          </w:p>
        </w:tc>
        <w:tc>
          <w:tcPr>
            <w:tcW w:w="2188" w:type="dxa"/>
            <w:gridSpan w:val="6"/>
            <w:tcBorders/>
            <w:shd w:fill="auto" w:val="cle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For the Three Months Ended</w:t>
            </w:r>
          </w:p>
        </w:tc>
        <w:tc>
          <w:tcPr>
            <w:tcW w:w="391" w:type="dxa"/>
            <w:tcBorders/>
            <w:shd w:fill="auto" w:val="clear"/>
            <w:vAlign w:val="center"/>
          </w:tcPr>
          <w:p>
            <w:pPr>
              <w:pStyle w:val="TableContents"/>
              <w:spacing w:before="0" w:after="0"/>
              <w:ind w:left="0" w:right="0" w:hanging="0"/>
              <w:jc w:val="center"/>
              <w:rPr/>
            </w:pPr>
            <w:r>
              <w:rPr/>
              <w:t> </w:t>
            </w:r>
          </w:p>
        </w:tc>
      </w:tr>
      <w:tr>
        <w:trPr/>
        <w:tc>
          <w:tcPr>
            <w:tcW w:w="2851" w:type="dxa"/>
            <w:tcBorders/>
            <w:shd w:fill="auto" w:val="clear"/>
            <w:vAlign w:val="center"/>
          </w:tcPr>
          <w:p>
            <w:pPr>
              <w:pStyle w:val="TableContents"/>
              <w:spacing w:before="0" w:after="0"/>
              <w:ind w:left="0" w:right="0" w:hanging="0"/>
              <w:jc w:val="left"/>
              <w:rPr/>
            </w:pPr>
            <w:r>
              <w:rPr/>
              <w:t> </w:t>
            </w:r>
          </w:p>
        </w:tc>
        <w:tc>
          <w:tcPr>
            <w:tcW w:w="2188" w:type="dxa"/>
            <w:gridSpan w:val="6"/>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March 31,</w:t>
            </w:r>
          </w:p>
        </w:tc>
        <w:tc>
          <w:tcPr>
            <w:tcW w:w="3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2851" w:type="dxa"/>
            <w:tcBorders/>
            <w:shd w:fill="auto" w:val="clear"/>
            <w:vAlign w:val="center"/>
          </w:tcPr>
          <w:p>
            <w:pPr>
              <w:pStyle w:val="TableContents"/>
              <w:spacing w:before="0" w:after="0"/>
              <w:ind w:left="0" w:right="0" w:hanging="0"/>
              <w:jc w:val="left"/>
              <w:rPr/>
            </w:pPr>
            <w:r>
              <w:rPr/>
              <w:t> </w:t>
            </w:r>
          </w:p>
        </w:tc>
        <w:tc>
          <w:tcPr>
            <w:tcW w:w="844"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2023</w:t>
            </w:r>
          </w:p>
        </w:tc>
        <w:tc>
          <w:tcPr>
            <w:tcW w:w="250"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250" w:type="dxa"/>
            <w:tcBorders/>
            <w:shd w:fill="auto" w:val="clear"/>
            <w:vAlign w:val="center"/>
          </w:tcPr>
          <w:p>
            <w:pPr>
              <w:pStyle w:val="TableContents"/>
              <w:spacing w:before="0" w:after="0"/>
              <w:ind w:left="0" w:right="0" w:hanging="0"/>
              <w:jc w:val="left"/>
              <w:rPr/>
            </w:pPr>
            <w:r>
              <w:rPr/>
              <w:t> </w:t>
            </w:r>
          </w:p>
        </w:tc>
        <w:tc>
          <w:tcPr>
            <w:tcW w:w="844"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2022</w:t>
            </w:r>
          </w:p>
        </w:tc>
        <w:tc>
          <w:tcPr>
            <w:tcW w:w="3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2851" w:type="dxa"/>
            <w:tcBorders/>
            <w:shd w:fill="auto" w:val="clear"/>
            <w:vAlign w:val="center"/>
          </w:tcPr>
          <w:p>
            <w:pPr>
              <w:pStyle w:val="TableContents"/>
              <w:spacing w:before="0" w:after="0"/>
              <w:ind w:left="0" w:right="0" w:hanging="0"/>
              <w:jc w:val="left"/>
              <w:rPr>
                <w:rFonts w:ascii="Times New Roman" w:hAnsi="Times New Roman"/>
                <w:sz w:val="20"/>
              </w:rPr>
            </w:pPr>
            <w:r>
              <w:rPr>
                <w:rFonts w:ascii="Times New Roman;serif" w:hAnsi="Times New Roman;serif"/>
                <w:b w:val="false"/>
                <w:sz w:val="20"/>
              </w:rPr>
              <w:t>Hollywood film releases</w:t>
            </w:r>
            <w:r>
              <w:rPr>
                <w:rFonts w:ascii="Times New Roman;serif" w:hAnsi="Times New Roman;serif"/>
                <w:b w:val="false"/>
                <w:sz w:val="13"/>
              </w:rPr>
              <w:t>(1)</w:t>
            </w:r>
          </w:p>
        </w:tc>
        <w:tc>
          <w:tcPr>
            <w:tcW w:w="250"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594"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6</w:t>
            </w:r>
          </w:p>
        </w:tc>
        <w:tc>
          <w:tcPr>
            <w:tcW w:w="250"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250" w:type="dxa"/>
            <w:tcBorders/>
            <w:shd w:fill="auto" w:val="clear"/>
            <w:vAlign w:val="center"/>
          </w:tcPr>
          <w:p>
            <w:pPr>
              <w:pStyle w:val="TableContents"/>
              <w:spacing w:before="0" w:after="0"/>
              <w:ind w:left="0" w:right="0" w:hanging="0"/>
              <w:jc w:val="right"/>
              <w:rPr/>
            </w:pPr>
            <w:r>
              <w:rPr/>
              <w:t> </w:t>
            </w:r>
          </w:p>
        </w:tc>
        <w:tc>
          <w:tcPr>
            <w:tcW w:w="250"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594"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6</w:t>
            </w:r>
          </w:p>
        </w:tc>
        <w:tc>
          <w:tcPr>
            <w:tcW w:w="3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r>
        <w:trPr/>
        <w:tc>
          <w:tcPr>
            <w:tcW w:w="285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Local language film releases:</w:t>
            </w:r>
          </w:p>
        </w:tc>
        <w:tc>
          <w:tcPr>
            <w:tcW w:w="844" w:type="dxa"/>
            <w:gridSpan w:val="2"/>
            <w:tcBorders/>
            <w:shd w:fill="auto" w:val="clear"/>
            <w:vAlign w:val="center"/>
          </w:tcPr>
          <w:p>
            <w:pPr>
              <w:pStyle w:val="TableContents"/>
              <w:spacing w:before="0" w:after="0"/>
              <w:ind w:left="0" w:right="0" w:hanging="0"/>
              <w:jc w:val="center"/>
              <w:rPr/>
            </w:pPr>
            <w:r>
              <w:rPr/>
              <w:t> </w:t>
            </w:r>
          </w:p>
        </w:tc>
        <w:tc>
          <w:tcPr>
            <w:tcW w:w="250" w:type="dxa"/>
            <w:tcBorders/>
            <w:shd w:fill="auto" w:val="clear"/>
            <w:vAlign w:val="center"/>
          </w:tcPr>
          <w:p>
            <w:pPr>
              <w:pStyle w:val="TableContents"/>
              <w:spacing w:before="0" w:after="0"/>
              <w:ind w:left="0" w:right="0" w:hanging="0"/>
              <w:jc w:val="center"/>
              <w:rPr/>
            </w:pPr>
            <w:r>
              <w:rPr/>
              <w:t> </w:t>
            </w:r>
          </w:p>
        </w:tc>
        <w:tc>
          <w:tcPr>
            <w:tcW w:w="250" w:type="dxa"/>
            <w:tcBorders/>
            <w:shd w:fill="auto" w:val="clear"/>
            <w:vAlign w:val="center"/>
          </w:tcPr>
          <w:p>
            <w:pPr>
              <w:pStyle w:val="TableContents"/>
              <w:spacing w:before="0" w:after="0"/>
              <w:ind w:left="0" w:right="0" w:hanging="0"/>
              <w:jc w:val="left"/>
              <w:rPr/>
            </w:pPr>
            <w:r>
              <w:rPr/>
              <w:t> </w:t>
            </w:r>
          </w:p>
        </w:tc>
        <w:tc>
          <w:tcPr>
            <w:tcW w:w="844" w:type="dxa"/>
            <w:gridSpan w:val="2"/>
            <w:tcBorders/>
            <w:shd w:fill="auto" w:val="clear"/>
            <w:vAlign w:val="center"/>
          </w:tcPr>
          <w:p>
            <w:pPr>
              <w:pStyle w:val="TableContents"/>
              <w:spacing w:before="0" w:after="0"/>
              <w:ind w:left="0" w:right="0" w:hanging="0"/>
              <w:jc w:val="center"/>
              <w:rPr/>
            </w:pPr>
            <w:r>
              <w:rPr/>
              <w:t> </w:t>
            </w:r>
          </w:p>
        </w:tc>
        <w:tc>
          <w:tcPr>
            <w:tcW w:w="391" w:type="dxa"/>
            <w:tcBorders/>
            <w:shd w:fill="auto" w:val="clear"/>
            <w:vAlign w:val="center"/>
          </w:tcPr>
          <w:p>
            <w:pPr>
              <w:pStyle w:val="TableContents"/>
              <w:spacing w:before="0" w:after="0"/>
              <w:ind w:left="0" w:right="0" w:firstLine="100"/>
              <w:jc w:val="center"/>
              <w:rPr/>
            </w:pPr>
            <w:r>
              <w:rPr/>
              <w:t> </w:t>
            </w:r>
          </w:p>
        </w:tc>
      </w:tr>
      <w:tr>
        <w:trPr/>
        <w:tc>
          <w:tcPr>
            <w:tcW w:w="2851" w:type="dxa"/>
            <w:tcBorders/>
            <w:shd w:fill="auto" w:val="clear"/>
            <w:vAlign w:val="center"/>
          </w:tcPr>
          <w:p>
            <w:pPr>
              <w:pStyle w:val="TableContents"/>
              <w:spacing w:before="0" w:after="0"/>
              <w:ind w:left="100" w:right="0" w:hanging="0"/>
              <w:jc w:val="left"/>
              <w:rPr>
                <w:rFonts w:ascii="Times New Roman;serif" w:hAnsi="Times New Roman;serif"/>
                <w:b w:val="false"/>
                <w:sz w:val="20"/>
              </w:rPr>
            </w:pPr>
            <w:r>
              <w:rPr>
                <w:rFonts w:ascii="Times New Roman;serif" w:hAnsi="Times New Roman;serif"/>
                <w:b w:val="false"/>
                <w:sz w:val="20"/>
              </w:rPr>
              <w:t>China</w:t>
            </w:r>
          </w:p>
        </w:tc>
        <w:tc>
          <w:tcPr>
            <w:tcW w:w="250" w:type="dxa"/>
            <w:tcBorders/>
            <w:shd w:fill="auto" w:val="clear"/>
            <w:vAlign w:val="center"/>
          </w:tcPr>
          <w:p>
            <w:pPr>
              <w:pStyle w:val="TableContents"/>
              <w:spacing w:before="0" w:after="0"/>
              <w:ind w:left="0" w:right="0" w:hanging="0"/>
              <w:jc w:val="left"/>
              <w:rPr/>
            </w:pPr>
            <w:r>
              <w:rPr/>
              <w:t> </w:t>
            </w:r>
          </w:p>
        </w:tc>
        <w:tc>
          <w:tcPr>
            <w:tcW w:w="594"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5</w:t>
            </w:r>
          </w:p>
        </w:tc>
        <w:tc>
          <w:tcPr>
            <w:tcW w:w="250" w:type="dxa"/>
            <w:tcBorders/>
            <w:shd w:fill="auto" w:val="clear"/>
            <w:vAlign w:val="center"/>
          </w:tcPr>
          <w:p>
            <w:pPr>
              <w:pStyle w:val="TableContents"/>
              <w:spacing w:before="0" w:after="0"/>
              <w:ind w:left="0" w:right="0" w:hanging="0"/>
              <w:jc w:val="left"/>
              <w:rPr/>
            </w:pPr>
            <w:r>
              <w:rPr/>
              <w:t> </w:t>
            </w:r>
          </w:p>
        </w:tc>
        <w:tc>
          <w:tcPr>
            <w:tcW w:w="250" w:type="dxa"/>
            <w:tcBorders/>
            <w:shd w:fill="auto" w:val="clear"/>
            <w:vAlign w:val="center"/>
          </w:tcPr>
          <w:p>
            <w:pPr>
              <w:pStyle w:val="TableContents"/>
              <w:spacing w:before="0" w:after="0"/>
              <w:ind w:left="0" w:right="0" w:hanging="0"/>
              <w:jc w:val="left"/>
              <w:rPr/>
            </w:pPr>
            <w:r>
              <w:rPr/>
              <w:t> </w:t>
            </w:r>
          </w:p>
        </w:tc>
        <w:tc>
          <w:tcPr>
            <w:tcW w:w="250" w:type="dxa"/>
            <w:tcBorders/>
            <w:shd w:fill="auto" w:val="clear"/>
            <w:vAlign w:val="center"/>
          </w:tcPr>
          <w:p>
            <w:pPr>
              <w:pStyle w:val="TableContents"/>
              <w:spacing w:before="0" w:after="0"/>
              <w:ind w:left="0" w:right="0" w:hanging="0"/>
              <w:jc w:val="left"/>
              <w:rPr/>
            </w:pPr>
            <w:r>
              <w:rPr/>
              <w:t> </w:t>
            </w:r>
          </w:p>
        </w:tc>
        <w:tc>
          <w:tcPr>
            <w:tcW w:w="594"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4</w:t>
            </w:r>
          </w:p>
        </w:tc>
        <w:tc>
          <w:tcPr>
            <w:tcW w:w="391" w:type="dxa"/>
            <w:tcBorders/>
            <w:shd w:fill="auto" w:val="clear"/>
            <w:vAlign w:val="center"/>
          </w:tcPr>
          <w:p>
            <w:pPr>
              <w:pStyle w:val="TableContents"/>
              <w:spacing w:before="0" w:after="0"/>
              <w:ind w:left="0" w:right="0" w:firstLine="100"/>
              <w:jc w:val="left"/>
              <w:rPr/>
            </w:pPr>
            <w:r>
              <w:rPr/>
              <w:t> </w:t>
            </w:r>
          </w:p>
        </w:tc>
      </w:tr>
      <w:tr>
        <w:trPr/>
        <w:tc>
          <w:tcPr>
            <w:tcW w:w="2851" w:type="dxa"/>
            <w:tcBorders/>
            <w:shd w:fill="auto" w:val="clear"/>
            <w:vAlign w:val="center"/>
          </w:tcPr>
          <w:p>
            <w:pPr>
              <w:pStyle w:val="TableContents"/>
              <w:spacing w:before="0" w:after="0"/>
              <w:ind w:left="100" w:right="0" w:hanging="0"/>
              <w:jc w:val="left"/>
              <w:rPr>
                <w:rFonts w:ascii="Times New Roman;serif" w:hAnsi="Times New Roman;serif"/>
                <w:b w:val="false"/>
                <w:sz w:val="20"/>
              </w:rPr>
            </w:pPr>
            <w:r>
              <w:rPr>
                <w:rFonts w:ascii="Times New Roman;serif" w:hAnsi="Times New Roman;serif"/>
                <w:b w:val="false"/>
                <w:sz w:val="20"/>
              </w:rPr>
              <w:t>India</w:t>
            </w:r>
          </w:p>
        </w:tc>
        <w:tc>
          <w:tcPr>
            <w:tcW w:w="250" w:type="dxa"/>
            <w:tcBorders/>
            <w:shd w:fill="auto" w:val="clear"/>
            <w:vAlign w:val="center"/>
          </w:tcPr>
          <w:p>
            <w:pPr>
              <w:pStyle w:val="TableContents"/>
              <w:spacing w:before="0" w:after="0"/>
              <w:ind w:left="0" w:right="0" w:hanging="0"/>
              <w:jc w:val="left"/>
              <w:rPr/>
            </w:pPr>
            <w:r>
              <w:rPr/>
              <w:t> </w:t>
            </w:r>
          </w:p>
        </w:tc>
        <w:tc>
          <w:tcPr>
            <w:tcW w:w="594"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w:t>
            </w:r>
          </w:p>
        </w:tc>
        <w:tc>
          <w:tcPr>
            <w:tcW w:w="250" w:type="dxa"/>
            <w:tcBorders/>
            <w:shd w:fill="auto" w:val="clear"/>
            <w:vAlign w:val="center"/>
          </w:tcPr>
          <w:p>
            <w:pPr>
              <w:pStyle w:val="TableContents"/>
              <w:spacing w:before="0" w:after="0"/>
              <w:ind w:left="0" w:right="0" w:hanging="0"/>
              <w:jc w:val="left"/>
              <w:rPr/>
            </w:pPr>
            <w:r>
              <w:rPr/>
              <w:t> </w:t>
            </w:r>
          </w:p>
        </w:tc>
        <w:tc>
          <w:tcPr>
            <w:tcW w:w="250" w:type="dxa"/>
            <w:tcBorders/>
            <w:shd w:fill="auto" w:val="clear"/>
            <w:vAlign w:val="center"/>
          </w:tcPr>
          <w:p>
            <w:pPr>
              <w:pStyle w:val="TableContents"/>
              <w:spacing w:before="0" w:after="0"/>
              <w:ind w:left="0" w:right="0" w:hanging="0"/>
              <w:jc w:val="left"/>
              <w:rPr/>
            </w:pPr>
            <w:r>
              <w:rPr/>
              <w:t> </w:t>
            </w:r>
          </w:p>
        </w:tc>
        <w:tc>
          <w:tcPr>
            <w:tcW w:w="250" w:type="dxa"/>
            <w:tcBorders/>
            <w:shd w:fill="auto" w:val="clear"/>
            <w:vAlign w:val="center"/>
          </w:tcPr>
          <w:p>
            <w:pPr>
              <w:pStyle w:val="TableContents"/>
              <w:spacing w:before="0" w:after="0"/>
              <w:ind w:left="0" w:right="0" w:hanging="0"/>
              <w:jc w:val="left"/>
              <w:rPr/>
            </w:pPr>
            <w:r>
              <w:rPr/>
              <w:t> </w:t>
            </w:r>
          </w:p>
        </w:tc>
        <w:tc>
          <w:tcPr>
            <w:tcW w:w="594"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w:t>
            </w:r>
          </w:p>
        </w:tc>
        <w:tc>
          <w:tcPr>
            <w:tcW w:w="391" w:type="dxa"/>
            <w:tcBorders/>
            <w:shd w:fill="auto" w:val="clear"/>
            <w:vAlign w:val="center"/>
          </w:tcPr>
          <w:p>
            <w:pPr>
              <w:pStyle w:val="TableContents"/>
              <w:spacing w:before="0" w:after="0"/>
              <w:ind w:left="0" w:right="0" w:firstLine="100"/>
              <w:jc w:val="left"/>
              <w:rPr/>
            </w:pPr>
            <w:r>
              <w:rPr/>
              <w:t> </w:t>
            </w:r>
          </w:p>
        </w:tc>
      </w:tr>
      <w:tr>
        <w:trPr/>
        <w:tc>
          <w:tcPr>
            <w:tcW w:w="2851" w:type="dxa"/>
            <w:tcBorders/>
            <w:shd w:fill="auto" w:val="clear"/>
            <w:vAlign w:val="center"/>
          </w:tcPr>
          <w:p>
            <w:pPr>
              <w:pStyle w:val="TableContents"/>
              <w:spacing w:before="0" w:after="0"/>
              <w:ind w:left="100" w:right="0" w:hanging="0"/>
              <w:jc w:val="left"/>
              <w:rPr>
                <w:rFonts w:ascii="Times New Roman;serif" w:hAnsi="Times New Roman;serif"/>
                <w:b w:val="false"/>
                <w:sz w:val="20"/>
              </w:rPr>
            </w:pPr>
            <w:r>
              <w:rPr>
                <w:rFonts w:ascii="Times New Roman;serif" w:hAnsi="Times New Roman;serif"/>
                <w:b w:val="false"/>
                <w:sz w:val="20"/>
              </w:rPr>
              <w:t>Japan</w:t>
            </w:r>
          </w:p>
        </w:tc>
        <w:tc>
          <w:tcPr>
            <w:tcW w:w="250" w:type="dxa"/>
            <w:tcBorders/>
            <w:shd w:fill="auto" w:val="clear"/>
            <w:vAlign w:val="center"/>
          </w:tcPr>
          <w:p>
            <w:pPr>
              <w:pStyle w:val="TableContents"/>
              <w:spacing w:before="0" w:after="0"/>
              <w:ind w:left="0" w:right="0" w:hanging="0"/>
              <w:jc w:val="left"/>
              <w:rPr/>
            </w:pPr>
            <w:r>
              <w:rPr/>
              <w:t> </w:t>
            </w:r>
          </w:p>
        </w:tc>
        <w:tc>
          <w:tcPr>
            <w:tcW w:w="594"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w:t>
            </w:r>
          </w:p>
        </w:tc>
        <w:tc>
          <w:tcPr>
            <w:tcW w:w="250" w:type="dxa"/>
            <w:tcBorders/>
            <w:shd w:fill="auto" w:val="clear"/>
            <w:vAlign w:val="center"/>
          </w:tcPr>
          <w:p>
            <w:pPr>
              <w:pStyle w:val="TableContents"/>
              <w:spacing w:before="0" w:after="0"/>
              <w:ind w:left="0" w:right="0" w:hanging="0"/>
              <w:jc w:val="left"/>
              <w:rPr/>
            </w:pPr>
            <w:r>
              <w:rPr/>
              <w:t> </w:t>
            </w:r>
          </w:p>
        </w:tc>
        <w:tc>
          <w:tcPr>
            <w:tcW w:w="250" w:type="dxa"/>
            <w:tcBorders/>
            <w:shd w:fill="auto" w:val="clear"/>
            <w:vAlign w:val="center"/>
          </w:tcPr>
          <w:p>
            <w:pPr>
              <w:pStyle w:val="TableContents"/>
              <w:spacing w:before="0" w:after="0"/>
              <w:ind w:left="0" w:right="0" w:hanging="0"/>
              <w:jc w:val="left"/>
              <w:rPr/>
            </w:pPr>
            <w:r>
              <w:rPr/>
              <w:t> </w:t>
            </w:r>
          </w:p>
        </w:tc>
        <w:tc>
          <w:tcPr>
            <w:tcW w:w="250" w:type="dxa"/>
            <w:tcBorders/>
            <w:shd w:fill="auto" w:val="clear"/>
            <w:vAlign w:val="center"/>
          </w:tcPr>
          <w:p>
            <w:pPr>
              <w:pStyle w:val="TableContents"/>
              <w:spacing w:before="0" w:after="0"/>
              <w:ind w:left="0" w:right="0" w:hanging="0"/>
              <w:jc w:val="left"/>
              <w:rPr/>
            </w:pPr>
            <w:r>
              <w:rPr/>
              <w:t> </w:t>
            </w:r>
          </w:p>
        </w:tc>
        <w:tc>
          <w:tcPr>
            <w:tcW w:w="594" w:type="dxa"/>
            <w:tcBorders/>
            <w:shd w:fill="auto" w:val="clear"/>
            <w:vAlign w:val="center"/>
          </w:tcPr>
          <w:p>
            <w:pPr>
              <w:pStyle w:val="TableContents"/>
              <w:spacing w:before="0" w:after="0"/>
              <w:ind w:left="0" w:right="0" w:hanging="0"/>
              <w:jc w:val="right"/>
              <w:rPr/>
            </w:pPr>
            <w:r>
              <w:rPr/>
              <w:t>—</w:t>
            </w:r>
          </w:p>
        </w:tc>
        <w:tc>
          <w:tcPr>
            <w:tcW w:w="391" w:type="dxa"/>
            <w:tcBorders/>
            <w:shd w:fill="auto" w:val="clear"/>
            <w:vAlign w:val="center"/>
          </w:tcPr>
          <w:p>
            <w:pPr>
              <w:pStyle w:val="TableContents"/>
              <w:spacing w:before="0" w:after="0"/>
              <w:ind w:left="0" w:right="0" w:firstLine="100"/>
              <w:jc w:val="left"/>
              <w:rPr/>
            </w:pPr>
            <w:r>
              <w:rPr/>
              <w:t> </w:t>
            </w:r>
          </w:p>
        </w:tc>
      </w:tr>
      <w:tr>
        <w:trPr/>
        <w:tc>
          <w:tcPr>
            <w:tcW w:w="2851" w:type="dxa"/>
            <w:tcBorders/>
            <w:shd w:fill="auto" w:val="clear"/>
            <w:vAlign w:val="center"/>
          </w:tcPr>
          <w:p>
            <w:pPr>
              <w:pStyle w:val="TableContents"/>
              <w:spacing w:before="0" w:after="0"/>
              <w:ind w:left="100" w:right="0" w:hanging="0"/>
              <w:jc w:val="left"/>
              <w:rPr>
                <w:rFonts w:ascii="Times New Roman;serif" w:hAnsi="Times New Roman;serif"/>
                <w:b w:val="false"/>
                <w:sz w:val="20"/>
              </w:rPr>
            </w:pPr>
            <w:r>
              <w:rPr>
                <w:rFonts w:ascii="Times New Roman;serif" w:hAnsi="Times New Roman;serif"/>
                <w:b w:val="false"/>
                <w:sz w:val="20"/>
              </w:rPr>
              <w:t>South Korea</w:t>
            </w:r>
          </w:p>
        </w:tc>
        <w:tc>
          <w:tcPr>
            <w:tcW w:w="250" w:type="dxa"/>
            <w:tcBorders/>
            <w:shd w:fill="auto" w:val="clear"/>
            <w:vAlign w:val="center"/>
          </w:tcPr>
          <w:p>
            <w:pPr>
              <w:pStyle w:val="TableContents"/>
              <w:spacing w:before="0" w:after="0"/>
              <w:ind w:left="0" w:right="0" w:hanging="0"/>
              <w:jc w:val="left"/>
              <w:rPr/>
            </w:pPr>
            <w:r>
              <w:rPr/>
              <w:t> </w:t>
            </w:r>
          </w:p>
        </w:tc>
        <w:tc>
          <w:tcPr>
            <w:tcW w:w="594"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w:t>
            </w:r>
          </w:p>
        </w:tc>
        <w:tc>
          <w:tcPr>
            <w:tcW w:w="250" w:type="dxa"/>
            <w:tcBorders/>
            <w:shd w:fill="auto" w:val="clear"/>
            <w:vAlign w:val="center"/>
          </w:tcPr>
          <w:p>
            <w:pPr>
              <w:pStyle w:val="TableContents"/>
              <w:spacing w:before="0" w:after="0"/>
              <w:ind w:left="0" w:right="0" w:hanging="0"/>
              <w:jc w:val="left"/>
              <w:rPr/>
            </w:pPr>
            <w:r>
              <w:rPr/>
              <w:t> </w:t>
            </w:r>
          </w:p>
        </w:tc>
        <w:tc>
          <w:tcPr>
            <w:tcW w:w="250" w:type="dxa"/>
            <w:tcBorders/>
            <w:shd w:fill="auto" w:val="clear"/>
            <w:vAlign w:val="center"/>
          </w:tcPr>
          <w:p>
            <w:pPr>
              <w:pStyle w:val="TableContents"/>
              <w:spacing w:before="0" w:after="0"/>
              <w:ind w:left="0" w:right="0" w:hanging="0"/>
              <w:jc w:val="left"/>
              <w:rPr/>
            </w:pPr>
            <w:r>
              <w:rPr/>
              <w:t> </w:t>
            </w:r>
          </w:p>
        </w:tc>
        <w:tc>
          <w:tcPr>
            <w:tcW w:w="250" w:type="dxa"/>
            <w:tcBorders/>
            <w:shd w:fill="auto" w:val="clear"/>
            <w:vAlign w:val="center"/>
          </w:tcPr>
          <w:p>
            <w:pPr>
              <w:pStyle w:val="TableContents"/>
              <w:spacing w:before="0" w:after="0"/>
              <w:ind w:left="0" w:right="0" w:hanging="0"/>
              <w:jc w:val="left"/>
              <w:rPr/>
            </w:pPr>
            <w:r>
              <w:rPr/>
              <w:t> </w:t>
            </w:r>
          </w:p>
        </w:tc>
        <w:tc>
          <w:tcPr>
            <w:tcW w:w="594"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w:t>
            </w:r>
          </w:p>
        </w:tc>
        <w:tc>
          <w:tcPr>
            <w:tcW w:w="391" w:type="dxa"/>
            <w:tcBorders/>
            <w:shd w:fill="auto" w:val="clear"/>
            <w:vAlign w:val="center"/>
          </w:tcPr>
          <w:p>
            <w:pPr>
              <w:pStyle w:val="TableContents"/>
              <w:spacing w:before="0" w:after="0"/>
              <w:ind w:left="0" w:right="0" w:firstLine="100"/>
              <w:jc w:val="left"/>
              <w:rPr/>
            </w:pPr>
            <w:r>
              <w:rPr/>
              <w:t> </w:t>
            </w:r>
          </w:p>
        </w:tc>
      </w:tr>
      <w:tr>
        <w:trPr/>
        <w:tc>
          <w:tcPr>
            <w:tcW w:w="2851" w:type="dxa"/>
            <w:tcBorders/>
            <w:shd w:fill="auto" w:val="clear"/>
            <w:vAlign w:val="center"/>
          </w:tcPr>
          <w:p>
            <w:pPr>
              <w:pStyle w:val="TableContents"/>
              <w:spacing w:before="0" w:after="0"/>
              <w:ind w:left="100" w:right="0" w:hanging="0"/>
              <w:jc w:val="left"/>
              <w:rPr>
                <w:rFonts w:ascii="Times New Roman;serif" w:hAnsi="Times New Roman;serif"/>
                <w:b w:val="false"/>
                <w:sz w:val="20"/>
              </w:rPr>
            </w:pPr>
            <w:r>
              <w:rPr>
                <w:rFonts w:ascii="Times New Roman;serif" w:hAnsi="Times New Roman;serif"/>
                <w:b w:val="false"/>
                <w:sz w:val="20"/>
              </w:rPr>
              <w:t>France</w:t>
            </w:r>
          </w:p>
        </w:tc>
        <w:tc>
          <w:tcPr>
            <w:tcW w:w="250" w:type="dxa"/>
            <w:tcBorders/>
            <w:shd w:fill="auto" w:val="clear"/>
            <w:vAlign w:val="center"/>
          </w:tcPr>
          <w:p>
            <w:pPr>
              <w:pStyle w:val="TableContents"/>
              <w:spacing w:before="0" w:after="0"/>
              <w:ind w:left="0" w:right="0" w:hanging="0"/>
              <w:jc w:val="left"/>
              <w:rPr/>
            </w:pPr>
            <w:r>
              <w:rPr/>
              <w:t> </w:t>
            </w:r>
          </w:p>
        </w:tc>
        <w:tc>
          <w:tcPr>
            <w:tcW w:w="594" w:type="dxa"/>
            <w:tcBorders/>
            <w:shd w:fill="auto" w:val="clear"/>
            <w:vAlign w:val="center"/>
          </w:tcPr>
          <w:p>
            <w:pPr>
              <w:pStyle w:val="TableContents"/>
              <w:spacing w:before="0" w:after="0"/>
              <w:ind w:left="0" w:right="0" w:hanging="0"/>
              <w:jc w:val="right"/>
              <w:rPr/>
            </w:pPr>
            <w:r>
              <w:rPr/>
              <w:t>—</w:t>
            </w:r>
          </w:p>
        </w:tc>
        <w:tc>
          <w:tcPr>
            <w:tcW w:w="250" w:type="dxa"/>
            <w:tcBorders/>
            <w:shd w:fill="auto" w:val="clear"/>
            <w:vAlign w:val="center"/>
          </w:tcPr>
          <w:p>
            <w:pPr>
              <w:pStyle w:val="TableContents"/>
              <w:spacing w:before="0" w:after="0"/>
              <w:ind w:left="0" w:right="0" w:hanging="0"/>
              <w:jc w:val="left"/>
              <w:rPr/>
            </w:pPr>
            <w:r>
              <w:rPr/>
              <w:t> </w:t>
            </w:r>
          </w:p>
        </w:tc>
        <w:tc>
          <w:tcPr>
            <w:tcW w:w="250" w:type="dxa"/>
            <w:tcBorders/>
            <w:shd w:fill="auto" w:val="clear"/>
            <w:vAlign w:val="center"/>
          </w:tcPr>
          <w:p>
            <w:pPr>
              <w:pStyle w:val="TableContents"/>
              <w:spacing w:before="0" w:after="0"/>
              <w:ind w:left="0" w:right="0" w:hanging="0"/>
              <w:jc w:val="left"/>
              <w:rPr/>
            </w:pPr>
            <w:r>
              <w:rPr/>
              <w:t> </w:t>
            </w:r>
          </w:p>
        </w:tc>
        <w:tc>
          <w:tcPr>
            <w:tcW w:w="250" w:type="dxa"/>
            <w:tcBorders/>
            <w:shd w:fill="auto" w:val="clear"/>
            <w:vAlign w:val="center"/>
          </w:tcPr>
          <w:p>
            <w:pPr>
              <w:pStyle w:val="TableContents"/>
              <w:spacing w:before="0" w:after="0"/>
              <w:ind w:left="0" w:right="0" w:hanging="0"/>
              <w:jc w:val="left"/>
              <w:rPr/>
            </w:pPr>
            <w:r>
              <w:rPr/>
              <w:t> </w:t>
            </w:r>
          </w:p>
        </w:tc>
        <w:tc>
          <w:tcPr>
            <w:tcW w:w="594"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w:t>
            </w:r>
          </w:p>
        </w:tc>
        <w:tc>
          <w:tcPr>
            <w:tcW w:w="391" w:type="dxa"/>
            <w:tcBorders/>
            <w:shd w:fill="auto" w:val="clear"/>
            <w:vAlign w:val="center"/>
          </w:tcPr>
          <w:p>
            <w:pPr>
              <w:pStyle w:val="TableContents"/>
              <w:spacing w:before="0" w:after="0"/>
              <w:ind w:left="0" w:right="0" w:firstLine="200"/>
              <w:jc w:val="left"/>
              <w:rPr/>
            </w:pPr>
            <w:r>
              <w:rPr/>
              <w:t> </w:t>
            </w:r>
          </w:p>
        </w:tc>
      </w:tr>
      <w:tr>
        <w:trPr/>
        <w:tc>
          <w:tcPr>
            <w:tcW w:w="2851" w:type="dxa"/>
            <w:tcBorders/>
            <w:shd w:fill="auto" w:val="clear"/>
            <w:vAlign w:val="center"/>
          </w:tcPr>
          <w:p>
            <w:pPr>
              <w:pStyle w:val="TableContents"/>
              <w:spacing w:before="0" w:after="0"/>
              <w:ind w:left="200" w:right="0" w:hanging="0"/>
              <w:jc w:val="left"/>
              <w:rPr>
                <w:rFonts w:ascii="Times New Roman;serif" w:hAnsi="Times New Roman;serif"/>
                <w:b w:val="false"/>
                <w:sz w:val="20"/>
              </w:rPr>
            </w:pPr>
            <w:r>
              <w:rPr>
                <w:rFonts w:ascii="Times New Roman;serif" w:hAnsi="Times New Roman;serif"/>
                <w:b w:val="false"/>
                <w:sz w:val="20"/>
              </w:rPr>
              <w:t>Total local language film releases</w:t>
            </w:r>
          </w:p>
        </w:tc>
        <w:tc>
          <w:tcPr>
            <w:tcW w:w="250" w:type="dxa"/>
            <w:tcBorders>
              <w:top w:val="single" w:sz="4" w:space="0" w:color="000000"/>
              <w:bottom w:val="single" w:sz="4" w:space="0" w:color="000000"/>
            </w:tcBorders>
            <w:shd w:fill="auto" w:val="clear"/>
            <w:tcMar>
              <w:left w:w="0" w:type="dxa"/>
              <w:right w:w="0" w:type="dxa"/>
            </w:tcMar>
            <w:vAlign w:val="center"/>
          </w:tcPr>
          <w:p>
            <w:pPr>
              <w:pStyle w:val="TableContents"/>
              <w:spacing w:before="0" w:after="0"/>
              <w:ind w:left="0" w:right="0" w:hanging="0"/>
              <w:jc w:val="left"/>
              <w:rPr/>
            </w:pPr>
            <w:r>
              <w:rPr/>
              <w:t> </w:t>
            </w:r>
          </w:p>
        </w:tc>
        <w:tc>
          <w:tcPr>
            <w:tcW w:w="594" w:type="dxa"/>
            <w:tcBorders>
              <w:top w:val="single" w:sz="4" w:space="0" w:color="000000"/>
              <w:bottom w:val="single" w:sz="4" w:space="0" w:color="000000"/>
            </w:tcBorders>
            <w:shd w:fill="auto" w:val="clear"/>
            <w:tcMar>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10</w:t>
            </w:r>
          </w:p>
        </w:tc>
        <w:tc>
          <w:tcPr>
            <w:tcW w:w="250" w:type="dxa"/>
            <w:tcBorders>
              <w:top w:val="single" w:sz="4" w:space="0" w:color="000000"/>
              <w:bottom w:val="single" w:sz="4" w:space="0" w:color="000000"/>
            </w:tcBorders>
            <w:shd w:fill="auto" w:val="clear"/>
            <w:tcMar>
              <w:left w:w="0" w:type="dxa"/>
              <w:right w:w="0" w:type="dxa"/>
            </w:tcMar>
            <w:vAlign w:val="center"/>
          </w:tcPr>
          <w:p>
            <w:pPr>
              <w:pStyle w:val="TableContents"/>
              <w:spacing w:before="0" w:after="0"/>
              <w:ind w:left="0" w:right="0" w:hanging="0"/>
              <w:jc w:val="left"/>
              <w:rPr/>
            </w:pPr>
            <w:r>
              <w:rPr/>
              <w:t> </w:t>
            </w:r>
          </w:p>
        </w:tc>
        <w:tc>
          <w:tcPr>
            <w:tcW w:w="250" w:type="dxa"/>
            <w:tcBorders/>
            <w:shd w:fill="auto" w:val="clear"/>
            <w:vAlign w:val="center"/>
          </w:tcPr>
          <w:p>
            <w:pPr>
              <w:pStyle w:val="TableContents"/>
              <w:spacing w:before="0" w:after="0"/>
              <w:ind w:left="0" w:right="0" w:hanging="0"/>
              <w:jc w:val="left"/>
              <w:rPr/>
            </w:pPr>
            <w:r>
              <w:rPr/>
              <w:t> </w:t>
            </w:r>
          </w:p>
        </w:tc>
        <w:tc>
          <w:tcPr>
            <w:tcW w:w="250" w:type="dxa"/>
            <w:tcBorders>
              <w:top w:val="single" w:sz="4" w:space="0" w:color="000000"/>
              <w:bottom w:val="single" w:sz="4" w:space="0" w:color="000000"/>
            </w:tcBorders>
            <w:shd w:fill="auto" w:val="clear"/>
            <w:tcMar>
              <w:left w:w="0" w:type="dxa"/>
              <w:right w:w="0" w:type="dxa"/>
            </w:tcMar>
            <w:vAlign w:val="center"/>
          </w:tcPr>
          <w:p>
            <w:pPr>
              <w:pStyle w:val="TableContents"/>
              <w:spacing w:before="0" w:after="0"/>
              <w:ind w:left="0" w:right="0" w:hanging="0"/>
              <w:jc w:val="left"/>
              <w:rPr/>
            </w:pPr>
            <w:r>
              <w:rPr/>
              <w:t> </w:t>
            </w:r>
          </w:p>
        </w:tc>
        <w:tc>
          <w:tcPr>
            <w:tcW w:w="594" w:type="dxa"/>
            <w:tcBorders>
              <w:top w:val="single" w:sz="4" w:space="0" w:color="000000"/>
              <w:bottom w:val="single" w:sz="4" w:space="0" w:color="000000"/>
            </w:tcBorders>
            <w:shd w:fill="auto" w:val="clear"/>
            <w:tcMar>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7</w:t>
            </w:r>
          </w:p>
        </w:tc>
        <w:tc>
          <w:tcPr>
            <w:tcW w:w="391" w:type="dxa"/>
            <w:tcBorders>
              <w:top w:val="single" w:sz="4" w:space="0" w:color="000000"/>
              <w:bottom w:val="single" w:sz="4" w:space="0" w:color="000000"/>
            </w:tcBorders>
            <w:shd w:fill="auto" w:val="clear"/>
            <w:tcMar>
              <w:left w:w="0" w:type="dxa"/>
              <w:right w:w="0" w:type="dxa"/>
            </w:tcMar>
            <w:vAlign w:val="center"/>
          </w:tcPr>
          <w:p>
            <w:pPr>
              <w:pStyle w:val="TableContents"/>
              <w:spacing w:before="0" w:after="0"/>
              <w:ind w:left="0" w:right="0" w:hanging="0"/>
              <w:jc w:val="left"/>
              <w:rPr/>
            </w:pPr>
            <w:r>
              <w:rPr/>
              <w:t> </w:t>
            </w:r>
          </w:p>
        </w:tc>
      </w:tr>
      <w:tr>
        <w:trPr/>
        <w:tc>
          <w:tcPr>
            <w:tcW w:w="2851" w:type="dxa"/>
            <w:tcBorders/>
            <w:shd w:fill="auto" w:val="clear"/>
            <w:vAlign w:val="center"/>
          </w:tcPr>
          <w:p>
            <w:pPr>
              <w:pStyle w:val="TableContents"/>
              <w:spacing w:before="0" w:after="0"/>
              <w:ind w:left="0" w:right="0" w:hanging="0"/>
              <w:jc w:val="left"/>
              <w:rPr>
                <w:rFonts w:ascii="Times New Roman" w:hAnsi="Times New Roman"/>
                <w:sz w:val="20"/>
              </w:rPr>
            </w:pPr>
            <w:r>
              <w:rPr>
                <w:rFonts w:ascii="Times New Roman;serif" w:hAnsi="Times New Roman;serif"/>
                <w:b w:val="false"/>
                <w:sz w:val="20"/>
              </w:rPr>
              <w:t>Total film releases</w:t>
            </w:r>
            <w:r>
              <w:rPr>
                <w:rFonts w:ascii="Times New Roman;serif" w:hAnsi="Times New Roman;serif"/>
                <w:b w:val="false"/>
                <w:sz w:val="13"/>
              </w:rPr>
              <w:t>(2)</w:t>
            </w:r>
          </w:p>
        </w:tc>
        <w:tc>
          <w:tcPr>
            <w:tcW w:w="250"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594"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sz w:val="20"/>
              </w:rPr>
            </w:pPr>
            <w:r>
              <w:rPr>
                <w:rFonts w:ascii="Times New Roman;serif" w:hAnsi="Times New Roman;serif"/>
                <w:b/>
                <w:sz w:val="20"/>
              </w:rPr>
              <w:t>16</w:t>
            </w:r>
          </w:p>
        </w:tc>
        <w:tc>
          <w:tcPr>
            <w:tcW w:w="250"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250" w:type="dxa"/>
            <w:tcBorders/>
            <w:shd w:fill="auto" w:val="clear"/>
            <w:vAlign w:val="center"/>
          </w:tcPr>
          <w:p>
            <w:pPr>
              <w:pStyle w:val="TableContents"/>
              <w:spacing w:before="0" w:after="0"/>
              <w:ind w:left="0" w:right="0" w:hanging="0"/>
              <w:jc w:val="right"/>
              <w:rPr/>
            </w:pPr>
            <w:r>
              <w:rPr/>
              <w:t> </w:t>
            </w:r>
          </w:p>
        </w:tc>
        <w:tc>
          <w:tcPr>
            <w:tcW w:w="250"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594"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sz w:val="20"/>
              </w:rPr>
            </w:pPr>
            <w:r>
              <w:rPr>
                <w:rFonts w:ascii="Times New Roman;serif" w:hAnsi="Times New Roman;serif"/>
                <w:b/>
                <w:sz w:val="20"/>
              </w:rPr>
              <w:t>13</w:t>
            </w:r>
          </w:p>
        </w:tc>
        <w:tc>
          <w:tcPr>
            <w:tcW w:w="39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bl>
    <w:p>
      <w:pPr>
        <w:pStyle w:val="TextBody"/>
        <w:pBdr>
          <w:bottom w:val="single" w:sz="4" w:space="1" w:color="000000"/>
        </w:pBdr>
        <w:spacing w:before="0" w:after="0"/>
        <w:jc w:val="left"/>
        <w:rPr/>
      </w:pPr>
      <w:r>
        <w:rPr/>
        <w:t> </w:t>
      </w:r>
    </w:p>
    <w:p>
      <w:pPr>
        <w:pStyle w:val="TextBody"/>
        <w:spacing w:before="200" w:after="0"/>
        <w:jc w:val="both"/>
        <w:rPr>
          <w:rFonts w:ascii="Times New Roman" w:hAnsi="Times New Roman"/>
          <w:b w:val="false"/>
          <w:sz w:val="20"/>
        </w:rPr>
      </w:pPr>
      <w:r>
        <w:rPr>
          <w:rFonts w:ascii="Times New Roman" w:hAnsi="Times New Roman"/>
          <w:b w:val="false"/>
          <w:sz w:val="20"/>
        </w:rPr>
        <w:t>(1)</w:t>
      </w:r>
    </w:p>
    <w:p>
      <w:pPr>
        <w:pStyle w:val="TextBody"/>
        <w:spacing w:before="200" w:after="0"/>
        <w:jc w:val="both"/>
        <w:rPr>
          <w:rFonts w:ascii="Times New Roman;serif" w:hAnsi="Times New Roman;serif"/>
          <w:b w:val="false"/>
          <w:sz w:val="20"/>
        </w:rPr>
      </w:pPr>
      <w:r>
        <w:rPr>
          <w:rFonts w:ascii="Times New Roman;serif" w:hAnsi="Times New Roman;serif"/>
          <w:b w:val="false"/>
          <w:sz w:val="20"/>
        </w:rPr>
        <w:t>Includes one re-released film for the three months ended March 31, 2023 (2022 — nil).</w:t>
      </w:r>
    </w:p>
    <w:p>
      <w:pPr>
        <w:pStyle w:val="TextBody"/>
        <w:spacing w:before="200" w:after="0"/>
        <w:jc w:val="both"/>
        <w:rPr>
          <w:rFonts w:ascii="Times New Roman" w:hAnsi="Times New Roman"/>
          <w:b w:val="false"/>
          <w:sz w:val="20"/>
        </w:rPr>
      </w:pPr>
      <w:r>
        <w:rPr>
          <w:rFonts w:ascii="Times New Roman" w:hAnsi="Times New Roman"/>
          <w:b w:val="false"/>
          <w:sz w:val="20"/>
        </w:rPr>
        <w:t>(2)</w:t>
      </w:r>
    </w:p>
    <w:p>
      <w:pPr>
        <w:pStyle w:val="TextBody"/>
        <w:spacing w:before="200" w:after="283"/>
        <w:jc w:val="both"/>
        <w:rPr>
          <w:rFonts w:ascii="Times New Roman;serif" w:hAnsi="Times New Roman;serif"/>
          <w:b w:val="false"/>
          <w:sz w:val="20"/>
        </w:rPr>
      </w:pPr>
      <w:r>
        <w:rPr>
          <w:rFonts w:ascii="Times New Roman;serif" w:hAnsi="Times New Roman;serif"/>
          <w:b w:val="false"/>
          <w:sz w:val="20"/>
        </w:rPr>
        <w:t>For the three months ended March 31, 2023, the films released to the Company’s global network include two with IMAX DNA (2022 — three).</w:t>
      </w:r>
    </w:p>
    <w:p>
      <w:pPr>
        <w:pStyle w:val="TextBody"/>
        <w:spacing w:before="200" w:after="200"/>
        <w:jc w:val="both"/>
        <w:rPr>
          <w:rFonts w:ascii="Times New Roman" w:hAnsi="Times New Roman"/>
          <w:sz w:val="20"/>
        </w:rPr>
      </w:pPr>
      <w:r>
        <w:rPr>
          <w:rFonts w:ascii="Times New Roman;serif" w:hAnsi="Times New Roman;serif"/>
          <w:b w:val="false"/>
          <w:sz w:val="20"/>
        </w:rPr>
        <w:t xml:space="preserve">The films distributed through the Company’s global network during the three months ended March 31, 2023 include </w:t>
      </w:r>
      <w:r>
        <w:rPr>
          <w:rFonts w:ascii="Times New Roman;serif" w:hAnsi="Times New Roman;serif"/>
          <w:b w:val="false"/>
          <w:i/>
          <w:sz w:val="20"/>
        </w:rPr>
        <w:t xml:space="preserve">Avatar: The Way of Water, The Wandering Earth 2, Ant-Man and the Wasp: Quantumania, Creed III, John Wick: Chapter 4, </w:t>
      </w:r>
      <w:r>
        <w:rPr>
          <w:rFonts w:ascii="Times New Roman;serif" w:hAnsi="Times New Roman;serif"/>
          <w:b w:val="false"/>
          <w:sz w:val="20"/>
        </w:rPr>
        <w:t xml:space="preserve">and </w:t>
      </w:r>
      <w:r>
        <w:rPr>
          <w:rFonts w:ascii="Times New Roman;serif" w:hAnsi="Times New Roman;serif"/>
          <w:b w:val="false"/>
          <w:i/>
          <w:sz w:val="20"/>
        </w:rPr>
        <w:t>Suzume.</w:t>
      </w:r>
    </w:p>
    <w:p>
      <w:pPr>
        <w:pStyle w:val="TextBody"/>
        <w:spacing w:before="240" w:after="0"/>
        <w:jc w:val="center"/>
        <w:rPr>
          <w:rFonts w:ascii="Times New Roman;serif" w:hAnsi="Times New Roman;serif"/>
          <w:b w:val="false"/>
          <w:sz w:val="20"/>
        </w:rPr>
      </w:pPr>
      <w:r>
        <w:rPr>
          <w:rFonts w:ascii="Times New Roman;serif" w:hAnsi="Times New Roman;serif"/>
          <w:b w:val="false"/>
          <w:sz w:val="20"/>
        </w:rPr>
        <w:t>44</w:t>
      </w:r>
    </w:p>
    <w:p>
      <w:pPr>
        <w:pStyle w:val="HorizontalLine"/>
        <w:rPr/>
      </w:pPr>
      <w:r>
        <w:rPr/>
      </w:r>
    </w:p>
    <w:p>
      <w:pPr>
        <w:pStyle w:val="TextBody"/>
        <w:spacing w:before="0" w:after="0"/>
        <w:jc w:val="left"/>
        <w:rPr/>
      </w:pPr>
      <w:r>
        <w:rPr/>
        <w:t> </w:t>
      </w:r>
    </w:p>
    <w:p>
      <w:pPr>
        <w:pStyle w:val="TextBody"/>
        <w:spacing w:before="200" w:after="200"/>
        <w:jc w:val="both"/>
        <w:rPr>
          <w:rFonts w:ascii="Times New Roman" w:hAnsi="Times New Roman"/>
          <w:sz w:val="20"/>
        </w:rPr>
      </w:pPr>
      <w:r>
        <w:rPr>
          <w:rFonts w:ascii="Times New Roman;serif" w:hAnsi="Times New Roman;serif"/>
          <w:b w:val="false"/>
          <w:sz w:val="20"/>
        </w:rPr>
        <w:t>In addition to the 16 IMAX films released through the Company’s global network during the three months ended March 31, 2023, the Company has announced the following additional 30 titles to be released in 2023:</w:t>
      </w:r>
      <w:r>
        <w:rPr>
          <w:rFonts w:ascii="Times New Roman" w:hAnsi="Times New Roman"/>
          <w:sz w:val="20"/>
        </w:rPr>
        <w:t xml:space="preserve"> </w:t>
      </w:r>
    </w:p>
    <w:tbl>
      <w:tblPr>
        <w:tblW w:w="9772" w:type="dxa"/>
        <w:jc w:val="left"/>
        <w:tblInd w:w="0" w:type="dxa"/>
        <w:tblCellMar>
          <w:top w:w="28" w:type="dxa"/>
          <w:left w:w="28" w:type="dxa"/>
          <w:bottom w:w="28" w:type="dxa"/>
          <w:right w:w="28" w:type="dxa"/>
        </w:tblCellMar>
      </w:tblPr>
      <w:tblGrid>
        <w:gridCol w:w="3601"/>
        <w:gridCol w:w="146"/>
        <w:gridCol w:w="1966"/>
        <w:gridCol w:w="146"/>
        <w:gridCol w:w="1351"/>
        <w:gridCol w:w="146"/>
        <w:gridCol w:w="2416"/>
      </w:tblGrid>
      <w:tr>
        <w:trPr/>
        <w:tc>
          <w:tcPr>
            <w:tcW w:w="3601"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96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351"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416" w:type="dxa"/>
            <w:tcBorders/>
            <w:shd w:fill="auto" w:val="clear"/>
            <w:vAlign w:val="center"/>
          </w:tcPr>
          <w:p>
            <w:pPr>
              <w:pStyle w:val="TableContents"/>
              <w:spacing w:before="0" w:after="283"/>
              <w:rPr>
                <w:sz w:val="4"/>
                <w:szCs w:val="4"/>
              </w:rPr>
            </w:pPr>
            <w:r>
              <w:rPr>
                <w:sz w:val="4"/>
                <w:szCs w:val="4"/>
              </w:rPr>
            </w:r>
          </w:p>
        </w:tc>
      </w:tr>
      <w:tr>
        <w:trPr/>
        <w:tc>
          <w:tcPr>
            <w:tcW w:w="360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9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351" w:type="dxa"/>
            <w:tcBorders/>
            <w:shd w:fill="auto" w:val="clear"/>
            <w:vAlign w:val="center"/>
          </w:tcPr>
          <w:p>
            <w:pPr>
              <w:pStyle w:val="TableContents"/>
              <w:spacing w:before="0" w:after="0"/>
              <w:ind w:left="0" w:right="0" w:hanging="0"/>
              <w:jc w:val="center"/>
              <w:rPr>
                <w:rFonts w:ascii="Times New Roman;serif" w:hAnsi="Times New Roman;serif"/>
                <w:b/>
                <w:sz w:val="20"/>
              </w:rPr>
            </w:pPr>
            <w:r>
              <w:rPr>
                <w:rFonts w:ascii="Times New Roman;serif" w:hAnsi="Times New Roman;serif"/>
                <w:b/>
                <w:sz w:val="20"/>
              </w:rPr>
              <w:t>Scheduled</w:t>
            </w:r>
          </w:p>
        </w:tc>
        <w:tc>
          <w:tcPr>
            <w:tcW w:w="146" w:type="dxa"/>
            <w:tcBorders/>
            <w:shd w:fill="auto" w:val="clear"/>
            <w:vAlign w:val="center"/>
          </w:tcPr>
          <w:p>
            <w:pPr>
              <w:pStyle w:val="TableContents"/>
              <w:spacing w:before="0" w:after="0"/>
              <w:ind w:left="0" w:right="0" w:hanging="0"/>
              <w:jc w:val="center"/>
              <w:rPr/>
            </w:pPr>
            <w:r>
              <w:rPr/>
              <w:t> </w:t>
            </w:r>
          </w:p>
        </w:tc>
        <w:tc>
          <w:tcPr>
            <w:tcW w:w="2416" w:type="dxa"/>
            <w:tcBorders/>
            <w:shd w:fill="auto" w:val="clear"/>
            <w:vAlign w:val="center"/>
          </w:tcPr>
          <w:p>
            <w:pPr>
              <w:pStyle w:val="TableContents"/>
              <w:spacing w:before="0" w:after="0"/>
              <w:ind w:left="0" w:right="0" w:hanging="0"/>
              <w:jc w:val="left"/>
              <w:rPr/>
            </w:pPr>
            <w:r>
              <w:rPr/>
              <w:t> </w:t>
            </w:r>
          </w:p>
        </w:tc>
      </w:tr>
      <w:tr>
        <w:trPr/>
        <w:tc>
          <w:tcPr>
            <w:tcW w:w="360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20"/>
              </w:rPr>
            </w:pPr>
            <w:r>
              <w:rPr>
                <w:rFonts w:ascii="Times New Roman;serif" w:hAnsi="Times New Roman;serif"/>
                <w:b/>
                <w:sz w:val="20"/>
              </w:rPr>
              <w:t>Title</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9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20"/>
              </w:rPr>
            </w:pPr>
            <w:r>
              <w:rPr>
                <w:rFonts w:ascii="Times New Roman;serif" w:hAnsi="Times New Roman;serif"/>
                <w:b/>
                <w:sz w:val="20"/>
              </w:rPr>
              <w:t>Studio</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35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 w:hAnsi="Times New Roman"/>
                <w:sz w:val="20"/>
              </w:rPr>
            </w:pPr>
            <w:r>
              <w:rPr>
                <w:rFonts w:ascii="Times New Roman;serif" w:hAnsi="Times New Roman;serif"/>
                <w:b/>
                <w:sz w:val="20"/>
              </w:rPr>
              <w:t>Release Date</w:t>
            </w:r>
            <w:r>
              <w:rPr>
                <w:rFonts w:ascii="Times New Roman;serif" w:hAnsi="Times New Roman;serif"/>
                <w:b/>
                <w:sz w:val="13"/>
              </w:rPr>
              <w:t>(1)</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241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20"/>
              </w:rPr>
            </w:pPr>
            <w:r>
              <w:rPr>
                <w:rFonts w:ascii="Times New Roman;serif" w:hAnsi="Times New Roman;serif"/>
                <w:b/>
                <w:sz w:val="20"/>
              </w:rPr>
              <w:t>IMAX DNA</w:t>
            </w:r>
          </w:p>
        </w:tc>
      </w:tr>
      <w:tr>
        <w:trPr/>
        <w:tc>
          <w:tcPr>
            <w:tcW w:w="3601" w:type="dxa"/>
            <w:tcBorders/>
            <w:shd w:fill="auto" w:val="clear"/>
            <w:vAlign w:val="center"/>
          </w:tcPr>
          <w:p>
            <w:pPr>
              <w:pStyle w:val="TableContents"/>
              <w:spacing w:before="0" w:after="0"/>
              <w:ind w:left="0" w:right="0" w:hanging="0"/>
              <w:jc w:val="center"/>
              <w:rPr>
                <w:rFonts w:ascii="Times New Roman;serif" w:hAnsi="Times New Roman;serif"/>
                <w:b w:val="false"/>
                <w:i/>
                <w:sz w:val="18"/>
              </w:rPr>
            </w:pPr>
            <w:r>
              <w:rPr>
                <w:rFonts w:ascii="Times New Roman;serif" w:hAnsi="Times New Roman;serif"/>
                <w:b w:val="false"/>
                <w:i/>
                <w:sz w:val="18"/>
              </w:rPr>
              <w:t>The Super Mario Bros. Movie</w:t>
            </w:r>
          </w:p>
        </w:tc>
        <w:tc>
          <w:tcPr>
            <w:tcW w:w="146" w:type="dxa"/>
            <w:tcBorders/>
            <w:shd w:fill="auto" w:val="clear"/>
            <w:vAlign w:val="center"/>
          </w:tcPr>
          <w:p>
            <w:pPr>
              <w:pStyle w:val="TableContents"/>
              <w:spacing w:before="0" w:after="0"/>
              <w:ind w:left="0" w:right="0" w:hanging="0"/>
              <w:jc w:val="center"/>
              <w:rPr/>
            </w:pPr>
            <w:r>
              <w:rPr/>
              <w:t> </w:t>
            </w:r>
          </w:p>
        </w:tc>
        <w:tc>
          <w:tcPr>
            <w:tcW w:w="1966" w:type="dxa"/>
            <w:tcBorders/>
            <w:shd w:fill="auto" w:val="clear"/>
            <w:vAlign w:val="center"/>
          </w:tcPr>
          <w:p>
            <w:pPr>
              <w:pStyle w:val="TableContents"/>
              <w:spacing w:before="0" w:after="0"/>
              <w:ind w:left="0" w:right="0" w:hanging="0"/>
              <w:jc w:val="center"/>
              <w:rPr>
                <w:rFonts w:ascii="Times New Roman;serif" w:hAnsi="Times New Roman;serif"/>
                <w:b w:val="false"/>
                <w:sz w:val="18"/>
              </w:rPr>
            </w:pPr>
            <w:r>
              <w:rPr>
                <w:rFonts w:ascii="Times New Roman;serif" w:hAnsi="Times New Roman;serif"/>
                <w:b w:val="false"/>
                <w:sz w:val="18"/>
              </w:rPr>
              <w:t>Universal Pictures</w:t>
            </w:r>
          </w:p>
        </w:tc>
        <w:tc>
          <w:tcPr>
            <w:tcW w:w="146" w:type="dxa"/>
            <w:tcBorders/>
            <w:shd w:fill="auto" w:val="clear"/>
            <w:vAlign w:val="center"/>
          </w:tcPr>
          <w:p>
            <w:pPr>
              <w:pStyle w:val="TableContents"/>
              <w:spacing w:before="0" w:after="0"/>
              <w:ind w:left="0" w:right="0" w:hanging="0"/>
              <w:jc w:val="center"/>
              <w:rPr/>
            </w:pPr>
            <w:r>
              <w:rPr/>
              <w:t> </w:t>
            </w:r>
          </w:p>
        </w:tc>
        <w:tc>
          <w:tcPr>
            <w:tcW w:w="1351" w:type="dxa"/>
            <w:tcBorders/>
            <w:shd w:fill="auto" w:val="clear"/>
            <w:vAlign w:val="center"/>
          </w:tcPr>
          <w:p>
            <w:pPr>
              <w:pStyle w:val="TableContents"/>
              <w:spacing w:before="0" w:after="0"/>
              <w:ind w:left="0" w:right="0" w:hanging="0"/>
              <w:jc w:val="center"/>
              <w:rPr>
                <w:rFonts w:ascii="Times New Roman;serif" w:hAnsi="Times New Roman;serif"/>
                <w:b w:val="false"/>
                <w:sz w:val="18"/>
              </w:rPr>
            </w:pPr>
            <w:r>
              <w:rPr>
                <w:rFonts w:ascii="Times New Roman;serif" w:hAnsi="Times New Roman;serif"/>
                <w:b w:val="false"/>
                <w:sz w:val="18"/>
              </w:rPr>
              <w:t>April 2023</w:t>
            </w:r>
          </w:p>
        </w:tc>
        <w:tc>
          <w:tcPr>
            <w:tcW w:w="146" w:type="dxa"/>
            <w:tcBorders/>
            <w:shd w:fill="auto" w:val="clear"/>
            <w:vAlign w:val="center"/>
          </w:tcPr>
          <w:p>
            <w:pPr>
              <w:pStyle w:val="TableContents"/>
              <w:spacing w:before="0" w:after="0"/>
              <w:ind w:left="0" w:right="0" w:hanging="0"/>
              <w:jc w:val="center"/>
              <w:rPr/>
            </w:pPr>
            <w:r>
              <w:rPr/>
              <w:t> </w:t>
            </w:r>
          </w:p>
        </w:tc>
        <w:tc>
          <w:tcPr>
            <w:tcW w:w="2416" w:type="dxa"/>
            <w:tcBorders/>
            <w:shd w:fill="auto" w:val="clear"/>
            <w:vAlign w:val="center"/>
          </w:tcPr>
          <w:p>
            <w:pPr>
              <w:pStyle w:val="TableContents"/>
              <w:spacing w:before="0" w:after="0"/>
              <w:ind w:left="0" w:right="0" w:hanging="0"/>
              <w:jc w:val="center"/>
              <w:rPr/>
            </w:pPr>
            <w:r>
              <w:rPr/>
              <w:t>—</w:t>
            </w:r>
          </w:p>
        </w:tc>
      </w:tr>
      <w:tr>
        <w:trPr/>
        <w:tc>
          <w:tcPr>
            <w:tcW w:w="3601" w:type="dxa"/>
            <w:tcBorders/>
            <w:shd w:fill="auto" w:val="clear"/>
            <w:vAlign w:val="center"/>
          </w:tcPr>
          <w:p>
            <w:pPr>
              <w:pStyle w:val="TableContents"/>
              <w:spacing w:before="0" w:after="0"/>
              <w:ind w:left="0" w:right="0" w:hanging="0"/>
              <w:jc w:val="center"/>
              <w:rPr>
                <w:rFonts w:ascii="Times New Roman" w:hAnsi="Times New Roman"/>
                <w:sz w:val="18"/>
              </w:rPr>
            </w:pPr>
            <w:r>
              <w:rPr>
                <w:rFonts w:ascii="Times New Roman;serif" w:hAnsi="Times New Roman;serif"/>
                <w:b w:val="false"/>
                <w:i/>
                <w:sz w:val="18"/>
              </w:rPr>
              <w:t>The Three Musketeers: D'Artagnan</w:t>
            </w:r>
            <w:r>
              <w:rPr>
                <w:rFonts w:ascii="Times New Roman;serif" w:hAnsi="Times New Roman;serif"/>
                <w:b w:val="false"/>
                <w:sz w:val="12"/>
              </w:rPr>
              <w:t>(2)</w:t>
            </w:r>
          </w:p>
        </w:tc>
        <w:tc>
          <w:tcPr>
            <w:tcW w:w="146" w:type="dxa"/>
            <w:tcBorders/>
            <w:shd w:fill="auto" w:val="clear"/>
            <w:vAlign w:val="center"/>
          </w:tcPr>
          <w:p>
            <w:pPr>
              <w:pStyle w:val="TableContents"/>
              <w:spacing w:before="0" w:after="0"/>
              <w:ind w:left="0" w:right="0" w:hanging="0"/>
              <w:jc w:val="center"/>
              <w:rPr/>
            </w:pPr>
            <w:r>
              <w:rPr/>
              <w:t> </w:t>
            </w:r>
          </w:p>
        </w:tc>
        <w:tc>
          <w:tcPr>
            <w:tcW w:w="1966" w:type="dxa"/>
            <w:tcBorders/>
            <w:shd w:fill="auto" w:val="clear"/>
            <w:vAlign w:val="center"/>
          </w:tcPr>
          <w:p>
            <w:pPr>
              <w:pStyle w:val="TableContents"/>
              <w:spacing w:before="0" w:after="0"/>
              <w:ind w:left="0" w:right="0" w:hanging="0"/>
              <w:jc w:val="center"/>
              <w:rPr>
                <w:rFonts w:ascii="Times New Roman;serif" w:hAnsi="Times New Roman;serif"/>
                <w:b w:val="false"/>
                <w:sz w:val="18"/>
              </w:rPr>
            </w:pPr>
            <w:r>
              <w:rPr>
                <w:rFonts w:ascii="Times New Roman;serif" w:hAnsi="Times New Roman;serif"/>
                <w:b w:val="false"/>
                <w:sz w:val="18"/>
              </w:rPr>
              <w:t>Pathé</w:t>
            </w:r>
          </w:p>
        </w:tc>
        <w:tc>
          <w:tcPr>
            <w:tcW w:w="146" w:type="dxa"/>
            <w:tcBorders/>
            <w:shd w:fill="auto" w:val="clear"/>
            <w:vAlign w:val="center"/>
          </w:tcPr>
          <w:p>
            <w:pPr>
              <w:pStyle w:val="TableContents"/>
              <w:spacing w:before="0" w:after="0"/>
              <w:ind w:left="0" w:right="0" w:hanging="0"/>
              <w:jc w:val="center"/>
              <w:rPr/>
            </w:pPr>
            <w:r>
              <w:rPr/>
              <w:t> </w:t>
            </w:r>
          </w:p>
        </w:tc>
        <w:tc>
          <w:tcPr>
            <w:tcW w:w="1351" w:type="dxa"/>
            <w:tcBorders/>
            <w:shd w:fill="auto" w:val="clear"/>
            <w:vAlign w:val="center"/>
          </w:tcPr>
          <w:p>
            <w:pPr>
              <w:pStyle w:val="TableContents"/>
              <w:spacing w:before="0" w:after="0"/>
              <w:ind w:left="0" w:right="0" w:hanging="0"/>
              <w:jc w:val="center"/>
              <w:rPr>
                <w:rFonts w:ascii="Times New Roman;serif" w:hAnsi="Times New Roman;serif"/>
                <w:b w:val="false"/>
                <w:sz w:val="18"/>
              </w:rPr>
            </w:pPr>
            <w:r>
              <w:rPr>
                <w:rFonts w:ascii="Times New Roman;serif" w:hAnsi="Times New Roman;serif"/>
                <w:b w:val="false"/>
                <w:sz w:val="18"/>
              </w:rPr>
              <w:t>April 2023</w:t>
            </w:r>
          </w:p>
        </w:tc>
        <w:tc>
          <w:tcPr>
            <w:tcW w:w="146" w:type="dxa"/>
            <w:tcBorders/>
            <w:shd w:fill="auto" w:val="clear"/>
            <w:vAlign w:val="center"/>
          </w:tcPr>
          <w:p>
            <w:pPr>
              <w:pStyle w:val="TableContents"/>
              <w:spacing w:before="0" w:after="0"/>
              <w:ind w:left="0" w:right="0" w:hanging="0"/>
              <w:jc w:val="center"/>
              <w:rPr/>
            </w:pPr>
            <w:r>
              <w:rPr/>
              <w:t> </w:t>
            </w:r>
          </w:p>
        </w:tc>
        <w:tc>
          <w:tcPr>
            <w:tcW w:w="2416" w:type="dxa"/>
            <w:tcBorders/>
            <w:shd w:fill="auto" w:val="clear"/>
            <w:vAlign w:val="center"/>
          </w:tcPr>
          <w:p>
            <w:pPr>
              <w:pStyle w:val="TableContents"/>
              <w:spacing w:before="0" w:after="0"/>
              <w:ind w:left="0" w:right="0" w:hanging="0"/>
              <w:jc w:val="center"/>
              <w:rPr/>
            </w:pPr>
            <w:r>
              <w:rPr/>
              <w:t>—</w:t>
            </w:r>
          </w:p>
        </w:tc>
      </w:tr>
      <w:tr>
        <w:trPr/>
        <w:tc>
          <w:tcPr>
            <w:tcW w:w="3601" w:type="dxa"/>
            <w:tcBorders/>
            <w:shd w:fill="auto" w:val="clear"/>
            <w:vAlign w:val="center"/>
          </w:tcPr>
          <w:p>
            <w:pPr>
              <w:pStyle w:val="TableContents"/>
              <w:spacing w:before="0" w:after="0"/>
              <w:ind w:left="0" w:right="0" w:hanging="0"/>
              <w:jc w:val="center"/>
              <w:rPr>
                <w:rFonts w:ascii="Times New Roman;serif" w:hAnsi="Times New Roman;serif"/>
                <w:b w:val="false"/>
                <w:i/>
                <w:sz w:val="18"/>
              </w:rPr>
            </w:pPr>
            <w:r>
              <w:rPr>
                <w:rFonts w:ascii="Times New Roman;serif" w:hAnsi="Times New Roman;serif"/>
                <w:b w:val="false"/>
                <w:i/>
                <w:sz w:val="18"/>
              </w:rPr>
              <w:t>Beau is Afraid</w:t>
            </w:r>
          </w:p>
        </w:tc>
        <w:tc>
          <w:tcPr>
            <w:tcW w:w="146" w:type="dxa"/>
            <w:tcBorders/>
            <w:shd w:fill="auto" w:val="clear"/>
            <w:vAlign w:val="center"/>
          </w:tcPr>
          <w:p>
            <w:pPr>
              <w:pStyle w:val="TableContents"/>
              <w:spacing w:before="0" w:after="0"/>
              <w:ind w:left="0" w:right="0" w:hanging="0"/>
              <w:jc w:val="center"/>
              <w:rPr/>
            </w:pPr>
            <w:r>
              <w:rPr/>
              <w:t> </w:t>
            </w:r>
          </w:p>
        </w:tc>
        <w:tc>
          <w:tcPr>
            <w:tcW w:w="1966" w:type="dxa"/>
            <w:tcBorders/>
            <w:shd w:fill="auto" w:val="clear"/>
            <w:vAlign w:val="center"/>
          </w:tcPr>
          <w:p>
            <w:pPr>
              <w:pStyle w:val="TableContents"/>
              <w:spacing w:before="0" w:after="0"/>
              <w:ind w:left="0" w:right="0" w:hanging="0"/>
              <w:jc w:val="center"/>
              <w:rPr>
                <w:rFonts w:ascii="Times New Roman;serif" w:hAnsi="Times New Roman;serif"/>
                <w:b w:val="false"/>
                <w:sz w:val="18"/>
              </w:rPr>
            </w:pPr>
            <w:r>
              <w:rPr>
                <w:rFonts w:ascii="Times New Roman;serif" w:hAnsi="Times New Roman;serif"/>
                <w:b w:val="false"/>
                <w:sz w:val="18"/>
              </w:rPr>
              <w:t>A24</w:t>
            </w:r>
          </w:p>
        </w:tc>
        <w:tc>
          <w:tcPr>
            <w:tcW w:w="146" w:type="dxa"/>
            <w:tcBorders/>
            <w:shd w:fill="auto" w:val="clear"/>
            <w:vAlign w:val="center"/>
          </w:tcPr>
          <w:p>
            <w:pPr>
              <w:pStyle w:val="TableContents"/>
              <w:spacing w:before="0" w:after="0"/>
              <w:ind w:left="0" w:right="0" w:hanging="0"/>
              <w:jc w:val="center"/>
              <w:rPr/>
            </w:pPr>
            <w:r>
              <w:rPr/>
              <w:t> </w:t>
            </w:r>
          </w:p>
        </w:tc>
        <w:tc>
          <w:tcPr>
            <w:tcW w:w="1351" w:type="dxa"/>
            <w:tcBorders/>
            <w:shd w:fill="auto" w:val="clear"/>
            <w:vAlign w:val="center"/>
          </w:tcPr>
          <w:p>
            <w:pPr>
              <w:pStyle w:val="TableContents"/>
              <w:spacing w:before="0" w:after="0"/>
              <w:ind w:left="0" w:right="0" w:hanging="0"/>
              <w:jc w:val="center"/>
              <w:rPr>
                <w:rFonts w:ascii="Times New Roman;serif" w:hAnsi="Times New Roman;serif"/>
                <w:b w:val="false"/>
                <w:sz w:val="18"/>
              </w:rPr>
            </w:pPr>
            <w:r>
              <w:rPr>
                <w:rFonts w:ascii="Times New Roman;serif" w:hAnsi="Times New Roman;serif"/>
                <w:b w:val="false"/>
                <w:sz w:val="18"/>
              </w:rPr>
              <w:t>April 2023</w:t>
            </w:r>
          </w:p>
        </w:tc>
        <w:tc>
          <w:tcPr>
            <w:tcW w:w="146" w:type="dxa"/>
            <w:tcBorders/>
            <w:shd w:fill="auto" w:val="clear"/>
            <w:vAlign w:val="center"/>
          </w:tcPr>
          <w:p>
            <w:pPr>
              <w:pStyle w:val="TableContents"/>
              <w:spacing w:before="0" w:after="0"/>
              <w:ind w:left="0" w:right="0" w:hanging="0"/>
              <w:jc w:val="center"/>
              <w:rPr/>
            </w:pPr>
            <w:r>
              <w:rPr/>
              <w:t> </w:t>
            </w:r>
          </w:p>
        </w:tc>
        <w:tc>
          <w:tcPr>
            <w:tcW w:w="2416" w:type="dxa"/>
            <w:tcBorders/>
            <w:shd w:fill="auto" w:val="clear"/>
            <w:vAlign w:val="center"/>
          </w:tcPr>
          <w:p>
            <w:pPr>
              <w:pStyle w:val="TableContents"/>
              <w:spacing w:before="0" w:after="0"/>
              <w:ind w:left="0" w:right="0" w:hanging="0"/>
              <w:jc w:val="center"/>
              <w:rPr/>
            </w:pPr>
            <w:r>
              <w:rPr/>
              <w:t>—</w:t>
            </w:r>
          </w:p>
        </w:tc>
      </w:tr>
      <w:tr>
        <w:trPr/>
        <w:tc>
          <w:tcPr>
            <w:tcW w:w="3601" w:type="dxa"/>
            <w:tcBorders/>
            <w:shd w:fill="auto" w:val="clear"/>
            <w:vAlign w:val="center"/>
          </w:tcPr>
          <w:p>
            <w:pPr>
              <w:pStyle w:val="TableContents"/>
              <w:spacing w:before="0" w:after="0"/>
              <w:ind w:left="0" w:right="0" w:hanging="0"/>
              <w:jc w:val="center"/>
              <w:rPr>
                <w:rFonts w:ascii="Times New Roman" w:hAnsi="Times New Roman"/>
                <w:sz w:val="18"/>
              </w:rPr>
            </w:pPr>
            <w:r>
              <w:rPr>
                <w:rFonts w:ascii="Times New Roman;serif" w:hAnsi="Times New Roman;serif"/>
                <w:b w:val="false"/>
                <w:i/>
                <w:sz w:val="18"/>
              </w:rPr>
              <w:t>Detective Conan: The Black Iron Submarine</w:t>
            </w:r>
            <w:r>
              <w:rPr>
                <w:rFonts w:ascii="Times New Roman;serif" w:hAnsi="Times New Roman;serif"/>
                <w:b w:val="false"/>
                <w:sz w:val="12"/>
              </w:rPr>
              <w:t>(2)</w:t>
            </w:r>
          </w:p>
        </w:tc>
        <w:tc>
          <w:tcPr>
            <w:tcW w:w="146" w:type="dxa"/>
            <w:tcBorders/>
            <w:shd w:fill="auto" w:val="clear"/>
            <w:vAlign w:val="center"/>
          </w:tcPr>
          <w:p>
            <w:pPr>
              <w:pStyle w:val="TableContents"/>
              <w:spacing w:before="0" w:after="0"/>
              <w:ind w:left="0" w:right="0" w:hanging="0"/>
              <w:jc w:val="center"/>
              <w:rPr/>
            </w:pPr>
            <w:r>
              <w:rPr/>
              <w:t> </w:t>
            </w:r>
          </w:p>
        </w:tc>
        <w:tc>
          <w:tcPr>
            <w:tcW w:w="1966" w:type="dxa"/>
            <w:tcBorders/>
            <w:shd w:fill="auto" w:val="clear"/>
            <w:vAlign w:val="center"/>
          </w:tcPr>
          <w:p>
            <w:pPr>
              <w:pStyle w:val="TableContents"/>
              <w:spacing w:before="0" w:after="0"/>
              <w:ind w:left="0" w:right="0" w:hanging="0"/>
              <w:jc w:val="center"/>
              <w:rPr>
                <w:rFonts w:ascii="Times New Roman;serif" w:hAnsi="Times New Roman;serif"/>
                <w:b w:val="false"/>
                <w:sz w:val="18"/>
              </w:rPr>
            </w:pPr>
            <w:r>
              <w:rPr>
                <w:rFonts w:ascii="Times New Roman;serif" w:hAnsi="Times New Roman;serif"/>
                <w:b w:val="false"/>
                <w:sz w:val="18"/>
              </w:rPr>
              <w:t>Toho Studios</w:t>
            </w:r>
          </w:p>
        </w:tc>
        <w:tc>
          <w:tcPr>
            <w:tcW w:w="146" w:type="dxa"/>
            <w:tcBorders/>
            <w:shd w:fill="auto" w:val="clear"/>
            <w:vAlign w:val="center"/>
          </w:tcPr>
          <w:p>
            <w:pPr>
              <w:pStyle w:val="TableContents"/>
              <w:spacing w:before="0" w:after="0"/>
              <w:ind w:left="0" w:right="0" w:hanging="0"/>
              <w:jc w:val="center"/>
              <w:rPr/>
            </w:pPr>
            <w:r>
              <w:rPr/>
              <w:t> </w:t>
            </w:r>
          </w:p>
        </w:tc>
        <w:tc>
          <w:tcPr>
            <w:tcW w:w="1351" w:type="dxa"/>
            <w:tcBorders/>
            <w:shd w:fill="auto" w:val="clear"/>
            <w:vAlign w:val="center"/>
          </w:tcPr>
          <w:p>
            <w:pPr>
              <w:pStyle w:val="TableContents"/>
              <w:spacing w:before="0" w:after="0"/>
              <w:ind w:left="0" w:right="0" w:hanging="0"/>
              <w:jc w:val="center"/>
              <w:rPr>
                <w:rFonts w:ascii="Times New Roman;serif" w:hAnsi="Times New Roman;serif"/>
                <w:b w:val="false"/>
                <w:sz w:val="18"/>
              </w:rPr>
            </w:pPr>
            <w:r>
              <w:rPr>
                <w:rFonts w:ascii="Times New Roman;serif" w:hAnsi="Times New Roman;serif"/>
                <w:b w:val="false"/>
                <w:sz w:val="18"/>
              </w:rPr>
              <w:t>April 2023</w:t>
            </w:r>
          </w:p>
        </w:tc>
        <w:tc>
          <w:tcPr>
            <w:tcW w:w="146" w:type="dxa"/>
            <w:tcBorders/>
            <w:shd w:fill="auto" w:val="clear"/>
            <w:vAlign w:val="center"/>
          </w:tcPr>
          <w:p>
            <w:pPr>
              <w:pStyle w:val="TableContents"/>
              <w:spacing w:before="0" w:after="0"/>
              <w:ind w:left="0" w:right="0" w:hanging="0"/>
              <w:jc w:val="center"/>
              <w:rPr/>
            </w:pPr>
            <w:r>
              <w:rPr/>
              <w:t> </w:t>
            </w:r>
          </w:p>
        </w:tc>
        <w:tc>
          <w:tcPr>
            <w:tcW w:w="2416" w:type="dxa"/>
            <w:tcBorders/>
            <w:shd w:fill="auto" w:val="clear"/>
            <w:vAlign w:val="center"/>
          </w:tcPr>
          <w:p>
            <w:pPr>
              <w:pStyle w:val="TableContents"/>
              <w:spacing w:before="0" w:after="0"/>
              <w:ind w:left="0" w:right="0" w:hanging="0"/>
              <w:jc w:val="center"/>
              <w:rPr/>
            </w:pPr>
            <w:r>
              <w:rPr/>
              <w:t>—</w:t>
            </w:r>
          </w:p>
        </w:tc>
      </w:tr>
      <w:tr>
        <w:trPr/>
        <w:tc>
          <w:tcPr>
            <w:tcW w:w="3601" w:type="dxa"/>
            <w:tcBorders/>
            <w:shd w:fill="auto" w:val="clear"/>
            <w:vAlign w:val="center"/>
          </w:tcPr>
          <w:p>
            <w:pPr>
              <w:pStyle w:val="TableContents"/>
              <w:spacing w:before="0" w:after="0"/>
              <w:ind w:left="0" w:right="0" w:hanging="0"/>
              <w:jc w:val="center"/>
              <w:rPr>
                <w:rFonts w:ascii="Times New Roman" w:hAnsi="Times New Roman"/>
                <w:sz w:val="18"/>
              </w:rPr>
            </w:pPr>
            <w:r>
              <w:rPr>
                <w:rFonts w:ascii="Times New Roman;serif" w:hAnsi="Times New Roman;serif"/>
                <w:b w:val="false"/>
                <w:i/>
                <w:sz w:val="18"/>
              </w:rPr>
              <w:t>Ponniyin Selvan: II</w:t>
            </w:r>
            <w:r>
              <w:rPr>
                <w:rFonts w:ascii="Times New Roman;serif" w:hAnsi="Times New Roman;serif"/>
                <w:b w:val="false"/>
                <w:sz w:val="12"/>
              </w:rPr>
              <w:t>(2)</w:t>
            </w:r>
          </w:p>
        </w:tc>
        <w:tc>
          <w:tcPr>
            <w:tcW w:w="146" w:type="dxa"/>
            <w:tcBorders/>
            <w:shd w:fill="auto" w:val="clear"/>
            <w:vAlign w:val="center"/>
          </w:tcPr>
          <w:p>
            <w:pPr>
              <w:pStyle w:val="TableContents"/>
              <w:spacing w:before="0" w:after="0"/>
              <w:ind w:left="0" w:right="0" w:hanging="0"/>
              <w:jc w:val="center"/>
              <w:rPr/>
            </w:pPr>
            <w:r>
              <w:rPr/>
              <w:t> </w:t>
            </w:r>
          </w:p>
        </w:tc>
        <w:tc>
          <w:tcPr>
            <w:tcW w:w="1966" w:type="dxa"/>
            <w:tcBorders/>
            <w:shd w:fill="auto" w:val="clear"/>
            <w:vAlign w:val="center"/>
          </w:tcPr>
          <w:p>
            <w:pPr>
              <w:pStyle w:val="TableContents"/>
              <w:spacing w:before="0" w:after="0"/>
              <w:ind w:left="0" w:right="0" w:hanging="0"/>
              <w:jc w:val="center"/>
              <w:rPr>
                <w:rFonts w:ascii="Times New Roman;serif" w:hAnsi="Times New Roman;serif"/>
                <w:b w:val="false"/>
                <w:sz w:val="18"/>
              </w:rPr>
            </w:pPr>
            <w:r>
              <w:rPr>
                <w:rFonts w:ascii="Times New Roman;serif" w:hAnsi="Times New Roman;serif"/>
                <w:b w:val="false"/>
                <w:sz w:val="18"/>
              </w:rPr>
              <w:t>Lyca Productions</w:t>
            </w:r>
          </w:p>
        </w:tc>
        <w:tc>
          <w:tcPr>
            <w:tcW w:w="146" w:type="dxa"/>
            <w:tcBorders/>
            <w:shd w:fill="auto" w:val="clear"/>
            <w:vAlign w:val="center"/>
          </w:tcPr>
          <w:p>
            <w:pPr>
              <w:pStyle w:val="TableContents"/>
              <w:spacing w:before="0" w:after="0"/>
              <w:ind w:left="0" w:right="0" w:hanging="0"/>
              <w:jc w:val="center"/>
              <w:rPr/>
            </w:pPr>
            <w:r>
              <w:rPr/>
              <w:t> </w:t>
            </w:r>
          </w:p>
        </w:tc>
        <w:tc>
          <w:tcPr>
            <w:tcW w:w="1351" w:type="dxa"/>
            <w:tcBorders/>
            <w:shd w:fill="auto" w:val="clear"/>
            <w:vAlign w:val="center"/>
          </w:tcPr>
          <w:p>
            <w:pPr>
              <w:pStyle w:val="TableContents"/>
              <w:spacing w:before="0" w:after="0"/>
              <w:ind w:left="0" w:right="0" w:hanging="0"/>
              <w:jc w:val="center"/>
              <w:rPr>
                <w:rFonts w:ascii="Times New Roman;serif" w:hAnsi="Times New Roman;serif"/>
                <w:b w:val="false"/>
                <w:sz w:val="18"/>
              </w:rPr>
            </w:pPr>
            <w:r>
              <w:rPr>
                <w:rFonts w:ascii="Times New Roman;serif" w:hAnsi="Times New Roman;serif"/>
                <w:b w:val="false"/>
                <w:sz w:val="18"/>
              </w:rPr>
              <w:t>April 2023</w:t>
            </w:r>
          </w:p>
        </w:tc>
        <w:tc>
          <w:tcPr>
            <w:tcW w:w="146" w:type="dxa"/>
            <w:tcBorders/>
            <w:shd w:fill="auto" w:val="clear"/>
            <w:vAlign w:val="center"/>
          </w:tcPr>
          <w:p>
            <w:pPr>
              <w:pStyle w:val="TableContents"/>
              <w:spacing w:before="0" w:after="0"/>
              <w:ind w:left="0" w:right="0" w:hanging="0"/>
              <w:jc w:val="center"/>
              <w:rPr/>
            </w:pPr>
            <w:r>
              <w:rPr/>
              <w:t> </w:t>
            </w:r>
          </w:p>
        </w:tc>
        <w:tc>
          <w:tcPr>
            <w:tcW w:w="2416" w:type="dxa"/>
            <w:tcBorders/>
            <w:shd w:fill="auto" w:val="clear"/>
            <w:vAlign w:val="center"/>
          </w:tcPr>
          <w:p>
            <w:pPr>
              <w:pStyle w:val="TableContents"/>
              <w:spacing w:before="0" w:after="0"/>
              <w:ind w:left="0" w:right="0" w:hanging="0"/>
              <w:jc w:val="center"/>
              <w:rPr/>
            </w:pPr>
            <w:r>
              <w:rPr/>
              <w:t>—</w:t>
            </w:r>
          </w:p>
        </w:tc>
      </w:tr>
      <w:tr>
        <w:trPr/>
        <w:tc>
          <w:tcPr>
            <w:tcW w:w="3601" w:type="dxa"/>
            <w:tcBorders/>
            <w:shd w:fill="auto" w:val="clear"/>
            <w:vAlign w:val="center"/>
          </w:tcPr>
          <w:p>
            <w:pPr>
              <w:pStyle w:val="TableContents"/>
              <w:spacing w:before="0" w:after="0"/>
              <w:ind w:left="0" w:right="0" w:hanging="0"/>
              <w:jc w:val="center"/>
              <w:rPr>
                <w:rFonts w:ascii="Times New Roman" w:hAnsi="Times New Roman"/>
                <w:sz w:val="18"/>
              </w:rPr>
            </w:pPr>
            <w:r>
              <w:rPr>
                <w:rFonts w:ascii="Times New Roman;serif" w:hAnsi="Times New Roman;serif"/>
                <w:b w:val="false"/>
                <w:i/>
                <w:sz w:val="18"/>
              </w:rPr>
              <w:t>Born to Fly</w:t>
            </w:r>
            <w:r>
              <w:rPr>
                <w:rFonts w:ascii="Times New Roman;serif" w:hAnsi="Times New Roman;serif"/>
                <w:b w:val="false"/>
                <w:sz w:val="12"/>
              </w:rPr>
              <w:t>(2)</w:t>
            </w:r>
          </w:p>
        </w:tc>
        <w:tc>
          <w:tcPr>
            <w:tcW w:w="146" w:type="dxa"/>
            <w:tcBorders/>
            <w:shd w:fill="auto" w:val="clear"/>
            <w:vAlign w:val="center"/>
          </w:tcPr>
          <w:p>
            <w:pPr>
              <w:pStyle w:val="TableContents"/>
              <w:spacing w:before="0" w:after="0"/>
              <w:ind w:left="0" w:right="0" w:hanging="0"/>
              <w:jc w:val="center"/>
              <w:rPr/>
            </w:pPr>
            <w:r>
              <w:rPr/>
              <w:t> </w:t>
            </w:r>
          </w:p>
        </w:tc>
        <w:tc>
          <w:tcPr>
            <w:tcW w:w="1966" w:type="dxa"/>
            <w:tcBorders/>
            <w:shd w:fill="auto" w:val="clear"/>
            <w:vAlign w:val="center"/>
          </w:tcPr>
          <w:p>
            <w:pPr>
              <w:pStyle w:val="TableContents"/>
              <w:spacing w:before="0" w:after="0"/>
              <w:ind w:left="0" w:right="0" w:hanging="0"/>
              <w:jc w:val="center"/>
              <w:rPr>
                <w:rFonts w:ascii="Times New Roman;serif" w:hAnsi="Times New Roman;serif"/>
                <w:b w:val="false"/>
                <w:sz w:val="18"/>
              </w:rPr>
            </w:pPr>
            <w:r>
              <w:rPr>
                <w:rFonts w:ascii="Times New Roman;serif" w:hAnsi="Times New Roman;serif"/>
                <w:b w:val="false"/>
                <w:sz w:val="18"/>
              </w:rPr>
              <w:t>Alibaba</w:t>
            </w:r>
          </w:p>
        </w:tc>
        <w:tc>
          <w:tcPr>
            <w:tcW w:w="146" w:type="dxa"/>
            <w:tcBorders/>
            <w:shd w:fill="auto" w:val="clear"/>
            <w:vAlign w:val="center"/>
          </w:tcPr>
          <w:p>
            <w:pPr>
              <w:pStyle w:val="TableContents"/>
              <w:spacing w:before="0" w:after="0"/>
              <w:ind w:left="0" w:right="0" w:hanging="0"/>
              <w:jc w:val="center"/>
              <w:rPr/>
            </w:pPr>
            <w:r>
              <w:rPr/>
              <w:t> </w:t>
            </w:r>
          </w:p>
        </w:tc>
        <w:tc>
          <w:tcPr>
            <w:tcW w:w="1351" w:type="dxa"/>
            <w:tcBorders/>
            <w:shd w:fill="auto" w:val="clear"/>
            <w:vAlign w:val="center"/>
          </w:tcPr>
          <w:p>
            <w:pPr>
              <w:pStyle w:val="TableContents"/>
              <w:spacing w:before="0" w:after="0"/>
              <w:ind w:left="0" w:right="0" w:hanging="0"/>
              <w:jc w:val="center"/>
              <w:rPr>
                <w:rFonts w:ascii="Times New Roman;serif" w:hAnsi="Times New Roman;serif"/>
                <w:b w:val="false"/>
                <w:sz w:val="18"/>
              </w:rPr>
            </w:pPr>
            <w:r>
              <w:rPr>
                <w:rFonts w:ascii="Times New Roman;serif" w:hAnsi="Times New Roman;serif"/>
                <w:b w:val="false"/>
                <w:sz w:val="18"/>
              </w:rPr>
              <w:t>April 2023</w:t>
            </w:r>
          </w:p>
        </w:tc>
        <w:tc>
          <w:tcPr>
            <w:tcW w:w="146" w:type="dxa"/>
            <w:tcBorders/>
            <w:shd w:fill="auto" w:val="clear"/>
            <w:vAlign w:val="center"/>
          </w:tcPr>
          <w:p>
            <w:pPr>
              <w:pStyle w:val="TableContents"/>
              <w:spacing w:before="0" w:after="0"/>
              <w:ind w:left="0" w:right="0" w:hanging="0"/>
              <w:jc w:val="center"/>
              <w:rPr/>
            </w:pPr>
            <w:r>
              <w:rPr/>
              <w:t> </w:t>
            </w:r>
          </w:p>
        </w:tc>
        <w:tc>
          <w:tcPr>
            <w:tcW w:w="2416" w:type="dxa"/>
            <w:tcBorders/>
            <w:shd w:fill="auto" w:val="clear"/>
            <w:vAlign w:val="center"/>
          </w:tcPr>
          <w:p>
            <w:pPr>
              <w:pStyle w:val="TableContents"/>
              <w:spacing w:before="0" w:after="0"/>
              <w:ind w:left="0" w:right="0" w:hanging="0"/>
              <w:jc w:val="center"/>
              <w:rPr/>
            </w:pPr>
            <w:r>
              <w:rPr/>
              <w:t>—</w:t>
            </w:r>
          </w:p>
        </w:tc>
      </w:tr>
      <w:tr>
        <w:trPr/>
        <w:tc>
          <w:tcPr>
            <w:tcW w:w="3601" w:type="dxa"/>
            <w:tcBorders/>
            <w:shd w:fill="auto" w:val="clear"/>
            <w:vAlign w:val="center"/>
          </w:tcPr>
          <w:p>
            <w:pPr>
              <w:pStyle w:val="TableContents"/>
              <w:spacing w:before="0" w:after="0"/>
              <w:ind w:left="0" w:right="0" w:hanging="0"/>
              <w:jc w:val="center"/>
              <w:rPr>
                <w:rFonts w:ascii="Times New Roman" w:hAnsi="Times New Roman"/>
                <w:sz w:val="18"/>
              </w:rPr>
            </w:pPr>
            <w:r>
              <w:rPr>
                <w:rFonts w:ascii="Times New Roman;serif" w:hAnsi="Times New Roman;serif"/>
                <w:b w:val="false"/>
                <w:i/>
                <w:sz w:val="18"/>
              </w:rPr>
              <w:t>Godspeed</w:t>
            </w:r>
            <w:r>
              <w:rPr>
                <w:rFonts w:ascii="Times New Roman;serif" w:hAnsi="Times New Roman;serif"/>
                <w:b w:val="false"/>
                <w:sz w:val="12"/>
              </w:rPr>
              <w:t>(2)</w:t>
            </w:r>
          </w:p>
        </w:tc>
        <w:tc>
          <w:tcPr>
            <w:tcW w:w="146" w:type="dxa"/>
            <w:tcBorders/>
            <w:shd w:fill="auto" w:val="clear"/>
            <w:vAlign w:val="center"/>
          </w:tcPr>
          <w:p>
            <w:pPr>
              <w:pStyle w:val="TableContents"/>
              <w:spacing w:before="0" w:after="0"/>
              <w:ind w:left="0" w:right="0" w:hanging="0"/>
              <w:jc w:val="center"/>
              <w:rPr/>
            </w:pPr>
            <w:r>
              <w:rPr/>
              <w:t> </w:t>
            </w:r>
          </w:p>
        </w:tc>
        <w:tc>
          <w:tcPr>
            <w:tcW w:w="1966" w:type="dxa"/>
            <w:tcBorders/>
            <w:shd w:fill="auto" w:val="clear"/>
            <w:vAlign w:val="center"/>
          </w:tcPr>
          <w:p>
            <w:pPr>
              <w:pStyle w:val="TableContents"/>
              <w:spacing w:before="0" w:after="0"/>
              <w:ind w:left="0" w:right="0" w:hanging="0"/>
              <w:jc w:val="center"/>
              <w:rPr>
                <w:rFonts w:ascii="Times New Roman;serif" w:hAnsi="Times New Roman;serif"/>
                <w:b w:val="false"/>
                <w:sz w:val="18"/>
              </w:rPr>
            </w:pPr>
            <w:r>
              <w:rPr>
                <w:rFonts w:ascii="Times New Roman;serif" w:hAnsi="Times New Roman;serif"/>
                <w:b w:val="false"/>
                <w:sz w:val="18"/>
              </w:rPr>
              <w:t>Maoyan</w:t>
            </w:r>
          </w:p>
        </w:tc>
        <w:tc>
          <w:tcPr>
            <w:tcW w:w="146" w:type="dxa"/>
            <w:tcBorders/>
            <w:shd w:fill="auto" w:val="clear"/>
            <w:vAlign w:val="center"/>
          </w:tcPr>
          <w:p>
            <w:pPr>
              <w:pStyle w:val="TableContents"/>
              <w:spacing w:before="0" w:after="0"/>
              <w:ind w:left="0" w:right="0" w:hanging="0"/>
              <w:jc w:val="center"/>
              <w:rPr/>
            </w:pPr>
            <w:r>
              <w:rPr/>
              <w:t> </w:t>
            </w:r>
          </w:p>
        </w:tc>
        <w:tc>
          <w:tcPr>
            <w:tcW w:w="1351" w:type="dxa"/>
            <w:tcBorders/>
            <w:shd w:fill="auto" w:val="clear"/>
            <w:vAlign w:val="center"/>
          </w:tcPr>
          <w:p>
            <w:pPr>
              <w:pStyle w:val="TableContents"/>
              <w:spacing w:before="0" w:after="0"/>
              <w:ind w:left="0" w:right="0" w:hanging="0"/>
              <w:jc w:val="center"/>
              <w:rPr>
                <w:rFonts w:ascii="Times New Roman;serif" w:hAnsi="Times New Roman;serif"/>
                <w:b w:val="false"/>
                <w:sz w:val="18"/>
              </w:rPr>
            </w:pPr>
            <w:r>
              <w:rPr>
                <w:rFonts w:ascii="Times New Roman;serif" w:hAnsi="Times New Roman;serif"/>
                <w:b w:val="false"/>
                <w:sz w:val="18"/>
              </w:rPr>
              <w:t>April 2023</w:t>
            </w:r>
          </w:p>
        </w:tc>
        <w:tc>
          <w:tcPr>
            <w:tcW w:w="146" w:type="dxa"/>
            <w:tcBorders/>
            <w:shd w:fill="auto" w:val="clear"/>
            <w:vAlign w:val="center"/>
          </w:tcPr>
          <w:p>
            <w:pPr>
              <w:pStyle w:val="TableContents"/>
              <w:spacing w:before="0" w:after="0"/>
              <w:ind w:left="0" w:right="0" w:hanging="0"/>
              <w:jc w:val="center"/>
              <w:rPr/>
            </w:pPr>
            <w:r>
              <w:rPr/>
              <w:t> </w:t>
            </w:r>
          </w:p>
        </w:tc>
        <w:tc>
          <w:tcPr>
            <w:tcW w:w="2416" w:type="dxa"/>
            <w:tcBorders/>
            <w:shd w:fill="auto" w:val="clear"/>
            <w:vAlign w:val="center"/>
          </w:tcPr>
          <w:p>
            <w:pPr>
              <w:pStyle w:val="TableContents"/>
              <w:spacing w:before="0" w:after="0"/>
              <w:ind w:left="0" w:right="0" w:hanging="0"/>
              <w:jc w:val="center"/>
              <w:rPr/>
            </w:pPr>
            <w:r>
              <w:rPr/>
              <w:t>—</w:t>
            </w:r>
          </w:p>
        </w:tc>
      </w:tr>
      <w:tr>
        <w:trPr/>
        <w:tc>
          <w:tcPr>
            <w:tcW w:w="3601" w:type="dxa"/>
            <w:tcBorders/>
            <w:shd w:fill="auto" w:val="clear"/>
            <w:vAlign w:val="center"/>
          </w:tcPr>
          <w:p>
            <w:pPr>
              <w:pStyle w:val="TableContents"/>
              <w:spacing w:before="0" w:after="0"/>
              <w:ind w:left="0" w:right="0" w:hanging="0"/>
              <w:jc w:val="center"/>
              <w:rPr>
                <w:rFonts w:ascii="Times New Roman" w:hAnsi="Times New Roman"/>
                <w:sz w:val="18"/>
              </w:rPr>
            </w:pPr>
            <w:r>
              <w:rPr>
                <w:rFonts w:ascii="Times New Roman;serif" w:hAnsi="Times New Roman;serif"/>
                <w:b w:val="false"/>
                <w:i/>
                <w:sz w:val="18"/>
              </w:rPr>
              <w:t>Flashover</w:t>
            </w:r>
            <w:r>
              <w:rPr>
                <w:rFonts w:ascii="Times New Roman;serif" w:hAnsi="Times New Roman;serif"/>
                <w:b w:val="false"/>
                <w:sz w:val="12"/>
              </w:rPr>
              <w:t>(2)</w:t>
            </w:r>
          </w:p>
        </w:tc>
        <w:tc>
          <w:tcPr>
            <w:tcW w:w="146" w:type="dxa"/>
            <w:tcBorders/>
            <w:shd w:fill="auto" w:val="clear"/>
            <w:vAlign w:val="center"/>
          </w:tcPr>
          <w:p>
            <w:pPr>
              <w:pStyle w:val="TableContents"/>
              <w:spacing w:before="0" w:after="0"/>
              <w:ind w:left="0" w:right="0" w:hanging="0"/>
              <w:jc w:val="center"/>
              <w:rPr/>
            </w:pPr>
            <w:r>
              <w:rPr/>
              <w:t> </w:t>
            </w:r>
          </w:p>
        </w:tc>
        <w:tc>
          <w:tcPr>
            <w:tcW w:w="1966" w:type="dxa"/>
            <w:tcBorders/>
            <w:shd w:fill="auto" w:val="clear"/>
            <w:vAlign w:val="center"/>
          </w:tcPr>
          <w:p>
            <w:pPr>
              <w:pStyle w:val="TableContents"/>
              <w:spacing w:before="0" w:after="0"/>
              <w:ind w:left="0" w:right="0" w:hanging="0"/>
              <w:jc w:val="center"/>
              <w:rPr>
                <w:rFonts w:ascii="Times New Roman;serif" w:hAnsi="Times New Roman;serif"/>
                <w:b w:val="false"/>
                <w:sz w:val="18"/>
              </w:rPr>
            </w:pPr>
            <w:r>
              <w:rPr>
                <w:rFonts w:ascii="Times New Roman;serif" w:hAnsi="Times New Roman;serif"/>
                <w:b w:val="false"/>
                <w:sz w:val="18"/>
              </w:rPr>
              <w:t>Lian Ray</w:t>
            </w:r>
          </w:p>
        </w:tc>
        <w:tc>
          <w:tcPr>
            <w:tcW w:w="146" w:type="dxa"/>
            <w:tcBorders/>
            <w:shd w:fill="auto" w:val="clear"/>
            <w:vAlign w:val="center"/>
          </w:tcPr>
          <w:p>
            <w:pPr>
              <w:pStyle w:val="TableContents"/>
              <w:spacing w:before="0" w:after="0"/>
              <w:ind w:left="0" w:right="0" w:hanging="0"/>
              <w:jc w:val="center"/>
              <w:rPr/>
            </w:pPr>
            <w:r>
              <w:rPr/>
              <w:t> </w:t>
            </w:r>
          </w:p>
        </w:tc>
        <w:tc>
          <w:tcPr>
            <w:tcW w:w="1351" w:type="dxa"/>
            <w:tcBorders/>
            <w:shd w:fill="auto" w:val="clear"/>
            <w:vAlign w:val="center"/>
          </w:tcPr>
          <w:p>
            <w:pPr>
              <w:pStyle w:val="TableContents"/>
              <w:spacing w:before="0" w:after="0"/>
              <w:ind w:left="0" w:right="0" w:hanging="0"/>
              <w:jc w:val="center"/>
              <w:rPr>
                <w:rFonts w:ascii="Times New Roman;serif" w:hAnsi="Times New Roman;serif"/>
                <w:b w:val="false"/>
                <w:sz w:val="18"/>
              </w:rPr>
            </w:pPr>
            <w:r>
              <w:rPr>
                <w:rFonts w:ascii="Times New Roman;serif" w:hAnsi="Times New Roman;serif"/>
                <w:b w:val="false"/>
                <w:sz w:val="18"/>
              </w:rPr>
              <w:t>April 2023</w:t>
            </w:r>
          </w:p>
        </w:tc>
        <w:tc>
          <w:tcPr>
            <w:tcW w:w="146" w:type="dxa"/>
            <w:tcBorders/>
            <w:shd w:fill="auto" w:val="clear"/>
            <w:vAlign w:val="center"/>
          </w:tcPr>
          <w:p>
            <w:pPr>
              <w:pStyle w:val="TableContents"/>
              <w:spacing w:before="0" w:after="0"/>
              <w:ind w:left="0" w:right="0" w:hanging="0"/>
              <w:jc w:val="center"/>
              <w:rPr/>
            </w:pPr>
            <w:r>
              <w:rPr/>
              <w:t> </w:t>
            </w:r>
          </w:p>
        </w:tc>
        <w:tc>
          <w:tcPr>
            <w:tcW w:w="2416" w:type="dxa"/>
            <w:tcBorders/>
            <w:shd w:fill="auto" w:val="clear"/>
            <w:vAlign w:val="center"/>
          </w:tcPr>
          <w:p>
            <w:pPr>
              <w:pStyle w:val="TableContents"/>
              <w:spacing w:before="0" w:after="0"/>
              <w:ind w:left="0" w:right="0" w:hanging="0"/>
              <w:jc w:val="center"/>
              <w:rPr/>
            </w:pPr>
            <w:r>
              <w:rPr/>
              <w:t>—</w:t>
            </w:r>
          </w:p>
        </w:tc>
      </w:tr>
      <w:tr>
        <w:trPr/>
        <w:tc>
          <w:tcPr>
            <w:tcW w:w="3601" w:type="dxa"/>
            <w:tcBorders/>
            <w:shd w:fill="auto" w:val="clear"/>
            <w:vAlign w:val="center"/>
          </w:tcPr>
          <w:p>
            <w:pPr>
              <w:pStyle w:val="TableContents"/>
              <w:spacing w:before="0" w:after="0"/>
              <w:ind w:left="0" w:right="0" w:hanging="0"/>
              <w:jc w:val="center"/>
              <w:rPr>
                <w:rFonts w:ascii="Times New Roman;serif" w:hAnsi="Times New Roman;serif"/>
                <w:b w:val="false"/>
                <w:i/>
                <w:sz w:val="18"/>
              </w:rPr>
            </w:pPr>
            <w:r>
              <w:rPr>
                <w:rFonts w:ascii="Times New Roman;serif" w:hAnsi="Times New Roman;serif"/>
                <w:b w:val="false"/>
                <w:i/>
                <w:sz w:val="18"/>
              </w:rPr>
              <w:t>Guardians of the Galaxy Vol. 3</w:t>
            </w:r>
          </w:p>
        </w:tc>
        <w:tc>
          <w:tcPr>
            <w:tcW w:w="146" w:type="dxa"/>
            <w:tcBorders/>
            <w:shd w:fill="auto" w:val="clear"/>
            <w:vAlign w:val="center"/>
          </w:tcPr>
          <w:p>
            <w:pPr>
              <w:pStyle w:val="TableContents"/>
              <w:spacing w:before="0" w:after="0"/>
              <w:ind w:left="0" w:right="0" w:hanging="0"/>
              <w:jc w:val="center"/>
              <w:rPr/>
            </w:pPr>
            <w:r>
              <w:rPr/>
              <w:t> </w:t>
            </w:r>
          </w:p>
        </w:tc>
        <w:tc>
          <w:tcPr>
            <w:tcW w:w="1966" w:type="dxa"/>
            <w:tcBorders/>
            <w:shd w:fill="auto" w:val="clear"/>
            <w:vAlign w:val="center"/>
          </w:tcPr>
          <w:p>
            <w:pPr>
              <w:pStyle w:val="TableContents"/>
              <w:spacing w:before="0" w:after="0"/>
              <w:ind w:left="0" w:right="0" w:hanging="0"/>
              <w:jc w:val="center"/>
              <w:rPr>
                <w:rFonts w:ascii="Times New Roman;serif" w:hAnsi="Times New Roman;serif"/>
                <w:b w:val="false"/>
                <w:sz w:val="18"/>
              </w:rPr>
            </w:pPr>
            <w:r>
              <w:rPr>
                <w:rFonts w:ascii="Times New Roman;serif" w:hAnsi="Times New Roman;serif"/>
                <w:b w:val="false"/>
                <w:sz w:val="18"/>
              </w:rPr>
              <w:t>Walt Disney Studios</w:t>
            </w:r>
          </w:p>
        </w:tc>
        <w:tc>
          <w:tcPr>
            <w:tcW w:w="146" w:type="dxa"/>
            <w:tcBorders/>
            <w:shd w:fill="auto" w:val="clear"/>
            <w:vAlign w:val="center"/>
          </w:tcPr>
          <w:p>
            <w:pPr>
              <w:pStyle w:val="TableContents"/>
              <w:spacing w:before="0" w:after="0"/>
              <w:ind w:left="0" w:right="0" w:hanging="0"/>
              <w:jc w:val="center"/>
              <w:rPr/>
            </w:pPr>
            <w:r>
              <w:rPr/>
              <w:t> </w:t>
            </w:r>
          </w:p>
        </w:tc>
        <w:tc>
          <w:tcPr>
            <w:tcW w:w="1351" w:type="dxa"/>
            <w:tcBorders/>
            <w:shd w:fill="auto" w:val="clear"/>
            <w:vAlign w:val="center"/>
          </w:tcPr>
          <w:p>
            <w:pPr>
              <w:pStyle w:val="TableContents"/>
              <w:spacing w:before="0" w:after="0"/>
              <w:ind w:left="0" w:right="0" w:hanging="0"/>
              <w:jc w:val="center"/>
              <w:rPr>
                <w:rFonts w:ascii="Times New Roman;serif" w:hAnsi="Times New Roman;serif"/>
                <w:b w:val="false"/>
                <w:sz w:val="18"/>
              </w:rPr>
            </w:pPr>
            <w:r>
              <w:rPr>
                <w:rFonts w:ascii="Times New Roman;serif" w:hAnsi="Times New Roman;serif"/>
                <w:b w:val="false"/>
                <w:sz w:val="18"/>
              </w:rPr>
              <w:t>May 2023</w:t>
            </w:r>
          </w:p>
        </w:tc>
        <w:tc>
          <w:tcPr>
            <w:tcW w:w="146" w:type="dxa"/>
            <w:tcBorders/>
            <w:shd w:fill="auto" w:val="clear"/>
            <w:vAlign w:val="center"/>
          </w:tcPr>
          <w:p>
            <w:pPr>
              <w:pStyle w:val="TableContents"/>
              <w:spacing w:before="0" w:after="0"/>
              <w:ind w:left="0" w:right="0" w:hanging="0"/>
              <w:jc w:val="center"/>
              <w:rPr/>
            </w:pPr>
            <w:r>
              <w:rPr/>
              <w:t> </w:t>
            </w:r>
          </w:p>
        </w:tc>
        <w:tc>
          <w:tcPr>
            <w:tcW w:w="2416" w:type="dxa"/>
            <w:tcBorders/>
            <w:shd w:fill="auto" w:val="clear"/>
            <w:vAlign w:val="center"/>
          </w:tcPr>
          <w:p>
            <w:pPr>
              <w:pStyle w:val="TableContents"/>
              <w:spacing w:before="0" w:after="0"/>
              <w:ind w:left="0" w:right="0" w:hanging="0"/>
              <w:jc w:val="center"/>
              <w:rPr>
                <w:rFonts w:ascii="Times New Roman;serif" w:hAnsi="Times New Roman;serif"/>
                <w:b w:val="false"/>
                <w:sz w:val="18"/>
              </w:rPr>
            </w:pPr>
            <w:r>
              <w:rPr>
                <w:rFonts w:ascii="Times New Roman;serif" w:hAnsi="Times New Roman;serif"/>
                <w:b w:val="false"/>
                <w:sz w:val="18"/>
              </w:rPr>
              <w:t>Filmed For IMAX</w:t>
            </w:r>
          </w:p>
        </w:tc>
      </w:tr>
      <w:tr>
        <w:trPr/>
        <w:tc>
          <w:tcPr>
            <w:tcW w:w="3601" w:type="dxa"/>
            <w:tcBorders/>
            <w:shd w:fill="auto" w:val="clear"/>
            <w:vAlign w:val="center"/>
          </w:tcPr>
          <w:p>
            <w:pPr>
              <w:pStyle w:val="TableContents"/>
              <w:spacing w:before="0" w:after="0"/>
              <w:ind w:left="0" w:right="0" w:hanging="0"/>
              <w:jc w:val="center"/>
              <w:rPr>
                <w:rFonts w:ascii="Times New Roman;serif" w:hAnsi="Times New Roman;serif"/>
                <w:b w:val="false"/>
                <w:i/>
                <w:sz w:val="18"/>
              </w:rPr>
            </w:pPr>
            <w:r>
              <w:rPr>
                <w:rFonts w:ascii="Times New Roman;serif" w:hAnsi="Times New Roman;serif"/>
                <w:b w:val="false"/>
                <w:i/>
                <w:sz w:val="18"/>
              </w:rPr>
              <w:t>Fast X</w:t>
            </w:r>
          </w:p>
        </w:tc>
        <w:tc>
          <w:tcPr>
            <w:tcW w:w="146" w:type="dxa"/>
            <w:tcBorders/>
            <w:shd w:fill="auto" w:val="clear"/>
            <w:vAlign w:val="center"/>
          </w:tcPr>
          <w:p>
            <w:pPr>
              <w:pStyle w:val="TableContents"/>
              <w:spacing w:before="0" w:after="0"/>
              <w:ind w:left="0" w:right="0" w:hanging="0"/>
              <w:jc w:val="center"/>
              <w:rPr/>
            </w:pPr>
            <w:r>
              <w:rPr/>
              <w:t> </w:t>
            </w:r>
          </w:p>
        </w:tc>
        <w:tc>
          <w:tcPr>
            <w:tcW w:w="1966" w:type="dxa"/>
            <w:tcBorders/>
            <w:shd w:fill="auto" w:val="clear"/>
            <w:vAlign w:val="center"/>
          </w:tcPr>
          <w:p>
            <w:pPr>
              <w:pStyle w:val="TableContents"/>
              <w:spacing w:before="0" w:after="0"/>
              <w:ind w:left="0" w:right="0" w:hanging="0"/>
              <w:jc w:val="center"/>
              <w:rPr>
                <w:rFonts w:ascii="Times New Roman;serif" w:hAnsi="Times New Roman;serif"/>
                <w:b w:val="false"/>
                <w:sz w:val="18"/>
              </w:rPr>
            </w:pPr>
            <w:r>
              <w:rPr>
                <w:rFonts w:ascii="Times New Roman;serif" w:hAnsi="Times New Roman;serif"/>
                <w:b w:val="false"/>
                <w:sz w:val="18"/>
              </w:rPr>
              <w:t>Universal Pictures</w:t>
            </w:r>
          </w:p>
        </w:tc>
        <w:tc>
          <w:tcPr>
            <w:tcW w:w="146" w:type="dxa"/>
            <w:tcBorders/>
            <w:shd w:fill="auto" w:val="clear"/>
            <w:vAlign w:val="center"/>
          </w:tcPr>
          <w:p>
            <w:pPr>
              <w:pStyle w:val="TableContents"/>
              <w:spacing w:before="0" w:after="0"/>
              <w:ind w:left="0" w:right="0" w:hanging="0"/>
              <w:jc w:val="center"/>
              <w:rPr/>
            </w:pPr>
            <w:r>
              <w:rPr/>
              <w:t> </w:t>
            </w:r>
          </w:p>
        </w:tc>
        <w:tc>
          <w:tcPr>
            <w:tcW w:w="1351" w:type="dxa"/>
            <w:tcBorders/>
            <w:shd w:fill="auto" w:val="clear"/>
            <w:vAlign w:val="center"/>
          </w:tcPr>
          <w:p>
            <w:pPr>
              <w:pStyle w:val="TableContents"/>
              <w:spacing w:before="0" w:after="0"/>
              <w:ind w:left="0" w:right="0" w:hanging="0"/>
              <w:jc w:val="center"/>
              <w:rPr>
                <w:rFonts w:ascii="Times New Roman;serif" w:hAnsi="Times New Roman;serif"/>
                <w:b w:val="false"/>
                <w:sz w:val="18"/>
              </w:rPr>
            </w:pPr>
            <w:r>
              <w:rPr>
                <w:rFonts w:ascii="Times New Roman;serif" w:hAnsi="Times New Roman;serif"/>
                <w:b w:val="false"/>
                <w:sz w:val="18"/>
              </w:rPr>
              <w:t>May 2023</w:t>
            </w:r>
          </w:p>
        </w:tc>
        <w:tc>
          <w:tcPr>
            <w:tcW w:w="146" w:type="dxa"/>
            <w:tcBorders/>
            <w:shd w:fill="auto" w:val="clear"/>
            <w:vAlign w:val="center"/>
          </w:tcPr>
          <w:p>
            <w:pPr>
              <w:pStyle w:val="TableContents"/>
              <w:spacing w:before="0" w:after="0"/>
              <w:ind w:left="0" w:right="0" w:hanging="0"/>
              <w:jc w:val="center"/>
              <w:rPr/>
            </w:pPr>
            <w:r>
              <w:rPr/>
              <w:t> </w:t>
            </w:r>
          </w:p>
        </w:tc>
        <w:tc>
          <w:tcPr>
            <w:tcW w:w="2416" w:type="dxa"/>
            <w:tcBorders/>
            <w:shd w:fill="auto" w:val="clear"/>
            <w:vAlign w:val="center"/>
          </w:tcPr>
          <w:p>
            <w:pPr>
              <w:pStyle w:val="TableContents"/>
              <w:spacing w:before="0" w:after="0"/>
              <w:ind w:left="0" w:right="0" w:hanging="0"/>
              <w:jc w:val="center"/>
              <w:rPr/>
            </w:pPr>
            <w:r>
              <w:rPr/>
              <w:t>—</w:t>
            </w:r>
          </w:p>
        </w:tc>
      </w:tr>
      <w:tr>
        <w:trPr/>
        <w:tc>
          <w:tcPr>
            <w:tcW w:w="3601" w:type="dxa"/>
            <w:tcBorders/>
            <w:shd w:fill="auto" w:val="clear"/>
            <w:vAlign w:val="center"/>
          </w:tcPr>
          <w:p>
            <w:pPr>
              <w:pStyle w:val="TableContents"/>
              <w:spacing w:before="0" w:after="0"/>
              <w:ind w:left="0" w:right="0" w:hanging="0"/>
              <w:jc w:val="center"/>
              <w:rPr>
                <w:rFonts w:ascii="Times New Roman;serif" w:hAnsi="Times New Roman;serif"/>
                <w:b w:val="false"/>
                <w:i/>
                <w:sz w:val="18"/>
              </w:rPr>
            </w:pPr>
            <w:r>
              <w:rPr>
                <w:rFonts w:ascii="Times New Roman;serif" w:hAnsi="Times New Roman;serif"/>
                <w:b w:val="false"/>
                <w:i/>
                <w:sz w:val="18"/>
              </w:rPr>
              <w:t>The Little Mermaid</w:t>
            </w:r>
          </w:p>
        </w:tc>
        <w:tc>
          <w:tcPr>
            <w:tcW w:w="146" w:type="dxa"/>
            <w:tcBorders/>
            <w:shd w:fill="auto" w:val="clear"/>
            <w:vAlign w:val="center"/>
          </w:tcPr>
          <w:p>
            <w:pPr>
              <w:pStyle w:val="TableContents"/>
              <w:spacing w:before="0" w:after="0"/>
              <w:ind w:left="0" w:right="0" w:hanging="0"/>
              <w:jc w:val="center"/>
              <w:rPr/>
            </w:pPr>
            <w:r>
              <w:rPr/>
              <w:t> </w:t>
            </w:r>
          </w:p>
        </w:tc>
        <w:tc>
          <w:tcPr>
            <w:tcW w:w="1966" w:type="dxa"/>
            <w:tcBorders/>
            <w:shd w:fill="auto" w:val="clear"/>
            <w:vAlign w:val="center"/>
          </w:tcPr>
          <w:p>
            <w:pPr>
              <w:pStyle w:val="TableContents"/>
              <w:spacing w:before="0" w:after="0"/>
              <w:ind w:left="0" w:right="0" w:hanging="0"/>
              <w:jc w:val="center"/>
              <w:rPr>
                <w:rFonts w:ascii="Times New Roman;serif" w:hAnsi="Times New Roman;serif"/>
                <w:b w:val="false"/>
                <w:sz w:val="18"/>
              </w:rPr>
            </w:pPr>
            <w:r>
              <w:rPr>
                <w:rFonts w:ascii="Times New Roman;serif" w:hAnsi="Times New Roman;serif"/>
                <w:b w:val="false"/>
                <w:sz w:val="18"/>
              </w:rPr>
              <w:t>Walt Disney Studios</w:t>
            </w:r>
          </w:p>
        </w:tc>
        <w:tc>
          <w:tcPr>
            <w:tcW w:w="146" w:type="dxa"/>
            <w:tcBorders/>
            <w:shd w:fill="auto" w:val="clear"/>
            <w:vAlign w:val="center"/>
          </w:tcPr>
          <w:p>
            <w:pPr>
              <w:pStyle w:val="TableContents"/>
              <w:spacing w:before="0" w:after="0"/>
              <w:ind w:left="0" w:right="0" w:hanging="0"/>
              <w:jc w:val="center"/>
              <w:rPr/>
            </w:pPr>
            <w:r>
              <w:rPr/>
              <w:t> </w:t>
            </w:r>
          </w:p>
        </w:tc>
        <w:tc>
          <w:tcPr>
            <w:tcW w:w="1351" w:type="dxa"/>
            <w:tcBorders/>
            <w:shd w:fill="auto" w:val="clear"/>
            <w:vAlign w:val="center"/>
          </w:tcPr>
          <w:p>
            <w:pPr>
              <w:pStyle w:val="TableContents"/>
              <w:spacing w:before="0" w:after="0"/>
              <w:ind w:left="0" w:right="0" w:hanging="0"/>
              <w:jc w:val="center"/>
              <w:rPr>
                <w:rFonts w:ascii="Times New Roman;serif" w:hAnsi="Times New Roman;serif"/>
                <w:b w:val="false"/>
                <w:sz w:val="18"/>
              </w:rPr>
            </w:pPr>
            <w:r>
              <w:rPr>
                <w:rFonts w:ascii="Times New Roman;serif" w:hAnsi="Times New Roman;serif"/>
                <w:b w:val="false"/>
                <w:sz w:val="18"/>
              </w:rPr>
              <w:t>May 2023</w:t>
            </w:r>
          </w:p>
        </w:tc>
        <w:tc>
          <w:tcPr>
            <w:tcW w:w="146" w:type="dxa"/>
            <w:tcBorders/>
            <w:shd w:fill="auto" w:val="clear"/>
            <w:vAlign w:val="center"/>
          </w:tcPr>
          <w:p>
            <w:pPr>
              <w:pStyle w:val="TableContents"/>
              <w:spacing w:before="0" w:after="0"/>
              <w:ind w:left="0" w:right="0" w:hanging="0"/>
              <w:jc w:val="center"/>
              <w:rPr/>
            </w:pPr>
            <w:r>
              <w:rPr/>
              <w:t> </w:t>
            </w:r>
          </w:p>
        </w:tc>
        <w:tc>
          <w:tcPr>
            <w:tcW w:w="2416" w:type="dxa"/>
            <w:tcBorders/>
            <w:shd w:fill="auto" w:val="clear"/>
            <w:vAlign w:val="center"/>
          </w:tcPr>
          <w:p>
            <w:pPr>
              <w:pStyle w:val="TableContents"/>
              <w:spacing w:before="0" w:after="0"/>
              <w:ind w:left="0" w:right="0" w:hanging="0"/>
              <w:jc w:val="center"/>
              <w:rPr/>
            </w:pPr>
            <w:r>
              <w:rPr/>
              <w:t>—</w:t>
            </w:r>
          </w:p>
        </w:tc>
      </w:tr>
      <w:tr>
        <w:trPr/>
        <w:tc>
          <w:tcPr>
            <w:tcW w:w="3601" w:type="dxa"/>
            <w:tcBorders/>
            <w:shd w:fill="auto" w:val="clear"/>
            <w:vAlign w:val="center"/>
          </w:tcPr>
          <w:p>
            <w:pPr>
              <w:pStyle w:val="TableContents"/>
              <w:spacing w:before="0" w:after="0"/>
              <w:ind w:left="0" w:right="0" w:hanging="0"/>
              <w:jc w:val="center"/>
              <w:rPr>
                <w:rFonts w:ascii="Times New Roman;serif" w:hAnsi="Times New Roman;serif"/>
                <w:b w:val="false"/>
                <w:i/>
                <w:sz w:val="18"/>
              </w:rPr>
            </w:pPr>
            <w:r>
              <w:rPr>
                <w:rFonts w:ascii="Times New Roman;serif" w:hAnsi="Times New Roman;serif"/>
                <w:b w:val="false"/>
                <w:i/>
                <w:sz w:val="18"/>
              </w:rPr>
              <w:t>Spider-Man: Across the Spider-Verse</w:t>
            </w:r>
          </w:p>
        </w:tc>
        <w:tc>
          <w:tcPr>
            <w:tcW w:w="146" w:type="dxa"/>
            <w:tcBorders/>
            <w:shd w:fill="auto" w:val="clear"/>
            <w:vAlign w:val="center"/>
          </w:tcPr>
          <w:p>
            <w:pPr>
              <w:pStyle w:val="TableContents"/>
              <w:spacing w:before="0" w:after="0"/>
              <w:ind w:left="0" w:right="0" w:hanging="0"/>
              <w:jc w:val="center"/>
              <w:rPr/>
            </w:pPr>
            <w:r>
              <w:rPr/>
              <w:t> </w:t>
            </w:r>
          </w:p>
        </w:tc>
        <w:tc>
          <w:tcPr>
            <w:tcW w:w="1966" w:type="dxa"/>
            <w:tcBorders/>
            <w:shd w:fill="auto" w:val="clear"/>
            <w:vAlign w:val="center"/>
          </w:tcPr>
          <w:p>
            <w:pPr>
              <w:pStyle w:val="TableContents"/>
              <w:spacing w:before="0" w:after="0"/>
              <w:ind w:left="0" w:right="0" w:hanging="0"/>
              <w:jc w:val="center"/>
              <w:rPr>
                <w:rFonts w:ascii="Times New Roman;serif" w:hAnsi="Times New Roman;serif"/>
                <w:b w:val="false"/>
                <w:sz w:val="18"/>
              </w:rPr>
            </w:pPr>
            <w:r>
              <w:rPr>
                <w:rFonts w:ascii="Times New Roman;serif" w:hAnsi="Times New Roman;serif"/>
                <w:b w:val="false"/>
                <w:sz w:val="18"/>
              </w:rPr>
              <w:t>Sony Pictures</w:t>
            </w:r>
          </w:p>
        </w:tc>
        <w:tc>
          <w:tcPr>
            <w:tcW w:w="146" w:type="dxa"/>
            <w:tcBorders/>
            <w:shd w:fill="auto" w:val="clear"/>
            <w:vAlign w:val="center"/>
          </w:tcPr>
          <w:p>
            <w:pPr>
              <w:pStyle w:val="TableContents"/>
              <w:spacing w:before="0" w:after="0"/>
              <w:ind w:left="0" w:right="0" w:hanging="0"/>
              <w:jc w:val="center"/>
              <w:rPr/>
            </w:pPr>
            <w:r>
              <w:rPr/>
              <w:t> </w:t>
            </w:r>
          </w:p>
        </w:tc>
        <w:tc>
          <w:tcPr>
            <w:tcW w:w="1351" w:type="dxa"/>
            <w:tcBorders/>
            <w:shd w:fill="auto" w:val="clear"/>
            <w:vAlign w:val="center"/>
          </w:tcPr>
          <w:p>
            <w:pPr>
              <w:pStyle w:val="TableContents"/>
              <w:spacing w:before="0" w:after="0"/>
              <w:ind w:left="0" w:right="0" w:hanging="0"/>
              <w:jc w:val="center"/>
              <w:rPr>
                <w:rFonts w:ascii="Times New Roman;serif" w:hAnsi="Times New Roman;serif"/>
                <w:b w:val="false"/>
                <w:sz w:val="18"/>
              </w:rPr>
            </w:pPr>
            <w:r>
              <w:rPr>
                <w:rFonts w:ascii="Times New Roman;serif" w:hAnsi="Times New Roman;serif"/>
                <w:b w:val="false"/>
                <w:sz w:val="18"/>
              </w:rPr>
              <w:t>June 2023</w:t>
            </w:r>
          </w:p>
        </w:tc>
        <w:tc>
          <w:tcPr>
            <w:tcW w:w="146" w:type="dxa"/>
            <w:tcBorders/>
            <w:shd w:fill="auto" w:val="clear"/>
            <w:vAlign w:val="center"/>
          </w:tcPr>
          <w:p>
            <w:pPr>
              <w:pStyle w:val="TableContents"/>
              <w:spacing w:before="0" w:after="0"/>
              <w:ind w:left="0" w:right="0" w:hanging="0"/>
              <w:jc w:val="center"/>
              <w:rPr/>
            </w:pPr>
            <w:r>
              <w:rPr/>
              <w:t> </w:t>
            </w:r>
          </w:p>
        </w:tc>
        <w:tc>
          <w:tcPr>
            <w:tcW w:w="2416" w:type="dxa"/>
            <w:tcBorders/>
            <w:shd w:fill="auto" w:val="clear"/>
            <w:vAlign w:val="center"/>
          </w:tcPr>
          <w:p>
            <w:pPr>
              <w:pStyle w:val="TableContents"/>
              <w:spacing w:before="0" w:after="0"/>
              <w:ind w:left="0" w:right="0" w:hanging="0"/>
              <w:jc w:val="center"/>
              <w:rPr/>
            </w:pPr>
            <w:r>
              <w:rPr/>
              <w:t>—</w:t>
            </w:r>
          </w:p>
        </w:tc>
      </w:tr>
      <w:tr>
        <w:trPr/>
        <w:tc>
          <w:tcPr>
            <w:tcW w:w="3601" w:type="dxa"/>
            <w:tcBorders/>
            <w:shd w:fill="auto" w:val="clear"/>
            <w:vAlign w:val="center"/>
          </w:tcPr>
          <w:p>
            <w:pPr>
              <w:pStyle w:val="TableContents"/>
              <w:spacing w:before="0" w:after="0"/>
              <w:ind w:left="0" w:right="0" w:hanging="0"/>
              <w:jc w:val="center"/>
              <w:rPr>
                <w:rFonts w:ascii="Times New Roman;serif" w:hAnsi="Times New Roman;serif"/>
                <w:b w:val="false"/>
                <w:i/>
                <w:sz w:val="18"/>
              </w:rPr>
            </w:pPr>
            <w:r>
              <w:rPr>
                <w:rFonts w:ascii="Times New Roman;serif" w:hAnsi="Times New Roman;serif"/>
                <w:b w:val="false"/>
                <w:i/>
                <w:sz w:val="18"/>
              </w:rPr>
              <w:t>Transformers: Rise of the Beasts</w:t>
            </w:r>
          </w:p>
        </w:tc>
        <w:tc>
          <w:tcPr>
            <w:tcW w:w="146" w:type="dxa"/>
            <w:tcBorders/>
            <w:shd w:fill="auto" w:val="clear"/>
            <w:vAlign w:val="center"/>
          </w:tcPr>
          <w:p>
            <w:pPr>
              <w:pStyle w:val="TableContents"/>
              <w:spacing w:before="0" w:after="0"/>
              <w:ind w:left="0" w:right="0" w:hanging="0"/>
              <w:jc w:val="center"/>
              <w:rPr/>
            </w:pPr>
            <w:r>
              <w:rPr/>
              <w:t> </w:t>
            </w:r>
          </w:p>
        </w:tc>
        <w:tc>
          <w:tcPr>
            <w:tcW w:w="1966" w:type="dxa"/>
            <w:tcBorders/>
            <w:shd w:fill="auto" w:val="clear"/>
            <w:vAlign w:val="center"/>
          </w:tcPr>
          <w:p>
            <w:pPr>
              <w:pStyle w:val="TableContents"/>
              <w:spacing w:before="0" w:after="0"/>
              <w:ind w:left="0" w:right="0" w:hanging="0"/>
              <w:jc w:val="center"/>
              <w:rPr>
                <w:rFonts w:ascii="Times New Roman;serif" w:hAnsi="Times New Roman;serif"/>
                <w:b w:val="false"/>
                <w:sz w:val="18"/>
              </w:rPr>
            </w:pPr>
            <w:r>
              <w:rPr>
                <w:rFonts w:ascii="Times New Roman;serif" w:hAnsi="Times New Roman;serif"/>
                <w:b w:val="false"/>
                <w:sz w:val="18"/>
              </w:rPr>
              <w:t>Paramount Pictures</w:t>
            </w:r>
          </w:p>
        </w:tc>
        <w:tc>
          <w:tcPr>
            <w:tcW w:w="146" w:type="dxa"/>
            <w:tcBorders/>
            <w:shd w:fill="auto" w:val="clear"/>
            <w:vAlign w:val="center"/>
          </w:tcPr>
          <w:p>
            <w:pPr>
              <w:pStyle w:val="TableContents"/>
              <w:spacing w:before="0" w:after="0"/>
              <w:ind w:left="0" w:right="0" w:hanging="0"/>
              <w:jc w:val="center"/>
              <w:rPr/>
            </w:pPr>
            <w:r>
              <w:rPr/>
              <w:t> </w:t>
            </w:r>
          </w:p>
        </w:tc>
        <w:tc>
          <w:tcPr>
            <w:tcW w:w="1351" w:type="dxa"/>
            <w:tcBorders/>
            <w:shd w:fill="auto" w:val="clear"/>
            <w:vAlign w:val="center"/>
          </w:tcPr>
          <w:p>
            <w:pPr>
              <w:pStyle w:val="TableContents"/>
              <w:spacing w:before="0" w:after="0"/>
              <w:ind w:left="0" w:right="0" w:hanging="0"/>
              <w:jc w:val="center"/>
              <w:rPr>
                <w:rFonts w:ascii="Times New Roman;serif" w:hAnsi="Times New Roman;serif"/>
                <w:b w:val="false"/>
                <w:sz w:val="18"/>
              </w:rPr>
            </w:pPr>
            <w:r>
              <w:rPr>
                <w:rFonts w:ascii="Times New Roman;serif" w:hAnsi="Times New Roman;serif"/>
                <w:b w:val="false"/>
                <w:sz w:val="18"/>
              </w:rPr>
              <w:t>June 2023</w:t>
            </w:r>
          </w:p>
        </w:tc>
        <w:tc>
          <w:tcPr>
            <w:tcW w:w="146" w:type="dxa"/>
            <w:tcBorders/>
            <w:shd w:fill="auto" w:val="clear"/>
            <w:vAlign w:val="center"/>
          </w:tcPr>
          <w:p>
            <w:pPr>
              <w:pStyle w:val="TableContents"/>
              <w:spacing w:before="0" w:after="0"/>
              <w:ind w:left="0" w:right="0" w:hanging="0"/>
              <w:jc w:val="center"/>
              <w:rPr/>
            </w:pPr>
            <w:r>
              <w:rPr/>
              <w:t> </w:t>
            </w:r>
          </w:p>
        </w:tc>
        <w:tc>
          <w:tcPr>
            <w:tcW w:w="2416" w:type="dxa"/>
            <w:tcBorders/>
            <w:shd w:fill="auto" w:val="clear"/>
            <w:vAlign w:val="center"/>
          </w:tcPr>
          <w:p>
            <w:pPr>
              <w:pStyle w:val="TableContents"/>
              <w:spacing w:before="0" w:after="0"/>
              <w:ind w:left="0" w:right="0" w:hanging="0"/>
              <w:jc w:val="center"/>
              <w:rPr/>
            </w:pPr>
            <w:r>
              <w:rPr/>
              <w:t>—</w:t>
            </w:r>
          </w:p>
        </w:tc>
      </w:tr>
      <w:tr>
        <w:trPr/>
        <w:tc>
          <w:tcPr>
            <w:tcW w:w="3601" w:type="dxa"/>
            <w:tcBorders/>
            <w:shd w:fill="auto" w:val="clear"/>
            <w:vAlign w:val="center"/>
          </w:tcPr>
          <w:p>
            <w:pPr>
              <w:pStyle w:val="TableContents"/>
              <w:spacing w:before="0" w:after="0"/>
              <w:ind w:left="0" w:right="0" w:hanging="0"/>
              <w:jc w:val="center"/>
              <w:rPr>
                <w:rFonts w:ascii="Times New Roman;serif" w:hAnsi="Times New Roman;serif"/>
                <w:b w:val="false"/>
                <w:i/>
                <w:sz w:val="18"/>
              </w:rPr>
            </w:pPr>
            <w:r>
              <w:rPr>
                <w:rFonts w:ascii="Times New Roman;serif" w:hAnsi="Times New Roman;serif"/>
                <w:b w:val="false"/>
                <w:i/>
                <w:sz w:val="18"/>
              </w:rPr>
              <w:t>The Flash</w:t>
            </w:r>
          </w:p>
        </w:tc>
        <w:tc>
          <w:tcPr>
            <w:tcW w:w="146" w:type="dxa"/>
            <w:tcBorders/>
            <w:shd w:fill="auto" w:val="clear"/>
            <w:vAlign w:val="center"/>
          </w:tcPr>
          <w:p>
            <w:pPr>
              <w:pStyle w:val="TableContents"/>
              <w:spacing w:before="0" w:after="0"/>
              <w:ind w:left="0" w:right="0" w:hanging="0"/>
              <w:jc w:val="center"/>
              <w:rPr/>
            </w:pPr>
            <w:r>
              <w:rPr/>
              <w:t> </w:t>
            </w:r>
          </w:p>
        </w:tc>
        <w:tc>
          <w:tcPr>
            <w:tcW w:w="1966" w:type="dxa"/>
            <w:tcBorders/>
            <w:shd w:fill="auto" w:val="clear"/>
            <w:vAlign w:val="center"/>
          </w:tcPr>
          <w:p>
            <w:pPr>
              <w:pStyle w:val="TableContents"/>
              <w:spacing w:before="0" w:after="0"/>
              <w:ind w:left="0" w:right="0" w:hanging="0"/>
              <w:jc w:val="center"/>
              <w:rPr>
                <w:rFonts w:ascii="Times New Roman;serif" w:hAnsi="Times New Roman;serif"/>
                <w:b w:val="false"/>
                <w:sz w:val="18"/>
              </w:rPr>
            </w:pPr>
            <w:r>
              <w:rPr>
                <w:rFonts w:ascii="Times New Roman;serif" w:hAnsi="Times New Roman;serif"/>
                <w:b w:val="false"/>
                <w:sz w:val="18"/>
              </w:rPr>
              <w:t>Warner Bros. Pictures</w:t>
            </w:r>
          </w:p>
        </w:tc>
        <w:tc>
          <w:tcPr>
            <w:tcW w:w="146" w:type="dxa"/>
            <w:tcBorders/>
            <w:shd w:fill="auto" w:val="clear"/>
            <w:vAlign w:val="center"/>
          </w:tcPr>
          <w:p>
            <w:pPr>
              <w:pStyle w:val="TableContents"/>
              <w:spacing w:before="0" w:after="0"/>
              <w:ind w:left="0" w:right="0" w:hanging="0"/>
              <w:jc w:val="center"/>
              <w:rPr/>
            </w:pPr>
            <w:r>
              <w:rPr/>
              <w:t> </w:t>
            </w:r>
          </w:p>
        </w:tc>
        <w:tc>
          <w:tcPr>
            <w:tcW w:w="1351" w:type="dxa"/>
            <w:tcBorders/>
            <w:shd w:fill="auto" w:val="clear"/>
            <w:vAlign w:val="center"/>
          </w:tcPr>
          <w:p>
            <w:pPr>
              <w:pStyle w:val="TableContents"/>
              <w:spacing w:before="0" w:after="0"/>
              <w:ind w:left="0" w:right="0" w:hanging="0"/>
              <w:jc w:val="center"/>
              <w:rPr>
                <w:rFonts w:ascii="Times New Roman;serif" w:hAnsi="Times New Roman;serif"/>
                <w:b w:val="false"/>
                <w:sz w:val="18"/>
              </w:rPr>
            </w:pPr>
            <w:r>
              <w:rPr>
                <w:rFonts w:ascii="Times New Roman;serif" w:hAnsi="Times New Roman;serif"/>
                <w:b w:val="false"/>
                <w:sz w:val="18"/>
              </w:rPr>
              <w:t>June 2023</w:t>
            </w:r>
          </w:p>
        </w:tc>
        <w:tc>
          <w:tcPr>
            <w:tcW w:w="146" w:type="dxa"/>
            <w:tcBorders/>
            <w:shd w:fill="auto" w:val="clear"/>
            <w:vAlign w:val="center"/>
          </w:tcPr>
          <w:p>
            <w:pPr>
              <w:pStyle w:val="TableContents"/>
              <w:spacing w:before="0" w:after="0"/>
              <w:ind w:left="0" w:right="0" w:hanging="0"/>
              <w:jc w:val="center"/>
              <w:rPr/>
            </w:pPr>
            <w:r>
              <w:rPr/>
              <w:t> </w:t>
            </w:r>
          </w:p>
        </w:tc>
        <w:tc>
          <w:tcPr>
            <w:tcW w:w="2416" w:type="dxa"/>
            <w:tcBorders/>
            <w:shd w:fill="auto" w:val="clear"/>
            <w:vAlign w:val="center"/>
          </w:tcPr>
          <w:p>
            <w:pPr>
              <w:pStyle w:val="TableContents"/>
              <w:spacing w:before="0" w:after="0"/>
              <w:ind w:left="0" w:right="0" w:hanging="0"/>
              <w:jc w:val="center"/>
              <w:rPr/>
            </w:pPr>
            <w:r>
              <w:rPr/>
              <w:t>—</w:t>
            </w:r>
          </w:p>
        </w:tc>
      </w:tr>
      <w:tr>
        <w:trPr/>
        <w:tc>
          <w:tcPr>
            <w:tcW w:w="3601" w:type="dxa"/>
            <w:tcBorders/>
            <w:shd w:fill="auto" w:val="clear"/>
            <w:vAlign w:val="center"/>
          </w:tcPr>
          <w:p>
            <w:pPr>
              <w:pStyle w:val="TableContents"/>
              <w:spacing w:before="0" w:after="0"/>
              <w:ind w:left="0" w:right="0" w:hanging="0"/>
              <w:jc w:val="center"/>
              <w:rPr>
                <w:rFonts w:ascii="Times New Roman" w:hAnsi="Times New Roman"/>
                <w:sz w:val="18"/>
              </w:rPr>
            </w:pPr>
            <w:r>
              <w:rPr>
                <w:rFonts w:ascii="Times New Roman;serif" w:hAnsi="Times New Roman;serif"/>
                <w:b w:val="false"/>
                <w:i/>
                <w:sz w:val="18"/>
              </w:rPr>
              <w:t>Adipurush</w:t>
            </w:r>
            <w:r>
              <w:rPr>
                <w:rFonts w:ascii="Times New Roman;serif" w:hAnsi="Times New Roman;serif"/>
                <w:b w:val="false"/>
                <w:sz w:val="12"/>
              </w:rPr>
              <w:t>(2)</w:t>
            </w:r>
          </w:p>
        </w:tc>
        <w:tc>
          <w:tcPr>
            <w:tcW w:w="146" w:type="dxa"/>
            <w:tcBorders/>
            <w:shd w:fill="auto" w:val="clear"/>
            <w:vAlign w:val="center"/>
          </w:tcPr>
          <w:p>
            <w:pPr>
              <w:pStyle w:val="TableContents"/>
              <w:spacing w:before="0" w:after="0"/>
              <w:ind w:left="0" w:right="0" w:hanging="0"/>
              <w:jc w:val="center"/>
              <w:rPr/>
            </w:pPr>
            <w:r>
              <w:rPr/>
              <w:t> </w:t>
            </w:r>
          </w:p>
        </w:tc>
        <w:tc>
          <w:tcPr>
            <w:tcW w:w="1966" w:type="dxa"/>
            <w:tcBorders/>
            <w:shd w:fill="auto" w:val="clear"/>
            <w:vAlign w:val="center"/>
          </w:tcPr>
          <w:p>
            <w:pPr>
              <w:pStyle w:val="TableContents"/>
              <w:spacing w:before="0" w:after="0"/>
              <w:ind w:left="0" w:right="0" w:hanging="0"/>
              <w:jc w:val="center"/>
              <w:rPr>
                <w:rFonts w:ascii="Times New Roman;serif" w:hAnsi="Times New Roman;serif"/>
                <w:b w:val="false"/>
                <w:sz w:val="18"/>
              </w:rPr>
            </w:pPr>
            <w:r>
              <w:rPr>
                <w:rFonts w:ascii="Times New Roman;serif" w:hAnsi="Times New Roman;serif"/>
                <w:b w:val="false"/>
                <w:sz w:val="18"/>
              </w:rPr>
              <w:t>T-Series</w:t>
            </w:r>
          </w:p>
        </w:tc>
        <w:tc>
          <w:tcPr>
            <w:tcW w:w="146" w:type="dxa"/>
            <w:tcBorders/>
            <w:shd w:fill="auto" w:val="clear"/>
            <w:vAlign w:val="center"/>
          </w:tcPr>
          <w:p>
            <w:pPr>
              <w:pStyle w:val="TableContents"/>
              <w:spacing w:before="0" w:after="0"/>
              <w:ind w:left="0" w:right="0" w:hanging="0"/>
              <w:jc w:val="center"/>
              <w:rPr/>
            </w:pPr>
            <w:r>
              <w:rPr/>
              <w:t> </w:t>
            </w:r>
          </w:p>
        </w:tc>
        <w:tc>
          <w:tcPr>
            <w:tcW w:w="1351" w:type="dxa"/>
            <w:tcBorders/>
            <w:shd w:fill="auto" w:val="clear"/>
            <w:vAlign w:val="center"/>
          </w:tcPr>
          <w:p>
            <w:pPr>
              <w:pStyle w:val="TableContents"/>
              <w:spacing w:before="0" w:after="0"/>
              <w:ind w:left="0" w:right="0" w:hanging="0"/>
              <w:jc w:val="center"/>
              <w:rPr>
                <w:rFonts w:ascii="Times New Roman;serif" w:hAnsi="Times New Roman;serif"/>
                <w:b w:val="false"/>
                <w:sz w:val="18"/>
              </w:rPr>
            </w:pPr>
            <w:r>
              <w:rPr>
                <w:rFonts w:ascii="Times New Roman;serif" w:hAnsi="Times New Roman;serif"/>
                <w:b w:val="false"/>
                <w:sz w:val="18"/>
              </w:rPr>
              <w:t>June 2023</w:t>
            </w:r>
          </w:p>
        </w:tc>
        <w:tc>
          <w:tcPr>
            <w:tcW w:w="146" w:type="dxa"/>
            <w:tcBorders/>
            <w:shd w:fill="auto" w:val="clear"/>
            <w:vAlign w:val="center"/>
          </w:tcPr>
          <w:p>
            <w:pPr>
              <w:pStyle w:val="TableContents"/>
              <w:spacing w:before="0" w:after="0"/>
              <w:ind w:left="0" w:right="0" w:hanging="0"/>
              <w:jc w:val="center"/>
              <w:rPr/>
            </w:pPr>
            <w:r>
              <w:rPr/>
              <w:t> </w:t>
            </w:r>
          </w:p>
        </w:tc>
        <w:tc>
          <w:tcPr>
            <w:tcW w:w="2416" w:type="dxa"/>
            <w:tcBorders/>
            <w:shd w:fill="auto" w:val="clear"/>
            <w:vAlign w:val="center"/>
          </w:tcPr>
          <w:p>
            <w:pPr>
              <w:pStyle w:val="TableContents"/>
              <w:spacing w:before="0" w:after="0"/>
              <w:ind w:left="0" w:right="0" w:hanging="0"/>
              <w:jc w:val="center"/>
              <w:rPr/>
            </w:pPr>
            <w:r>
              <w:rPr/>
              <w:t>—</w:t>
            </w:r>
          </w:p>
        </w:tc>
      </w:tr>
      <w:tr>
        <w:trPr/>
        <w:tc>
          <w:tcPr>
            <w:tcW w:w="3601" w:type="dxa"/>
            <w:tcBorders/>
            <w:shd w:fill="auto" w:val="clear"/>
            <w:vAlign w:val="center"/>
          </w:tcPr>
          <w:p>
            <w:pPr>
              <w:pStyle w:val="TableContents"/>
              <w:spacing w:before="0" w:after="0"/>
              <w:ind w:left="0" w:right="0" w:hanging="0"/>
              <w:jc w:val="center"/>
              <w:rPr>
                <w:rFonts w:ascii="Times New Roman;serif" w:hAnsi="Times New Roman;serif"/>
                <w:b w:val="false"/>
                <w:i/>
                <w:sz w:val="18"/>
              </w:rPr>
            </w:pPr>
            <w:r>
              <w:rPr>
                <w:rFonts w:ascii="Times New Roman;serif" w:hAnsi="Times New Roman;serif"/>
                <w:b w:val="false"/>
                <w:i/>
                <w:sz w:val="18"/>
              </w:rPr>
              <w:t>Indiana Jones and the Dial of Destiny</w:t>
            </w:r>
          </w:p>
        </w:tc>
        <w:tc>
          <w:tcPr>
            <w:tcW w:w="146" w:type="dxa"/>
            <w:tcBorders/>
            <w:shd w:fill="auto" w:val="clear"/>
            <w:vAlign w:val="center"/>
          </w:tcPr>
          <w:p>
            <w:pPr>
              <w:pStyle w:val="TableContents"/>
              <w:spacing w:before="0" w:after="0"/>
              <w:ind w:left="0" w:right="0" w:hanging="0"/>
              <w:jc w:val="center"/>
              <w:rPr/>
            </w:pPr>
            <w:r>
              <w:rPr/>
              <w:t> </w:t>
            </w:r>
          </w:p>
        </w:tc>
        <w:tc>
          <w:tcPr>
            <w:tcW w:w="1966" w:type="dxa"/>
            <w:tcBorders/>
            <w:shd w:fill="auto" w:val="clear"/>
            <w:vAlign w:val="center"/>
          </w:tcPr>
          <w:p>
            <w:pPr>
              <w:pStyle w:val="TableContents"/>
              <w:spacing w:before="0" w:after="0"/>
              <w:ind w:left="0" w:right="0" w:hanging="0"/>
              <w:jc w:val="center"/>
              <w:rPr>
                <w:rFonts w:ascii="Times New Roman;serif" w:hAnsi="Times New Roman;serif"/>
                <w:b w:val="false"/>
                <w:sz w:val="18"/>
              </w:rPr>
            </w:pPr>
            <w:r>
              <w:rPr>
                <w:rFonts w:ascii="Times New Roman;serif" w:hAnsi="Times New Roman;serif"/>
                <w:b w:val="false"/>
                <w:sz w:val="18"/>
              </w:rPr>
              <w:t>Walt Disney Studios</w:t>
            </w:r>
          </w:p>
        </w:tc>
        <w:tc>
          <w:tcPr>
            <w:tcW w:w="146" w:type="dxa"/>
            <w:tcBorders/>
            <w:shd w:fill="auto" w:val="clear"/>
            <w:vAlign w:val="center"/>
          </w:tcPr>
          <w:p>
            <w:pPr>
              <w:pStyle w:val="TableContents"/>
              <w:spacing w:before="0" w:after="0"/>
              <w:ind w:left="0" w:right="0" w:hanging="0"/>
              <w:jc w:val="center"/>
              <w:rPr/>
            </w:pPr>
            <w:r>
              <w:rPr/>
              <w:t> </w:t>
            </w:r>
          </w:p>
        </w:tc>
        <w:tc>
          <w:tcPr>
            <w:tcW w:w="1351" w:type="dxa"/>
            <w:tcBorders/>
            <w:shd w:fill="auto" w:val="clear"/>
            <w:vAlign w:val="center"/>
          </w:tcPr>
          <w:p>
            <w:pPr>
              <w:pStyle w:val="TableContents"/>
              <w:spacing w:before="0" w:after="0"/>
              <w:ind w:left="0" w:right="0" w:hanging="0"/>
              <w:jc w:val="center"/>
              <w:rPr>
                <w:rFonts w:ascii="Times New Roman;serif" w:hAnsi="Times New Roman;serif"/>
                <w:b w:val="false"/>
                <w:sz w:val="18"/>
              </w:rPr>
            </w:pPr>
            <w:r>
              <w:rPr>
                <w:rFonts w:ascii="Times New Roman;serif" w:hAnsi="Times New Roman;serif"/>
                <w:b w:val="false"/>
                <w:sz w:val="18"/>
              </w:rPr>
              <w:t>June 2023</w:t>
            </w:r>
          </w:p>
        </w:tc>
        <w:tc>
          <w:tcPr>
            <w:tcW w:w="146" w:type="dxa"/>
            <w:tcBorders/>
            <w:shd w:fill="auto" w:val="clear"/>
            <w:vAlign w:val="center"/>
          </w:tcPr>
          <w:p>
            <w:pPr>
              <w:pStyle w:val="TableContents"/>
              <w:spacing w:before="0" w:after="0"/>
              <w:ind w:left="0" w:right="0" w:hanging="0"/>
              <w:jc w:val="center"/>
              <w:rPr/>
            </w:pPr>
            <w:r>
              <w:rPr/>
              <w:t> </w:t>
            </w:r>
          </w:p>
        </w:tc>
        <w:tc>
          <w:tcPr>
            <w:tcW w:w="2416" w:type="dxa"/>
            <w:tcBorders/>
            <w:shd w:fill="auto" w:val="clear"/>
            <w:vAlign w:val="center"/>
          </w:tcPr>
          <w:p>
            <w:pPr>
              <w:pStyle w:val="TableContents"/>
              <w:spacing w:before="0" w:after="0"/>
              <w:ind w:left="0" w:right="0" w:hanging="0"/>
              <w:jc w:val="center"/>
              <w:rPr/>
            </w:pPr>
            <w:r>
              <w:rPr/>
              <w:t>—</w:t>
            </w:r>
          </w:p>
        </w:tc>
      </w:tr>
      <w:tr>
        <w:trPr/>
        <w:tc>
          <w:tcPr>
            <w:tcW w:w="3601" w:type="dxa"/>
            <w:tcBorders/>
            <w:shd w:fill="auto" w:val="clear"/>
            <w:vAlign w:val="center"/>
          </w:tcPr>
          <w:p>
            <w:pPr>
              <w:pStyle w:val="TableContents"/>
              <w:spacing w:before="0" w:after="0"/>
              <w:ind w:left="0" w:right="0" w:hanging="0"/>
              <w:jc w:val="center"/>
              <w:rPr>
                <w:rFonts w:ascii="Times New Roman;serif" w:hAnsi="Times New Roman;serif"/>
                <w:b w:val="false"/>
                <w:i/>
                <w:sz w:val="18"/>
              </w:rPr>
            </w:pPr>
            <w:r>
              <w:rPr>
                <w:rFonts w:ascii="Times New Roman;serif" w:hAnsi="Times New Roman;serif"/>
                <w:b w:val="false"/>
                <w:i/>
                <w:sz w:val="18"/>
              </w:rPr>
              <w:t>Mission: Impossible - Dead Reckoning Part One</w:t>
            </w:r>
          </w:p>
        </w:tc>
        <w:tc>
          <w:tcPr>
            <w:tcW w:w="146" w:type="dxa"/>
            <w:tcBorders/>
            <w:shd w:fill="auto" w:val="clear"/>
            <w:vAlign w:val="center"/>
          </w:tcPr>
          <w:p>
            <w:pPr>
              <w:pStyle w:val="TableContents"/>
              <w:spacing w:before="0" w:after="0"/>
              <w:ind w:left="0" w:right="0" w:hanging="0"/>
              <w:jc w:val="center"/>
              <w:rPr/>
            </w:pPr>
            <w:r>
              <w:rPr/>
              <w:t> </w:t>
            </w:r>
          </w:p>
        </w:tc>
        <w:tc>
          <w:tcPr>
            <w:tcW w:w="1966" w:type="dxa"/>
            <w:tcBorders/>
            <w:shd w:fill="auto" w:val="clear"/>
            <w:vAlign w:val="center"/>
          </w:tcPr>
          <w:p>
            <w:pPr>
              <w:pStyle w:val="TableContents"/>
              <w:spacing w:before="0" w:after="0"/>
              <w:ind w:left="0" w:right="0" w:hanging="0"/>
              <w:jc w:val="center"/>
              <w:rPr>
                <w:rFonts w:ascii="Times New Roman;serif" w:hAnsi="Times New Roman;serif"/>
                <w:b w:val="false"/>
                <w:sz w:val="18"/>
              </w:rPr>
            </w:pPr>
            <w:r>
              <w:rPr>
                <w:rFonts w:ascii="Times New Roman;serif" w:hAnsi="Times New Roman;serif"/>
                <w:b w:val="false"/>
                <w:sz w:val="18"/>
              </w:rPr>
              <w:t>Paramount Pictures</w:t>
            </w:r>
          </w:p>
        </w:tc>
        <w:tc>
          <w:tcPr>
            <w:tcW w:w="146" w:type="dxa"/>
            <w:tcBorders/>
            <w:shd w:fill="auto" w:val="clear"/>
            <w:vAlign w:val="center"/>
          </w:tcPr>
          <w:p>
            <w:pPr>
              <w:pStyle w:val="TableContents"/>
              <w:spacing w:before="0" w:after="0"/>
              <w:ind w:left="0" w:right="0" w:hanging="0"/>
              <w:jc w:val="center"/>
              <w:rPr/>
            </w:pPr>
            <w:r>
              <w:rPr/>
              <w:t> </w:t>
            </w:r>
          </w:p>
        </w:tc>
        <w:tc>
          <w:tcPr>
            <w:tcW w:w="1351" w:type="dxa"/>
            <w:tcBorders/>
            <w:shd w:fill="auto" w:val="clear"/>
            <w:vAlign w:val="center"/>
          </w:tcPr>
          <w:p>
            <w:pPr>
              <w:pStyle w:val="TableContents"/>
              <w:spacing w:before="0" w:after="0"/>
              <w:ind w:left="0" w:right="0" w:hanging="0"/>
              <w:jc w:val="center"/>
              <w:rPr>
                <w:rFonts w:ascii="Times New Roman;serif" w:hAnsi="Times New Roman;serif"/>
                <w:b w:val="false"/>
                <w:sz w:val="18"/>
              </w:rPr>
            </w:pPr>
            <w:r>
              <w:rPr>
                <w:rFonts w:ascii="Times New Roman;serif" w:hAnsi="Times New Roman;serif"/>
                <w:b w:val="false"/>
                <w:sz w:val="18"/>
              </w:rPr>
              <w:t>July 2023</w:t>
            </w:r>
          </w:p>
        </w:tc>
        <w:tc>
          <w:tcPr>
            <w:tcW w:w="146" w:type="dxa"/>
            <w:tcBorders/>
            <w:shd w:fill="auto" w:val="clear"/>
            <w:vAlign w:val="center"/>
          </w:tcPr>
          <w:p>
            <w:pPr>
              <w:pStyle w:val="TableContents"/>
              <w:spacing w:before="0" w:after="0"/>
              <w:ind w:left="0" w:right="0" w:hanging="0"/>
              <w:jc w:val="center"/>
              <w:rPr/>
            </w:pPr>
            <w:r>
              <w:rPr/>
              <w:t> </w:t>
            </w:r>
          </w:p>
        </w:tc>
        <w:tc>
          <w:tcPr>
            <w:tcW w:w="2416" w:type="dxa"/>
            <w:tcBorders/>
            <w:shd w:fill="auto" w:val="clear"/>
            <w:vAlign w:val="center"/>
          </w:tcPr>
          <w:p>
            <w:pPr>
              <w:pStyle w:val="TableContents"/>
              <w:spacing w:before="0" w:after="0"/>
              <w:ind w:left="0" w:right="0" w:hanging="0"/>
              <w:jc w:val="center"/>
              <w:rPr/>
            </w:pPr>
            <w:r>
              <w:rPr/>
              <w:t>—</w:t>
            </w:r>
          </w:p>
        </w:tc>
      </w:tr>
      <w:tr>
        <w:trPr/>
        <w:tc>
          <w:tcPr>
            <w:tcW w:w="3601" w:type="dxa"/>
            <w:tcBorders/>
            <w:shd w:fill="auto" w:val="clear"/>
            <w:vAlign w:val="center"/>
          </w:tcPr>
          <w:p>
            <w:pPr>
              <w:pStyle w:val="TableContents"/>
              <w:spacing w:before="0" w:after="0"/>
              <w:ind w:left="0" w:right="0" w:hanging="0"/>
              <w:jc w:val="center"/>
              <w:rPr>
                <w:rFonts w:ascii="Times New Roman;serif" w:hAnsi="Times New Roman;serif"/>
                <w:b w:val="false"/>
                <w:i/>
                <w:sz w:val="18"/>
              </w:rPr>
            </w:pPr>
            <w:r>
              <w:rPr>
                <w:rFonts w:ascii="Times New Roman;serif" w:hAnsi="Times New Roman;serif"/>
                <w:b w:val="false"/>
                <w:i/>
                <w:sz w:val="18"/>
              </w:rPr>
              <w:t>Oppenheimer</w:t>
            </w:r>
          </w:p>
        </w:tc>
        <w:tc>
          <w:tcPr>
            <w:tcW w:w="146" w:type="dxa"/>
            <w:tcBorders/>
            <w:shd w:fill="auto" w:val="clear"/>
            <w:vAlign w:val="center"/>
          </w:tcPr>
          <w:p>
            <w:pPr>
              <w:pStyle w:val="TableContents"/>
              <w:spacing w:before="0" w:after="0"/>
              <w:ind w:left="0" w:right="0" w:hanging="0"/>
              <w:jc w:val="center"/>
              <w:rPr/>
            </w:pPr>
            <w:r>
              <w:rPr/>
              <w:t> </w:t>
            </w:r>
          </w:p>
        </w:tc>
        <w:tc>
          <w:tcPr>
            <w:tcW w:w="1966" w:type="dxa"/>
            <w:tcBorders/>
            <w:shd w:fill="auto" w:val="clear"/>
            <w:vAlign w:val="center"/>
          </w:tcPr>
          <w:p>
            <w:pPr>
              <w:pStyle w:val="TableContents"/>
              <w:spacing w:before="0" w:after="0"/>
              <w:ind w:left="0" w:right="0" w:hanging="0"/>
              <w:jc w:val="center"/>
              <w:rPr>
                <w:rFonts w:ascii="Times New Roman;serif" w:hAnsi="Times New Roman;serif"/>
                <w:b w:val="false"/>
                <w:sz w:val="18"/>
              </w:rPr>
            </w:pPr>
            <w:r>
              <w:rPr>
                <w:rFonts w:ascii="Times New Roman;serif" w:hAnsi="Times New Roman;serif"/>
                <w:b w:val="false"/>
                <w:sz w:val="18"/>
              </w:rPr>
              <w:t>Universal Pictures</w:t>
            </w:r>
          </w:p>
        </w:tc>
        <w:tc>
          <w:tcPr>
            <w:tcW w:w="146" w:type="dxa"/>
            <w:tcBorders/>
            <w:shd w:fill="auto" w:val="clear"/>
            <w:vAlign w:val="center"/>
          </w:tcPr>
          <w:p>
            <w:pPr>
              <w:pStyle w:val="TableContents"/>
              <w:spacing w:before="0" w:after="0"/>
              <w:ind w:left="0" w:right="0" w:hanging="0"/>
              <w:jc w:val="center"/>
              <w:rPr/>
            </w:pPr>
            <w:r>
              <w:rPr/>
              <w:t> </w:t>
            </w:r>
          </w:p>
        </w:tc>
        <w:tc>
          <w:tcPr>
            <w:tcW w:w="1351" w:type="dxa"/>
            <w:tcBorders/>
            <w:shd w:fill="auto" w:val="clear"/>
            <w:vAlign w:val="center"/>
          </w:tcPr>
          <w:p>
            <w:pPr>
              <w:pStyle w:val="TableContents"/>
              <w:spacing w:before="0" w:after="0"/>
              <w:ind w:left="0" w:right="0" w:hanging="0"/>
              <w:jc w:val="center"/>
              <w:rPr>
                <w:rFonts w:ascii="Times New Roman;serif" w:hAnsi="Times New Roman;serif"/>
                <w:b w:val="false"/>
                <w:sz w:val="18"/>
              </w:rPr>
            </w:pPr>
            <w:r>
              <w:rPr>
                <w:rFonts w:ascii="Times New Roman;serif" w:hAnsi="Times New Roman;serif"/>
                <w:b w:val="false"/>
                <w:sz w:val="18"/>
              </w:rPr>
              <w:t>July 2023</w:t>
            </w:r>
          </w:p>
        </w:tc>
        <w:tc>
          <w:tcPr>
            <w:tcW w:w="146" w:type="dxa"/>
            <w:tcBorders/>
            <w:shd w:fill="auto" w:val="clear"/>
            <w:vAlign w:val="center"/>
          </w:tcPr>
          <w:p>
            <w:pPr>
              <w:pStyle w:val="TableContents"/>
              <w:spacing w:before="0" w:after="0"/>
              <w:ind w:left="0" w:right="0" w:hanging="0"/>
              <w:jc w:val="center"/>
              <w:rPr/>
            </w:pPr>
            <w:r>
              <w:rPr/>
              <w:t> </w:t>
            </w:r>
          </w:p>
        </w:tc>
        <w:tc>
          <w:tcPr>
            <w:tcW w:w="2416" w:type="dxa"/>
            <w:tcBorders/>
            <w:shd w:fill="auto" w:val="clear"/>
            <w:vAlign w:val="center"/>
          </w:tcPr>
          <w:p>
            <w:pPr>
              <w:pStyle w:val="TableContents"/>
              <w:spacing w:before="0" w:after="0"/>
              <w:ind w:left="0" w:right="0" w:hanging="0"/>
              <w:jc w:val="center"/>
              <w:rPr>
                <w:rFonts w:ascii="Times New Roman;serif" w:hAnsi="Times New Roman;serif"/>
                <w:b w:val="false"/>
                <w:sz w:val="18"/>
              </w:rPr>
            </w:pPr>
            <w:r>
              <w:rPr>
                <w:rFonts w:ascii="Times New Roman;serif" w:hAnsi="Times New Roman;serif"/>
                <w:b w:val="false"/>
                <w:sz w:val="18"/>
              </w:rPr>
              <w:t>Shot with IMAX Film Cameras</w:t>
            </w:r>
          </w:p>
        </w:tc>
      </w:tr>
      <w:tr>
        <w:trPr/>
        <w:tc>
          <w:tcPr>
            <w:tcW w:w="3601" w:type="dxa"/>
            <w:tcBorders/>
            <w:shd w:fill="auto" w:val="clear"/>
            <w:vAlign w:val="center"/>
          </w:tcPr>
          <w:p>
            <w:pPr>
              <w:pStyle w:val="TableContents"/>
              <w:spacing w:before="0" w:after="0"/>
              <w:ind w:left="0" w:right="0" w:hanging="0"/>
              <w:jc w:val="center"/>
              <w:rPr>
                <w:rFonts w:ascii="Times New Roman" w:hAnsi="Times New Roman"/>
                <w:sz w:val="18"/>
              </w:rPr>
            </w:pPr>
            <w:r>
              <w:rPr>
                <w:rFonts w:ascii="Times New Roman;serif" w:hAnsi="Times New Roman;serif"/>
                <w:b w:val="false"/>
                <w:i/>
                <w:sz w:val="18"/>
              </w:rPr>
              <w:t>Smuggler</w:t>
            </w:r>
            <w:r>
              <w:rPr>
                <w:rFonts w:ascii="Times New Roman;serif" w:hAnsi="Times New Roman;serif"/>
                <w:b w:val="false"/>
                <w:sz w:val="12"/>
              </w:rPr>
              <w:t>(2)</w:t>
            </w:r>
          </w:p>
        </w:tc>
        <w:tc>
          <w:tcPr>
            <w:tcW w:w="146" w:type="dxa"/>
            <w:tcBorders/>
            <w:shd w:fill="auto" w:val="clear"/>
            <w:vAlign w:val="center"/>
          </w:tcPr>
          <w:p>
            <w:pPr>
              <w:pStyle w:val="TableContents"/>
              <w:spacing w:before="0" w:after="0"/>
              <w:ind w:left="0" w:right="0" w:hanging="0"/>
              <w:jc w:val="center"/>
              <w:rPr/>
            </w:pPr>
            <w:r>
              <w:rPr/>
              <w:t> </w:t>
            </w:r>
          </w:p>
        </w:tc>
        <w:tc>
          <w:tcPr>
            <w:tcW w:w="1966" w:type="dxa"/>
            <w:tcBorders/>
            <w:shd w:fill="auto" w:val="clear"/>
            <w:vAlign w:val="center"/>
          </w:tcPr>
          <w:p>
            <w:pPr>
              <w:pStyle w:val="TableContents"/>
              <w:spacing w:before="0" w:after="0"/>
              <w:ind w:left="0" w:right="0" w:hanging="0"/>
              <w:jc w:val="center"/>
              <w:rPr>
                <w:rFonts w:ascii="Times New Roman;serif" w:hAnsi="Times New Roman;serif"/>
                <w:b w:val="false"/>
                <w:sz w:val="18"/>
              </w:rPr>
            </w:pPr>
            <w:r>
              <w:rPr>
                <w:rFonts w:ascii="Times New Roman;serif" w:hAnsi="Times New Roman;serif"/>
                <w:b w:val="false"/>
                <w:sz w:val="18"/>
              </w:rPr>
              <w:t>Next Entertainment World</w:t>
            </w:r>
          </w:p>
        </w:tc>
        <w:tc>
          <w:tcPr>
            <w:tcW w:w="146" w:type="dxa"/>
            <w:tcBorders/>
            <w:shd w:fill="auto" w:val="clear"/>
            <w:vAlign w:val="center"/>
          </w:tcPr>
          <w:p>
            <w:pPr>
              <w:pStyle w:val="TableContents"/>
              <w:spacing w:before="0" w:after="0"/>
              <w:ind w:left="0" w:right="0" w:hanging="0"/>
              <w:jc w:val="center"/>
              <w:rPr/>
            </w:pPr>
            <w:r>
              <w:rPr/>
              <w:t> </w:t>
            </w:r>
          </w:p>
        </w:tc>
        <w:tc>
          <w:tcPr>
            <w:tcW w:w="1351" w:type="dxa"/>
            <w:tcBorders/>
            <w:shd w:fill="auto" w:val="clear"/>
            <w:vAlign w:val="center"/>
          </w:tcPr>
          <w:p>
            <w:pPr>
              <w:pStyle w:val="TableContents"/>
              <w:spacing w:before="0" w:after="0"/>
              <w:ind w:left="0" w:right="0" w:hanging="0"/>
              <w:jc w:val="center"/>
              <w:rPr>
                <w:rFonts w:ascii="Times New Roman;serif" w:hAnsi="Times New Roman;serif"/>
                <w:b w:val="false"/>
                <w:sz w:val="18"/>
              </w:rPr>
            </w:pPr>
            <w:r>
              <w:rPr>
                <w:rFonts w:ascii="Times New Roman;serif" w:hAnsi="Times New Roman;serif"/>
                <w:b w:val="false"/>
                <w:sz w:val="18"/>
              </w:rPr>
              <w:t>July 2023</w:t>
            </w:r>
          </w:p>
        </w:tc>
        <w:tc>
          <w:tcPr>
            <w:tcW w:w="146" w:type="dxa"/>
            <w:tcBorders/>
            <w:shd w:fill="auto" w:val="clear"/>
            <w:vAlign w:val="center"/>
          </w:tcPr>
          <w:p>
            <w:pPr>
              <w:pStyle w:val="TableContents"/>
              <w:spacing w:before="0" w:after="0"/>
              <w:ind w:left="0" w:right="0" w:hanging="0"/>
              <w:jc w:val="center"/>
              <w:rPr/>
            </w:pPr>
            <w:r>
              <w:rPr/>
              <w:t> </w:t>
            </w:r>
          </w:p>
        </w:tc>
        <w:tc>
          <w:tcPr>
            <w:tcW w:w="2416" w:type="dxa"/>
            <w:tcBorders/>
            <w:shd w:fill="auto" w:val="clear"/>
            <w:vAlign w:val="center"/>
          </w:tcPr>
          <w:p>
            <w:pPr>
              <w:pStyle w:val="TableContents"/>
              <w:spacing w:before="0" w:after="0"/>
              <w:ind w:left="0" w:right="0" w:hanging="0"/>
              <w:jc w:val="center"/>
              <w:rPr/>
            </w:pPr>
            <w:r>
              <w:rPr/>
              <w:t>—</w:t>
            </w:r>
          </w:p>
        </w:tc>
      </w:tr>
      <w:tr>
        <w:trPr/>
        <w:tc>
          <w:tcPr>
            <w:tcW w:w="3601" w:type="dxa"/>
            <w:tcBorders/>
            <w:shd w:fill="auto" w:val="clear"/>
            <w:vAlign w:val="center"/>
          </w:tcPr>
          <w:p>
            <w:pPr>
              <w:pStyle w:val="TableContents"/>
              <w:spacing w:before="0" w:after="0"/>
              <w:ind w:left="0" w:right="0" w:hanging="0"/>
              <w:jc w:val="center"/>
              <w:rPr>
                <w:rFonts w:ascii="Times New Roman;serif" w:hAnsi="Times New Roman;serif"/>
                <w:b w:val="false"/>
                <w:i/>
                <w:sz w:val="18"/>
              </w:rPr>
            </w:pPr>
            <w:r>
              <w:rPr>
                <w:rFonts w:ascii="Times New Roman;serif" w:hAnsi="Times New Roman;serif"/>
                <w:b w:val="false"/>
                <w:i/>
                <w:sz w:val="18"/>
              </w:rPr>
              <w:t>Gran Turismo</w:t>
            </w:r>
          </w:p>
        </w:tc>
        <w:tc>
          <w:tcPr>
            <w:tcW w:w="146" w:type="dxa"/>
            <w:tcBorders/>
            <w:shd w:fill="auto" w:val="clear"/>
            <w:vAlign w:val="center"/>
          </w:tcPr>
          <w:p>
            <w:pPr>
              <w:pStyle w:val="TableContents"/>
              <w:spacing w:before="0" w:after="0"/>
              <w:ind w:left="0" w:right="0" w:hanging="0"/>
              <w:jc w:val="center"/>
              <w:rPr/>
            </w:pPr>
            <w:r>
              <w:rPr/>
              <w:t> </w:t>
            </w:r>
          </w:p>
        </w:tc>
        <w:tc>
          <w:tcPr>
            <w:tcW w:w="1966" w:type="dxa"/>
            <w:tcBorders/>
            <w:shd w:fill="auto" w:val="clear"/>
            <w:vAlign w:val="center"/>
          </w:tcPr>
          <w:p>
            <w:pPr>
              <w:pStyle w:val="TableContents"/>
              <w:spacing w:before="0" w:after="0"/>
              <w:ind w:left="0" w:right="0" w:hanging="0"/>
              <w:jc w:val="center"/>
              <w:rPr>
                <w:rFonts w:ascii="Times New Roman;serif" w:hAnsi="Times New Roman;serif"/>
                <w:b w:val="false"/>
                <w:sz w:val="18"/>
              </w:rPr>
            </w:pPr>
            <w:r>
              <w:rPr>
                <w:rFonts w:ascii="Times New Roman;serif" w:hAnsi="Times New Roman;serif"/>
                <w:b w:val="false"/>
                <w:sz w:val="18"/>
              </w:rPr>
              <w:t>Sony Pictures</w:t>
            </w:r>
          </w:p>
        </w:tc>
        <w:tc>
          <w:tcPr>
            <w:tcW w:w="146" w:type="dxa"/>
            <w:tcBorders/>
            <w:shd w:fill="auto" w:val="clear"/>
            <w:vAlign w:val="center"/>
          </w:tcPr>
          <w:p>
            <w:pPr>
              <w:pStyle w:val="TableContents"/>
              <w:spacing w:before="0" w:after="0"/>
              <w:ind w:left="0" w:right="0" w:hanging="0"/>
              <w:jc w:val="center"/>
              <w:rPr/>
            </w:pPr>
            <w:r>
              <w:rPr/>
              <w:t> </w:t>
            </w:r>
          </w:p>
        </w:tc>
        <w:tc>
          <w:tcPr>
            <w:tcW w:w="1351" w:type="dxa"/>
            <w:tcBorders/>
            <w:shd w:fill="auto" w:val="clear"/>
            <w:vAlign w:val="center"/>
          </w:tcPr>
          <w:p>
            <w:pPr>
              <w:pStyle w:val="TableContents"/>
              <w:spacing w:before="0" w:after="0"/>
              <w:ind w:left="0" w:right="0" w:hanging="0"/>
              <w:jc w:val="center"/>
              <w:rPr>
                <w:rFonts w:ascii="Times New Roman;serif" w:hAnsi="Times New Roman;serif"/>
                <w:b w:val="false"/>
                <w:sz w:val="18"/>
              </w:rPr>
            </w:pPr>
            <w:r>
              <w:rPr>
                <w:rFonts w:ascii="Times New Roman;serif" w:hAnsi="Times New Roman;serif"/>
                <w:b w:val="false"/>
                <w:sz w:val="18"/>
              </w:rPr>
              <w:t>August 2023</w:t>
            </w:r>
          </w:p>
        </w:tc>
        <w:tc>
          <w:tcPr>
            <w:tcW w:w="146" w:type="dxa"/>
            <w:tcBorders/>
            <w:shd w:fill="auto" w:val="clear"/>
            <w:vAlign w:val="center"/>
          </w:tcPr>
          <w:p>
            <w:pPr>
              <w:pStyle w:val="TableContents"/>
              <w:spacing w:before="0" w:after="0"/>
              <w:ind w:left="0" w:right="0" w:hanging="0"/>
              <w:jc w:val="center"/>
              <w:rPr/>
            </w:pPr>
            <w:r>
              <w:rPr/>
              <w:t> </w:t>
            </w:r>
          </w:p>
        </w:tc>
        <w:tc>
          <w:tcPr>
            <w:tcW w:w="2416" w:type="dxa"/>
            <w:tcBorders/>
            <w:shd w:fill="auto" w:val="clear"/>
            <w:vAlign w:val="center"/>
          </w:tcPr>
          <w:p>
            <w:pPr>
              <w:pStyle w:val="TableContents"/>
              <w:spacing w:before="0" w:after="0"/>
              <w:ind w:left="0" w:right="0" w:hanging="0"/>
              <w:jc w:val="center"/>
              <w:rPr/>
            </w:pPr>
            <w:r>
              <w:rPr/>
              <w:t>—</w:t>
            </w:r>
          </w:p>
        </w:tc>
      </w:tr>
      <w:tr>
        <w:trPr/>
        <w:tc>
          <w:tcPr>
            <w:tcW w:w="3601" w:type="dxa"/>
            <w:tcBorders/>
            <w:shd w:fill="auto" w:val="clear"/>
            <w:vAlign w:val="center"/>
          </w:tcPr>
          <w:p>
            <w:pPr>
              <w:pStyle w:val="TableContents"/>
              <w:spacing w:before="0" w:after="0"/>
              <w:ind w:left="0" w:right="0" w:hanging="0"/>
              <w:jc w:val="center"/>
              <w:rPr>
                <w:rFonts w:ascii="Times New Roman;serif" w:hAnsi="Times New Roman;serif"/>
                <w:b w:val="false"/>
                <w:i/>
                <w:sz w:val="18"/>
              </w:rPr>
            </w:pPr>
            <w:r>
              <w:rPr>
                <w:rFonts w:ascii="Times New Roman;serif" w:hAnsi="Times New Roman;serif"/>
                <w:b w:val="false"/>
                <w:i/>
                <w:sz w:val="18"/>
              </w:rPr>
              <w:t>Blue Beetle</w:t>
            </w:r>
          </w:p>
        </w:tc>
        <w:tc>
          <w:tcPr>
            <w:tcW w:w="146" w:type="dxa"/>
            <w:tcBorders/>
            <w:shd w:fill="auto" w:val="clear"/>
            <w:vAlign w:val="center"/>
          </w:tcPr>
          <w:p>
            <w:pPr>
              <w:pStyle w:val="TableContents"/>
              <w:spacing w:before="0" w:after="0"/>
              <w:ind w:left="0" w:right="0" w:hanging="0"/>
              <w:jc w:val="center"/>
              <w:rPr/>
            </w:pPr>
            <w:r>
              <w:rPr/>
              <w:t> </w:t>
            </w:r>
          </w:p>
        </w:tc>
        <w:tc>
          <w:tcPr>
            <w:tcW w:w="1966" w:type="dxa"/>
            <w:tcBorders/>
            <w:shd w:fill="auto" w:val="clear"/>
            <w:vAlign w:val="center"/>
          </w:tcPr>
          <w:p>
            <w:pPr>
              <w:pStyle w:val="TableContents"/>
              <w:spacing w:before="0" w:after="0"/>
              <w:ind w:left="0" w:right="0" w:hanging="0"/>
              <w:jc w:val="center"/>
              <w:rPr>
                <w:rFonts w:ascii="Times New Roman;serif" w:hAnsi="Times New Roman;serif"/>
                <w:b w:val="false"/>
                <w:sz w:val="18"/>
              </w:rPr>
            </w:pPr>
            <w:r>
              <w:rPr>
                <w:rFonts w:ascii="Times New Roman;serif" w:hAnsi="Times New Roman;serif"/>
                <w:b w:val="false"/>
                <w:sz w:val="18"/>
              </w:rPr>
              <w:t>Warner Bros. Pictures</w:t>
            </w:r>
          </w:p>
        </w:tc>
        <w:tc>
          <w:tcPr>
            <w:tcW w:w="146" w:type="dxa"/>
            <w:tcBorders/>
            <w:shd w:fill="auto" w:val="clear"/>
            <w:vAlign w:val="center"/>
          </w:tcPr>
          <w:p>
            <w:pPr>
              <w:pStyle w:val="TableContents"/>
              <w:spacing w:before="0" w:after="0"/>
              <w:ind w:left="0" w:right="0" w:hanging="0"/>
              <w:jc w:val="center"/>
              <w:rPr/>
            </w:pPr>
            <w:r>
              <w:rPr/>
              <w:t> </w:t>
            </w:r>
          </w:p>
        </w:tc>
        <w:tc>
          <w:tcPr>
            <w:tcW w:w="1351" w:type="dxa"/>
            <w:tcBorders/>
            <w:shd w:fill="auto" w:val="clear"/>
            <w:vAlign w:val="center"/>
          </w:tcPr>
          <w:p>
            <w:pPr>
              <w:pStyle w:val="TableContents"/>
              <w:spacing w:before="0" w:after="0"/>
              <w:ind w:left="0" w:right="0" w:hanging="0"/>
              <w:jc w:val="center"/>
              <w:rPr>
                <w:rFonts w:ascii="Times New Roman;serif" w:hAnsi="Times New Roman;serif"/>
                <w:b w:val="false"/>
                <w:sz w:val="18"/>
              </w:rPr>
            </w:pPr>
            <w:r>
              <w:rPr>
                <w:rFonts w:ascii="Times New Roman;serif" w:hAnsi="Times New Roman;serif"/>
                <w:b w:val="false"/>
                <w:sz w:val="18"/>
              </w:rPr>
              <w:t>August 2023</w:t>
            </w:r>
          </w:p>
        </w:tc>
        <w:tc>
          <w:tcPr>
            <w:tcW w:w="146" w:type="dxa"/>
            <w:tcBorders/>
            <w:shd w:fill="auto" w:val="clear"/>
            <w:vAlign w:val="center"/>
          </w:tcPr>
          <w:p>
            <w:pPr>
              <w:pStyle w:val="TableContents"/>
              <w:spacing w:before="0" w:after="0"/>
              <w:ind w:left="0" w:right="0" w:hanging="0"/>
              <w:jc w:val="center"/>
              <w:rPr/>
            </w:pPr>
            <w:r>
              <w:rPr/>
              <w:t> </w:t>
            </w:r>
          </w:p>
        </w:tc>
        <w:tc>
          <w:tcPr>
            <w:tcW w:w="2416" w:type="dxa"/>
            <w:tcBorders/>
            <w:shd w:fill="auto" w:val="clear"/>
            <w:vAlign w:val="center"/>
          </w:tcPr>
          <w:p>
            <w:pPr>
              <w:pStyle w:val="TableContents"/>
              <w:spacing w:before="0" w:after="0"/>
              <w:ind w:left="0" w:right="0" w:hanging="0"/>
              <w:jc w:val="center"/>
              <w:rPr>
                <w:rFonts w:ascii="Times New Roman;serif" w:hAnsi="Times New Roman;serif"/>
                <w:b w:val="false"/>
                <w:sz w:val="18"/>
              </w:rPr>
            </w:pPr>
            <w:r>
              <w:rPr>
                <w:rFonts w:ascii="Times New Roman;serif" w:hAnsi="Times New Roman;serif"/>
                <w:b w:val="false"/>
                <w:sz w:val="18"/>
              </w:rPr>
              <w:t>Filmed For IMAX</w:t>
            </w:r>
          </w:p>
        </w:tc>
      </w:tr>
      <w:tr>
        <w:trPr/>
        <w:tc>
          <w:tcPr>
            <w:tcW w:w="3601" w:type="dxa"/>
            <w:tcBorders/>
            <w:shd w:fill="auto" w:val="clear"/>
            <w:vAlign w:val="center"/>
          </w:tcPr>
          <w:p>
            <w:pPr>
              <w:pStyle w:val="TableContents"/>
              <w:spacing w:before="0" w:after="0"/>
              <w:ind w:left="0" w:right="0" w:hanging="0"/>
              <w:jc w:val="center"/>
              <w:rPr>
                <w:rFonts w:ascii="Times New Roman;serif" w:hAnsi="Times New Roman;serif"/>
                <w:b w:val="false"/>
                <w:i/>
                <w:sz w:val="18"/>
              </w:rPr>
            </w:pPr>
            <w:r>
              <w:rPr>
                <w:rFonts w:ascii="Times New Roman;serif" w:hAnsi="Times New Roman;serif"/>
                <w:b w:val="false"/>
                <w:i/>
                <w:sz w:val="18"/>
              </w:rPr>
              <w:t>The Equalizer 3</w:t>
            </w:r>
          </w:p>
        </w:tc>
        <w:tc>
          <w:tcPr>
            <w:tcW w:w="146" w:type="dxa"/>
            <w:tcBorders/>
            <w:shd w:fill="auto" w:val="clear"/>
            <w:vAlign w:val="center"/>
          </w:tcPr>
          <w:p>
            <w:pPr>
              <w:pStyle w:val="TableContents"/>
              <w:spacing w:before="0" w:after="0"/>
              <w:ind w:left="0" w:right="0" w:hanging="0"/>
              <w:jc w:val="center"/>
              <w:rPr/>
            </w:pPr>
            <w:r>
              <w:rPr/>
              <w:t> </w:t>
            </w:r>
          </w:p>
        </w:tc>
        <w:tc>
          <w:tcPr>
            <w:tcW w:w="1966" w:type="dxa"/>
            <w:tcBorders/>
            <w:shd w:fill="auto" w:val="clear"/>
            <w:vAlign w:val="center"/>
          </w:tcPr>
          <w:p>
            <w:pPr>
              <w:pStyle w:val="TableContents"/>
              <w:spacing w:before="0" w:after="0"/>
              <w:ind w:left="0" w:right="0" w:hanging="0"/>
              <w:jc w:val="center"/>
              <w:rPr>
                <w:rFonts w:ascii="Times New Roman;serif" w:hAnsi="Times New Roman;serif"/>
                <w:b w:val="false"/>
                <w:sz w:val="18"/>
              </w:rPr>
            </w:pPr>
            <w:r>
              <w:rPr>
                <w:rFonts w:ascii="Times New Roman;serif" w:hAnsi="Times New Roman;serif"/>
                <w:b w:val="false"/>
                <w:sz w:val="18"/>
              </w:rPr>
              <w:t>Sony Pictures</w:t>
            </w:r>
          </w:p>
        </w:tc>
        <w:tc>
          <w:tcPr>
            <w:tcW w:w="146" w:type="dxa"/>
            <w:tcBorders/>
            <w:shd w:fill="auto" w:val="clear"/>
            <w:vAlign w:val="center"/>
          </w:tcPr>
          <w:p>
            <w:pPr>
              <w:pStyle w:val="TableContents"/>
              <w:spacing w:before="0" w:after="0"/>
              <w:ind w:left="0" w:right="0" w:hanging="0"/>
              <w:jc w:val="center"/>
              <w:rPr/>
            </w:pPr>
            <w:r>
              <w:rPr/>
              <w:t> </w:t>
            </w:r>
          </w:p>
        </w:tc>
        <w:tc>
          <w:tcPr>
            <w:tcW w:w="1351" w:type="dxa"/>
            <w:tcBorders/>
            <w:shd w:fill="auto" w:val="clear"/>
            <w:vAlign w:val="center"/>
          </w:tcPr>
          <w:p>
            <w:pPr>
              <w:pStyle w:val="TableContents"/>
              <w:spacing w:before="0" w:after="0"/>
              <w:ind w:left="0" w:right="0" w:hanging="0"/>
              <w:jc w:val="center"/>
              <w:rPr>
                <w:rFonts w:ascii="Times New Roman;serif" w:hAnsi="Times New Roman;serif"/>
                <w:b w:val="false"/>
                <w:sz w:val="18"/>
              </w:rPr>
            </w:pPr>
            <w:r>
              <w:rPr>
                <w:rFonts w:ascii="Times New Roman;serif" w:hAnsi="Times New Roman;serif"/>
                <w:b w:val="false"/>
                <w:sz w:val="18"/>
              </w:rPr>
              <w:t>September 2023</w:t>
            </w:r>
          </w:p>
        </w:tc>
        <w:tc>
          <w:tcPr>
            <w:tcW w:w="146" w:type="dxa"/>
            <w:tcBorders/>
            <w:shd w:fill="auto" w:val="clear"/>
            <w:vAlign w:val="center"/>
          </w:tcPr>
          <w:p>
            <w:pPr>
              <w:pStyle w:val="TableContents"/>
              <w:spacing w:before="0" w:after="0"/>
              <w:ind w:left="0" w:right="0" w:hanging="0"/>
              <w:jc w:val="center"/>
              <w:rPr/>
            </w:pPr>
            <w:r>
              <w:rPr/>
              <w:t> </w:t>
            </w:r>
          </w:p>
        </w:tc>
        <w:tc>
          <w:tcPr>
            <w:tcW w:w="2416" w:type="dxa"/>
            <w:tcBorders/>
            <w:shd w:fill="auto" w:val="clear"/>
            <w:vAlign w:val="center"/>
          </w:tcPr>
          <w:p>
            <w:pPr>
              <w:pStyle w:val="TableContents"/>
              <w:spacing w:before="0" w:after="0"/>
              <w:ind w:left="0" w:right="0" w:hanging="0"/>
              <w:jc w:val="center"/>
              <w:rPr/>
            </w:pPr>
            <w:r>
              <w:rPr/>
              <w:t>—</w:t>
            </w:r>
          </w:p>
        </w:tc>
      </w:tr>
      <w:tr>
        <w:trPr/>
        <w:tc>
          <w:tcPr>
            <w:tcW w:w="3601" w:type="dxa"/>
            <w:tcBorders/>
            <w:shd w:fill="auto" w:val="clear"/>
            <w:vAlign w:val="center"/>
          </w:tcPr>
          <w:p>
            <w:pPr>
              <w:pStyle w:val="TableContents"/>
              <w:spacing w:before="0" w:after="0"/>
              <w:ind w:left="0" w:right="0" w:hanging="0"/>
              <w:jc w:val="center"/>
              <w:rPr>
                <w:rFonts w:ascii="Times New Roman;serif" w:hAnsi="Times New Roman;serif"/>
                <w:b w:val="false"/>
                <w:i/>
                <w:sz w:val="18"/>
              </w:rPr>
            </w:pPr>
            <w:r>
              <w:rPr>
                <w:rFonts w:ascii="Times New Roman;serif" w:hAnsi="Times New Roman;serif"/>
                <w:b w:val="false"/>
                <w:i/>
                <w:sz w:val="18"/>
              </w:rPr>
              <w:t>The Nun 2</w:t>
            </w:r>
          </w:p>
        </w:tc>
        <w:tc>
          <w:tcPr>
            <w:tcW w:w="146" w:type="dxa"/>
            <w:tcBorders/>
            <w:shd w:fill="auto" w:val="clear"/>
            <w:vAlign w:val="center"/>
          </w:tcPr>
          <w:p>
            <w:pPr>
              <w:pStyle w:val="TableContents"/>
              <w:spacing w:before="0" w:after="0"/>
              <w:ind w:left="0" w:right="0" w:hanging="0"/>
              <w:jc w:val="center"/>
              <w:rPr/>
            </w:pPr>
            <w:r>
              <w:rPr/>
              <w:t> </w:t>
            </w:r>
          </w:p>
        </w:tc>
        <w:tc>
          <w:tcPr>
            <w:tcW w:w="1966" w:type="dxa"/>
            <w:tcBorders/>
            <w:shd w:fill="auto" w:val="clear"/>
            <w:vAlign w:val="center"/>
          </w:tcPr>
          <w:p>
            <w:pPr>
              <w:pStyle w:val="TableContents"/>
              <w:spacing w:before="0" w:after="0"/>
              <w:ind w:left="0" w:right="0" w:hanging="0"/>
              <w:jc w:val="center"/>
              <w:rPr>
                <w:rFonts w:ascii="Times New Roman;serif" w:hAnsi="Times New Roman;serif"/>
                <w:b w:val="false"/>
                <w:sz w:val="18"/>
              </w:rPr>
            </w:pPr>
            <w:r>
              <w:rPr>
                <w:rFonts w:ascii="Times New Roman;serif" w:hAnsi="Times New Roman;serif"/>
                <w:b w:val="false"/>
                <w:sz w:val="18"/>
              </w:rPr>
              <w:t>Warner Bros. Pictures</w:t>
            </w:r>
          </w:p>
        </w:tc>
        <w:tc>
          <w:tcPr>
            <w:tcW w:w="146" w:type="dxa"/>
            <w:tcBorders/>
            <w:shd w:fill="auto" w:val="clear"/>
            <w:vAlign w:val="center"/>
          </w:tcPr>
          <w:p>
            <w:pPr>
              <w:pStyle w:val="TableContents"/>
              <w:spacing w:before="0" w:after="0"/>
              <w:ind w:left="0" w:right="0" w:hanging="0"/>
              <w:jc w:val="center"/>
              <w:rPr/>
            </w:pPr>
            <w:r>
              <w:rPr/>
              <w:t> </w:t>
            </w:r>
          </w:p>
        </w:tc>
        <w:tc>
          <w:tcPr>
            <w:tcW w:w="1351" w:type="dxa"/>
            <w:tcBorders/>
            <w:shd w:fill="auto" w:val="clear"/>
            <w:vAlign w:val="center"/>
          </w:tcPr>
          <w:p>
            <w:pPr>
              <w:pStyle w:val="TableContents"/>
              <w:spacing w:before="0" w:after="0"/>
              <w:ind w:left="0" w:right="0" w:hanging="0"/>
              <w:jc w:val="center"/>
              <w:rPr>
                <w:rFonts w:ascii="Times New Roman;serif" w:hAnsi="Times New Roman;serif"/>
                <w:b w:val="false"/>
                <w:sz w:val="18"/>
              </w:rPr>
            </w:pPr>
            <w:r>
              <w:rPr>
                <w:rFonts w:ascii="Times New Roman;serif" w:hAnsi="Times New Roman;serif"/>
                <w:b w:val="false"/>
                <w:sz w:val="18"/>
              </w:rPr>
              <w:t>September 2023</w:t>
            </w:r>
          </w:p>
        </w:tc>
        <w:tc>
          <w:tcPr>
            <w:tcW w:w="146" w:type="dxa"/>
            <w:tcBorders/>
            <w:shd w:fill="auto" w:val="clear"/>
            <w:vAlign w:val="center"/>
          </w:tcPr>
          <w:p>
            <w:pPr>
              <w:pStyle w:val="TableContents"/>
              <w:spacing w:before="0" w:after="0"/>
              <w:ind w:left="0" w:right="0" w:hanging="0"/>
              <w:jc w:val="center"/>
              <w:rPr/>
            </w:pPr>
            <w:r>
              <w:rPr/>
              <w:t> </w:t>
            </w:r>
          </w:p>
        </w:tc>
        <w:tc>
          <w:tcPr>
            <w:tcW w:w="2416" w:type="dxa"/>
            <w:tcBorders/>
            <w:shd w:fill="auto" w:val="clear"/>
            <w:vAlign w:val="center"/>
          </w:tcPr>
          <w:p>
            <w:pPr>
              <w:pStyle w:val="TableContents"/>
              <w:spacing w:before="0" w:after="0"/>
              <w:ind w:left="0" w:right="0" w:hanging="0"/>
              <w:jc w:val="center"/>
              <w:rPr/>
            </w:pPr>
            <w:r>
              <w:rPr/>
              <w:t>—</w:t>
            </w:r>
          </w:p>
        </w:tc>
      </w:tr>
      <w:tr>
        <w:trPr/>
        <w:tc>
          <w:tcPr>
            <w:tcW w:w="3601" w:type="dxa"/>
            <w:tcBorders/>
            <w:shd w:fill="auto" w:val="clear"/>
            <w:vAlign w:val="center"/>
          </w:tcPr>
          <w:p>
            <w:pPr>
              <w:pStyle w:val="TableContents"/>
              <w:spacing w:before="0" w:after="0"/>
              <w:ind w:left="0" w:right="0" w:hanging="0"/>
              <w:jc w:val="center"/>
              <w:rPr>
                <w:rFonts w:ascii="Times New Roman;serif" w:hAnsi="Times New Roman;serif"/>
                <w:b w:val="false"/>
                <w:i/>
                <w:sz w:val="18"/>
              </w:rPr>
            </w:pPr>
            <w:r>
              <w:rPr>
                <w:rFonts w:ascii="Times New Roman;serif" w:hAnsi="Times New Roman;serif"/>
                <w:b w:val="false"/>
                <w:i/>
                <w:sz w:val="18"/>
              </w:rPr>
              <w:t>A Haunting in Venice</w:t>
            </w:r>
          </w:p>
        </w:tc>
        <w:tc>
          <w:tcPr>
            <w:tcW w:w="146" w:type="dxa"/>
            <w:tcBorders/>
            <w:shd w:fill="auto" w:val="clear"/>
            <w:vAlign w:val="center"/>
          </w:tcPr>
          <w:p>
            <w:pPr>
              <w:pStyle w:val="TableContents"/>
              <w:spacing w:before="0" w:after="0"/>
              <w:ind w:left="0" w:right="0" w:hanging="0"/>
              <w:jc w:val="center"/>
              <w:rPr/>
            </w:pPr>
            <w:r>
              <w:rPr/>
              <w:t> </w:t>
            </w:r>
          </w:p>
        </w:tc>
        <w:tc>
          <w:tcPr>
            <w:tcW w:w="1966" w:type="dxa"/>
            <w:tcBorders/>
            <w:shd w:fill="auto" w:val="clear"/>
            <w:vAlign w:val="center"/>
          </w:tcPr>
          <w:p>
            <w:pPr>
              <w:pStyle w:val="TableContents"/>
              <w:spacing w:before="0" w:after="0"/>
              <w:ind w:left="0" w:right="0" w:hanging="0"/>
              <w:jc w:val="center"/>
              <w:rPr>
                <w:rFonts w:ascii="Times New Roman;serif" w:hAnsi="Times New Roman;serif"/>
                <w:b w:val="false"/>
                <w:sz w:val="18"/>
              </w:rPr>
            </w:pPr>
            <w:r>
              <w:rPr>
                <w:rFonts w:ascii="Times New Roman;serif" w:hAnsi="Times New Roman;serif"/>
                <w:b w:val="false"/>
                <w:sz w:val="18"/>
              </w:rPr>
              <w:t>Walt Disney Studios</w:t>
            </w:r>
          </w:p>
        </w:tc>
        <w:tc>
          <w:tcPr>
            <w:tcW w:w="146" w:type="dxa"/>
            <w:tcBorders/>
            <w:shd w:fill="auto" w:val="clear"/>
            <w:vAlign w:val="center"/>
          </w:tcPr>
          <w:p>
            <w:pPr>
              <w:pStyle w:val="TableContents"/>
              <w:spacing w:before="0" w:after="0"/>
              <w:ind w:left="0" w:right="0" w:hanging="0"/>
              <w:jc w:val="center"/>
              <w:rPr/>
            </w:pPr>
            <w:r>
              <w:rPr/>
              <w:t> </w:t>
            </w:r>
          </w:p>
        </w:tc>
        <w:tc>
          <w:tcPr>
            <w:tcW w:w="1351" w:type="dxa"/>
            <w:tcBorders/>
            <w:shd w:fill="auto" w:val="clear"/>
            <w:vAlign w:val="center"/>
          </w:tcPr>
          <w:p>
            <w:pPr>
              <w:pStyle w:val="TableContents"/>
              <w:spacing w:before="0" w:after="0"/>
              <w:ind w:left="0" w:right="0" w:hanging="0"/>
              <w:jc w:val="center"/>
              <w:rPr>
                <w:rFonts w:ascii="Times New Roman;serif" w:hAnsi="Times New Roman;serif"/>
                <w:b w:val="false"/>
                <w:sz w:val="18"/>
              </w:rPr>
            </w:pPr>
            <w:r>
              <w:rPr>
                <w:rFonts w:ascii="Times New Roman;serif" w:hAnsi="Times New Roman;serif"/>
                <w:b w:val="false"/>
                <w:sz w:val="18"/>
              </w:rPr>
              <w:t>September 2023</w:t>
            </w:r>
          </w:p>
        </w:tc>
        <w:tc>
          <w:tcPr>
            <w:tcW w:w="146" w:type="dxa"/>
            <w:tcBorders/>
            <w:shd w:fill="auto" w:val="clear"/>
            <w:vAlign w:val="center"/>
          </w:tcPr>
          <w:p>
            <w:pPr>
              <w:pStyle w:val="TableContents"/>
              <w:spacing w:before="0" w:after="0"/>
              <w:ind w:left="0" w:right="0" w:hanging="0"/>
              <w:jc w:val="center"/>
              <w:rPr/>
            </w:pPr>
            <w:r>
              <w:rPr/>
              <w:t> </w:t>
            </w:r>
          </w:p>
        </w:tc>
        <w:tc>
          <w:tcPr>
            <w:tcW w:w="2416" w:type="dxa"/>
            <w:tcBorders/>
            <w:shd w:fill="auto" w:val="clear"/>
            <w:vAlign w:val="center"/>
          </w:tcPr>
          <w:p>
            <w:pPr>
              <w:pStyle w:val="TableContents"/>
              <w:spacing w:before="0" w:after="0"/>
              <w:ind w:left="0" w:right="0" w:hanging="0"/>
              <w:jc w:val="center"/>
              <w:rPr/>
            </w:pPr>
            <w:r>
              <w:rPr/>
              <w:t>—</w:t>
            </w:r>
          </w:p>
        </w:tc>
      </w:tr>
      <w:tr>
        <w:trPr/>
        <w:tc>
          <w:tcPr>
            <w:tcW w:w="3601" w:type="dxa"/>
            <w:tcBorders/>
            <w:shd w:fill="auto" w:val="clear"/>
            <w:vAlign w:val="center"/>
          </w:tcPr>
          <w:p>
            <w:pPr>
              <w:pStyle w:val="TableContents"/>
              <w:spacing w:before="0" w:after="0"/>
              <w:ind w:left="0" w:right="0" w:hanging="0"/>
              <w:jc w:val="center"/>
              <w:rPr>
                <w:rFonts w:ascii="Times New Roman;serif" w:hAnsi="Times New Roman;serif"/>
                <w:b w:val="false"/>
                <w:i/>
                <w:sz w:val="18"/>
              </w:rPr>
            </w:pPr>
            <w:r>
              <w:rPr>
                <w:rFonts w:ascii="Times New Roman;serif" w:hAnsi="Times New Roman;serif"/>
                <w:b w:val="false"/>
                <w:i/>
                <w:sz w:val="18"/>
              </w:rPr>
              <w:t>The Creator</w:t>
            </w:r>
          </w:p>
        </w:tc>
        <w:tc>
          <w:tcPr>
            <w:tcW w:w="146" w:type="dxa"/>
            <w:tcBorders/>
            <w:shd w:fill="auto" w:val="clear"/>
            <w:vAlign w:val="center"/>
          </w:tcPr>
          <w:p>
            <w:pPr>
              <w:pStyle w:val="TableContents"/>
              <w:spacing w:before="0" w:after="0"/>
              <w:ind w:left="0" w:right="0" w:hanging="0"/>
              <w:jc w:val="center"/>
              <w:rPr/>
            </w:pPr>
            <w:r>
              <w:rPr/>
              <w:t> </w:t>
            </w:r>
          </w:p>
        </w:tc>
        <w:tc>
          <w:tcPr>
            <w:tcW w:w="1966" w:type="dxa"/>
            <w:tcBorders/>
            <w:shd w:fill="auto" w:val="clear"/>
            <w:vAlign w:val="center"/>
          </w:tcPr>
          <w:p>
            <w:pPr>
              <w:pStyle w:val="TableContents"/>
              <w:spacing w:before="0" w:after="0"/>
              <w:ind w:left="0" w:right="0" w:hanging="0"/>
              <w:jc w:val="center"/>
              <w:rPr>
                <w:rFonts w:ascii="Times New Roman;serif" w:hAnsi="Times New Roman;serif"/>
                <w:b w:val="false"/>
                <w:sz w:val="18"/>
              </w:rPr>
            </w:pPr>
            <w:r>
              <w:rPr>
                <w:rFonts w:ascii="Times New Roman;serif" w:hAnsi="Times New Roman;serif"/>
                <w:b w:val="false"/>
                <w:sz w:val="18"/>
              </w:rPr>
              <w:t>Walt Disney Studios</w:t>
            </w:r>
          </w:p>
        </w:tc>
        <w:tc>
          <w:tcPr>
            <w:tcW w:w="146" w:type="dxa"/>
            <w:tcBorders/>
            <w:shd w:fill="auto" w:val="clear"/>
            <w:vAlign w:val="center"/>
          </w:tcPr>
          <w:p>
            <w:pPr>
              <w:pStyle w:val="TableContents"/>
              <w:spacing w:before="0" w:after="0"/>
              <w:ind w:left="0" w:right="0" w:hanging="0"/>
              <w:jc w:val="center"/>
              <w:rPr/>
            </w:pPr>
            <w:r>
              <w:rPr/>
              <w:t> </w:t>
            </w:r>
          </w:p>
        </w:tc>
        <w:tc>
          <w:tcPr>
            <w:tcW w:w="1351" w:type="dxa"/>
            <w:tcBorders/>
            <w:shd w:fill="auto" w:val="clear"/>
            <w:vAlign w:val="center"/>
          </w:tcPr>
          <w:p>
            <w:pPr>
              <w:pStyle w:val="TableContents"/>
              <w:spacing w:before="0" w:after="0"/>
              <w:ind w:left="0" w:right="0" w:hanging="0"/>
              <w:jc w:val="center"/>
              <w:rPr>
                <w:rFonts w:ascii="Times New Roman;serif" w:hAnsi="Times New Roman;serif"/>
                <w:b w:val="false"/>
                <w:sz w:val="18"/>
              </w:rPr>
            </w:pPr>
            <w:r>
              <w:rPr>
                <w:rFonts w:ascii="Times New Roman;serif" w:hAnsi="Times New Roman;serif"/>
                <w:b w:val="false"/>
                <w:sz w:val="18"/>
              </w:rPr>
              <w:t>September 2023</w:t>
            </w:r>
          </w:p>
        </w:tc>
        <w:tc>
          <w:tcPr>
            <w:tcW w:w="146" w:type="dxa"/>
            <w:tcBorders/>
            <w:shd w:fill="auto" w:val="clear"/>
            <w:vAlign w:val="center"/>
          </w:tcPr>
          <w:p>
            <w:pPr>
              <w:pStyle w:val="TableContents"/>
              <w:spacing w:before="0" w:after="0"/>
              <w:ind w:left="0" w:right="0" w:hanging="0"/>
              <w:jc w:val="center"/>
              <w:rPr/>
            </w:pPr>
            <w:r>
              <w:rPr/>
              <w:t> </w:t>
            </w:r>
          </w:p>
        </w:tc>
        <w:tc>
          <w:tcPr>
            <w:tcW w:w="2416" w:type="dxa"/>
            <w:tcBorders/>
            <w:shd w:fill="auto" w:val="clear"/>
            <w:vAlign w:val="center"/>
          </w:tcPr>
          <w:p>
            <w:pPr>
              <w:pStyle w:val="TableContents"/>
              <w:spacing w:before="0" w:after="0"/>
              <w:ind w:left="0" w:right="0" w:hanging="0"/>
              <w:jc w:val="center"/>
              <w:rPr/>
            </w:pPr>
            <w:r>
              <w:rPr/>
              <w:t>—</w:t>
            </w:r>
          </w:p>
        </w:tc>
      </w:tr>
      <w:tr>
        <w:trPr/>
        <w:tc>
          <w:tcPr>
            <w:tcW w:w="3601" w:type="dxa"/>
            <w:tcBorders/>
            <w:shd w:fill="auto" w:val="clear"/>
            <w:vAlign w:val="center"/>
          </w:tcPr>
          <w:p>
            <w:pPr>
              <w:pStyle w:val="TableContents"/>
              <w:spacing w:before="0" w:after="0"/>
              <w:ind w:left="0" w:right="0" w:hanging="0"/>
              <w:jc w:val="center"/>
              <w:rPr>
                <w:rFonts w:ascii="Times New Roman;serif" w:hAnsi="Times New Roman;serif"/>
                <w:b w:val="false"/>
                <w:i/>
                <w:sz w:val="18"/>
              </w:rPr>
            </w:pPr>
            <w:r>
              <w:rPr>
                <w:rFonts w:ascii="Times New Roman;serif" w:hAnsi="Times New Roman;serif"/>
                <w:b w:val="false"/>
                <w:i/>
                <w:sz w:val="18"/>
              </w:rPr>
              <w:t>Kraven the Hunter</w:t>
            </w:r>
          </w:p>
        </w:tc>
        <w:tc>
          <w:tcPr>
            <w:tcW w:w="146" w:type="dxa"/>
            <w:tcBorders/>
            <w:shd w:fill="auto" w:val="clear"/>
            <w:vAlign w:val="center"/>
          </w:tcPr>
          <w:p>
            <w:pPr>
              <w:pStyle w:val="TableContents"/>
              <w:spacing w:before="0" w:after="0"/>
              <w:ind w:left="0" w:right="0" w:hanging="0"/>
              <w:jc w:val="center"/>
              <w:rPr/>
            </w:pPr>
            <w:r>
              <w:rPr/>
              <w:t> </w:t>
            </w:r>
          </w:p>
        </w:tc>
        <w:tc>
          <w:tcPr>
            <w:tcW w:w="1966" w:type="dxa"/>
            <w:tcBorders/>
            <w:shd w:fill="auto" w:val="clear"/>
            <w:vAlign w:val="center"/>
          </w:tcPr>
          <w:p>
            <w:pPr>
              <w:pStyle w:val="TableContents"/>
              <w:spacing w:before="0" w:after="0"/>
              <w:ind w:left="0" w:right="0" w:hanging="0"/>
              <w:jc w:val="center"/>
              <w:rPr>
                <w:rFonts w:ascii="Times New Roman;serif" w:hAnsi="Times New Roman;serif"/>
                <w:b w:val="false"/>
                <w:sz w:val="18"/>
              </w:rPr>
            </w:pPr>
            <w:r>
              <w:rPr>
                <w:rFonts w:ascii="Times New Roman;serif" w:hAnsi="Times New Roman;serif"/>
                <w:b w:val="false"/>
                <w:sz w:val="18"/>
              </w:rPr>
              <w:t>Sony Pictures</w:t>
            </w:r>
          </w:p>
        </w:tc>
        <w:tc>
          <w:tcPr>
            <w:tcW w:w="146" w:type="dxa"/>
            <w:tcBorders/>
            <w:shd w:fill="auto" w:val="clear"/>
            <w:vAlign w:val="center"/>
          </w:tcPr>
          <w:p>
            <w:pPr>
              <w:pStyle w:val="TableContents"/>
              <w:spacing w:before="0" w:after="0"/>
              <w:ind w:left="0" w:right="0" w:hanging="0"/>
              <w:jc w:val="center"/>
              <w:rPr/>
            </w:pPr>
            <w:r>
              <w:rPr/>
              <w:t> </w:t>
            </w:r>
          </w:p>
        </w:tc>
        <w:tc>
          <w:tcPr>
            <w:tcW w:w="1351" w:type="dxa"/>
            <w:tcBorders/>
            <w:shd w:fill="auto" w:val="clear"/>
            <w:vAlign w:val="center"/>
          </w:tcPr>
          <w:p>
            <w:pPr>
              <w:pStyle w:val="TableContents"/>
              <w:spacing w:before="0" w:after="0"/>
              <w:ind w:left="0" w:right="0" w:hanging="0"/>
              <w:jc w:val="center"/>
              <w:rPr>
                <w:rFonts w:ascii="Times New Roman;serif" w:hAnsi="Times New Roman;serif"/>
                <w:b w:val="false"/>
                <w:sz w:val="18"/>
              </w:rPr>
            </w:pPr>
            <w:r>
              <w:rPr>
                <w:rFonts w:ascii="Times New Roman;serif" w:hAnsi="Times New Roman;serif"/>
                <w:b w:val="false"/>
                <w:sz w:val="18"/>
              </w:rPr>
              <w:t>October 2023</w:t>
            </w:r>
          </w:p>
        </w:tc>
        <w:tc>
          <w:tcPr>
            <w:tcW w:w="146" w:type="dxa"/>
            <w:tcBorders/>
            <w:shd w:fill="auto" w:val="clear"/>
            <w:vAlign w:val="center"/>
          </w:tcPr>
          <w:p>
            <w:pPr>
              <w:pStyle w:val="TableContents"/>
              <w:spacing w:before="0" w:after="0"/>
              <w:ind w:left="0" w:right="0" w:hanging="0"/>
              <w:jc w:val="center"/>
              <w:rPr/>
            </w:pPr>
            <w:r>
              <w:rPr/>
              <w:t> </w:t>
            </w:r>
          </w:p>
        </w:tc>
        <w:tc>
          <w:tcPr>
            <w:tcW w:w="2416" w:type="dxa"/>
            <w:tcBorders/>
            <w:shd w:fill="auto" w:val="clear"/>
            <w:vAlign w:val="center"/>
          </w:tcPr>
          <w:p>
            <w:pPr>
              <w:pStyle w:val="TableContents"/>
              <w:spacing w:before="0" w:after="0"/>
              <w:ind w:left="0" w:right="0" w:hanging="0"/>
              <w:jc w:val="center"/>
              <w:rPr/>
            </w:pPr>
            <w:r>
              <w:rPr/>
              <w:t>—</w:t>
            </w:r>
          </w:p>
        </w:tc>
      </w:tr>
      <w:tr>
        <w:trPr/>
        <w:tc>
          <w:tcPr>
            <w:tcW w:w="3601" w:type="dxa"/>
            <w:tcBorders/>
            <w:shd w:fill="auto" w:val="clear"/>
            <w:vAlign w:val="center"/>
          </w:tcPr>
          <w:p>
            <w:pPr>
              <w:pStyle w:val="TableContents"/>
              <w:spacing w:before="0" w:after="0"/>
              <w:ind w:left="0" w:right="0" w:hanging="0"/>
              <w:jc w:val="center"/>
              <w:rPr>
                <w:rFonts w:ascii="Times New Roman;serif" w:hAnsi="Times New Roman;serif"/>
                <w:b w:val="false"/>
                <w:i/>
                <w:sz w:val="18"/>
              </w:rPr>
            </w:pPr>
            <w:r>
              <w:rPr>
                <w:rFonts w:ascii="Times New Roman;serif" w:hAnsi="Times New Roman;serif"/>
                <w:b w:val="false"/>
                <w:i/>
                <w:sz w:val="18"/>
              </w:rPr>
              <w:t>Untitled Exorcist</w:t>
            </w:r>
          </w:p>
        </w:tc>
        <w:tc>
          <w:tcPr>
            <w:tcW w:w="146" w:type="dxa"/>
            <w:tcBorders/>
            <w:shd w:fill="auto" w:val="clear"/>
            <w:vAlign w:val="center"/>
          </w:tcPr>
          <w:p>
            <w:pPr>
              <w:pStyle w:val="TableContents"/>
              <w:spacing w:before="0" w:after="0"/>
              <w:ind w:left="0" w:right="0" w:hanging="0"/>
              <w:jc w:val="center"/>
              <w:rPr/>
            </w:pPr>
            <w:r>
              <w:rPr/>
              <w:t> </w:t>
            </w:r>
          </w:p>
        </w:tc>
        <w:tc>
          <w:tcPr>
            <w:tcW w:w="1966" w:type="dxa"/>
            <w:tcBorders/>
            <w:shd w:fill="auto" w:val="clear"/>
            <w:vAlign w:val="center"/>
          </w:tcPr>
          <w:p>
            <w:pPr>
              <w:pStyle w:val="TableContents"/>
              <w:spacing w:before="0" w:after="0"/>
              <w:ind w:left="0" w:right="0" w:hanging="0"/>
              <w:jc w:val="center"/>
              <w:rPr>
                <w:rFonts w:ascii="Times New Roman;serif" w:hAnsi="Times New Roman;serif"/>
                <w:b w:val="false"/>
                <w:sz w:val="18"/>
              </w:rPr>
            </w:pPr>
            <w:r>
              <w:rPr>
                <w:rFonts w:ascii="Times New Roman;serif" w:hAnsi="Times New Roman;serif"/>
                <w:b w:val="false"/>
                <w:sz w:val="18"/>
              </w:rPr>
              <w:t>Universal Pictures</w:t>
            </w:r>
          </w:p>
        </w:tc>
        <w:tc>
          <w:tcPr>
            <w:tcW w:w="146" w:type="dxa"/>
            <w:tcBorders/>
            <w:shd w:fill="auto" w:val="clear"/>
            <w:vAlign w:val="center"/>
          </w:tcPr>
          <w:p>
            <w:pPr>
              <w:pStyle w:val="TableContents"/>
              <w:spacing w:before="0" w:after="0"/>
              <w:ind w:left="0" w:right="0" w:hanging="0"/>
              <w:jc w:val="center"/>
              <w:rPr/>
            </w:pPr>
            <w:r>
              <w:rPr/>
              <w:t> </w:t>
            </w:r>
          </w:p>
        </w:tc>
        <w:tc>
          <w:tcPr>
            <w:tcW w:w="1351" w:type="dxa"/>
            <w:tcBorders/>
            <w:shd w:fill="auto" w:val="clear"/>
            <w:vAlign w:val="center"/>
          </w:tcPr>
          <w:p>
            <w:pPr>
              <w:pStyle w:val="TableContents"/>
              <w:spacing w:before="0" w:after="0"/>
              <w:ind w:left="0" w:right="0" w:hanging="0"/>
              <w:jc w:val="center"/>
              <w:rPr>
                <w:rFonts w:ascii="Times New Roman;serif" w:hAnsi="Times New Roman;serif"/>
                <w:b w:val="false"/>
                <w:sz w:val="18"/>
              </w:rPr>
            </w:pPr>
            <w:r>
              <w:rPr>
                <w:rFonts w:ascii="Times New Roman;serif" w:hAnsi="Times New Roman;serif"/>
                <w:b w:val="false"/>
                <w:sz w:val="18"/>
              </w:rPr>
              <w:t>October 2023</w:t>
            </w:r>
          </w:p>
        </w:tc>
        <w:tc>
          <w:tcPr>
            <w:tcW w:w="146" w:type="dxa"/>
            <w:tcBorders/>
            <w:shd w:fill="auto" w:val="clear"/>
            <w:vAlign w:val="center"/>
          </w:tcPr>
          <w:p>
            <w:pPr>
              <w:pStyle w:val="TableContents"/>
              <w:spacing w:before="0" w:after="0"/>
              <w:ind w:left="0" w:right="0" w:hanging="0"/>
              <w:jc w:val="center"/>
              <w:rPr/>
            </w:pPr>
            <w:r>
              <w:rPr/>
              <w:t> </w:t>
            </w:r>
          </w:p>
        </w:tc>
        <w:tc>
          <w:tcPr>
            <w:tcW w:w="2416" w:type="dxa"/>
            <w:tcBorders/>
            <w:shd w:fill="auto" w:val="clear"/>
            <w:vAlign w:val="center"/>
          </w:tcPr>
          <w:p>
            <w:pPr>
              <w:pStyle w:val="TableContents"/>
              <w:spacing w:before="0" w:after="0"/>
              <w:ind w:left="0" w:right="0" w:hanging="0"/>
              <w:jc w:val="center"/>
              <w:rPr/>
            </w:pPr>
            <w:r>
              <w:rPr/>
              <w:t>—</w:t>
            </w:r>
          </w:p>
        </w:tc>
      </w:tr>
      <w:tr>
        <w:trPr/>
        <w:tc>
          <w:tcPr>
            <w:tcW w:w="3601" w:type="dxa"/>
            <w:tcBorders/>
            <w:shd w:fill="auto" w:val="clear"/>
            <w:vAlign w:val="center"/>
          </w:tcPr>
          <w:p>
            <w:pPr>
              <w:pStyle w:val="TableContents"/>
              <w:spacing w:before="0" w:after="0"/>
              <w:ind w:left="0" w:right="0" w:hanging="0"/>
              <w:jc w:val="center"/>
              <w:rPr>
                <w:rFonts w:ascii="Times New Roman;serif" w:hAnsi="Times New Roman;serif"/>
                <w:b w:val="false"/>
                <w:i/>
                <w:sz w:val="18"/>
              </w:rPr>
            </w:pPr>
            <w:r>
              <w:rPr>
                <w:rFonts w:ascii="Times New Roman;serif" w:hAnsi="Times New Roman;serif"/>
                <w:b w:val="false"/>
                <w:i/>
                <w:sz w:val="18"/>
              </w:rPr>
              <w:t>Dune: Part Two</w:t>
            </w:r>
          </w:p>
        </w:tc>
        <w:tc>
          <w:tcPr>
            <w:tcW w:w="146" w:type="dxa"/>
            <w:tcBorders/>
            <w:shd w:fill="auto" w:val="clear"/>
            <w:vAlign w:val="center"/>
          </w:tcPr>
          <w:p>
            <w:pPr>
              <w:pStyle w:val="TableContents"/>
              <w:spacing w:before="0" w:after="0"/>
              <w:ind w:left="0" w:right="0" w:hanging="0"/>
              <w:jc w:val="center"/>
              <w:rPr/>
            </w:pPr>
            <w:r>
              <w:rPr/>
              <w:t> </w:t>
            </w:r>
          </w:p>
        </w:tc>
        <w:tc>
          <w:tcPr>
            <w:tcW w:w="1966" w:type="dxa"/>
            <w:tcBorders/>
            <w:shd w:fill="auto" w:val="clear"/>
            <w:vAlign w:val="center"/>
          </w:tcPr>
          <w:p>
            <w:pPr>
              <w:pStyle w:val="TableContents"/>
              <w:spacing w:before="0" w:after="0"/>
              <w:ind w:left="0" w:right="0" w:hanging="0"/>
              <w:jc w:val="center"/>
              <w:rPr>
                <w:rFonts w:ascii="Times New Roman;serif" w:hAnsi="Times New Roman;serif"/>
                <w:b w:val="false"/>
                <w:sz w:val="18"/>
              </w:rPr>
            </w:pPr>
            <w:r>
              <w:rPr>
                <w:rFonts w:ascii="Times New Roman;serif" w:hAnsi="Times New Roman;serif"/>
                <w:b w:val="false"/>
                <w:sz w:val="18"/>
              </w:rPr>
              <w:t>Warner Bros. Pictures</w:t>
            </w:r>
          </w:p>
        </w:tc>
        <w:tc>
          <w:tcPr>
            <w:tcW w:w="146" w:type="dxa"/>
            <w:tcBorders/>
            <w:shd w:fill="auto" w:val="clear"/>
            <w:vAlign w:val="center"/>
          </w:tcPr>
          <w:p>
            <w:pPr>
              <w:pStyle w:val="TableContents"/>
              <w:spacing w:before="0" w:after="0"/>
              <w:ind w:left="0" w:right="0" w:hanging="0"/>
              <w:jc w:val="center"/>
              <w:rPr/>
            </w:pPr>
            <w:r>
              <w:rPr/>
              <w:t> </w:t>
            </w:r>
          </w:p>
        </w:tc>
        <w:tc>
          <w:tcPr>
            <w:tcW w:w="1351" w:type="dxa"/>
            <w:tcBorders/>
            <w:shd w:fill="auto" w:val="clear"/>
            <w:vAlign w:val="center"/>
          </w:tcPr>
          <w:p>
            <w:pPr>
              <w:pStyle w:val="TableContents"/>
              <w:spacing w:before="0" w:after="0"/>
              <w:ind w:left="0" w:right="0" w:hanging="0"/>
              <w:jc w:val="center"/>
              <w:rPr>
                <w:rFonts w:ascii="Times New Roman;serif" w:hAnsi="Times New Roman;serif"/>
                <w:b w:val="false"/>
                <w:sz w:val="18"/>
              </w:rPr>
            </w:pPr>
            <w:r>
              <w:rPr>
                <w:rFonts w:ascii="Times New Roman;serif" w:hAnsi="Times New Roman;serif"/>
                <w:b w:val="false"/>
                <w:sz w:val="18"/>
              </w:rPr>
              <w:t>November 2023</w:t>
            </w:r>
          </w:p>
        </w:tc>
        <w:tc>
          <w:tcPr>
            <w:tcW w:w="146" w:type="dxa"/>
            <w:tcBorders/>
            <w:shd w:fill="auto" w:val="clear"/>
            <w:vAlign w:val="center"/>
          </w:tcPr>
          <w:p>
            <w:pPr>
              <w:pStyle w:val="TableContents"/>
              <w:spacing w:before="0" w:after="0"/>
              <w:ind w:left="0" w:right="0" w:hanging="0"/>
              <w:jc w:val="center"/>
              <w:rPr/>
            </w:pPr>
            <w:r>
              <w:rPr/>
              <w:t> </w:t>
            </w:r>
          </w:p>
        </w:tc>
        <w:tc>
          <w:tcPr>
            <w:tcW w:w="2416" w:type="dxa"/>
            <w:tcBorders/>
            <w:shd w:fill="auto" w:val="clear"/>
            <w:vAlign w:val="center"/>
          </w:tcPr>
          <w:p>
            <w:pPr>
              <w:pStyle w:val="TableContents"/>
              <w:spacing w:before="0" w:after="0"/>
              <w:ind w:left="0" w:right="0" w:hanging="0"/>
              <w:jc w:val="center"/>
              <w:rPr>
                <w:rFonts w:ascii="Times New Roman;serif" w:hAnsi="Times New Roman;serif"/>
                <w:b w:val="false"/>
                <w:sz w:val="18"/>
              </w:rPr>
            </w:pPr>
            <w:r>
              <w:rPr>
                <w:rFonts w:ascii="Times New Roman;serif" w:hAnsi="Times New Roman;serif"/>
                <w:b w:val="false"/>
                <w:sz w:val="18"/>
              </w:rPr>
              <w:t>Filmed For IMAX</w:t>
            </w:r>
          </w:p>
        </w:tc>
      </w:tr>
      <w:tr>
        <w:trPr/>
        <w:tc>
          <w:tcPr>
            <w:tcW w:w="3601" w:type="dxa"/>
            <w:tcBorders/>
            <w:shd w:fill="auto" w:val="clear"/>
            <w:vAlign w:val="center"/>
          </w:tcPr>
          <w:p>
            <w:pPr>
              <w:pStyle w:val="TableContents"/>
              <w:spacing w:before="0" w:after="0"/>
              <w:ind w:left="0" w:right="0" w:hanging="0"/>
              <w:jc w:val="center"/>
              <w:rPr>
                <w:rFonts w:ascii="Times New Roman;serif" w:hAnsi="Times New Roman;serif"/>
                <w:b w:val="false"/>
                <w:i/>
                <w:sz w:val="18"/>
              </w:rPr>
            </w:pPr>
            <w:r>
              <w:rPr>
                <w:rFonts w:ascii="Times New Roman;serif" w:hAnsi="Times New Roman;serif"/>
                <w:b w:val="false"/>
                <w:i/>
                <w:sz w:val="18"/>
              </w:rPr>
              <w:t>Wonka</w:t>
            </w:r>
          </w:p>
        </w:tc>
        <w:tc>
          <w:tcPr>
            <w:tcW w:w="146" w:type="dxa"/>
            <w:tcBorders/>
            <w:shd w:fill="auto" w:val="clear"/>
            <w:vAlign w:val="center"/>
          </w:tcPr>
          <w:p>
            <w:pPr>
              <w:pStyle w:val="TableContents"/>
              <w:spacing w:before="0" w:after="0"/>
              <w:ind w:left="0" w:right="0" w:hanging="0"/>
              <w:jc w:val="center"/>
              <w:rPr/>
            </w:pPr>
            <w:r>
              <w:rPr/>
              <w:t> </w:t>
            </w:r>
          </w:p>
        </w:tc>
        <w:tc>
          <w:tcPr>
            <w:tcW w:w="1966" w:type="dxa"/>
            <w:tcBorders/>
            <w:shd w:fill="auto" w:val="clear"/>
            <w:vAlign w:val="center"/>
          </w:tcPr>
          <w:p>
            <w:pPr>
              <w:pStyle w:val="TableContents"/>
              <w:spacing w:before="0" w:after="0"/>
              <w:ind w:left="0" w:right="0" w:hanging="0"/>
              <w:jc w:val="center"/>
              <w:rPr>
                <w:rFonts w:ascii="Times New Roman;serif" w:hAnsi="Times New Roman;serif"/>
                <w:b w:val="false"/>
                <w:sz w:val="18"/>
              </w:rPr>
            </w:pPr>
            <w:r>
              <w:rPr>
                <w:rFonts w:ascii="Times New Roman;serif" w:hAnsi="Times New Roman;serif"/>
                <w:b w:val="false"/>
                <w:sz w:val="18"/>
              </w:rPr>
              <w:t>Warner Bros. Pictures</w:t>
            </w:r>
          </w:p>
        </w:tc>
        <w:tc>
          <w:tcPr>
            <w:tcW w:w="146" w:type="dxa"/>
            <w:tcBorders/>
            <w:shd w:fill="auto" w:val="clear"/>
            <w:vAlign w:val="center"/>
          </w:tcPr>
          <w:p>
            <w:pPr>
              <w:pStyle w:val="TableContents"/>
              <w:spacing w:before="0" w:after="0"/>
              <w:ind w:left="0" w:right="0" w:hanging="0"/>
              <w:jc w:val="center"/>
              <w:rPr/>
            </w:pPr>
            <w:r>
              <w:rPr/>
              <w:t> </w:t>
            </w:r>
          </w:p>
        </w:tc>
        <w:tc>
          <w:tcPr>
            <w:tcW w:w="1351" w:type="dxa"/>
            <w:tcBorders/>
            <w:shd w:fill="auto" w:val="clear"/>
            <w:vAlign w:val="center"/>
          </w:tcPr>
          <w:p>
            <w:pPr>
              <w:pStyle w:val="TableContents"/>
              <w:spacing w:before="0" w:after="0"/>
              <w:ind w:left="0" w:right="0" w:hanging="0"/>
              <w:jc w:val="center"/>
              <w:rPr>
                <w:rFonts w:ascii="Times New Roman;serif" w:hAnsi="Times New Roman;serif"/>
                <w:b w:val="false"/>
                <w:sz w:val="18"/>
              </w:rPr>
            </w:pPr>
            <w:r>
              <w:rPr>
                <w:rFonts w:ascii="Times New Roman;serif" w:hAnsi="Times New Roman;serif"/>
                <w:b w:val="false"/>
                <w:sz w:val="18"/>
              </w:rPr>
              <w:t>December 2023</w:t>
            </w:r>
          </w:p>
        </w:tc>
        <w:tc>
          <w:tcPr>
            <w:tcW w:w="146" w:type="dxa"/>
            <w:tcBorders/>
            <w:shd w:fill="auto" w:val="clear"/>
            <w:vAlign w:val="center"/>
          </w:tcPr>
          <w:p>
            <w:pPr>
              <w:pStyle w:val="TableContents"/>
              <w:spacing w:before="0" w:after="0"/>
              <w:ind w:left="0" w:right="0" w:hanging="0"/>
              <w:jc w:val="center"/>
              <w:rPr/>
            </w:pPr>
            <w:r>
              <w:rPr/>
              <w:t> </w:t>
            </w:r>
          </w:p>
        </w:tc>
        <w:tc>
          <w:tcPr>
            <w:tcW w:w="2416" w:type="dxa"/>
            <w:tcBorders/>
            <w:shd w:fill="auto" w:val="clear"/>
            <w:vAlign w:val="center"/>
          </w:tcPr>
          <w:p>
            <w:pPr>
              <w:pStyle w:val="TableContents"/>
              <w:spacing w:before="0" w:after="0"/>
              <w:ind w:left="0" w:right="0" w:hanging="0"/>
              <w:jc w:val="center"/>
              <w:rPr/>
            </w:pPr>
            <w:r>
              <w:rPr/>
              <w:t>—</w:t>
            </w:r>
          </w:p>
        </w:tc>
      </w:tr>
      <w:tr>
        <w:trPr/>
        <w:tc>
          <w:tcPr>
            <w:tcW w:w="3601" w:type="dxa"/>
            <w:tcBorders/>
            <w:shd w:fill="auto" w:val="clear"/>
            <w:vAlign w:val="center"/>
          </w:tcPr>
          <w:p>
            <w:pPr>
              <w:pStyle w:val="TableContents"/>
              <w:spacing w:before="0" w:after="0"/>
              <w:ind w:left="0" w:right="0" w:hanging="0"/>
              <w:jc w:val="center"/>
              <w:rPr>
                <w:rFonts w:ascii="Times New Roman;serif" w:hAnsi="Times New Roman;serif"/>
                <w:b w:val="false"/>
                <w:i/>
                <w:sz w:val="18"/>
              </w:rPr>
            </w:pPr>
            <w:r>
              <w:rPr>
                <w:rFonts w:ascii="Times New Roman;serif" w:hAnsi="Times New Roman;serif"/>
                <w:b w:val="false"/>
                <w:i/>
                <w:sz w:val="18"/>
              </w:rPr>
              <w:t>Aquaman and the Lost Kingdom</w:t>
            </w:r>
          </w:p>
        </w:tc>
        <w:tc>
          <w:tcPr>
            <w:tcW w:w="146" w:type="dxa"/>
            <w:tcBorders/>
            <w:shd w:fill="auto" w:val="clear"/>
            <w:vAlign w:val="center"/>
          </w:tcPr>
          <w:p>
            <w:pPr>
              <w:pStyle w:val="TableContents"/>
              <w:spacing w:before="0" w:after="0"/>
              <w:ind w:left="0" w:right="0" w:hanging="0"/>
              <w:jc w:val="center"/>
              <w:rPr/>
            </w:pPr>
            <w:r>
              <w:rPr/>
              <w:t> </w:t>
            </w:r>
          </w:p>
        </w:tc>
        <w:tc>
          <w:tcPr>
            <w:tcW w:w="1966" w:type="dxa"/>
            <w:tcBorders/>
            <w:shd w:fill="auto" w:val="clear"/>
            <w:vAlign w:val="center"/>
          </w:tcPr>
          <w:p>
            <w:pPr>
              <w:pStyle w:val="TableContents"/>
              <w:spacing w:before="0" w:after="0"/>
              <w:ind w:left="0" w:right="0" w:hanging="0"/>
              <w:jc w:val="center"/>
              <w:rPr>
                <w:rFonts w:ascii="Times New Roman;serif" w:hAnsi="Times New Roman;serif"/>
                <w:b w:val="false"/>
                <w:sz w:val="18"/>
              </w:rPr>
            </w:pPr>
            <w:r>
              <w:rPr>
                <w:rFonts w:ascii="Times New Roman;serif" w:hAnsi="Times New Roman;serif"/>
                <w:b w:val="false"/>
                <w:sz w:val="18"/>
              </w:rPr>
              <w:t>Warner Bros. Pictures</w:t>
            </w:r>
          </w:p>
        </w:tc>
        <w:tc>
          <w:tcPr>
            <w:tcW w:w="146" w:type="dxa"/>
            <w:tcBorders/>
            <w:shd w:fill="auto" w:val="clear"/>
            <w:vAlign w:val="center"/>
          </w:tcPr>
          <w:p>
            <w:pPr>
              <w:pStyle w:val="TableContents"/>
              <w:spacing w:before="0" w:after="0"/>
              <w:ind w:left="0" w:right="0" w:hanging="0"/>
              <w:jc w:val="center"/>
              <w:rPr/>
            </w:pPr>
            <w:r>
              <w:rPr/>
              <w:t> </w:t>
            </w:r>
          </w:p>
        </w:tc>
        <w:tc>
          <w:tcPr>
            <w:tcW w:w="1351" w:type="dxa"/>
            <w:tcBorders/>
            <w:shd w:fill="auto" w:val="clear"/>
            <w:vAlign w:val="center"/>
          </w:tcPr>
          <w:p>
            <w:pPr>
              <w:pStyle w:val="TableContents"/>
              <w:spacing w:before="0" w:after="0"/>
              <w:ind w:left="0" w:right="0" w:hanging="0"/>
              <w:jc w:val="center"/>
              <w:rPr>
                <w:rFonts w:ascii="Times New Roman;serif" w:hAnsi="Times New Roman;serif"/>
                <w:b w:val="false"/>
                <w:sz w:val="18"/>
              </w:rPr>
            </w:pPr>
            <w:r>
              <w:rPr>
                <w:rFonts w:ascii="Times New Roman;serif" w:hAnsi="Times New Roman;serif"/>
                <w:b w:val="false"/>
                <w:sz w:val="18"/>
              </w:rPr>
              <w:t>December 2023</w:t>
            </w:r>
          </w:p>
        </w:tc>
        <w:tc>
          <w:tcPr>
            <w:tcW w:w="146" w:type="dxa"/>
            <w:tcBorders/>
            <w:shd w:fill="auto" w:val="clear"/>
            <w:vAlign w:val="center"/>
          </w:tcPr>
          <w:p>
            <w:pPr>
              <w:pStyle w:val="TableContents"/>
              <w:spacing w:before="0" w:after="0"/>
              <w:ind w:left="0" w:right="0" w:hanging="0"/>
              <w:jc w:val="center"/>
              <w:rPr/>
            </w:pPr>
            <w:r>
              <w:rPr/>
              <w:t> </w:t>
            </w:r>
          </w:p>
        </w:tc>
        <w:tc>
          <w:tcPr>
            <w:tcW w:w="2416" w:type="dxa"/>
            <w:tcBorders/>
            <w:shd w:fill="auto" w:val="clear"/>
            <w:vAlign w:val="center"/>
          </w:tcPr>
          <w:p>
            <w:pPr>
              <w:pStyle w:val="TableContents"/>
              <w:spacing w:before="0" w:after="0"/>
              <w:ind w:left="0" w:right="0" w:hanging="0"/>
              <w:jc w:val="center"/>
              <w:rPr>
                <w:rFonts w:ascii="Times New Roman;serif" w:hAnsi="Times New Roman;serif"/>
                <w:b w:val="false"/>
                <w:sz w:val="18"/>
              </w:rPr>
            </w:pPr>
            <w:r>
              <w:rPr>
                <w:rFonts w:ascii="Times New Roman;serif" w:hAnsi="Times New Roman;serif"/>
                <w:b w:val="false"/>
                <w:sz w:val="18"/>
              </w:rPr>
              <w:t>Filmed For IMAX</w:t>
            </w:r>
          </w:p>
        </w:tc>
      </w:tr>
    </w:tbl>
    <w:p>
      <w:pPr>
        <w:pStyle w:val="TextBody"/>
        <w:pBdr>
          <w:bottom w:val="single" w:sz="4" w:space="1" w:color="000000"/>
        </w:pBdr>
        <w:spacing w:before="0" w:after="0"/>
        <w:jc w:val="left"/>
        <w:rPr/>
      </w:pPr>
      <w:r>
        <w:rPr/>
        <w:t> </w:t>
      </w:r>
    </w:p>
    <w:p>
      <w:pPr>
        <w:pStyle w:val="TextBody"/>
        <w:spacing w:before="200" w:after="0"/>
        <w:jc w:val="both"/>
        <w:rPr>
          <w:rFonts w:ascii="Times New Roman" w:hAnsi="Times New Roman"/>
          <w:b w:val="false"/>
          <w:sz w:val="20"/>
        </w:rPr>
      </w:pPr>
      <w:r>
        <w:rPr>
          <w:rFonts w:ascii="Times New Roman" w:hAnsi="Times New Roman"/>
          <w:b w:val="false"/>
          <w:sz w:val="20"/>
        </w:rPr>
        <w:t>(1)</w:t>
      </w:r>
    </w:p>
    <w:p>
      <w:pPr>
        <w:pStyle w:val="TextBody"/>
        <w:spacing w:before="200" w:after="0"/>
        <w:jc w:val="both"/>
        <w:rPr>
          <w:rFonts w:ascii="Times New Roman;serif" w:hAnsi="Times New Roman;serif"/>
          <w:b w:val="false"/>
          <w:sz w:val="20"/>
        </w:rPr>
      </w:pPr>
      <w:r>
        <w:rPr>
          <w:rFonts w:ascii="Times New Roman;serif" w:hAnsi="Times New Roman;serif"/>
          <w:b w:val="false"/>
          <w:sz w:val="20"/>
        </w:rPr>
        <w:t>The scheduled release dates in the table above are subject to change, may vary by territory, and may not reflect the date(s) of limited premiere events.</w:t>
      </w:r>
    </w:p>
    <w:p>
      <w:pPr>
        <w:pStyle w:val="TextBody"/>
        <w:spacing w:before="200" w:after="0"/>
        <w:jc w:val="both"/>
        <w:rPr>
          <w:rFonts w:ascii="Times New Roman" w:hAnsi="Times New Roman"/>
          <w:b w:val="false"/>
          <w:sz w:val="20"/>
        </w:rPr>
      </w:pPr>
      <w:r>
        <w:rPr>
          <w:rFonts w:ascii="Times New Roman" w:hAnsi="Times New Roman"/>
          <w:b w:val="false"/>
          <w:sz w:val="20"/>
        </w:rPr>
        <w:t>(2)</w:t>
      </w:r>
    </w:p>
    <w:p>
      <w:pPr>
        <w:pStyle w:val="TextBody"/>
        <w:spacing w:before="200" w:after="283"/>
        <w:jc w:val="both"/>
        <w:rPr>
          <w:rFonts w:ascii="Times New Roman;serif" w:hAnsi="Times New Roman;serif"/>
          <w:b w:val="false"/>
          <w:sz w:val="20"/>
        </w:rPr>
      </w:pPr>
      <w:r>
        <w:rPr>
          <w:rFonts w:ascii="Times New Roman;serif" w:hAnsi="Times New Roman;serif"/>
          <w:b w:val="false"/>
          <w:sz w:val="20"/>
        </w:rPr>
        <w:t>Local language film.</w:t>
      </w:r>
    </w:p>
    <w:p>
      <w:pPr>
        <w:pStyle w:val="TextBody"/>
        <w:spacing w:before="200" w:after="0"/>
        <w:jc w:val="both"/>
        <w:rPr>
          <w:rFonts w:ascii="Times New Roman" w:hAnsi="Times New Roman"/>
          <w:sz w:val="20"/>
        </w:rPr>
      </w:pPr>
      <w:r>
        <w:rPr>
          <w:rFonts w:ascii="Times New Roman;serif" w:hAnsi="Times New Roman;serif"/>
          <w:b w:val="false"/>
          <w:sz w:val="20"/>
        </w:rPr>
        <w:t>The Company remains in active negotiations with studios, both domestically and internationally, for additional films to fill out its short- and long-term film slate for the IMAX network.</w:t>
      </w:r>
      <w:r>
        <w:rPr>
          <w:rFonts w:ascii="Times New Roman" w:hAnsi="Times New Roman"/>
          <w:sz w:val="20"/>
        </w:rPr>
        <w:t xml:space="preserve"> </w:t>
      </w:r>
    </w:p>
    <w:p>
      <w:pPr>
        <w:pStyle w:val="TextBody"/>
        <w:spacing w:before="200" w:after="0"/>
        <w:jc w:val="both"/>
        <w:rPr>
          <w:rFonts w:ascii="Times New Roman;serif" w:hAnsi="Times New Roman;serif"/>
          <w:b w:val="false"/>
          <w:i/>
          <w:sz w:val="20"/>
        </w:rPr>
      </w:pPr>
      <w:r>
        <w:rPr>
          <w:rFonts w:ascii="Times New Roman;serif" w:hAnsi="Times New Roman;serif"/>
          <w:b w:val="false"/>
          <w:i/>
          <w:sz w:val="20"/>
        </w:rPr>
        <w:t>Other Content Solutions</w:t>
      </w:r>
    </w:p>
    <w:p>
      <w:pPr>
        <w:pStyle w:val="TextBody"/>
        <w:spacing w:before="200" w:after="0"/>
        <w:jc w:val="both"/>
        <w:rPr>
          <w:rFonts w:ascii="Times New Roman" w:hAnsi="Times New Roman"/>
          <w:sz w:val="20"/>
        </w:rPr>
      </w:pPr>
      <w:r>
        <w:rPr>
          <w:rFonts w:ascii="Times New Roman;serif" w:hAnsi="Times New Roman;serif"/>
          <w:b w:val="false"/>
          <w:sz w:val="20"/>
        </w:rPr>
        <w:t>The Company distributes large-format documentary films, primarily to institutional theaters. The Company receives as its distribution fee either a fixed amount or a fixed percentage of the theater box office receipts and, following the recoupment of its costs, is typically entitled to receive an additional percentage of gross revenues as participation revenues.</w:t>
      </w:r>
      <w:r>
        <w:rPr>
          <w:rFonts w:ascii="Times New Roman" w:hAnsi="Times New Roman"/>
          <w:sz w:val="20"/>
        </w:rPr>
        <w:t xml:space="preserve"> </w:t>
      </w:r>
    </w:p>
    <w:p>
      <w:pPr>
        <w:pStyle w:val="TextBody"/>
        <w:spacing w:before="200" w:after="0"/>
        <w:jc w:val="both"/>
        <w:rPr>
          <w:rFonts w:ascii="Times New Roman" w:hAnsi="Times New Roman"/>
          <w:sz w:val="20"/>
        </w:rPr>
      </w:pPr>
      <w:r>
        <w:rPr>
          <w:rFonts w:ascii="Times New Roman;serif" w:hAnsi="Times New Roman;serif"/>
          <w:b w:val="false"/>
          <w:sz w:val="20"/>
        </w:rPr>
        <w:t>In addition, the Company continues to experiment in bringing new, innovative IMAX Live</w:t>
      </w:r>
      <w:r>
        <w:rPr>
          <w:rFonts w:ascii="Times New Roman;serif" w:hAnsi="Times New Roman;serif"/>
          <w:b w:val="false"/>
          <w:sz w:val="13"/>
        </w:rPr>
        <w:t xml:space="preserve">TM </w:t>
      </w:r>
      <w:r>
        <w:rPr>
          <w:rFonts w:ascii="Times New Roman;serif" w:hAnsi="Times New Roman;serif"/>
          <w:b w:val="false"/>
          <w:sz w:val="20"/>
        </w:rPr>
        <w:t>events and experiences to audiences worldwide. The Company has a footprint of connected IMAX Systems capable of delivering live, interactive content with low latency and superior sight and sound. As of March 31, 2023, 258 systems in the IMAX network across North America, Europe and Asia were configured with connectivity to deliver live and interactive events.</w:t>
      </w:r>
    </w:p>
    <w:p>
      <w:pPr>
        <w:pStyle w:val="TextBody"/>
        <w:spacing w:before="240" w:after="0"/>
        <w:jc w:val="center"/>
        <w:rPr>
          <w:rFonts w:ascii="Times New Roman;serif" w:hAnsi="Times New Roman;serif"/>
          <w:b w:val="false"/>
          <w:sz w:val="20"/>
        </w:rPr>
      </w:pPr>
      <w:r>
        <w:rPr>
          <w:rFonts w:ascii="Times New Roman;serif" w:hAnsi="Times New Roman;serif"/>
          <w:b w:val="false"/>
          <w:sz w:val="20"/>
        </w:rPr>
        <w:t>45</w:t>
      </w:r>
    </w:p>
    <w:p>
      <w:pPr>
        <w:pStyle w:val="HorizontalLine"/>
        <w:rPr/>
      </w:pPr>
      <w:r>
        <w:rPr/>
      </w:r>
    </w:p>
    <w:p>
      <w:pPr>
        <w:pStyle w:val="TextBody"/>
        <w:spacing w:before="0" w:after="0"/>
        <w:jc w:val="left"/>
        <w:rPr/>
      </w:pPr>
      <w:r>
        <w:rPr/>
        <w:t> </w:t>
      </w:r>
    </w:p>
    <w:p>
      <w:pPr>
        <w:pStyle w:val="TextBody"/>
        <w:spacing w:before="200" w:after="0"/>
        <w:jc w:val="both"/>
        <w:rPr>
          <w:rFonts w:ascii="Times New Roman" w:hAnsi="Times New Roman"/>
          <w:sz w:val="20"/>
        </w:rPr>
      </w:pPr>
      <w:r>
        <w:rPr>
          <w:rFonts w:ascii="Times New Roman;serif" w:hAnsi="Times New Roman;serif"/>
          <w:b w:val="false"/>
          <w:sz w:val="20"/>
        </w:rPr>
        <w:t xml:space="preserve">In the first quarter of 2023, the Company partnered with United Artists Releases for an IMAX premiere event consisting of red carpet interviews and behind the scenes footage, followed by a special advanced screening of </w:t>
      </w:r>
      <w:r>
        <w:rPr>
          <w:rFonts w:ascii="Times New Roman;serif" w:hAnsi="Times New Roman;serif"/>
          <w:b w:val="false"/>
          <w:i/>
          <w:sz w:val="20"/>
        </w:rPr>
        <w:t>Creed III</w:t>
      </w:r>
      <w:r>
        <w:rPr>
          <w:rFonts w:ascii="Times New Roman;serif" w:hAnsi="Times New Roman;serif"/>
          <w:b w:val="false"/>
          <w:sz w:val="20"/>
        </w:rPr>
        <w:t xml:space="preserve">, which was later released across the IMAX global network, taking 7% of total box office. Additionally, the Company partnered with A24 for an IMAX Live event in March 2023 for the 25th anniversary of Darren Aronofsky's debut film </w:t>
      </w:r>
      <w:r>
        <w:rPr>
          <w:rFonts w:ascii="Times New Roman;serif" w:hAnsi="Times New Roman;serif"/>
          <w:b w:val="false"/>
          <w:i/>
          <w:sz w:val="20"/>
        </w:rPr>
        <w:t>Pi</w:t>
      </w:r>
      <w:r>
        <w:rPr>
          <w:rFonts w:ascii="Times New Roman;serif" w:hAnsi="Times New Roman;serif"/>
          <w:b w:val="false"/>
          <w:sz w:val="20"/>
        </w:rPr>
        <w:t>, including a Q&amp;A with members of the cast and crew live from Los Angeles followed by a screening of the restored film.</w:t>
      </w:r>
    </w:p>
    <w:p>
      <w:pPr>
        <w:pStyle w:val="TextBody"/>
        <w:spacing w:before="200" w:after="0"/>
        <w:jc w:val="both"/>
        <w:rPr>
          <w:rFonts w:ascii="Times New Roman;serif" w:hAnsi="Times New Roman;serif"/>
          <w:b w:val="false"/>
          <w:sz w:val="20"/>
        </w:rPr>
      </w:pPr>
      <w:r>
        <w:rPr>
          <w:rFonts w:ascii="Times New Roman;serif" w:hAnsi="Times New Roman;serif"/>
          <w:b w:val="false"/>
          <w:sz w:val="20"/>
        </w:rPr>
        <w:t>The Company provides film post-production services for large-format films, whether produced by IMAX or third parties, and digital post-production services. In addition, the Company also provides IMAX film and digital cameras to content creators under the IMAX certified camera program.</w:t>
      </w:r>
    </w:p>
    <w:p>
      <w:pPr>
        <w:pStyle w:val="TextBody"/>
        <w:spacing w:before="200" w:after="0"/>
        <w:jc w:val="both"/>
        <w:rPr>
          <w:rFonts w:ascii="Times New Roman;serif" w:hAnsi="Times New Roman;serif"/>
          <w:b/>
          <w:sz w:val="20"/>
        </w:rPr>
      </w:pPr>
      <w:r>
        <w:rPr>
          <w:rFonts w:ascii="Times New Roman;serif" w:hAnsi="Times New Roman;serif"/>
          <w:b/>
          <w:sz w:val="20"/>
        </w:rPr>
        <w:t>Technology Products and Services</w:t>
      </w:r>
    </w:p>
    <w:p>
      <w:pPr>
        <w:pStyle w:val="TextBody"/>
        <w:spacing w:before="200" w:after="0"/>
        <w:jc w:val="both"/>
        <w:rPr>
          <w:rFonts w:ascii="Times New Roman;serif" w:hAnsi="Times New Roman;serif"/>
          <w:b w:val="false"/>
          <w:sz w:val="20"/>
        </w:rPr>
      </w:pPr>
      <w:r>
        <w:rPr>
          <w:rFonts w:ascii="Times New Roman;serif" w:hAnsi="Times New Roman;serif"/>
          <w:b w:val="false"/>
          <w:sz w:val="20"/>
        </w:rPr>
        <w:t>The Technology Product and Services segment earns revenue principally from the sale or lease of IMAX Systems, as well as from the maintenance of IMAX Systems. To a lesser extent, the Technology Product and Services segment also earns revenue from certain ancillary theater business activities, including after-market sales of IMAX System parts and 3D glasses.</w:t>
      </w:r>
    </w:p>
    <w:p>
      <w:pPr>
        <w:pStyle w:val="TextBody"/>
        <w:spacing w:before="200" w:after="0"/>
        <w:jc w:val="both"/>
        <w:rPr>
          <w:rFonts w:ascii="Times New Roman" w:hAnsi="Times New Roman"/>
          <w:sz w:val="20"/>
        </w:rPr>
      </w:pPr>
      <w:r>
        <w:rPr>
          <w:rFonts w:ascii="Times New Roman;serif" w:hAnsi="Times New Roman;serif"/>
          <w:b w:val="false"/>
          <w:i/>
          <w:sz w:val="20"/>
        </w:rPr>
        <w:t>Sales and Sales-Type Lease Arrangements</w:t>
      </w:r>
      <w:r>
        <w:rPr>
          <w:rFonts w:ascii="Times New Roman" w:hAnsi="Times New Roman"/>
          <w:sz w:val="20"/>
        </w:rPr>
        <w:t xml:space="preserve"> </w:t>
      </w:r>
    </w:p>
    <w:p>
      <w:pPr>
        <w:pStyle w:val="TextBody"/>
        <w:spacing w:before="200" w:after="0"/>
        <w:jc w:val="both"/>
        <w:rPr>
          <w:rFonts w:ascii="Times New Roman;serif" w:hAnsi="Times New Roman;serif"/>
          <w:b w:val="false"/>
          <w:sz w:val="20"/>
        </w:rPr>
      </w:pPr>
      <w:r>
        <w:rPr>
          <w:rFonts w:ascii="Times New Roman;serif" w:hAnsi="Times New Roman;serif"/>
          <w:b w:val="false"/>
          <w:sz w:val="20"/>
        </w:rPr>
        <w:t>The Company provides IMAX Systems to exhibitors through sale arrangements or long-term lease arrangements that for accounting purposes are classified as sales-type leases. Under these arrangements, in exchange for providing the IMAX System, the Company earns initial fees and ongoing consideration, which can include fixed annual minimum payments and contingent fees in excess of the minimum payments, as well as maintenance and extended warranty fees (see “IMAX Maintenance” below). The initial fees vary depending on the system configuration and location of the IMAX System. Initial fees are paid to the Company in installments between the time of signing the arrangement and the time of system installation, which is when the total of these fees, in addition to the present value of future annual minimum payments, are recognized as revenue. Finance income is recognized over the term of a financed sale or sales-type lease arrangement. In addition, in sale arrangements, an estimate of the contingent fees that may become due if certain annual minimum box office receipt thresholds are exceeded is recorded as revenue in the period when the sale is recognized and is adjusted in future periods based on actual results and changes in estimates. Such variable consideration is only recognized on sales transactions to the extent the Company believes there is not a risk of significant revenue reversal.</w:t>
      </w:r>
    </w:p>
    <w:p>
      <w:pPr>
        <w:pStyle w:val="TextBody"/>
        <w:spacing w:before="200" w:after="0"/>
        <w:jc w:val="both"/>
        <w:rPr>
          <w:rFonts w:ascii="Times New Roman;serif" w:hAnsi="Times New Roman;serif"/>
          <w:b w:val="false"/>
          <w:sz w:val="20"/>
        </w:rPr>
      </w:pPr>
      <w:r>
        <w:rPr>
          <w:rFonts w:ascii="Times New Roman;serif" w:hAnsi="Times New Roman;serif"/>
          <w:b w:val="false"/>
          <w:sz w:val="20"/>
        </w:rPr>
        <w:t>In sale arrangements, title to the IMAX System equipment generally transfers to the customer. However, in certain instances, the Company retains title or a security interest in the equipment until the customer has made all payments required by the agreement or until certain shipment events for the equipment have occurred. In a sales-type lease arrangement, title to the IMAX System equipment remains with the Company. The Company has the right to remove the equipment for non-payment or other defaults by the customer.</w:t>
      </w:r>
    </w:p>
    <w:p>
      <w:pPr>
        <w:pStyle w:val="TextBody"/>
        <w:spacing w:before="200" w:after="0"/>
        <w:jc w:val="both"/>
        <w:rPr>
          <w:rFonts w:ascii="Times New Roman;serif" w:hAnsi="Times New Roman;serif"/>
          <w:b w:val="false"/>
          <w:sz w:val="20"/>
        </w:rPr>
      </w:pPr>
      <w:r>
        <w:rPr>
          <w:rFonts w:ascii="Times New Roman;serif" w:hAnsi="Times New Roman;serif"/>
          <w:b w:val="false"/>
          <w:sz w:val="20"/>
        </w:rPr>
        <w:t>The revenue earned from customers under the Company’s IMAX System sale or sales-type lease agreements varies from quarter-to-quarter and year-to-year based on a number of factors, including the number and mix of IMAX System configurations sold or leased, the timing of installation of the IMAX Systems, the nature of the arrangement and other factors specific to individual contracts.</w:t>
      </w:r>
    </w:p>
    <w:p>
      <w:pPr>
        <w:pStyle w:val="TextBody"/>
        <w:spacing w:before="200" w:after="0"/>
        <w:jc w:val="both"/>
        <w:rPr>
          <w:rFonts w:ascii="Times New Roman;serif" w:hAnsi="Times New Roman;serif"/>
          <w:b w:val="false"/>
          <w:i/>
          <w:sz w:val="20"/>
        </w:rPr>
      </w:pPr>
      <w:r>
        <w:rPr>
          <w:rFonts w:ascii="Times New Roman;serif" w:hAnsi="Times New Roman;serif"/>
          <w:b w:val="false"/>
          <w:i/>
          <w:sz w:val="20"/>
        </w:rPr>
        <w:t>Joint Revenue Sharing Arrangements</w:t>
      </w:r>
    </w:p>
    <w:p>
      <w:pPr>
        <w:pStyle w:val="TextBody"/>
        <w:spacing w:before="200" w:after="0"/>
        <w:jc w:val="both"/>
        <w:rPr>
          <w:rFonts w:ascii="Times New Roman;serif" w:hAnsi="Times New Roman;serif"/>
          <w:b w:val="false"/>
          <w:sz w:val="20"/>
        </w:rPr>
      </w:pPr>
      <w:r>
        <w:rPr>
          <w:rFonts w:ascii="Times New Roman;serif" w:hAnsi="Times New Roman;serif"/>
          <w:b w:val="false"/>
          <w:sz w:val="20"/>
        </w:rPr>
        <w:t>The Company provides IMAX Systems to exhibitors through joint revenue sharing arrangements (“JRSA”). Under the traditional form of these arrangements, the Company provides the IMAX System under a long-term lease in which the Company assumes the majority of the equipment and installation costs. In exchange for its upfront investment, the Company, primarily, earns rent based on a percentage of contingent box office receipts rather than requiring the customer to pay a fixed upfront fee or annual minimum payments. Rental payments from the customer are required throughout the term of the arrangement and are due either monthly or quarterly. The Company retains title to the IMAX System equipment components throughout the lease term, and the equipment is returned to the Company at the conclusion of the arrangement.</w:t>
      </w:r>
    </w:p>
    <w:p>
      <w:pPr>
        <w:pStyle w:val="TextBody"/>
        <w:spacing w:before="200" w:after="0"/>
        <w:jc w:val="both"/>
        <w:rPr>
          <w:rFonts w:ascii="Times New Roman;serif" w:hAnsi="Times New Roman;serif"/>
          <w:b w:val="false"/>
          <w:sz w:val="20"/>
        </w:rPr>
      </w:pPr>
      <w:r>
        <w:rPr>
          <w:rFonts w:ascii="Times New Roman;serif" w:hAnsi="Times New Roman;serif"/>
          <w:b w:val="false"/>
          <w:sz w:val="20"/>
        </w:rPr>
        <w:t>Under certain other joint revenue sharing arrangements, known as hybrid arrangements, the customer is responsible for making fixed upfront payments prior to the delivery and installation of the IMAX System in an amount that is typically half of what the Company would receive from a typical sale transaction. As with a traditional joint revenue sharing arrangement, the customer also pays the Company a percentage of contingent box office receipts over the term of the arrangement, although this percentage is typically half that of a traditional joint revenue sharing arrangement. Hybrid joint revenue sharing arrangements take the form of a sales. The fixed upfront payment is recognized when the lease term commences and is recorded within Revenues – Technology Sales. The contingent rent is recognized as revenue over the lease term and are recorded within Revenues – Technology Rentals.</w:t>
      </w:r>
    </w:p>
    <w:p>
      <w:pPr>
        <w:pStyle w:val="TextBody"/>
        <w:spacing w:before="240" w:after="0"/>
        <w:jc w:val="center"/>
        <w:rPr>
          <w:rFonts w:ascii="Times New Roman;serif" w:hAnsi="Times New Roman;serif"/>
          <w:b w:val="false"/>
          <w:sz w:val="20"/>
        </w:rPr>
      </w:pPr>
      <w:r>
        <w:rPr>
          <w:rFonts w:ascii="Times New Roman;serif" w:hAnsi="Times New Roman;serif"/>
          <w:b w:val="false"/>
          <w:sz w:val="20"/>
        </w:rPr>
        <w:t>46</w:t>
      </w:r>
    </w:p>
    <w:p>
      <w:pPr>
        <w:pStyle w:val="HorizontalLine"/>
        <w:rPr/>
      </w:pPr>
      <w:r>
        <w:rPr/>
      </w:r>
    </w:p>
    <w:p>
      <w:pPr>
        <w:pStyle w:val="TextBody"/>
        <w:spacing w:before="0" w:after="0"/>
        <w:jc w:val="left"/>
        <w:rPr/>
      </w:pPr>
      <w:r>
        <w:rPr/>
        <w:t> </w:t>
      </w:r>
    </w:p>
    <w:p>
      <w:pPr>
        <w:pStyle w:val="TextBody"/>
        <w:spacing w:before="200" w:after="0"/>
        <w:jc w:val="both"/>
        <w:rPr>
          <w:rFonts w:ascii="Times New Roman;serif" w:hAnsi="Times New Roman;serif"/>
          <w:b w:val="false"/>
          <w:sz w:val="20"/>
        </w:rPr>
      </w:pPr>
      <w:r>
        <w:rPr>
          <w:rFonts w:ascii="Times New Roman;serif" w:hAnsi="Times New Roman;serif"/>
          <w:b w:val="false"/>
          <w:sz w:val="20"/>
        </w:rPr>
        <w:t>Under most joint revenue sharing arrangements (both traditional and hybrid), the initial non-cancellable term is 10 years or longer and is renewable by the customer for one to two additional terms of between three to five years. The Company has the right to remove the equipment for non-payment or other defaults by the customer. The contracts are non-cancellable by the customer unless the Company fails to perform its obligations.</w:t>
      </w:r>
    </w:p>
    <w:p>
      <w:pPr>
        <w:pStyle w:val="TextBody"/>
        <w:spacing w:before="200" w:after="0"/>
        <w:jc w:val="both"/>
        <w:rPr>
          <w:rFonts w:ascii="Times New Roman;serif" w:hAnsi="Times New Roman;serif"/>
          <w:b w:val="false"/>
          <w:sz w:val="20"/>
        </w:rPr>
      </w:pPr>
      <w:r>
        <w:rPr>
          <w:rFonts w:ascii="Times New Roman;serif" w:hAnsi="Times New Roman;serif"/>
          <w:b w:val="false"/>
          <w:sz w:val="20"/>
        </w:rPr>
        <w:t>The revenue earned from customers under the Company’s joint revenue sharing arrangements can vary from quarter-to-quarter and year-to-year based on a number of factors that drive box office levels including film performance, the mix of IMAX System configurations, the timing of installation of IMAX Systems, the nature of the arrangement, the location, size and management of the theater and other factors specific to individual arrangements.</w:t>
      </w:r>
    </w:p>
    <w:p>
      <w:pPr>
        <w:pStyle w:val="TextBody"/>
        <w:spacing w:before="200" w:after="0"/>
        <w:jc w:val="both"/>
        <w:rPr>
          <w:rFonts w:ascii="Times New Roman;serif" w:hAnsi="Times New Roman;serif"/>
          <w:b w:val="false"/>
          <w:sz w:val="20"/>
        </w:rPr>
      </w:pPr>
      <w:r>
        <w:rPr>
          <w:rFonts w:ascii="Times New Roman;serif" w:hAnsi="Times New Roman;serif"/>
          <w:b w:val="false"/>
          <w:sz w:val="20"/>
        </w:rPr>
        <w:t>Joint revenue sharing arrangements also require IMAX to provide maintenance and extended warranty services to the customer over the term of the lease in exchange for a separate fixed annual fee. These fees are reported within IMAX Maintenance, as discussed below.</w:t>
      </w:r>
    </w:p>
    <w:p>
      <w:pPr>
        <w:pStyle w:val="TextBody"/>
        <w:spacing w:before="200" w:after="0"/>
        <w:jc w:val="both"/>
        <w:rPr>
          <w:rFonts w:ascii="Times New Roman;serif" w:hAnsi="Times New Roman;serif"/>
          <w:b w:val="false"/>
          <w:sz w:val="20"/>
        </w:rPr>
      </w:pPr>
      <w:r>
        <w:rPr>
          <w:rFonts w:ascii="Times New Roman;serif" w:hAnsi="Times New Roman;serif"/>
          <w:b w:val="false"/>
          <w:sz w:val="20"/>
        </w:rPr>
        <w:t>Joint revenue sharing arrangements have been an important factor in the expansion of the Company’s commercial theater network. Joint revenue sharing arrangements allow commercial theater exhibitors to install IMAX Systems without the significant initial capital investment required in a sale or sales-type lease arrangement. Joint revenue sharing arrangements drive recurring cash flows and earnings for the Company as customers under these arrangements pay the Company a portion of their ongoing box office receipts. The Company funds its investment in equipment for joint revenue sharing arrangements through cash flows from operations. As of March 31, 2023, the Company had 927 locations under joint revenue sharing arrangements in its global commercial multiplex network. The Company also had contracts in backlog for 298 systems under joint revenue sharing arrangements as of March 31, 2023, including 75 upgrades to existing locations and 223 new locations.</w:t>
      </w:r>
    </w:p>
    <w:p>
      <w:pPr>
        <w:pStyle w:val="TextBody"/>
        <w:spacing w:before="200" w:after="0"/>
        <w:jc w:val="both"/>
        <w:rPr>
          <w:rFonts w:ascii="Times New Roman;serif" w:hAnsi="Times New Roman;serif"/>
          <w:b w:val="false"/>
          <w:i/>
          <w:sz w:val="20"/>
        </w:rPr>
      </w:pPr>
      <w:r>
        <w:rPr>
          <w:rFonts w:ascii="Times New Roman;serif" w:hAnsi="Times New Roman;serif"/>
          <w:b w:val="false"/>
          <w:i/>
          <w:sz w:val="20"/>
        </w:rPr>
        <w:t>IMAX Maintenance</w:t>
      </w:r>
    </w:p>
    <w:p>
      <w:pPr>
        <w:pStyle w:val="TextBody"/>
        <w:spacing w:before="200" w:after="0"/>
        <w:jc w:val="both"/>
        <w:rPr>
          <w:rFonts w:ascii="Times New Roman;serif" w:hAnsi="Times New Roman;serif"/>
          <w:b w:val="false"/>
          <w:sz w:val="20"/>
        </w:rPr>
      </w:pPr>
      <w:r>
        <w:rPr>
          <w:rFonts w:ascii="Times New Roman;serif" w:hAnsi="Times New Roman;serif"/>
          <w:b w:val="false"/>
          <w:sz w:val="20"/>
        </w:rPr>
        <w:t>IMAX System arrangements also include a requirement for the Company to provide maintenance services over the life of the arrangement in exchange for an extended warranty and annual maintenance fee paid by the exhibitor. Under these arrangements, the Company provides preventative and emergency maintenance services to ensure that each presentation is up to the highest IMAX quality standard. Annual maintenance fees are paid throughout the duration of the term of the system agreements.</w:t>
      </w:r>
    </w:p>
    <w:p>
      <w:pPr>
        <w:pStyle w:val="TextBody"/>
        <w:spacing w:before="200" w:after="0"/>
        <w:jc w:val="both"/>
        <w:rPr>
          <w:rFonts w:ascii="Times New Roman;serif" w:hAnsi="Times New Roman;serif"/>
          <w:b/>
          <w:sz w:val="20"/>
        </w:rPr>
      </w:pPr>
      <w:r>
        <w:rPr>
          <w:rFonts w:ascii="Times New Roman;serif" w:hAnsi="Times New Roman;serif"/>
          <w:b/>
          <w:sz w:val="20"/>
        </w:rPr>
        <w:t>All Other</w:t>
      </w:r>
    </w:p>
    <w:p>
      <w:pPr>
        <w:pStyle w:val="TextBody"/>
        <w:spacing w:before="200" w:after="0"/>
        <w:jc w:val="both"/>
        <w:rPr>
          <w:rFonts w:ascii="Times New Roman;serif" w:hAnsi="Times New Roman;serif"/>
          <w:b w:val="false"/>
          <w:i/>
          <w:sz w:val="20"/>
        </w:rPr>
      </w:pPr>
      <w:r>
        <w:rPr>
          <w:rFonts w:ascii="Times New Roman;serif" w:hAnsi="Times New Roman;serif"/>
          <w:b w:val="false"/>
          <w:i/>
          <w:sz w:val="20"/>
        </w:rPr>
        <w:t>IMAX Enhanced</w:t>
      </w:r>
    </w:p>
    <w:p>
      <w:pPr>
        <w:pStyle w:val="TextBody"/>
        <w:spacing w:before="200" w:after="0"/>
        <w:jc w:val="both"/>
        <w:rPr>
          <w:rFonts w:ascii="Times New Roman" w:hAnsi="Times New Roman"/>
          <w:sz w:val="20"/>
        </w:rPr>
      </w:pPr>
      <w:r>
        <w:rPr>
          <w:rFonts w:ascii="Times New Roman;serif" w:hAnsi="Times New Roman;serif"/>
          <w:b w:val="false"/>
          <w:sz w:val="20"/>
        </w:rPr>
        <w:t xml:space="preserve">IMAX Enhanced is a solution, made in partnership with audio leader DTS (an Xperi subsidiary), to bring </w:t>
      </w:r>
      <w:r>
        <w:rPr>
          <w:rFonts w:ascii="Times New Roman;serif" w:hAnsi="Times New Roman;serif"/>
          <w:b w:val="false"/>
          <w:i/>
          <w:sz w:val="20"/>
        </w:rPr>
        <w:t>The</w:t>
      </w:r>
      <w:r>
        <w:rPr>
          <w:rFonts w:ascii="Times New Roman" w:hAnsi="Times New Roman"/>
          <w:sz w:val="20"/>
        </w:rPr>
        <w:t xml:space="preserve"> </w:t>
      </w:r>
      <w:r>
        <w:rPr>
          <w:rFonts w:ascii="Times New Roman;serif" w:hAnsi="Times New Roman;serif"/>
          <w:b w:val="false"/>
          <w:sz w:val="20"/>
        </w:rPr>
        <w:t xml:space="preserve">IMAX </w:t>
      </w:r>
      <w:r>
        <w:rPr>
          <w:rFonts w:ascii="Times New Roman;serif" w:hAnsi="Times New Roman;serif"/>
          <w:b w:val="false"/>
          <w:i/>
          <w:sz w:val="20"/>
        </w:rPr>
        <w:t>Experience</w:t>
      </w:r>
      <w:r>
        <w:rPr>
          <w:rFonts w:ascii="Times New Roman" w:hAnsi="Times New Roman"/>
          <w:sz w:val="20"/>
        </w:rPr>
        <w:t xml:space="preserve"> </w:t>
      </w:r>
      <w:r>
        <w:rPr>
          <w:rFonts w:ascii="Times New Roman;serif" w:hAnsi="Times New Roman;serif"/>
          <w:b w:val="false"/>
          <w:sz w:val="20"/>
        </w:rPr>
        <w:t>into the home. IMAX Enhanced provides end-to-end premium technology across streaming content and best-in-class entertainment devices, offering consumers high-fidelity playback of image and sound in the home and beyond, including the following features:</w:t>
      </w:r>
    </w:p>
    <w:p>
      <w:pPr>
        <w:pStyle w:val="TextBody"/>
        <w:spacing w:before="200" w:after="0"/>
        <w:jc w:val="both"/>
        <w:rPr/>
      </w:pPr>
      <w:r>
        <w:rPr/>
        <w:t>•</w:t>
      </w:r>
    </w:p>
    <w:p>
      <w:pPr>
        <w:pStyle w:val="TextBody"/>
        <w:spacing w:before="200" w:after="0"/>
        <w:jc w:val="both"/>
        <w:rPr>
          <w:rFonts w:ascii="Times New Roman;serif" w:hAnsi="Times New Roman;serif"/>
          <w:b w:val="false"/>
          <w:sz w:val="20"/>
        </w:rPr>
      </w:pPr>
      <w:r>
        <w:rPr>
          <w:rFonts w:ascii="Times New Roman;serif" w:hAnsi="Times New Roman;serif"/>
          <w:b w:val="false"/>
          <w:sz w:val="20"/>
        </w:rPr>
        <w:t>IMAX’s expanded aspect ratio, which is available on select titles and streaming platforms, including Disney+;</w:t>
      </w:r>
    </w:p>
    <w:p>
      <w:pPr>
        <w:pStyle w:val="TextBody"/>
        <w:spacing w:before="200" w:after="0"/>
        <w:jc w:val="both"/>
        <w:rPr/>
      </w:pPr>
      <w:r>
        <w:rPr/>
        <w:t>•</w:t>
      </w:r>
    </w:p>
    <w:p>
      <w:pPr>
        <w:pStyle w:val="TextBody"/>
        <w:spacing w:before="200" w:after="0"/>
        <w:jc w:val="both"/>
        <w:rPr>
          <w:rFonts w:ascii="Times New Roman;serif" w:hAnsi="Times New Roman;serif"/>
          <w:b w:val="false"/>
          <w:sz w:val="20"/>
        </w:rPr>
      </w:pPr>
      <w:r>
        <w:rPr>
          <w:rFonts w:ascii="Times New Roman;serif" w:hAnsi="Times New Roman;serif"/>
          <w:b w:val="false"/>
          <w:sz w:val="20"/>
        </w:rPr>
        <w:t>IMAX’s proprietary remastering technology, which produces more vivid, higher-fidelity 4K HDR images on premium televisions; and</w:t>
      </w:r>
    </w:p>
    <w:p>
      <w:pPr>
        <w:pStyle w:val="TextBody"/>
        <w:spacing w:before="200" w:after="0"/>
        <w:jc w:val="both"/>
        <w:rPr/>
      </w:pPr>
      <w:r>
        <w:rPr/>
        <w:t>•</w:t>
      </w:r>
    </w:p>
    <w:p>
      <w:pPr>
        <w:pStyle w:val="TextBody"/>
        <w:spacing w:before="200" w:after="283"/>
        <w:jc w:val="both"/>
        <w:rPr>
          <w:rFonts w:ascii="Times New Roman;serif" w:hAnsi="Times New Roman;serif"/>
          <w:b w:val="false"/>
          <w:sz w:val="20"/>
        </w:rPr>
      </w:pPr>
      <w:r>
        <w:rPr>
          <w:rFonts w:ascii="Times New Roman;serif" w:hAnsi="Times New Roman;serif"/>
          <w:b w:val="false"/>
          <w:sz w:val="20"/>
        </w:rPr>
        <w:t>IMAX Signature Sound, which is specially recreated and calibrated for the home by DTS to unlock more immersive audio.</w:t>
      </w:r>
    </w:p>
    <w:p>
      <w:pPr>
        <w:pStyle w:val="TextBody"/>
        <w:spacing w:before="200" w:after="0"/>
        <w:jc w:val="both"/>
        <w:rPr>
          <w:rFonts w:ascii="Times New Roman;serif" w:hAnsi="Times New Roman;serif"/>
          <w:b w:val="false"/>
          <w:sz w:val="20"/>
        </w:rPr>
      </w:pPr>
      <w:r>
        <w:rPr>
          <w:rFonts w:ascii="Times New Roman;serif" w:hAnsi="Times New Roman;serif"/>
          <w:b w:val="false"/>
          <w:sz w:val="20"/>
        </w:rPr>
        <w:t>For their products to be certified as IMAX Enhanced, leading consumer electronics manufacturers spanning 4K/8K televisions, projectors, A/V receivers, loudspeakers, soundbars, smartphones, personal computers, tablets, and more must meet a carefully prescribed set of audiovisual performance standards, set by a certification committee of IMAX and DTS engineers, along with some of Hollywood’s leading technical specialists.</w:t>
      </w:r>
    </w:p>
    <w:p>
      <w:pPr>
        <w:pStyle w:val="TextBody"/>
        <w:spacing w:before="200" w:after="0"/>
        <w:jc w:val="both"/>
        <w:rPr>
          <w:rFonts w:ascii="Times New Roman;serif" w:hAnsi="Times New Roman;serif"/>
          <w:b w:val="false"/>
          <w:sz w:val="20"/>
        </w:rPr>
      </w:pPr>
      <w:r>
        <w:rPr>
          <w:rFonts w:ascii="Times New Roman;serif" w:hAnsi="Times New Roman;serif"/>
          <w:b w:val="false"/>
          <w:sz w:val="20"/>
        </w:rPr>
        <w:t>At present, certified global device partners include Sony Electronics, Hisense, TCL, LG, Phillips, Hewlett Packard, Xiaomi, Sound United and Honor, among others. As of March 31, 2023, more than 250 IMAX Enhanced titles have been released across five of the biggest streaming platforms worldwide: Disney+, Sony Bravia CORE, Tencent Video, iQiyi and Rakuten TV. Over 10 million IMAX Enhanced certified devices are estimated to be in the market today.</w:t>
      </w:r>
    </w:p>
    <w:p>
      <w:pPr>
        <w:pStyle w:val="TextBody"/>
        <w:spacing w:before="240" w:after="0"/>
        <w:jc w:val="center"/>
        <w:rPr>
          <w:rFonts w:ascii="Times New Roman;serif" w:hAnsi="Times New Roman;serif"/>
          <w:b w:val="false"/>
          <w:sz w:val="20"/>
        </w:rPr>
      </w:pPr>
      <w:r>
        <w:rPr>
          <w:rFonts w:ascii="Times New Roman;serif" w:hAnsi="Times New Roman;serif"/>
          <w:b w:val="false"/>
          <w:sz w:val="20"/>
        </w:rPr>
        <w:t>47</w:t>
      </w:r>
    </w:p>
    <w:p>
      <w:pPr>
        <w:pStyle w:val="HorizontalLine"/>
        <w:rPr/>
      </w:pPr>
      <w:r>
        <w:rPr/>
      </w:r>
    </w:p>
    <w:p>
      <w:pPr>
        <w:pStyle w:val="TextBody"/>
        <w:spacing w:before="0" w:after="0"/>
        <w:jc w:val="left"/>
        <w:rPr/>
      </w:pPr>
      <w:r>
        <w:rPr/>
        <w:t> </w:t>
      </w:r>
    </w:p>
    <w:p>
      <w:pPr>
        <w:pStyle w:val="TextBody"/>
        <w:spacing w:before="200" w:after="0"/>
        <w:jc w:val="both"/>
        <w:rPr>
          <w:rFonts w:ascii="Times New Roman;serif" w:hAnsi="Times New Roman;serif"/>
          <w:b w:val="false"/>
          <w:sz w:val="20"/>
        </w:rPr>
      </w:pPr>
      <w:r>
        <w:rPr>
          <w:rFonts w:ascii="Times New Roman;serif" w:hAnsi="Times New Roman;serif"/>
          <w:b w:val="false"/>
          <w:sz w:val="20"/>
        </w:rPr>
        <w:t>In addition, the Company’s collaboration with Disney allows fans to stream 19 Disney titles in IMAX’s Expanded Aspect Ratio at home on Disney+, primarily including content created by Marvel Studios, a division of Walt Disney Studios. The launch of IMAX Enhanced on Disney+ provides strong brand exposure for IMAX by expanding the Company’s in-home entertainment footprint to Disney+ and the majority of its 160 million global subscribers. In 2023, IMAX Enhanced is expected to enable an elevated end-to-end experience on Disney+, with IMAX Signature Sound coming to subscribers with IMAX Enhanced certified devices.</w:t>
      </w:r>
    </w:p>
    <w:p>
      <w:pPr>
        <w:pStyle w:val="TextBody"/>
        <w:spacing w:before="200" w:after="0"/>
        <w:jc w:val="both"/>
        <w:rPr>
          <w:rFonts w:ascii="Times New Roman;serif" w:hAnsi="Times New Roman;serif"/>
          <w:b w:val="false"/>
          <w:sz w:val="20"/>
        </w:rPr>
      </w:pPr>
      <w:r>
        <w:rPr>
          <w:rFonts w:ascii="Times New Roman;serif" w:hAnsi="Times New Roman;serif"/>
          <w:b w:val="false"/>
          <w:sz w:val="20"/>
        </w:rPr>
        <w:t>IMAX Enhanced is part of the Company’s next evolutionary step to extend the IMAX brand and technology further into new use cases, including streaming entertainment and the consumer electronics market.</w:t>
      </w:r>
    </w:p>
    <w:p>
      <w:pPr>
        <w:pStyle w:val="TextBody"/>
        <w:spacing w:before="200" w:after="0"/>
        <w:jc w:val="both"/>
        <w:rPr>
          <w:rFonts w:ascii="Times New Roman;serif" w:hAnsi="Times New Roman;serif"/>
          <w:b w:val="false"/>
          <w:i/>
          <w:sz w:val="20"/>
        </w:rPr>
      </w:pPr>
      <w:r>
        <w:rPr>
          <w:rFonts w:ascii="Times New Roman;serif" w:hAnsi="Times New Roman;serif"/>
          <w:b w:val="false"/>
          <w:i/>
          <w:sz w:val="20"/>
        </w:rPr>
        <w:t>SSIMWAVE</w:t>
      </w:r>
    </w:p>
    <w:p>
      <w:pPr>
        <w:pStyle w:val="TextBody"/>
        <w:spacing w:before="200" w:after="0"/>
        <w:jc w:val="both"/>
        <w:rPr>
          <w:rFonts w:ascii="Times New Roman;serif" w:hAnsi="Times New Roman;serif"/>
          <w:b w:val="false"/>
          <w:sz w:val="20"/>
        </w:rPr>
      </w:pPr>
      <w:r>
        <w:rPr>
          <w:rFonts w:ascii="Times New Roman;serif" w:hAnsi="Times New Roman;serif"/>
          <w:b w:val="false"/>
          <w:sz w:val="20"/>
        </w:rPr>
        <w:t>In September 2022, the Company acquired SSIMWAVE, a leader in AI-driven video quality solutions for media and entertainment companies. Following the acquisition, SSIMWAVE became a wholly-owned subsidiary of the Company. SSIMWAVE provides perceptual quality measurement and optimization solutions based on artificial intelligence technologies for leading media and entertainment companies. The acquisition of SSIMWAVE marks a significant expansion of the Company’s strategy to deliver the highest quality video images on any screen—to drive new, recurring revenue and grow its global leadership in entertainment technology.</w:t>
      </w:r>
    </w:p>
    <w:p>
      <w:pPr>
        <w:pStyle w:val="TextBody"/>
        <w:spacing w:before="200" w:after="0"/>
        <w:jc w:val="both"/>
        <w:rPr>
          <w:rFonts w:ascii="Times New Roman;serif" w:hAnsi="Times New Roman;serif"/>
          <w:b w:val="false"/>
          <w:i/>
          <w:sz w:val="20"/>
        </w:rPr>
      </w:pPr>
      <w:r>
        <w:rPr>
          <w:rFonts w:ascii="Times New Roman;serif" w:hAnsi="Times New Roman;serif"/>
          <w:b w:val="false"/>
          <w:i/>
          <w:sz w:val="20"/>
        </w:rPr>
        <w:t>Other</w:t>
      </w:r>
    </w:p>
    <w:p>
      <w:pPr>
        <w:pStyle w:val="TextBody"/>
        <w:spacing w:before="200" w:after="0"/>
        <w:jc w:val="both"/>
        <w:rPr>
          <w:rFonts w:ascii="Times New Roman" w:hAnsi="Times New Roman"/>
          <w:sz w:val="20"/>
        </w:rPr>
      </w:pPr>
      <w:r>
        <w:rPr>
          <w:rFonts w:ascii="Times New Roman;serif" w:hAnsi="Times New Roman;serif"/>
          <w:b w:val="false"/>
          <w:sz w:val="20"/>
        </w:rPr>
        <w:t>All Other also includes revenues from one owned and operated IMAX theater in Sacramento, California; a commercial arrangement with one theater resulting in the sharing of profits and losses; the provision of management services to three other theaters; renting the Company’s proprietary 2D and 3D large-format film; and also offering production advice and technical assistance to both documentary and Hollywood filmmakers.</w:t>
      </w:r>
      <w:r>
        <w:rPr>
          <w:rFonts w:ascii="Times New Roman" w:hAnsi="Times New Roman"/>
          <w:sz w:val="20"/>
        </w:rPr>
        <w:t xml:space="preserve"> </w:t>
      </w:r>
    </w:p>
    <w:p>
      <w:pPr>
        <w:pStyle w:val="TextBody"/>
        <w:spacing w:before="200" w:after="0"/>
        <w:jc w:val="both"/>
        <w:rPr>
          <w:rFonts w:ascii="Times New Roman;serif" w:hAnsi="Times New Roman;serif"/>
          <w:b/>
          <w:sz w:val="20"/>
        </w:rPr>
      </w:pPr>
      <w:r>
        <w:rPr>
          <w:rFonts w:ascii="Times New Roman;serif" w:hAnsi="Times New Roman;serif"/>
          <w:b/>
          <w:sz w:val="20"/>
        </w:rPr>
        <w:t>IMAX NETWORK AND BACKLOG</w:t>
      </w:r>
    </w:p>
    <w:p>
      <w:pPr>
        <w:pStyle w:val="TextBody"/>
        <w:spacing w:before="200" w:after="0"/>
        <w:jc w:val="both"/>
        <w:rPr>
          <w:rFonts w:ascii="Times New Roman;serif" w:hAnsi="Times New Roman;serif"/>
          <w:b w:val="false"/>
          <w:i/>
          <w:sz w:val="20"/>
        </w:rPr>
      </w:pPr>
      <w:r>
        <w:rPr>
          <w:rFonts w:ascii="Times New Roman;serif" w:hAnsi="Times New Roman;serif"/>
          <w:b w:val="false"/>
          <w:i/>
          <w:sz w:val="20"/>
        </w:rPr>
        <w:t>IMAX Network</w:t>
      </w:r>
    </w:p>
    <w:p>
      <w:pPr>
        <w:pStyle w:val="TextBody"/>
        <w:spacing w:before="200" w:after="0"/>
        <w:jc w:val="both"/>
        <w:rPr>
          <w:rFonts w:ascii="Times New Roman;serif" w:hAnsi="Times New Roman;serif"/>
          <w:b w:val="false"/>
          <w:sz w:val="20"/>
        </w:rPr>
      </w:pPr>
      <w:r>
        <w:rPr>
          <w:rFonts w:ascii="Times New Roman;serif" w:hAnsi="Times New Roman;serif"/>
          <w:b w:val="false"/>
          <w:sz w:val="20"/>
        </w:rPr>
        <w:t>The following table provides detailed information about the IMAX network by type and geographic location as of March 31, 2023 and 2022:</w:t>
      </w:r>
    </w:p>
    <w:p>
      <w:pPr>
        <w:pStyle w:val="TextBody"/>
        <w:spacing w:before="0" w:after="0"/>
        <w:jc w:val="left"/>
        <w:rPr/>
      </w:pPr>
      <w:r>
        <w:rPr/>
        <w:t> </w:t>
      </w:r>
    </w:p>
    <w:tbl>
      <w:tblPr>
        <w:tblW w:w="10767" w:type="dxa"/>
        <w:jc w:val="left"/>
        <w:tblInd w:w="0" w:type="dxa"/>
        <w:tblCellMar>
          <w:top w:w="28" w:type="dxa"/>
          <w:left w:w="28" w:type="dxa"/>
          <w:bottom w:w="28" w:type="dxa"/>
          <w:right w:w="28" w:type="dxa"/>
        </w:tblCellMar>
      </w:tblPr>
      <w:tblGrid>
        <w:gridCol w:w="1006"/>
        <w:gridCol w:w="146"/>
        <w:gridCol w:w="201"/>
        <w:gridCol w:w="790"/>
        <w:gridCol w:w="146"/>
        <w:gridCol w:w="146"/>
        <w:gridCol w:w="294"/>
        <w:gridCol w:w="697"/>
        <w:gridCol w:w="146"/>
        <w:gridCol w:w="146"/>
        <w:gridCol w:w="294"/>
        <w:gridCol w:w="697"/>
        <w:gridCol w:w="146"/>
        <w:gridCol w:w="146"/>
        <w:gridCol w:w="146"/>
        <w:gridCol w:w="571"/>
        <w:gridCol w:w="146"/>
        <w:gridCol w:w="146"/>
        <w:gridCol w:w="201"/>
        <w:gridCol w:w="790"/>
        <w:gridCol w:w="146"/>
        <w:gridCol w:w="146"/>
        <w:gridCol w:w="294"/>
        <w:gridCol w:w="697"/>
        <w:gridCol w:w="146"/>
        <w:gridCol w:w="146"/>
        <w:gridCol w:w="294"/>
        <w:gridCol w:w="697"/>
        <w:gridCol w:w="146"/>
        <w:gridCol w:w="146"/>
        <w:gridCol w:w="146"/>
        <w:gridCol w:w="571"/>
        <w:gridCol w:w="191"/>
      </w:tblGrid>
      <w:tr>
        <w:trPr/>
        <w:tc>
          <w:tcPr>
            <w:tcW w:w="100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01" w:type="dxa"/>
            <w:tcBorders/>
            <w:shd w:fill="auto" w:val="clear"/>
            <w:vAlign w:val="center"/>
          </w:tcPr>
          <w:p>
            <w:pPr>
              <w:pStyle w:val="TableContents"/>
              <w:spacing w:before="0" w:after="283"/>
              <w:rPr>
                <w:sz w:val="4"/>
                <w:szCs w:val="4"/>
              </w:rPr>
            </w:pPr>
            <w:r>
              <w:rPr>
                <w:sz w:val="4"/>
                <w:szCs w:val="4"/>
              </w:rPr>
            </w:r>
          </w:p>
        </w:tc>
        <w:tc>
          <w:tcPr>
            <w:tcW w:w="790"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94" w:type="dxa"/>
            <w:tcBorders/>
            <w:shd w:fill="auto" w:val="clear"/>
            <w:vAlign w:val="center"/>
          </w:tcPr>
          <w:p>
            <w:pPr>
              <w:pStyle w:val="TableContents"/>
              <w:spacing w:before="0" w:after="283"/>
              <w:rPr>
                <w:sz w:val="4"/>
                <w:szCs w:val="4"/>
              </w:rPr>
            </w:pPr>
            <w:r>
              <w:rPr>
                <w:sz w:val="4"/>
                <w:szCs w:val="4"/>
              </w:rPr>
            </w:r>
          </w:p>
        </w:tc>
        <w:tc>
          <w:tcPr>
            <w:tcW w:w="697"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94" w:type="dxa"/>
            <w:tcBorders/>
            <w:shd w:fill="auto" w:val="clear"/>
            <w:vAlign w:val="center"/>
          </w:tcPr>
          <w:p>
            <w:pPr>
              <w:pStyle w:val="TableContents"/>
              <w:spacing w:before="0" w:after="283"/>
              <w:rPr>
                <w:sz w:val="4"/>
                <w:szCs w:val="4"/>
              </w:rPr>
            </w:pPr>
            <w:r>
              <w:rPr>
                <w:sz w:val="4"/>
                <w:szCs w:val="4"/>
              </w:rPr>
            </w:r>
          </w:p>
        </w:tc>
        <w:tc>
          <w:tcPr>
            <w:tcW w:w="697"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571"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01" w:type="dxa"/>
            <w:tcBorders/>
            <w:shd w:fill="auto" w:val="clear"/>
            <w:vAlign w:val="center"/>
          </w:tcPr>
          <w:p>
            <w:pPr>
              <w:pStyle w:val="TableContents"/>
              <w:spacing w:before="0" w:after="283"/>
              <w:rPr>
                <w:sz w:val="4"/>
                <w:szCs w:val="4"/>
              </w:rPr>
            </w:pPr>
            <w:r>
              <w:rPr>
                <w:sz w:val="4"/>
                <w:szCs w:val="4"/>
              </w:rPr>
            </w:r>
          </w:p>
        </w:tc>
        <w:tc>
          <w:tcPr>
            <w:tcW w:w="790"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94" w:type="dxa"/>
            <w:tcBorders/>
            <w:shd w:fill="auto" w:val="clear"/>
            <w:vAlign w:val="center"/>
          </w:tcPr>
          <w:p>
            <w:pPr>
              <w:pStyle w:val="TableContents"/>
              <w:spacing w:before="0" w:after="283"/>
              <w:rPr>
                <w:sz w:val="4"/>
                <w:szCs w:val="4"/>
              </w:rPr>
            </w:pPr>
            <w:r>
              <w:rPr>
                <w:sz w:val="4"/>
                <w:szCs w:val="4"/>
              </w:rPr>
            </w:r>
          </w:p>
        </w:tc>
        <w:tc>
          <w:tcPr>
            <w:tcW w:w="697"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94" w:type="dxa"/>
            <w:tcBorders/>
            <w:shd w:fill="auto" w:val="clear"/>
            <w:vAlign w:val="center"/>
          </w:tcPr>
          <w:p>
            <w:pPr>
              <w:pStyle w:val="TableContents"/>
              <w:spacing w:before="0" w:after="283"/>
              <w:rPr>
                <w:sz w:val="4"/>
                <w:szCs w:val="4"/>
              </w:rPr>
            </w:pPr>
            <w:r>
              <w:rPr>
                <w:sz w:val="4"/>
                <w:szCs w:val="4"/>
              </w:rPr>
            </w:r>
          </w:p>
        </w:tc>
        <w:tc>
          <w:tcPr>
            <w:tcW w:w="697"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571" w:type="dxa"/>
            <w:tcBorders/>
            <w:shd w:fill="auto" w:val="clear"/>
            <w:vAlign w:val="center"/>
          </w:tcPr>
          <w:p>
            <w:pPr>
              <w:pStyle w:val="TableContents"/>
              <w:spacing w:before="0" w:after="283"/>
              <w:rPr>
                <w:sz w:val="4"/>
                <w:szCs w:val="4"/>
              </w:rPr>
            </w:pPr>
            <w:r>
              <w:rPr>
                <w:sz w:val="4"/>
                <w:szCs w:val="4"/>
              </w:rPr>
            </w:r>
          </w:p>
        </w:tc>
        <w:tc>
          <w:tcPr>
            <w:tcW w:w="191" w:type="dxa"/>
            <w:tcBorders/>
            <w:shd w:fill="auto" w:val="clear"/>
            <w:vAlign w:val="center"/>
          </w:tcPr>
          <w:p>
            <w:pPr>
              <w:pStyle w:val="TableContents"/>
              <w:spacing w:before="0" w:after="283"/>
              <w:rPr>
                <w:sz w:val="4"/>
                <w:szCs w:val="4"/>
              </w:rPr>
            </w:pPr>
            <w:r>
              <w:rPr>
                <w:sz w:val="4"/>
                <w:szCs w:val="4"/>
              </w:rPr>
            </w:r>
          </w:p>
        </w:tc>
      </w:tr>
      <w:tr>
        <w:trPr/>
        <w:tc>
          <w:tcPr>
            <w:tcW w:w="1006"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4566" w:type="dxa"/>
            <w:gridSpan w:val="14"/>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March 31, 2023</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4566" w:type="dxa"/>
            <w:gridSpan w:val="14"/>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March 31, 2022</w:t>
            </w:r>
          </w:p>
        </w:tc>
        <w:tc>
          <w:tcPr>
            <w:tcW w:w="1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1006"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991"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Commercial</w:t>
              <w:br/>
              <w:t>Multiplex</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991"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Commercial</w:t>
              <w:br/>
              <w:t>Destination</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991"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Institutional</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717"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Total</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991"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Commercial</w:t>
              <w:br/>
              <w:t>Multiplex</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991"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Commercial</w:t>
              <w:br/>
              <w:t>Destination</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991"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Institutional</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717"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Total</w:t>
            </w:r>
          </w:p>
        </w:tc>
        <w:tc>
          <w:tcPr>
            <w:tcW w:w="1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100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United States</w:t>
            </w:r>
          </w:p>
        </w:tc>
        <w:tc>
          <w:tcPr>
            <w:tcW w:w="146" w:type="dxa"/>
            <w:tcBorders/>
            <w:shd w:fill="auto" w:val="clear"/>
            <w:vAlign w:val="center"/>
          </w:tcPr>
          <w:p>
            <w:pPr>
              <w:pStyle w:val="TableContents"/>
              <w:spacing w:before="0" w:after="0"/>
              <w:ind w:left="0" w:right="0" w:hanging="0"/>
              <w:jc w:val="left"/>
              <w:rPr/>
            </w:pPr>
            <w:r>
              <w:rPr/>
              <w:t> </w:t>
            </w:r>
          </w:p>
        </w:tc>
        <w:tc>
          <w:tcPr>
            <w:tcW w:w="201" w:type="dxa"/>
            <w:tcBorders/>
            <w:shd w:fill="auto" w:val="clear"/>
            <w:vAlign w:val="center"/>
          </w:tcPr>
          <w:p>
            <w:pPr>
              <w:pStyle w:val="TableContents"/>
              <w:spacing w:before="0" w:after="0"/>
              <w:ind w:left="0" w:right="0" w:hanging="0"/>
              <w:jc w:val="left"/>
              <w:rPr/>
            </w:pPr>
            <w:r>
              <w:rPr/>
              <w:t> </w:t>
            </w:r>
          </w:p>
        </w:tc>
        <w:tc>
          <w:tcPr>
            <w:tcW w:w="790"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361</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294" w:type="dxa"/>
            <w:tcBorders/>
            <w:shd w:fill="auto" w:val="clear"/>
            <w:vAlign w:val="center"/>
          </w:tcPr>
          <w:p>
            <w:pPr>
              <w:pStyle w:val="TableContents"/>
              <w:spacing w:before="0" w:after="0"/>
              <w:ind w:left="0" w:right="0" w:hanging="0"/>
              <w:jc w:val="left"/>
              <w:rPr/>
            </w:pPr>
            <w:r>
              <w:rPr/>
              <w:t> </w:t>
            </w:r>
          </w:p>
        </w:tc>
        <w:tc>
          <w:tcPr>
            <w:tcW w:w="697"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4</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294" w:type="dxa"/>
            <w:tcBorders/>
            <w:shd w:fill="auto" w:val="clear"/>
            <w:vAlign w:val="center"/>
          </w:tcPr>
          <w:p>
            <w:pPr>
              <w:pStyle w:val="TableContents"/>
              <w:spacing w:before="0" w:after="0"/>
              <w:ind w:left="0" w:right="0" w:hanging="0"/>
              <w:jc w:val="left"/>
              <w:rPr/>
            </w:pPr>
            <w:r>
              <w:rPr/>
              <w:t> </w:t>
            </w:r>
          </w:p>
        </w:tc>
        <w:tc>
          <w:tcPr>
            <w:tcW w:w="697"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25</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57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390</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201" w:type="dxa"/>
            <w:tcBorders/>
            <w:shd w:fill="auto" w:val="clear"/>
            <w:vAlign w:val="center"/>
          </w:tcPr>
          <w:p>
            <w:pPr>
              <w:pStyle w:val="TableContents"/>
              <w:spacing w:before="0" w:after="0"/>
              <w:ind w:left="0" w:right="0" w:hanging="0"/>
              <w:jc w:val="left"/>
              <w:rPr/>
            </w:pPr>
            <w:r>
              <w:rPr/>
              <w:t> </w:t>
            </w:r>
          </w:p>
        </w:tc>
        <w:tc>
          <w:tcPr>
            <w:tcW w:w="790"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362</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294" w:type="dxa"/>
            <w:tcBorders/>
            <w:shd w:fill="auto" w:val="clear"/>
            <w:vAlign w:val="center"/>
          </w:tcPr>
          <w:p>
            <w:pPr>
              <w:pStyle w:val="TableContents"/>
              <w:spacing w:before="0" w:after="0"/>
              <w:ind w:left="0" w:right="0" w:hanging="0"/>
              <w:jc w:val="left"/>
              <w:rPr/>
            </w:pPr>
            <w:r>
              <w:rPr/>
              <w:t> </w:t>
            </w:r>
          </w:p>
        </w:tc>
        <w:tc>
          <w:tcPr>
            <w:tcW w:w="697"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4</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294" w:type="dxa"/>
            <w:tcBorders/>
            <w:shd w:fill="auto" w:val="clear"/>
            <w:vAlign w:val="center"/>
          </w:tcPr>
          <w:p>
            <w:pPr>
              <w:pStyle w:val="TableContents"/>
              <w:spacing w:before="0" w:after="0"/>
              <w:ind w:left="0" w:right="0" w:hanging="0"/>
              <w:jc w:val="left"/>
              <w:rPr/>
            </w:pPr>
            <w:r>
              <w:rPr/>
              <w:t> </w:t>
            </w:r>
          </w:p>
        </w:tc>
        <w:tc>
          <w:tcPr>
            <w:tcW w:w="697"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27</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57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393</w:t>
            </w:r>
          </w:p>
        </w:tc>
        <w:tc>
          <w:tcPr>
            <w:tcW w:w="191" w:type="dxa"/>
            <w:tcBorders/>
            <w:shd w:fill="auto" w:val="clear"/>
            <w:vAlign w:val="center"/>
          </w:tcPr>
          <w:p>
            <w:pPr>
              <w:pStyle w:val="TableContents"/>
              <w:spacing w:before="0" w:after="0"/>
              <w:ind w:left="0" w:right="0" w:hanging="0"/>
              <w:jc w:val="left"/>
              <w:rPr/>
            </w:pPr>
            <w:r>
              <w:rPr/>
              <w:t> </w:t>
            </w:r>
          </w:p>
        </w:tc>
      </w:tr>
      <w:tr>
        <w:trPr/>
        <w:tc>
          <w:tcPr>
            <w:tcW w:w="100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Canada</w:t>
            </w:r>
          </w:p>
        </w:tc>
        <w:tc>
          <w:tcPr>
            <w:tcW w:w="146" w:type="dxa"/>
            <w:tcBorders/>
            <w:shd w:fill="auto" w:val="clear"/>
            <w:vAlign w:val="center"/>
          </w:tcPr>
          <w:p>
            <w:pPr>
              <w:pStyle w:val="TableContents"/>
              <w:spacing w:before="0" w:after="0"/>
              <w:ind w:left="0" w:right="0" w:hanging="0"/>
              <w:jc w:val="left"/>
              <w:rPr/>
            </w:pPr>
            <w:r>
              <w:rPr/>
              <w:t> </w:t>
            </w:r>
          </w:p>
        </w:tc>
        <w:tc>
          <w:tcPr>
            <w:tcW w:w="201" w:type="dxa"/>
            <w:tcBorders/>
            <w:shd w:fill="auto" w:val="clear"/>
            <w:vAlign w:val="center"/>
          </w:tcPr>
          <w:p>
            <w:pPr>
              <w:pStyle w:val="TableContents"/>
              <w:spacing w:before="0" w:after="0"/>
              <w:ind w:left="0" w:right="0" w:hanging="0"/>
              <w:jc w:val="left"/>
              <w:rPr/>
            </w:pPr>
            <w:r>
              <w:rPr/>
              <w:t> </w:t>
            </w:r>
          </w:p>
        </w:tc>
        <w:tc>
          <w:tcPr>
            <w:tcW w:w="790"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40</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294" w:type="dxa"/>
            <w:tcBorders/>
            <w:shd w:fill="auto" w:val="clear"/>
            <w:vAlign w:val="center"/>
          </w:tcPr>
          <w:p>
            <w:pPr>
              <w:pStyle w:val="TableContents"/>
              <w:spacing w:before="0" w:after="0"/>
              <w:ind w:left="0" w:right="0" w:hanging="0"/>
              <w:jc w:val="left"/>
              <w:rPr/>
            </w:pPr>
            <w:r>
              <w:rPr/>
              <w:t> </w:t>
            </w:r>
          </w:p>
        </w:tc>
        <w:tc>
          <w:tcPr>
            <w:tcW w:w="697"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294" w:type="dxa"/>
            <w:tcBorders/>
            <w:shd w:fill="auto" w:val="clear"/>
            <w:vAlign w:val="center"/>
          </w:tcPr>
          <w:p>
            <w:pPr>
              <w:pStyle w:val="TableContents"/>
              <w:spacing w:before="0" w:after="0"/>
              <w:ind w:left="0" w:right="0" w:hanging="0"/>
              <w:jc w:val="left"/>
              <w:rPr/>
            </w:pPr>
            <w:r>
              <w:rPr/>
              <w:t> </w:t>
            </w:r>
          </w:p>
        </w:tc>
        <w:tc>
          <w:tcPr>
            <w:tcW w:w="697"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7</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57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48</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201" w:type="dxa"/>
            <w:tcBorders/>
            <w:shd w:fill="auto" w:val="clear"/>
            <w:vAlign w:val="center"/>
          </w:tcPr>
          <w:p>
            <w:pPr>
              <w:pStyle w:val="TableContents"/>
              <w:spacing w:before="0" w:after="0"/>
              <w:ind w:left="0" w:right="0" w:hanging="0"/>
              <w:jc w:val="left"/>
              <w:rPr/>
            </w:pPr>
            <w:r>
              <w:rPr/>
              <w:t> </w:t>
            </w:r>
          </w:p>
        </w:tc>
        <w:tc>
          <w:tcPr>
            <w:tcW w:w="790"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40</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294" w:type="dxa"/>
            <w:tcBorders/>
            <w:shd w:fill="auto" w:val="clear"/>
            <w:vAlign w:val="center"/>
          </w:tcPr>
          <w:p>
            <w:pPr>
              <w:pStyle w:val="TableContents"/>
              <w:spacing w:before="0" w:after="0"/>
              <w:ind w:left="0" w:right="0" w:hanging="0"/>
              <w:jc w:val="left"/>
              <w:rPr/>
            </w:pPr>
            <w:r>
              <w:rPr/>
              <w:t> </w:t>
            </w:r>
          </w:p>
        </w:tc>
        <w:tc>
          <w:tcPr>
            <w:tcW w:w="697"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294" w:type="dxa"/>
            <w:tcBorders/>
            <w:shd w:fill="auto" w:val="clear"/>
            <w:vAlign w:val="center"/>
          </w:tcPr>
          <w:p>
            <w:pPr>
              <w:pStyle w:val="TableContents"/>
              <w:spacing w:before="0" w:after="0"/>
              <w:ind w:left="0" w:right="0" w:hanging="0"/>
              <w:jc w:val="left"/>
              <w:rPr/>
            </w:pPr>
            <w:r>
              <w:rPr/>
              <w:t> </w:t>
            </w:r>
          </w:p>
        </w:tc>
        <w:tc>
          <w:tcPr>
            <w:tcW w:w="697"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7</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57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48</w:t>
            </w:r>
          </w:p>
        </w:tc>
        <w:tc>
          <w:tcPr>
            <w:tcW w:w="191" w:type="dxa"/>
            <w:tcBorders/>
            <w:shd w:fill="auto" w:val="clear"/>
            <w:vAlign w:val="center"/>
          </w:tcPr>
          <w:p>
            <w:pPr>
              <w:pStyle w:val="TableContents"/>
              <w:spacing w:before="0" w:after="0"/>
              <w:ind w:left="0" w:right="0" w:hanging="0"/>
              <w:jc w:val="left"/>
              <w:rPr/>
            </w:pPr>
            <w:r>
              <w:rPr/>
              <w:t> </w:t>
            </w:r>
          </w:p>
        </w:tc>
      </w:tr>
      <w:tr>
        <w:trPr/>
        <w:tc>
          <w:tcPr>
            <w:tcW w:w="1006" w:type="dxa"/>
            <w:tcBorders/>
            <w:shd w:fill="auto" w:val="clear"/>
            <w:vAlign w:val="center"/>
          </w:tcPr>
          <w:p>
            <w:pPr>
              <w:pStyle w:val="TableContents"/>
              <w:spacing w:before="0" w:after="0"/>
              <w:ind w:left="0" w:right="0" w:hanging="0"/>
              <w:jc w:val="left"/>
              <w:rPr>
                <w:rFonts w:ascii="Times New Roman" w:hAnsi="Times New Roman"/>
                <w:sz w:val="20"/>
              </w:rPr>
            </w:pPr>
            <w:r>
              <w:rPr>
                <w:rFonts w:ascii="Times New Roman;serif" w:hAnsi="Times New Roman;serif"/>
                <w:b w:val="false"/>
                <w:sz w:val="20"/>
              </w:rPr>
              <w:t>Greater China</w:t>
            </w:r>
            <w:r>
              <w:rPr>
                <w:rFonts w:ascii="Times New Roman;serif" w:hAnsi="Times New Roman;serif"/>
                <w:b w:val="false"/>
                <w:sz w:val="13"/>
              </w:rPr>
              <w:t>(1)</w:t>
            </w:r>
          </w:p>
        </w:tc>
        <w:tc>
          <w:tcPr>
            <w:tcW w:w="146" w:type="dxa"/>
            <w:tcBorders/>
            <w:shd w:fill="auto" w:val="clear"/>
            <w:vAlign w:val="center"/>
          </w:tcPr>
          <w:p>
            <w:pPr>
              <w:pStyle w:val="TableContents"/>
              <w:spacing w:before="0" w:after="0"/>
              <w:ind w:left="0" w:right="0" w:hanging="0"/>
              <w:jc w:val="left"/>
              <w:rPr/>
            </w:pPr>
            <w:r>
              <w:rPr/>
              <w:t> </w:t>
            </w:r>
          </w:p>
        </w:tc>
        <w:tc>
          <w:tcPr>
            <w:tcW w:w="201" w:type="dxa"/>
            <w:tcBorders/>
            <w:shd w:fill="auto" w:val="clear"/>
            <w:vAlign w:val="center"/>
          </w:tcPr>
          <w:p>
            <w:pPr>
              <w:pStyle w:val="TableContents"/>
              <w:spacing w:before="0" w:after="0"/>
              <w:ind w:left="0" w:right="0" w:hanging="0"/>
              <w:jc w:val="left"/>
              <w:rPr/>
            </w:pPr>
            <w:r>
              <w:rPr/>
              <w:t> </w:t>
            </w:r>
          </w:p>
        </w:tc>
        <w:tc>
          <w:tcPr>
            <w:tcW w:w="790"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777</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294" w:type="dxa"/>
            <w:tcBorders/>
            <w:shd w:fill="auto" w:val="clear"/>
            <w:vAlign w:val="center"/>
          </w:tcPr>
          <w:p>
            <w:pPr>
              <w:pStyle w:val="TableContents"/>
              <w:spacing w:before="0" w:after="0"/>
              <w:ind w:left="0" w:right="0" w:hanging="0"/>
              <w:jc w:val="left"/>
              <w:rPr/>
            </w:pPr>
            <w:r>
              <w:rPr/>
              <w:t> </w:t>
            </w:r>
          </w:p>
        </w:tc>
        <w:tc>
          <w:tcPr>
            <w:tcW w:w="697"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294" w:type="dxa"/>
            <w:tcBorders/>
            <w:shd w:fill="auto" w:val="clear"/>
            <w:vAlign w:val="center"/>
          </w:tcPr>
          <w:p>
            <w:pPr>
              <w:pStyle w:val="TableContents"/>
              <w:spacing w:before="0" w:after="0"/>
              <w:ind w:left="0" w:right="0" w:hanging="0"/>
              <w:jc w:val="left"/>
              <w:rPr/>
            </w:pPr>
            <w:r>
              <w:rPr/>
              <w:t> </w:t>
            </w:r>
          </w:p>
        </w:tc>
        <w:tc>
          <w:tcPr>
            <w:tcW w:w="697"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16</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57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793</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201" w:type="dxa"/>
            <w:tcBorders/>
            <w:shd w:fill="auto" w:val="clear"/>
            <w:vAlign w:val="center"/>
          </w:tcPr>
          <w:p>
            <w:pPr>
              <w:pStyle w:val="TableContents"/>
              <w:spacing w:before="0" w:after="0"/>
              <w:ind w:left="0" w:right="0" w:hanging="0"/>
              <w:jc w:val="left"/>
              <w:rPr/>
            </w:pPr>
            <w:r>
              <w:rPr/>
              <w:t> </w:t>
            </w:r>
          </w:p>
        </w:tc>
        <w:tc>
          <w:tcPr>
            <w:tcW w:w="790"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776</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294" w:type="dxa"/>
            <w:tcBorders/>
            <w:shd w:fill="auto" w:val="clear"/>
            <w:vAlign w:val="center"/>
          </w:tcPr>
          <w:p>
            <w:pPr>
              <w:pStyle w:val="TableContents"/>
              <w:spacing w:before="0" w:after="0"/>
              <w:ind w:left="0" w:right="0" w:hanging="0"/>
              <w:jc w:val="left"/>
              <w:rPr/>
            </w:pPr>
            <w:r>
              <w:rPr/>
              <w:t> </w:t>
            </w:r>
          </w:p>
        </w:tc>
        <w:tc>
          <w:tcPr>
            <w:tcW w:w="697"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294" w:type="dxa"/>
            <w:tcBorders/>
            <w:shd w:fill="auto" w:val="clear"/>
            <w:vAlign w:val="center"/>
          </w:tcPr>
          <w:p>
            <w:pPr>
              <w:pStyle w:val="TableContents"/>
              <w:spacing w:before="0" w:after="0"/>
              <w:ind w:left="0" w:right="0" w:hanging="0"/>
              <w:jc w:val="left"/>
              <w:rPr/>
            </w:pPr>
            <w:r>
              <w:rPr/>
              <w:t> </w:t>
            </w:r>
          </w:p>
        </w:tc>
        <w:tc>
          <w:tcPr>
            <w:tcW w:w="697"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15</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57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791</w:t>
            </w:r>
          </w:p>
        </w:tc>
        <w:tc>
          <w:tcPr>
            <w:tcW w:w="191" w:type="dxa"/>
            <w:tcBorders/>
            <w:shd w:fill="auto" w:val="clear"/>
            <w:vAlign w:val="center"/>
          </w:tcPr>
          <w:p>
            <w:pPr>
              <w:pStyle w:val="TableContents"/>
              <w:spacing w:before="0" w:after="0"/>
              <w:ind w:left="0" w:right="0" w:hanging="0"/>
              <w:jc w:val="left"/>
              <w:rPr/>
            </w:pPr>
            <w:r>
              <w:rPr/>
              <w:t> </w:t>
            </w:r>
          </w:p>
        </w:tc>
      </w:tr>
      <w:tr>
        <w:trPr/>
        <w:tc>
          <w:tcPr>
            <w:tcW w:w="100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Asia (excluding Greater China)</w:t>
            </w:r>
          </w:p>
        </w:tc>
        <w:tc>
          <w:tcPr>
            <w:tcW w:w="146" w:type="dxa"/>
            <w:tcBorders/>
            <w:shd w:fill="auto" w:val="clear"/>
            <w:vAlign w:val="center"/>
          </w:tcPr>
          <w:p>
            <w:pPr>
              <w:pStyle w:val="TableContents"/>
              <w:spacing w:before="0" w:after="0"/>
              <w:ind w:left="0" w:right="0" w:hanging="0"/>
              <w:jc w:val="left"/>
              <w:rPr/>
            </w:pPr>
            <w:r>
              <w:rPr/>
              <w:t> </w:t>
            </w:r>
          </w:p>
        </w:tc>
        <w:tc>
          <w:tcPr>
            <w:tcW w:w="201" w:type="dxa"/>
            <w:tcBorders/>
            <w:shd w:fill="auto" w:val="clear"/>
            <w:vAlign w:val="center"/>
          </w:tcPr>
          <w:p>
            <w:pPr>
              <w:pStyle w:val="TableContents"/>
              <w:spacing w:before="0" w:after="0"/>
              <w:ind w:left="0" w:right="0" w:hanging="0"/>
              <w:jc w:val="left"/>
              <w:rPr/>
            </w:pPr>
            <w:r>
              <w:rPr/>
              <w:t> </w:t>
            </w:r>
          </w:p>
        </w:tc>
        <w:tc>
          <w:tcPr>
            <w:tcW w:w="790"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140</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294" w:type="dxa"/>
            <w:tcBorders/>
            <w:shd w:fill="auto" w:val="clear"/>
            <w:vAlign w:val="center"/>
          </w:tcPr>
          <w:p>
            <w:pPr>
              <w:pStyle w:val="TableContents"/>
              <w:spacing w:before="0" w:after="0"/>
              <w:ind w:left="0" w:right="0" w:hanging="0"/>
              <w:jc w:val="left"/>
              <w:rPr/>
            </w:pPr>
            <w:r>
              <w:rPr/>
              <w:t> </w:t>
            </w:r>
          </w:p>
        </w:tc>
        <w:tc>
          <w:tcPr>
            <w:tcW w:w="697"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294" w:type="dxa"/>
            <w:tcBorders/>
            <w:shd w:fill="auto" w:val="clear"/>
            <w:vAlign w:val="center"/>
          </w:tcPr>
          <w:p>
            <w:pPr>
              <w:pStyle w:val="TableContents"/>
              <w:spacing w:before="0" w:after="0"/>
              <w:ind w:left="0" w:right="0" w:hanging="0"/>
              <w:jc w:val="left"/>
              <w:rPr/>
            </w:pPr>
            <w:r>
              <w:rPr/>
              <w:t> </w:t>
            </w:r>
          </w:p>
        </w:tc>
        <w:tc>
          <w:tcPr>
            <w:tcW w:w="697"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57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144</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201" w:type="dxa"/>
            <w:tcBorders/>
            <w:shd w:fill="auto" w:val="clear"/>
            <w:vAlign w:val="center"/>
          </w:tcPr>
          <w:p>
            <w:pPr>
              <w:pStyle w:val="TableContents"/>
              <w:spacing w:before="0" w:after="0"/>
              <w:ind w:left="0" w:right="0" w:hanging="0"/>
              <w:jc w:val="left"/>
              <w:rPr/>
            </w:pPr>
            <w:r>
              <w:rPr/>
              <w:t> </w:t>
            </w:r>
          </w:p>
        </w:tc>
        <w:tc>
          <w:tcPr>
            <w:tcW w:w="790"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122</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294" w:type="dxa"/>
            <w:tcBorders/>
            <w:shd w:fill="auto" w:val="clear"/>
            <w:vAlign w:val="center"/>
          </w:tcPr>
          <w:p>
            <w:pPr>
              <w:pStyle w:val="TableContents"/>
              <w:spacing w:before="0" w:after="0"/>
              <w:ind w:left="0" w:right="0" w:hanging="0"/>
              <w:jc w:val="left"/>
              <w:rPr/>
            </w:pPr>
            <w:r>
              <w:rPr/>
              <w:t> </w:t>
            </w:r>
          </w:p>
        </w:tc>
        <w:tc>
          <w:tcPr>
            <w:tcW w:w="697"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294" w:type="dxa"/>
            <w:tcBorders/>
            <w:shd w:fill="auto" w:val="clear"/>
            <w:vAlign w:val="center"/>
          </w:tcPr>
          <w:p>
            <w:pPr>
              <w:pStyle w:val="TableContents"/>
              <w:spacing w:before="0" w:after="0"/>
              <w:ind w:left="0" w:right="0" w:hanging="0"/>
              <w:jc w:val="left"/>
              <w:rPr/>
            </w:pPr>
            <w:r>
              <w:rPr/>
              <w:t> </w:t>
            </w:r>
          </w:p>
        </w:tc>
        <w:tc>
          <w:tcPr>
            <w:tcW w:w="697"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57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126</w:t>
            </w:r>
          </w:p>
        </w:tc>
        <w:tc>
          <w:tcPr>
            <w:tcW w:w="191" w:type="dxa"/>
            <w:tcBorders/>
            <w:shd w:fill="auto" w:val="clear"/>
            <w:vAlign w:val="center"/>
          </w:tcPr>
          <w:p>
            <w:pPr>
              <w:pStyle w:val="TableContents"/>
              <w:spacing w:before="0" w:after="0"/>
              <w:ind w:left="0" w:right="0" w:hanging="0"/>
              <w:jc w:val="left"/>
              <w:rPr/>
            </w:pPr>
            <w:r>
              <w:rPr/>
              <w:t> </w:t>
            </w:r>
          </w:p>
        </w:tc>
      </w:tr>
      <w:tr>
        <w:trPr/>
        <w:tc>
          <w:tcPr>
            <w:tcW w:w="100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Western Europe</w:t>
            </w:r>
          </w:p>
        </w:tc>
        <w:tc>
          <w:tcPr>
            <w:tcW w:w="146" w:type="dxa"/>
            <w:tcBorders/>
            <w:shd w:fill="auto" w:val="clear"/>
            <w:vAlign w:val="center"/>
          </w:tcPr>
          <w:p>
            <w:pPr>
              <w:pStyle w:val="TableContents"/>
              <w:spacing w:before="0" w:after="0"/>
              <w:ind w:left="0" w:right="0" w:hanging="0"/>
              <w:jc w:val="left"/>
              <w:rPr/>
            </w:pPr>
            <w:r>
              <w:rPr/>
              <w:t> </w:t>
            </w:r>
          </w:p>
        </w:tc>
        <w:tc>
          <w:tcPr>
            <w:tcW w:w="201" w:type="dxa"/>
            <w:tcBorders/>
            <w:shd w:fill="auto" w:val="clear"/>
            <w:vAlign w:val="center"/>
          </w:tcPr>
          <w:p>
            <w:pPr>
              <w:pStyle w:val="TableContents"/>
              <w:spacing w:before="0" w:after="0"/>
              <w:ind w:left="0" w:right="0" w:hanging="0"/>
              <w:jc w:val="left"/>
              <w:rPr/>
            </w:pPr>
            <w:r>
              <w:rPr/>
              <w:t> </w:t>
            </w:r>
          </w:p>
        </w:tc>
        <w:tc>
          <w:tcPr>
            <w:tcW w:w="790"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118</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294" w:type="dxa"/>
            <w:tcBorders/>
            <w:shd w:fill="auto" w:val="clear"/>
            <w:vAlign w:val="center"/>
          </w:tcPr>
          <w:p>
            <w:pPr>
              <w:pStyle w:val="TableContents"/>
              <w:spacing w:before="0" w:after="0"/>
              <w:ind w:left="0" w:right="0" w:hanging="0"/>
              <w:jc w:val="left"/>
              <w:rPr/>
            </w:pPr>
            <w:r>
              <w:rPr/>
              <w:t> </w:t>
            </w:r>
          </w:p>
        </w:tc>
        <w:tc>
          <w:tcPr>
            <w:tcW w:w="697"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4</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294" w:type="dxa"/>
            <w:tcBorders/>
            <w:shd w:fill="auto" w:val="clear"/>
            <w:vAlign w:val="center"/>
          </w:tcPr>
          <w:p>
            <w:pPr>
              <w:pStyle w:val="TableContents"/>
              <w:spacing w:before="0" w:after="0"/>
              <w:ind w:left="0" w:right="0" w:hanging="0"/>
              <w:jc w:val="left"/>
              <w:rPr/>
            </w:pPr>
            <w:r>
              <w:rPr/>
              <w:t> </w:t>
            </w:r>
          </w:p>
        </w:tc>
        <w:tc>
          <w:tcPr>
            <w:tcW w:w="697"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8</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57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130</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201" w:type="dxa"/>
            <w:tcBorders/>
            <w:shd w:fill="auto" w:val="clear"/>
            <w:vAlign w:val="center"/>
          </w:tcPr>
          <w:p>
            <w:pPr>
              <w:pStyle w:val="TableContents"/>
              <w:spacing w:before="0" w:after="0"/>
              <w:ind w:left="0" w:right="0" w:hanging="0"/>
              <w:jc w:val="left"/>
              <w:rPr/>
            </w:pPr>
            <w:r>
              <w:rPr/>
              <w:t> </w:t>
            </w:r>
          </w:p>
        </w:tc>
        <w:tc>
          <w:tcPr>
            <w:tcW w:w="790"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115</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294" w:type="dxa"/>
            <w:tcBorders/>
            <w:shd w:fill="auto" w:val="clear"/>
            <w:vAlign w:val="center"/>
          </w:tcPr>
          <w:p>
            <w:pPr>
              <w:pStyle w:val="TableContents"/>
              <w:spacing w:before="0" w:after="0"/>
              <w:ind w:left="0" w:right="0" w:hanging="0"/>
              <w:jc w:val="left"/>
              <w:rPr/>
            </w:pPr>
            <w:r>
              <w:rPr/>
              <w:t> </w:t>
            </w:r>
          </w:p>
        </w:tc>
        <w:tc>
          <w:tcPr>
            <w:tcW w:w="697"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4</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294" w:type="dxa"/>
            <w:tcBorders/>
            <w:shd w:fill="auto" w:val="clear"/>
            <w:vAlign w:val="center"/>
          </w:tcPr>
          <w:p>
            <w:pPr>
              <w:pStyle w:val="TableContents"/>
              <w:spacing w:before="0" w:after="0"/>
              <w:ind w:left="0" w:right="0" w:hanging="0"/>
              <w:jc w:val="left"/>
              <w:rPr/>
            </w:pPr>
            <w:r>
              <w:rPr/>
              <w:t> </w:t>
            </w:r>
          </w:p>
        </w:tc>
        <w:tc>
          <w:tcPr>
            <w:tcW w:w="697"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8</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57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127</w:t>
            </w:r>
          </w:p>
        </w:tc>
        <w:tc>
          <w:tcPr>
            <w:tcW w:w="191" w:type="dxa"/>
            <w:tcBorders/>
            <w:shd w:fill="auto" w:val="clear"/>
            <w:vAlign w:val="center"/>
          </w:tcPr>
          <w:p>
            <w:pPr>
              <w:pStyle w:val="TableContents"/>
              <w:spacing w:before="0" w:after="0"/>
              <w:ind w:left="0" w:right="0" w:hanging="0"/>
              <w:jc w:val="left"/>
              <w:rPr/>
            </w:pPr>
            <w:r>
              <w:rPr/>
              <w:t> </w:t>
            </w:r>
          </w:p>
        </w:tc>
      </w:tr>
      <w:tr>
        <w:trPr/>
        <w:tc>
          <w:tcPr>
            <w:tcW w:w="1006" w:type="dxa"/>
            <w:tcBorders/>
            <w:shd w:fill="auto" w:val="clear"/>
            <w:vAlign w:val="center"/>
          </w:tcPr>
          <w:p>
            <w:pPr>
              <w:pStyle w:val="TableContents"/>
              <w:spacing w:before="0" w:after="0"/>
              <w:ind w:left="0" w:right="0" w:hanging="0"/>
              <w:jc w:val="left"/>
              <w:rPr>
                <w:rFonts w:ascii="Times New Roman" w:hAnsi="Times New Roman"/>
                <w:sz w:val="20"/>
              </w:rPr>
            </w:pPr>
            <w:r>
              <w:rPr>
                <w:rFonts w:ascii="Times New Roman;serif" w:hAnsi="Times New Roman;serif"/>
                <w:b w:val="false"/>
                <w:sz w:val="20"/>
              </w:rPr>
              <w:t>Russia/the CIS &amp; Ukraine</w:t>
            </w:r>
            <w:r>
              <w:rPr>
                <w:rFonts w:ascii="Times New Roman;serif" w:hAnsi="Times New Roman;serif"/>
                <w:b w:val="false"/>
                <w:sz w:val="13"/>
              </w:rPr>
              <w:t>(2)</w:t>
            </w:r>
          </w:p>
        </w:tc>
        <w:tc>
          <w:tcPr>
            <w:tcW w:w="146" w:type="dxa"/>
            <w:tcBorders/>
            <w:shd w:fill="auto" w:val="clear"/>
            <w:vAlign w:val="center"/>
          </w:tcPr>
          <w:p>
            <w:pPr>
              <w:pStyle w:val="TableContents"/>
              <w:spacing w:before="0" w:after="0"/>
              <w:ind w:left="0" w:right="0" w:hanging="0"/>
              <w:jc w:val="left"/>
              <w:rPr/>
            </w:pPr>
            <w:r>
              <w:rPr/>
              <w:t> </w:t>
            </w:r>
          </w:p>
        </w:tc>
        <w:tc>
          <w:tcPr>
            <w:tcW w:w="201" w:type="dxa"/>
            <w:tcBorders/>
            <w:shd w:fill="auto" w:val="clear"/>
            <w:vAlign w:val="center"/>
          </w:tcPr>
          <w:p>
            <w:pPr>
              <w:pStyle w:val="TableContents"/>
              <w:spacing w:before="0" w:after="0"/>
              <w:ind w:left="0" w:right="0" w:hanging="0"/>
              <w:jc w:val="left"/>
              <w:rPr/>
            </w:pPr>
            <w:r>
              <w:rPr/>
              <w:t> </w:t>
            </w:r>
          </w:p>
        </w:tc>
        <w:tc>
          <w:tcPr>
            <w:tcW w:w="790"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69</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294" w:type="dxa"/>
            <w:tcBorders/>
            <w:shd w:fill="auto" w:val="clear"/>
            <w:vAlign w:val="center"/>
          </w:tcPr>
          <w:p>
            <w:pPr>
              <w:pStyle w:val="TableContents"/>
              <w:spacing w:before="0" w:after="0"/>
              <w:ind w:left="0" w:right="0" w:hanging="0"/>
              <w:jc w:val="left"/>
              <w:rPr/>
            </w:pPr>
            <w:r>
              <w:rPr/>
              <w:t> </w:t>
            </w:r>
          </w:p>
        </w:tc>
        <w:tc>
          <w:tcPr>
            <w:tcW w:w="697"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294" w:type="dxa"/>
            <w:tcBorders/>
            <w:shd w:fill="auto" w:val="clear"/>
            <w:vAlign w:val="center"/>
          </w:tcPr>
          <w:p>
            <w:pPr>
              <w:pStyle w:val="TableContents"/>
              <w:spacing w:before="0" w:after="0"/>
              <w:ind w:left="0" w:right="0" w:hanging="0"/>
              <w:jc w:val="left"/>
              <w:rPr/>
            </w:pPr>
            <w:r>
              <w:rPr/>
              <w:t> </w:t>
            </w:r>
          </w:p>
        </w:tc>
        <w:tc>
          <w:tcPr>
            <w:tcW w:w="697"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57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69</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201" w:type="dxa"/>
            <w:tcBorders/>
            <w:shd w:fill="auto" w:val="clear"/>
            <w:vAlign w:val="center"/>
          </w:tcPr>
          <w:p>
            <w:pPr>
              <w:pStyle w:val="TableContents"/>
              <w:spacing w:before="0" w:after="0"/>
              <w:ind w:left="0" w:right="0" w:hanging="0"/>
              <w:jc w:val="left"/>
              <w:rPr/>
            </w:pPr>
            <w:r>
              <w:rPr/>
              <w:t> </w:t>
            </w:r>
          </w:p>
        </w:tc>
        <w:tc>
          <w:tcPr>
            <w:tcW w:w="790"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70</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294" w:type="dxa"/>
            <w:tcBorders/>
            <w:shd w:fill="auto" w:val="clear"/>
            <w:vAlign w:val="center"/>
          </w:tcPr>
          <w:p>
            <w:pPr>
              <w:pStyle w:val="TableContents"/>
              <w:spacing w:before="0" w:after="0"/>
              <w:ind w:left="0" w:right="0" w:hanging="0"/>
              <w:jc w:val="left"/>
              <w:rPr/>
            </w:pPr>
            <w:r>
              <w:rPr/>
              <w:t> </w:t>
            </w:r>
          </w:p>
        </w:tc>
        <w:tc>
          <w:tcPr>
            <w:tcW w:w="697"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294" w:type="dxa"/>
            <w:tcBorders/>
            <w:shd w:fill="auto" w:val="clear"/>
            <w:vAlign w:val="center"/>
          </w:tcPr>
          <w:p>
            <w:pPr>
              <w:pStyle w:val="TableContents"/>
              <w:spacing w:before="0" w:after="0"/>
              <w:ind w:left="0" w:right="0" w:hanging="0"/>
              <w:jc w:val="left"/>
              <w:rPr/>
            </w:pPr>
            <w:r>
              <w:rPr/>
              <w:t> </w:t>
            </w:r>
          </w:p>
        </w:tc>
        <w:tc>
          <w:tcPr>
            <w:tcW w:w="697"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57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70</w:t>
            </w:r>
          </w:p>
        </w:tc>
        <w:tc>
          <w:tcPr>
            <w:tcW w:w="191" w:type="dxa"/>
            <w:tcBorders/>
            <w:shd w:fill="auto" w:val="clear"/>
            <w:vAlign w:val="center"/>
          </w:tcPr>
          <w:p>
            <w:pPr>
              <w:pStyle w:val="TableContents"/>
              <w:spacing w:before="0" w:after="0"/>
              <w:ind w:left="0" w:right="0" w:hanging="0"/>
              <w:jc w:val="left"/>
              <w:rPr/>
            </w:pPr>
            <w:r>
              <w:rPr/>
              <w:t> </w:t>
            </w:r>
          </w:p>
        </w:tc>
      </w:tr>
      <w:tr>
        <w:trPr/>
        <w:tc>
          <w:tcPr>
            <w:tcW w:w="1006" w:type="dxa"/>
            <w:tcBorders/>
            <w:shd w:fill="auto" w:val="clear"/>
            <w:vAlign w:val="center"/>
          </w:tcPr>
          <w:p>
            <w:pPr>
              <w:pStyle w:val="TableContents"/>
              <w:spacing w:before="0" w:after="0"/>
              <w:ind w:left="0" w:right="0" w:hanging="0"/>
              <w:jc w:val="left"/>
              <w:rPr>
                <w:rFonts w:ascii="Times New Roman" w:hAnsi="Times New Roman"/>
                <w:sz w:val="20"/>
              </w:rPr>
            </w:pPr>
            <w:r>
              <w:rPr>
                <w:rFonts w:ascii="Times New Roman;serif" w:hAnsi="Times New Roman;serif"/>
                <w:b w:val="false"/>
                <w:sz w:val="20"/>
              </w:rPr>
              <w:t>Latin America</w:t>
            </w:r>
            <w:r>
              <w:rPr>
                <w:rFonts w:ascii="Times New Roman;serif" w:hAnsi="Times New Roman;serif"/>
                <w:b w:val="false"/>
                <w:sz w:val="13"/>
              </w:rPr>
              <w:t>(3)</w:t>
            </w:r>
          </w:p>
        </w:tc>
        <w:tc>
          <w:tcPr>
            <w:tcW w:w="146" w:type="dxa"/>
            <w:tcBorders/>
            <w:shd w:fill="auto" w:val="clear"/>
            <w:vAlign w:val="center"/>
          </w:tcPr>
          <w:p>
            <w:pPr>
              <w:pStyle w:val="TableContents"/>
              <w:spacing w:before="0" w:after="0"/>
              <w:ind w:left="0" w:right="0" w:hanging="0"/>
              <w:jc w:val="left"/>
              <w:rPr/>
            </w:pPr>
            <w:r>
              <w:rPr/>
              <w:t> </w:t>
            </w:r>
          </w:p>
        </w:tc>
        <w:tc>
          <w:tcPr>
            <w:tcW w:w="201" w:type="dxa"/>
            <w:tcBorders/>
            <w:shd w:fill="auto" w:val="clear"/>
            <w:vAlign w:val="center"/>
          </w:tcPr>
          <w:p>
            <w:pPr>
              <w:pStyle w:val="TableContents"/>
              <w:spacing w:before="0" w:after="0"/>
              <w:ind w:left="0" w:right="0" w:hanging="0"/>
              <w:jc w:val="left"/>
              <w:rPr/>
            </w:pPr>
            <w:r>
              <w:rPr/>
              <w:t> </w:t>
            </w:r>
          </w:p>
        </w:tc>
        <w:tc>
          <w:tcPr>
            <w:tcW w:w="790"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54</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294" w:type="dxa"/>
            <w:tcBorders/>
            <w:shd w:fill="auto" w:val="clear"/>
            <w:vAlign w:val="center"/>
          </w:tcPr>
          <w:p>
            <w:pPr>
              <w:pStyle w:val="TableContents"/>
              <w:spacing w:before="0" w:after="0"/>
              <w:ind w:left="0" w:right="0" w:hanging="0"/>
              <w:jc w:val="left"/>
              <w:rPr/>
            </w:pPr>
            <w:r>
              <w:rPr/>
              <w:t> </w:t>
            </w:r>
          </w:p>
        </w:tc>
        <w:tc>
          <w:tcPr>
            <w:tcW w:w="697"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294" w:type="dxa"/>
            <w:tcBorders/>
            <w:shd w:fill="auto" w:val="clear"/>
            <w:vAlign w:val="center"/>
          </w:tcPr>
          <w:p>
            <w:pPr>
              <w:pStyle w:val="TableContents"/>
              <w:spacing w:before="0" w:after="0"/>
              <w:ind w:left="0" w:right="0" w:hanging="0"/>
              <w:jc w:val="left"/>
              <w:rPr/>
            </w:pPr>
            <w:r>
              <w:rPr/>
              <w:t> </w:t>
            </w:r>
          </w:p>
        </w:tc>
        <w:tc>
          <w:tcPr>
            <w:tcW w:w="697"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8</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57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63</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201" w:type="dxa"/>
            <w:tcBorders/>
            <w:shd w:fill="auto" w:val="clear"/>
            <w:vAlign w:val="center"/>
          </w:tcPr>
          <w:p>
            <w:pPr>
              <w:pStyle w:val="TableContents"/>
              <w:spacing w:before="0" w:after="0"/>
              <w:ind w:left="0" w:right="0" w:hanging="0"/>
              <w:jc w:val="left"/>
              <w:rPr/>
            </w:pPr>
            <w:r>
              <w:rPr/>
              <w:t> </w:t>
            </w:r>
          </w:p>
        </w:tc>
        <w:tc>
          <w:tcPr>
            <w:tcW w:w="790"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53</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294" w:type="dxa"/>
            <w:tcBorders/>
            <w:shd w:fill="auto" w:val="clear"/>
            <w:vAlign w:val="center"/>
          </w:tcPr>
          <w:p>
            <w:pPr>
              <w:pStyle w:val="TableContents"/>
              <w:spacing w:before="0" w:after="0"/>
              <w:ind w:left="0" w:right="0" w:hanging="0"/>
              <w:jc w:val="left"/>
              <w:rPr/>
            </w:pPr>
            <w:r>
              <w:rPr/>
              <w:t> </w:t>
            </w:r>
          </w:p>
        </w:tc>
        <w:tc>
          <w:tcPr>
            <w:tcW w:w="697"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294" w:type="dxa"/>
            <w:tcBorders/>
            <w:shd w:fill="auto" w:val="clear"/>
            <w:vAlign w:val="center"/>
          </w:tcPr>
          <w:p>
            <w:pPr>
              <w:pStyle w:val="TableContents"/>
              <w:spacing w:before="0" w:after="0"/>
              <w:ind w:left="0" w:right="0" w:hanging="0"/>
              <w:jc w:val="left"/>
              <w:rPr/>
            </w:pPr>
            <w:r>
              <w:rPr/>
              <w:t> </w:t>
            </w:r>
          </w:p>
        </w:tc>
        <w:tc>
          <w:tcPr>
            <w:tcW w:w="697"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11</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57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65</w:t>
            </w:r>
          </w:p>
        </w:tc>
        <w:tc>
          <w:tcPr>
            <w:tcW w:w="191" w:type="dxa"/>
            <w:tcBorders/>
            <w:shd w:fill="auto" w:val="clear"/>
            <w:vAlign w:val="center"/>
          </w:tcPr>
          <w:p>
            <w:pPr>
              <w:pStyle w:val="TableContents"/>
              <w:spacing w:before="0" w:after="0"/>
              <w:ind w:left="0" w:right="0" w:hanging="0"/>
              <w:jc w:val="left"/>
              <w:rPr/>
            </w:pPr>
            <w:r>
              <w:rPr/>
              <w:t> </w:t>
            </w:r>
          </w:p>
        </w:tc>
      </w:tr>
      <w:tr>
        <w:trPr/>
        <w:tc>
          <w:tcPr>
            <w:tcW w:w="100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Rest of the World</w:t>
            </w:r>
          </w:p>
        </w:tc>
        <w:tc>
          <w:tcPr>
            <w:tcW w:w="146" w:type="dxa"/>
            <w:tcBorders/>
            <w:shd w:fill="auto" w:val="clear"/>
            <w:vAlign w:val="center"/>
          </w:tcPr>
          <w:p>
            <w:pPr>
              <w:pStyle w:val="TableContents"/>
              <w:spacing w:before="0" w:after="0"/>
              <w:ind w:left="0" w:right="0" w:hanging="0"/>
              <w:jc w:val="left"/>
              <w:rPr/>
            </w:pPr>
            <w:r>
              <w:rPr/>
              <w:t> </w:t>
            </w:r>
          </w:p>
        </w:tc>
        <w:tc>
          <w:tcPr>
            <w:tcW w:w="20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790"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72</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pPr>
            <w:r>
              <w:rPr/>
              <w:t> </w:t>
            </w:r>
          </w:p>
        </w:tc>
        <w:tc>
          <w:tcPr>
            <w:tcW w:w="294"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697"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pPr>
            <w:r>
              <w:rPr/>
              <w:t>—</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pPr>
            <w:r>
              <w:rPr/>
              <w:t> </w:t>
            </w:r>
          </w:p>
        </w:tc>
        <w:tc>
          <w:tcPr>
            <w:tcW w:w="294"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697"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57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74</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pPr>
            <w:r>
              <w:rPr/>
              <w:t> </w:t>
            </w:r>
          </w:p>
        </w:tc>
        <w:tc>
          <w:tcPr>
            <w:tcW w:w="20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790"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68</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pPr>
            <w:r>
              <w:rPr/>
              <w:t> </w:t>
            </w:r>
          </w:p>
        </w:tc>
        <w:tc>
          <w:tcPr>
            <w:tcW w:w="294"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697"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pPr>
            <w:r>
              <w:rPr/>
              <w:t>—</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pPr>
            <w:r>
              <w:rPr/>
              <w:t> </w:t>
            </w:r>
          </w:p>
        </w:tc>
        <w:tc>
          <w:tcPr>
            <w:tcW w:w="294"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697"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57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70</w:t>
            </w:r>
          </w:p>
        </w:tc>
        <w:tc>
          <w:tcPr>
            <w:tcW w:w="1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r>
        <w:trPr/>
        <w:tc>
          <w:tcPr>
            <w:tcW w:w="1006" w:type="dxa"/>
            <w:tcBorders/>
            <w:shd w:fill="auto" w:val="clear"/>
            <w:vAlign w:val="center"/>
          </w:tcPr>
          <w:p>
            <w:pPr>
              <w:pStyle w:val="TableContents"/>
              <w:spacing w:before="0" w:after="0"/>
              <w:ind w:left="0" w:right="0" w:hanging="0"/>
              <w:jc w:val="left"/>
              <w:rPr>
                <w:rFonts w:ascii="Times New Roman" w:hAnsi="Times New Roman"/>
                <w:sz w:val="20"/>
              </w:rPr>
            </w:pPr>
            <w:r>
              <w:rPr>
                <w:rFonts w:ascii="Times New Roman;serif" w:hAnsi="Times New Roman;serif"/>
                <w:b w:val="false"/>
                <w:sz w:val="20"/>
              </w:rPr>
              <w:t>Total</w:t>
            </w:r>
            <w:r>
              <w:rPr>
                <w:rFonts w:ascii="Times New Roman;serif" w:hAnsi="Times New Roman;serif"/>
                <w:b w:val="false"/>
                <w:sz w:val="13"/>
              </w:rPr>
              <w:t>(4)</w:t>
            </w:r>
          </w:p>
        </w:tc>
        <w:tc>
          <w:tcPr>
            <w:tcW w:w="146" w:type="dxa"/>
            <w:tcBorders/>
            <w:shd w:fill="auto" w:val="clear"/>
            <w:vAlign w:val="center"/>
          </w:tcPr>
          <w:p>
            <w:pPr>
              <w:pStyle w:val="TableContents"/>
              <w:spacing w:before="0" w:after="0"/>
              <w:ind w:left="0" w:right="0" w:hanging="0"/>
              <w:jc w:val="left"/>
              <w:rPr/>
            </w:pPr>
            <w:r>
              <w:rPr/>
              <w:t> </w:t>
            </w:r>
          </w:p>
        </w:tc>
        <w:tc>
          <w:tcPr>
            <w:tcW w:w="20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790"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1,631</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pPr>
            <w:r>
              <w:rPr/>
              <w:t> </w:t>
            </w:r>
          </w:p>
        </w:tc>
        <w:tc>
          <w:tcPr>
            <w:tcW w:w="294"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697"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12</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pPr>
            <w:r>
              <w:rPr/>
              <w:t> </w:t>
            </w:r>
          </w:p>
        </w:tc>
        <w:tc>
          <w:tcPr>
            <w:tcW w:w="294"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697"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68</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pPr>
            <w:r>
              <w:rPr/>
              <w:t> </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57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1,711</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pPr>
            <w:r>
              <w:rPr/>
              <w:t> </w:t>
            </w:r>
          </w:p>
        </w:tc>
        <w:tc>
          <w:tcPr>
            <w:tcW w:w="20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790"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1,606</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pPr>
            <w:r>
              <w:rPr/>
              <w:t> </w:t>
            </w:r>
          </w:p>
        </w:tc>
        <w:tc>
          <w:tcPr>
            <w:tcW w:w="294"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697"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12</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pPr>
            <w:r>
              <w:rPr/>
              <w:t> </w:t>
            </w:r>
          </w:p>
        </w:tc>
        <w:tc>
          <w:tcPr>
            <w:tcW w:w="294"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697"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72</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pPr>
            <w:r>
              <w:rPr/>
              <w:t> </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57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1,690</w:t>
            </w:r>
          </w:p>
        </w:tc>
        <w:tc>
          <w:tcPr>
            <w:tcW w:w="19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bl>
    <w:p>
      <w:pPr>
        <w:pStyle w:val="TextBody"/>
        <w:pBdr>
          <w:bottom w:val="single" w:sz="4" w:space="1" w:color="000000"/>
        </w:pBdr>
        <w:spacing w:before="0" w:after="0"/>
        <w:jc w:val="left"/>
        <w:rPr/>
      </w:pPr>
      <w:r>
        <w:rPr/>
        <w:t> </w:t>
      </w:r>
    </w:p>
    <w:p>
      <w:pPr>
        <w:pStyle w:val="TextBody"/>
        <w:spacing w:before="200" w:after="0"/>
        <w:jc w:val="both"/>
        <w:rPr>
          <w:rFonts w:ascii="Times New Roman" w:hAnsi="Times New Roman"/>
          <w:b w:val="false"/>
          <w:sz w:val="20"/>
        </w:rPr>
      </w:pPr>
      <w:r>
        <w:rPr>
          <w:rFonts w:ascii="Times New Roman" w:hAnsi="Times New Roman"/>
          <w:b w:val="false"/>
          <w:sz w:val="20"/>
        </w:rPr>
        <w:t>(1)</w:t>
      </w:r>
    </w:p>
    <w:p>
      <w:pPr>
        <w:pStyle w:val="TextBody"/>
        <w:spacing w:before="200" w:after="283"/>
        <w:jc w:val="both"/>
        <w:rPr>
          <w:rFonts w:ascii="Times New Roman;serif" w:hAnsi="Times New Roman;serif"/>
          <w:b w:val="false"/>
          <w:sz w:val="20"/>
        </w:rPr>
      </w:pPr>
      <w:r>
        <w:rPr>
          <w:rFonts w:ascii="Times New Roman;serif" w:hAnsi="Times New Roman;serif"/>
          <w:b w:val="false"/>
          <w:sz w:val="20"/>
        </w:rPr>
        <w:t>Greater China includes China, Hong Kong, Taiwan, and Macau.</w:t>
      </w:r>
    </w:p>
    <w:p>
      <w:pPr>
        <w:pStyle w:val="TextBody"/>
        <w:spacing w:before="240" w:after="0"/>
        <w:jc w:val="center"/>
        <w:rPr>
          <w:rFonts w:ascii="Times New Roman;serif" w:hAnsi="Times New Roman;serif"/>
          <w:b w:val="false"/>
          <w:sz w:val="20"/>
        </w:rPr>
      </w:pPr>
      <w:r>
        <w:rPr>
          <w:rFonts w:ascii="Times New Roman;serif" w:hAnsi="Times New Roman;serif"/>
          <w:b w:val="false"/>
          <w:sz w:val="20"/>
        </w:rPr>
        <w:t>48</w:t>
      </w:r>
    </w:p>
    <w:p>
      <w:pPr>
        <w:pStyle w:val="HorizontalLine"/>
        <w:rPr/>
      </w:pPr>
      <w:r>
        <w:rPr/>
      </w:r>
    </w:p>
    <w:p>
      <w:pPr>
        <w:pStyle w:val="TextBody"/>
        <w:spacing w:before="0" w:after="0"/>
        <w:jc w:val="left"/>
        <w:rPr/>
      </w:pPr>
      <w:r>
        <w:rPr/>
        <w:t> </w:t>
      </w:r>
    </w:p>
    <w:p>
      <w:pPr>
        <w:pStyle w:val="TextBody"/>
        <w:spacing w:before="200" w:after="0"/>
        <w:jc w:val="both"/>
        <w:rPr>
          <w:rFonts w:ascii="Times New Roman" w:hAnsi="Times New Roman"/>
          <w:b w:val="false"/>
          <w:sz w:val="20"/>
        </w:rPr>
      </w:pPr>
      <w:r>
        <w:rPr>
          <w:rFonts w:ascii="Times New Roman" w:hAnsi="Times New Roman"/>
          <w:b w:val="false"/>
          <w:sz w:val="20"/>
        </w:rPr>
        <w:t>(2)</w:t>
      </w:r>
    </w:p>
    <w:p>
      <w:pPr>
        <w:pStyle w:val="TextBody"/>
        <w:spacing w:before="200" w:after="0"/>
        <w:jc w:val="both"/>
        <w:rPr>
          <w:rFonts w:ascii="Times New Roman;serif" w:hAnsi="Times New Roman;serif"/>
          <w:b w:val="false"/>
          <w:sz w:val="20"/>
        </w:rPr>
      </w:pPr>
      <w:r>
        <w:rPr>
          <w:rFonts w:ascii="Times New Roman;serif" w:hAnsi="Times New Roman;serif"/>
          <w:b w:val="false"/>
          <w:sz w:val="20"/>
        </w:rPr>
        <w:t>In addition to Russia, the Company has IMAX Systems in the Commonwealth of Independent States (“CIS”) which are Azerbaijan, Belarus, Kazakhstan, and Kyrgyzstan. Commencing in March 2022, in response to the ongoing conflict between Russia and Ukraine and resulting sanctions, the Company suspended its operations in Russia and Belarus. As of March 31, 2023, the IMAX network includes 54 systems in Russia, eight systems in Ukraine, and one system in Belarus.</w:t>
      </w:r>
    </w:p>
    <w:p>
      <w:pPr>
        <w:pStyle w:val="TextBody"/>
        <w:spacing w:before="200" w:after="0"/>
        <w:jc w:val="both"/>
        <w:rPr>
          <w:rFonts w:ascii="Times New Roman" w:hAnsi="Times New Roman"/>
          <w:b w:val="false"/>
          <w:sz w:val="20"/>
        </w:rPr>
      </w:pPr>
      <w:r>
        <w:rPr>
          <w:rFonts w:ascii="Times New Roman" w:hAnsi="Times New Roman"/>
          <w:b w:val="false"/>
          <w:sz w:val="20"/>
        </w:rPr>
        <w:t>(3)</w:t>
      </w:r>
    </w:p>
    <w:p>
      <w:pPr>
        <w:pStyle w:val="TextBody"/>
        <w:spacing w:before="200" w:after="0"/>
        <w:jc w:val="both"/>
        <w:rPr>
          <w:rFonts w:ascii="Times New Roman;serif" w:hAnsi="Times New Roman;serif"/>
          <w:b w:val="false"/>
          <w:sz w:val="20"/>
        </w:rPr>
      </w:pPr>
      <w:r>
        <w:rPr>
          <w:rFonts w:ascii="Times New Roman;serif" w:hAnsi="Times New Roman;serif"/>
          <w:b w:val="false"/>
          <w:sz w:val="20"/>
        </w:rPr>
        <w:t>Latin America includes South America, Central America and Mexico.</w:t>
      </w:r>
    </w:p>
    <w:p>
      <w:pPr>
        <w:pStyle w:val="TextBody"/>
        <w:spacing w:before="200" w:after="0"/>
        <w:jc w:val="both"/>
        <w:rPr>
          <w:rFonts w:ascii="Times New Roman" w:hAnsi="Times New Roman"/>
          <w:b w:val="false"/>
          <w:sz w:val="20"/>
        </w:rPr>
      </w:pPr>
      <w:r>
        <w:rPr>
          <w:rFonts w:ascii="Times New Roman" w:hAnsi="Times New Roman"/>
          <w:b w:val="false"/>
          <w:sz w:val="20"/>
        </w:rPr>
        <w:t>(4)</w:t>
      </w:r>
    </w:p>
    <w:p>
      <w:pPr>
        <w:pStyle w:val="TextBody"/>
        <w:spacing w:before="200" w:after="283"/>
        <w:jc w:val="both"/>
        <w:rPr>
          <w:rFonts w:ascii="Times New Roman;serif" w:hAnsi="Times New Roman;serif"/>
          <w:b w:val="false"/>
          <w:sz w:val="20"/>
        </w:rPr>
      </w:pPr>
      <w:r>
        <w:rPr>
          <w:rFonts w:ascii="Times New Roman;serif" w:hAnsi="Times New Roman;serif"/>
          <w:b w:val="false"/>
          <w:sz w:val="20"/>
        </w:rPr>
        <w:t xml:space="preserve">Period-to-period changes in the table above are reported net of the effect of permanently closed locations. </w:t>
      </w:r>
    </w:p>
    <w:p>
      <w:pPr>
        <w:pStyle w:val="TextBody"/>
        <w:spacing w:before="200" w:after="0"/>
        <w:jc w:val="both"/>
        <w:rPr>
          <w:rFonts w:ascii="Times New Roman;serif" w:hAnsi="Times New Roman;serif"/>
          <w:b w:val="false"/>
          <w:sz w:val="20"/>
        </w:rPr>
      </w:pPr>
      <w:r>
        <w:rPr>
          <w:rFonts w:ascii="Times New Roman;serif" w:hAnsi="Times New Roman;serif"/>
          <w:b w:val="false"/>
          <w:sz w:val="20"/>
        </w:rPr>
        <w:t>The Company currently believes that over time its commercial multiplex network could grow to over 3,300 IMAX Systems worldwide from the 1,631 as of March 31, 2023. The Company believes that the majority of its future growth will come from international markets. As of March 31, 2023, 75% of IMAX Systems in the global commercial multiplex network were located within international markets (defined as all countries other than the United States and Canada). Revenues and GBO derived from international markets continue to exceed revenues and GBO from the United States and Canada. Risks associated with the Company’s international business, including Russia, are outlined in “Risk Factors – The Company conducts business internationally, which exposes it to uncertainties and risks that could negatively affect its operations, sales and future growth prospects” in Part I, Item 1A of the Company's 2022 Form 10-K.</w:t>
      </w:r>
    </w:p>
    <w:p>
      <w:pPr>
        <w:pStyle w:val="TextBody"/>
        <w:spacing w:before="200" w:after="0"/>
        <w:jc w:val="both"/>
        <w:rPr>
          <w:rFonts w:ascii="Times New Roman" w:hAnsi="Times New Roman"/>
          <w:sz w:val="20"/>
        </w:rPr>
      </w:pPr>
      <w:r>
        <w:rPr>
          <w:rFonts w:ascii="Times New Roman;serif" w:hAnsi="Times New Roman;serif"/>
          <w:b w:val="false"/>
          <w:sz w:val="20"/>
        </w:rPr>
        <w:t>In the three months ended March 31, 2023 the Company’s revenue generated from its Greater China operations represents 31% of consolidated revenue</w:t>
      </w:r>
      <w:r>
        <w:rPr>
          <w:rFonts w:ascii="Calibri;sans-serif" w:hAnsi="Calibri;sans-serif"/>
          <w:b w:val="false"/>
          <w:sz w:val="22"/>
        </w:rPr>
        <w:t xml:space="preserve">. </w:t>
      </w:r>
      <w:r>
        <w:rPr>
          <w:rFonts w:ascii="Times New Roman;serif" w:hAnsi="Times New Roman;serif"/>
          <w:b w:val="false"/>
          <w:sz w:val="20"/>
        </w:rPr>
        <w:t>As of March 31, 2023, the Company had 793 IMAX Systems operating in Greater China with an additional 200 systems in backlog. The Company’s backlog in Greater China represents 43% of its total current backlog, including upgrades in system type. The Company has a partnership in China with Wanda Film (“Wanda”). As of March 31, 2023, through the Company’s partnership with Wanda, there were 375 IMAX Systems operational in Greater China of which 361 are under the parties’ joint revenue sharing arrangements.</w:t>
      </w:r>
      <w:r>
        <w:rPr>
          <w:rFonts w:ascii="Times New Roman" w:hAnsi="Times New Roman"/>
          <w:sz w:val="20"/>
        </w:rPr>
        <w:t xml:space="preserve"> </w:t>
      </w:r>
    </w:p>
    <w:p>
      <w:pPr>
        <w:pStyle w:val="TextBody"/>
        <w:spacing w:before="200" w:after="0"/>
        <w:jc w:val="both"/>
        <w:rPr>
          <w:rFonts w:ascii="Times New Roman" w:hAnsi="Times New Roman"/>
          <w:sz w:val="20"/>
        </w:rPr>
      </w:pPr>
      <w:r>
        <w:rPr>
          <w:rFonts w:ascii="Times New Roman;serif" w:hAnsi="Times New Roman;serif"/>
          <w:b w:val="false"/>
          <w:sz w:val="20"/>
        </w:rPr>
        <w:t>In the first quarter of 2023, the IMAX network generated over $80 million in box office from local language films, a record for the Company. Local language box office represented approximately 30% of the Company’s total box office in the quarter. This year’s quarter included the highest grossing Chinese New Year holiday and highest grossing local language title (</w:t>
      </w:r>
      <w:r>
        <w:rPr>
          <w:rFonts w:ascii="Times New Roman;serif" w:hAnsi="Times New Roman;serif"/>
          <w:b w:val="false"/>
          <w:i/>
          <w:sz w:val="20"/>
        </w:rPr>
        <w:t>Wandering Earth 2</w:t>
      </w:r>
      <w:r>
        <w:rPr>
          <w:rFonts w:ascii="Times New Roman;serif" w:hAnsi="Times New Roman;serif"/>
          <w:b w:val="false"/>
          <w:sz w:val="20"/>
        </w:rPr>
        <w:t xml:space="preserve">) in the Company’s history. The Company is also seeing its local language films increasingly generate significant IMAX box office in markets outside of those in which they are released, such as the Japanese film </w:t>
      </w:r>
      <w:r>
        <w:rPr>
          <w:rFonts w:ascii="Times New Roman;serif" w:hAnsi="Times New Roman;serif"/>
          <w:b w:val="false"/>
          <w:i/>
          <w:sz w:val="20"/>
        </w:rPr>
        <w:t xml:space="preserve">Suzume </w:t>
      </w:r>
      <w:r>
        <w:rPr>
          <w:rFonts w:ascii="Times New Roman;serif" w:hAnsi="Times New Roman;serif"/>
          <w:b w:val="false"/>
          <w:sz w:val="20"/>
        </w:rPr>
        <w:t xml:space="preserve">and the Indian film </w:t>
      </w:r>
      <w:r>
        <w:rPr>
          <w:rFonts w:ascii="Times New Roman;serif" w:hAnsi="Times New Roman;serif"/>
          <w:b w:val="false"/>
          <w:i/>
          <w:sz w:val="20"/>
        </w:rPr>
        <w:t>RRR</w:t>
      </w:r>
      <w:r>
        <w:rPr>
          <w:rFonts w:ascii="Times New Roman;serif" w:hAnsi="Times New Roman;serif"/>
          <w:b w:val="false"/>
          <w:sz w:val="20"/>
        </w:rPr>
        <w:t>.</w:t>
      </w:r>
    </w:p>
    <w:p>
      <w:pPr>
        <w:pStyle w:val="TextBody"/>
        <w:spacing w:before="200" w:after="0"/>
        <w:jc w:val="both"/>
        <w:rPr>
          <w:rFonts w:ascii="Times New Roman;serif" w:hAnsi="Times New Roman;serif"/>
          <w:b w:val="false"/>
          <w:sz w:val="20"/>
        </w:rPr>
      </w:pPr>
      <w:r>
        <w:rPr>
          <w:rFonts w:ascii="Times New Roman;serif" w:hAnsi="Times New Roman;serif"/>
          <w:b w:val="false"/>
          <w:sz w:val="20"/>
        </w:rPr>
        <w:t>(See “Risk Factors – The Company faces risks in connection with its significant presence in China and the continued expansion of its business there,” “Risk Factors – General political, social and economic conditions can affect the Company’s business by reducing both revenues generated from existing IMAX Systems and the demand for new IMAX Systems,” and “Risk Factors – The Company may not convert all of its backlog into revenue and cash flows” in Part I, Item 1A of the Company’s 2022 Form 10-K.)</w:t>
      </w:r>
    </w:p>
    <w:p>
      <w:pPr>
        <w:pStyle w:val="TextBody"/>
        <w:spacing w:before="240" w:after="0"/>
        <w:jc w:val="center"/>
        <w:rPr>
          <w:rFonts w:ascii="Times New Roman;serif" w:hAnsi="Times New Roman;serif"/>
          <w:b w:val="false"/>
          <w:sz w:val="20"/>
        </w:rPr>
      </w:pPr>
      <w:r>
        <w:rPr>
          <w:rFonts w:ascii="Times New Roman;serif" w:hAnsi="Times New Roman;serif"/>
          <w:b w:val="false"/>
          <w:sz w:val="20"/>
        </w:rPr>
        <w:t>49</w:t>
      </w:r>
    </w:p>
    <w:p>
      <w:pPr>
        <w:pStyle w:val="HorizontalLine"/>
        <w:rPr/>
      </w:pPr>
      <w:r>
        <w:rPr/>
      </w:r>
    </w:p>
    <w:p>
      <w:pPr>
        <w:pStyle w:val="TextBody"/>
        <w:spacing w:before="0" w:after="0"/>
        <w:jc w:val="left"/>
        <w:rPr/>
      </w:pPr>
      <w:r>
        <w:rPr/>
        <w:t> </w:t>
      </w:r>
    </w:p>
    <w:p>
      <w:pPr>
        <w:pStyle w:val="TextBody"/>
        <w:spacing w:before="200" w:after="200"/>
        <w:jc w:val="both"/>
        <w:rPr>
          <w:rFonts w:ascii="Times New Roman;serif" w:hAnsi="Times New Roman;serif"/>
          <w:b w:val="false"/>
          <w:sz w:val="20"/>
        </w:rPr>
      </w:pPr>
      <w:r>
        <w:rPr>
          <w:rFonts w:ascii="Times New Roman;serif" w:hAnsi="Times New Roman;serif"/>
          <w:b w:val="false"/>
          <w:sz w:val="20"/>
        </w:rPr>
        <w:t>The following tables provide detailed information about the Company’s global commercial multiplex network by arrangement type and geographic location as of March 31, 2023 and 2022:</w:t>
      </w:r>
    </w:p>
    <w:tbl>
      <w:tblPr>
        <w:tblW w:w="8397" w:type="dxa"/>
        <w:jc w:val="left"/>
        <w:tblInd w:w="0" w:type="dxa"/>
        <w:tblCellMar>
          <w:top w:w="28" w:type="dxa"/>
          <w:left w:w="28" w:type="dxa"/>
          <w:bottom w:w="28" w:type="dxa"/>
          <w:right w:w="28" w:type="dxa"/>
        </w:tblCellMar>
      </w:tblPr>
      <w:tblGrid>
        <w:gridCol w:w="3466"/>
        <w:gridCol w:w="146"/>
        <w:gridCol w:w="239"/>
        <w:gridCol w:w="692"/>
        <w:gridCol w:w="169"/>
        <w:gridCol w:w="169"/>
        <w:gridCol w:w="169"/>
        <w:gridCol w:w="488"/>
        <w:gridCol w:w="169"/>
        <w:gridCol w:w="169"/>
        <w:gridCol w:w="247"/>
        <w:gridCol w:w="713"/>
        <w:gridCol w:w="169"/>
        <w:gridCol w:w="169"/>
        <w:gridCol w:w="169"/>
        <w:gridCol w:w="663"/>
        <w:gridCol w:w="391"/>
      </w:tblGrid>
      <w:tr>
        <w:trPr/>
        <w:tc>
          <w:tcPr>
            <w:tcW w:w="346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39" w:type="dxa"/>
            <w:tcBorders/>
            <w:shd w:fill="auto" w:val="clear"/>
            <w:vAlign w:val="center"/>
          </w:tcPr>
          <w:p>
            <w:pPr>
              <w:pStyle w:val="TableContents"/>
              <w:spacing w:before="0" w:after="283"/>
              <w:rPr>
                <w:sz w:val="4"/>
                <w:szCs w:val="4"/>
              </w:rPr>
            </w:pPr>
            <w:r>
              <w:rPr>
                <w:sz w:val="4"/>
                <w:szCs w:val="4"/>
              </w:rPr>
            </w:r>
          </w:p>
        </w:tc>
        <w:tc>
          <w:tcPr>
            <w:tcW w:w="692" w:type="dxa"/>
            <w:tcBorders/>
            <w:shd w:fill="auto" w:val="clear"/>
            <w:vAlign w:val="center"/>
          </w:tcPr>
          <w:p>
            <w:pPr>
              <w:pStyle w:val="TableContents"/>
              <w:spacing w:before="0" w:after="283"/>
              <w:rPr>
                <w:sz w:val="4"/>
                <w:szCs w:val="4"/>
              </w:rPr>
            </w:pPr>
            <w:r>
              <w:rPr>
                <w:sz w:val="4"/>
                <w:szCs w:val="4"/>
              </w:rPr>
            </w:r>
          </w:p>
        </w:tc>
        <w:tc>
          <w:tcPr>
            <w:tcW w:w="169" w:type="dxa"/>
            <w:tcBorders/>
            <w:shd w:fill="auto" w:val="clear"/>
            <w:vAlign w:val="center"/>
          </w:tcPr>
          <w:p>
            <w:pPr>
              <w:pStyle w:val="TableContents"/>
              <w:spacing w:before="0" w:after="283"/>
              <w:rPr>
                <w:sz w:val="4"/>
                <w:szCs w:val="4"/>
              </w:rPr>
            </w:pPr>
            <w:r>
              <w:rPr>
                <w:sz w:val="4"/>
                <w:szCs w:val="4"/>
              </w:rPr>
            </w:r>
          </w:p>
        </w:tc>
        <w:tc>
          <w:tcPr>
            <w:tcW w:w="169" w:type="dxa"/>
            <w:tcBorders/>
            <w:shd w:fill="auto" w:val="clear"/>
            <w:vAlign w:val="center"/>
          </w:tcPr>
          <w:p>
            <w:pPr>
              <w:pStyle w:val="TableContents"/>
              <w:spacing w:before="0" w:after="283"/>
              <w:rPr>
                <w:sz w:val="4"/>
                <w:szCs w:val="4"/>
              </w:rPr>
            </w:pPr>
            <w:r>
              <w:rPr>
                <w:sz w:val="4"/>
                <w:szCs w:val="4"/>
              </w:rPr>
            </w:r>
          </w:p>
        </w:tc>
        <w:tc>
          <w:tcPr>
            <w:tcW w:w="169" w:type="dxa"/>
            <w:tcBorders/>
            <w:shd w:fill="auto" w:val="clear"/>
            <w:vAlign w:val="center"/>
          </w:tcPr>
          <w:p>
            <w:pPr>
              <w:pStyle w:val="TableContents"/>
              <w:spacing w:before="0" w:after="283"/>
              <w:rPr>
                <w:sz w:val="4"/>
                <w:szCs w:val="4"/>
              </w:rPr>
            </w:pPr>
            <w:r>
              <w:rPr>
                <w:sz w:val="4"/>
                <w:szCs w:val="4"/>
              </w:rPr>
            </w:r>
          </w:p>
        </w:tc>
        <w:tc>
          <w:tcPr>
            <w:tcW w:w="488" w:type="dxa"/>
            <w:tcBorders/>
            <w:shd w:fill="auto" w:val="clear"/>
            <w:vAlign w:val="center"/>
          </w:tcPr>
          <w:p>
            <w:pPr>
              <w:pStyle w:val="TableContents"/>
              <w:spacing w:before="0" w:after="283"/>
              <w:rPr>
                <w:sz w:val="4"/>
                <w:szCs w:val="4"/>
              </w:rPr>
            </w:pPr>
            <w:r>
              <w:rPr>
                <w:sz w:val="4"/>
                <w:szCs w:val="4"/>
              </w:rPr>
            </w:r>
          </w:p>
        </w:tc>
        <w:tc>
          <w:tcPr>
            <w:tcW w:w="169" w:type="dxa"/>
            <w:tcBorders/>
            <w:shd w:fill="auto" w:val="clear"/>
            <w:vAlign w:val="center"/>
          </w:tcPr>
          <w:p>
            <w:pPr>
              <w:pStyle w:val="TableContents"/>
              <w:spacing w:before="0" w:after="283"/>
              <w:rPr>
                <w:sz w:val="4"/>
                <w:szCs w:val="4"/>
              </w:rPr>
            </w:pPr>
            <w:r>
              <w:rPr>
                <w:sz w:val="4"/>
                <w:szCs w:val="4"/>
              </w:rPr>
            </w:r>
          </w:p>
        </w:tc>
        <w:tc>
          <w:tcPr>
            <w:tcW w:w="169" w:type="dxa"/>
            <w:tcBorders/>
            <w:shd w:fill="auto" w:val="clear"/>
            <w:vAlign w:val="center"/>
          </w:tcPr>
          <w:p>
            <w:pPr>
              <w:pStyle w:val="TableContents"/>
              <w:spacing w:before="0" w:after="283"/>
              <w:rPr>
                <w:sz w:val="4"/>
                <w:szCs w:val="4"/>
              </w:rPr>
            </w:pPr>
            <w:r>
              <w:rPr>
                <w:sz w:val="4"/>
                <w:szCs w:val="4"/>
              </w:rPr>
            </w:r>
          </w:p>
        </w:tc>
        <w:tc>
          <w:tcPr>
            <w:tcW w:w="247" w:type="dxa"/>
            <w:tcBorders/>
            <w:shd w:fill="auto" w:val="clear"/>
            <w:vAlign w:val="center"/>
          </w:tcPr>
          <w:p>
            <w:pPr>
              <w:pStyle w:val="TableContents"/>
              <w:spacing w:before="0" w:after="283"/>
              <w:rPr>
                <w:sz w:val="4"/>
                <w:szCs w:val="4"/>
              </w:rPr>
            </w:pPr>
            <w:r>
              <w:rPr>
                <w:sz w:val="4"/>
                <w:szCs w:val="4"/>
              </w:rPr>
            </w:r>
          </w:p>
        </w:tc>
        <w:tc>
          <w:tcPr>
            <w:tcW w:w="713" w:type="dxa"/>
            <w:tcBorders/>
            <w:shd w:fill="auto" w:val="clear"/>
            <w:vAlign w:val="center"/>
          </w:tcPr>
          <w:p>
            <w:pPr>
              <w:pStyle w:val="TableContents"/>
              <w:spacing w:before="0" w:after="283"/>
              <w:rPr>
                <w:sz w:val="4"/>
                <w:szCs w:val="4"/>
              </w:rPr>
            </w:pPr>
            <w:r>
              <w:rPr>
                <w:sz w:val="4"/>
                <w:szCs w:val="4"/>
              </w:rPr>
            </w:r>
          </w:p>
        </w:tc>
        <w:tc>
          <w:tcPr>
            <w:tcW w:w="169" w:type="dxa"/>
            <w:tcBorders/>
            <w:shd w:fill="auto" w:val="clear"/>
            <w:vAlign w:val="center"/>
          </w:tcPr>
          <w:p>
            <w:pPr>
              <w:pStyle w:val="TableContents"/>
              <w:spacing w:before="0" w:after="283"/>
              <w:rPr>
                <w:sz w:val="4"/>
                <w:szCs w:val="4"/>
              </w:rPr>
            </w:pPr>
            <w:r>
              <w:rPr>
                <w:sz w:val="4"/>
                <w:szCs w:val="4"/>
              </w:rPr>
            </w:r>
          </w:p>
        </w:tc>
        <w:tc>
          <w:tcPr>
            <w:tcW w:w="169" w:type="dxa"/>
            <w:tcBorders/>
            <w:shd w:fill="auto" w:val="clear"/>
            <w:vAlign w:val="center"/>
          </w:tcPr>
          <w:p>
            <w:pPr>
              <w:pStyle w:val="TableContents"/>
              <w:spacing w:before="0" w:after="283"/>
              <w:rPr>
                <w:sz w:val="4"/>
                <w:szCs w:val="4"/>
              </w:rPr>
            </w:pPr>
            <w:r>
              <w:rPr>
                <w:sz w:val="4"/>
                <w:szCs w:val="4"/>
              </w:rPr>
            </w:r>
          </w:p>
        </w:tc>
        <w:tc>
          <w:tcPr>
            <w:tcW w:w="169" w:type="dxa"/>
            <w:tcBorders/>
            <w:shd w:fill="auto" w:val="clear"/>
            <w:vAlign w:val="center"/>
          </w:tcPr>
          <w:p>
            <w:pPr>
              <w:pStyle w:val="TableContents"/>
              <w:spacing w:before="0" w:after="283"/>
              <w:rPr>
                <w:sz w:val="4"/>
                <w:szCs w:val="4"/>
              </w:rPr>
            </w:pPr>
            <w:r>
              <w:rPr>
                <w:sz w:val="4"/>
                <w:szCs w:val="4"/>
              </w:rPr>
            </w:r>
          </w:p>
        </w:tc>
        <w:tc>
          <w:tcPr>
            <w:tcW w:w="663" w:type="dxa"/>
            <w:tcBorders/>
            <w:shd w:fill="auto" w:val="clear"/>
            <w:vAlign w:val="center"/>
          </w:tcPr>
          <w:p>
            <w:pPr>
              <w:pStyle w:val="TableContents"/>
              <w:spacing w:before="0" w:after="283"/>
              <w:rPr>
                <w:sz w:val="4"/>
                <w:szCs w:val="4"/>
              </w:rPr>
            </w:pPr>
            <w:r>
              <w:rPr>
                <w:sz w:val="4"/>
                <w:szCs w:val="4"/>
              </w:rPr>
            </w:r>
          </w:p>
        </w:tc>
        <w:tc>
          <w:tcPr>
            <w:tcW w:w="391" w:type="dxa"/>
            <w:tcBorders/>
            <w:shd w:fill="auto" w:val="clear"/>
            <w:vAlign w:val="center"/>
          </w:tcPr>
          <w:p>
            <w:pPr>
              <w:pStyle w:val="TableContents"/>
              <w:spacing w:before="0" w:after="283"/>
              <w:rPr>
                <w:sz w:val="4"/>
                <w:szCs w:val="4"/>
              </w:rPr>
            </w:pPr>
            <w:r>
              <w:rPr>
                <w:sz w:val="4"/>
                <w:szCs w:val="4"/>
              </w:rPr>
            </w:r>
          </w:p>
        </w:tc>
      </w:tr>
      <w:tr>
        <w:trPr/>
        <w:tc>
          <w:tcPr>
            <w:tcW w:w="3466"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4394" w:type="dxa"/>
            <w:gridSpan w:val="14"/>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March 31, 2023</w:t>
            </w:r>
          </w:p>
        </w:tc>
        <w:tc>
          <w:tcPr>
            <w:tcW w:w="3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3466"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4394" w:type="dxa"/>
            <w:gridSpan w:val="14"/>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Commercial Multiplex Locations in IMAX Network</w:t>
            </w:r>
          </w:p>
        </w:tc>
        <w:tc>
          <w:tcPr>
            <w:tcW w:w="3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3466"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931"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Traditional</w:t>
              <w:br/>
              <w:t>JRSA</w:t>
            </w:r>
          </w:p>
        </w:tc>
        <w:tc>
          <w:tcPr>
            <w:tcW w:w="169"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69"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657"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Hybrid</w:t>
              <w:br/>
              <w:t>JRSA</w:t>
            </w:r>
          </w:p>
        </w:tc>
        <w:tc>
          <w:tcPr>
            <w:tcW w:w="169"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69"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960"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Sale / Sales-</w:t>
              <w:br/>
              <w:t>type Lease</w:t>
            </w:r>
          </w:p>
        </w:tc>
        <w:tc>
          <w:tcPr>
            <w:tcW w:w="169"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69"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832"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Total</w:t>
            </w:r>
          </w:p>
        </w:tc>
        <w:tc>
          <w:tcPr>
            <w:tcW w:w="3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346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Domestic Total (United States &amp; Canada)</w:t>
            </w:r>
          </w:p>
        </w:tc>
        <w:tc>
          <w:tcPr>
            <w:tcW w:w="146" w:type="dxa"/>
            <w:tcBorders/>
            <w:shd w:fill="auto" w:val="clear"/>
            <w:vAlign w:val="center"/>
          </w:tcPr>
          <w:p>
            <w:pPr>
              <w:pStyle w:val="TableContents"/>
              <w:spacing w:before="0" w:after="0"/>
              <w:ind w:left="0" w:right="0" w:hanging="0"/>
              <w:jc w:val="left"/>
              <w:rPr/>
            </w:pPr>
            <w:r>
              <w:rPr/>
              <w:t> </w:t>
            </w:r>
          </w:p>
        </w:tc>
        <w:tc>
          <w:tcPr>
            <w:tcW w:w="239"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692"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274</w:t>
            </w:r>
          </w:p>
        </w:tc>
        <w:tc>
          <w:tcPr>
            <w:tcW w:w="169"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69"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pPr>
            <w:r>
              <w:rPr/>
              <w:t> </w:t>
            </w:r>
          </w:p>
        </w:tc>
        <w:tc>
          <w:tcPr>
            <w:tcW w:w="169"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488"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6</w:t>
            </w:r>
          </w:p>
        </w:tc>
        <w:tc>
          <w:tcPr>
            <w:tcW w:w="169"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69"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pPr>
            <w:r>
              <w:rPr/>
              <w:t> </w:t>
            </w:r>
          </w:p>
        </w:tc>
        <w:tc>
          <w:tcPr>
            <w:tcW w:w="247"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713"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121</w:t>
            </w:r>
          </w:p>
        </w:tc>
        <w:tc>
          <w:tcPr>
            <w:tcW w:w="169"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69"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pPr>
            <w:r>
              <w:rPr/>
              <w:t> </w:t>
            </w:r>
          </w:p>
        </w:tc>
        <w:tc>
          <w:tcPr>
            <w:tcW w:w="169"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663"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401</w:t>
            </w:r>
          </w:p>
        </w:tc>
        <w:tc>
          <w:tcPr>
            <w:tcW w:w="3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r>
        <w:trPr/>
        <w:tc>
          <w:tcPr>
            <w:tcW w:w="346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International:</w:t>
            </w:r>
          </w:p>
        </w:tc>
        <w:tc>
          <w:tcPr>
            <w:tcW w:w="146" w:type="dxa"/>
            <w:tcBorders/>
            <w:shd w:fill="auto" w:val="clear"/>
            <w:vAlign w:val="center"/>
          </w:tcPr>
          <w:p>
            <w:pPr>
              <w:pStyle w:val="TableContents"/>
              <w:spacing w:before="0" w:after="0"/>
              <w:ind w:left="0" w:right="0" w:hanging="0"/>
              <w:jc w:val="left"/>
              <w:rPr/>
            </w:pPr>
            <w:r>
              <w:rPr/>
              <w:t> </w:t>
            </w:r>
          </w:p>
        </w:tc>
        <w:tc>
          <w:tcPr>
            <w:tcW w:w="931" w:type="dxa"/>
            <w:gridSpan w:val="2"/>
            <w:tcBorders/>
            <w:shd w:fill="auto" w:val="clear"/>
            <w:vAlign w:val="center"/>
          </w:tcPr>
          <w:p>
            <w:pPr>
              <w:pStyle w:val="TableContents"/>
              <w:spacing w:before="0" w:after="0"/>
              <w:ind w:left="0" w:right="0" w:hanging="0"/>
              <w:jc w:val="right"/>
              <w:rPr/>
            </w:pPr>
            <w:r>
              <w:rPr/>
              <w:t> </w:t>
            </w:r>
          </w:p>
        </w:tc>
        <w:tc>
          <w:tcPr>
            <w:tcW w:w="169" w:type="dxa"/>
            <w:tcBorders/>
            <w:shd w:fill="auto" w:val="clear"/>
            <w:vAlign w:val="center"/>
          </w:tcPr>
          <w:p>
            <w:pPr>
              <w:pStyle w:val="TableContents"/>
              <w:spacing w:before="0" w:after="0"/>
              <w:ind w:left="0" w:right="0" w:hanging="0"/>
              <w:jc w:val="right"/>
              <w:rPr/>
            </w:pPr>
            <w:r>
              <w:rPr/>
              <w:t> </w:t>
            </w:r>
          </w:p>
        </w:tc>
        <w:tc>
          <w:tcPr>
            <w:tcW w:w="169" w:type="dxa"/>
            <w:tcBorders/>
            <w:shd w:fill="auto" w:val="clear"/>
            <w:vAlign w:val="center"/>
          </w:tcPr>
          <w:p>
            <w:pPr>
              <w:pStyle w:val="TableContents"/>
              <w:spacing w:before="0" w:after="0"/>
              <w:ind w:left="0" w:right="0" w:hanging="0"/>
              <w:jc w:val="right"/>
              <w:rPr/>
            </w:pPr>
            <w:r>
              <w:rPr/>
              <w:t> </w:t>
            </w:r>
          </w:p>
        </w:tc>
        <w:tc>
          <w:tcPr>
            <w:tcW w:w="657" w:type="dxa"/>
            <w:gridSpan w:val="2"/>
            <w:tcBorders/>
            <w:shd w:fill="auto" w:val="clear"/>
            <w:vAlign w:val="center"/>
          </w:tcPr>
          <w:p>
            <w:pPr>
              <w:pStyle w:val="TableContents"/>
              <w:spacing w:before="0" w:after="0"/>
              <w:ind w:left="0" w:right="0" w:hanging="0"/>
              <w:jc w:val="right"/>
              <w:rPr/>
            </w:pPr>
            <w:r>
              <w:rPr/>
              <w:t> </w:t>
            </w:r>
          </w:p>
        </w:tc>
        <w:tc>
          <w:tcPr>
            <w:tcW w:w="169" w:type="dxa"/>
            <w:tcBorders/>
            <w:shd w:fill="auto" w:val="clear"/>
            <w:vAlign w:val="center"/>
          </w:tcPr>
          <w:p>
            <w:pPr>
              <w:pStyle w:val="TableContents"/>
              <w:spacing w:before="0" w:after="0"/>
              <w:ind w:left="0" w:right="0" w:hanging="0"/>
              <w:jc w:val="right"/>
              <w:rPr/>
            </w:pPr>
            <w:r>
              <w:rPr/>
              <w:t> </w:t>
            </w:r>
          </w:p>
        </w:tc>
        <w:tc>
          <w:tcPr>
            <w:tcW w:w="169" w:type="dxa"/>
            <w:tcBorders/>
            <w:shd w:fill="auto" w:val="clear"/>
            <w:vAlign w:val="center"/>
          </w:tcPr>
          <w:p>
            <w:pPr>
              <w:pStyle w:val="TableContents"/>
              <w:spacing w:before="0" w:after="0"/>
              <w:ind w:left="0" w:right="0" w:hanging="0"/>
              <w:jc w:val="right"/>
              <w:rPr/>
            </w:pPr>
            <w:r>
              <w:rPr/>
              <w:t> </w:t>
            </w:r>
          </w:p>
        </w:tc>
        <w:tc>
          <w:tcPr>
            <w:tcW w:w="960" w:type="dxa"/>
            <w:gridSpan w:val="2"/>
            <w:tcBorders/>
            <w:shd w:fill="auto" w:val="clear"/>
            <w:vAlign w:val="center"/>
          </w:tcPr>
          <w:p>
            <w:pPr>
              <w:pStyle w:val="TableContents"/>
              <w:spacing w:before="0" w:after="0"/>
              <w:ind w:left="0" w:right="0" w:hanging="0"/>
              <w:jc w:val="right"/>
              <w:rPr/>
            </w:pPr>
            <w:r>
              <w:rPr/>
              <w:t> </w:t>
            </w:r>
          </w:p>
        </w:tc>
        <w:tc>
          <w:tcPr>
            <w:tcW w:w="169" w:type="dxa"/>
            <w:tcBorders/>
            <w:shd w:fill="auto" w:val="clear"/>
            <w:vAlign w:val="center"/>
          </w:tcPr>
          <w:p>
            <w:pPr>
              <w:pStyle w:val="TableContents"/>
              <w:spacing w:before="0" w:after="0"/>
              <w:ind w:left="0" w:right="0" w:hanging="0"/>
              <w:jc w:val="right"/>
              <w:rPr/>
            </w:pPr>
            <w:r>
              <w:rPr/>
              <w:t> </w:t>
            </w:r>
          </w:p>
        </w:tc>
        <w:tc>
          <w:tcPr>
            <w:tcW w:w="169" w:type="dxa"/>
            <w:tcBorders/>
            <w:shd w:fill="auto" w:val="clear"/>
            <w:vAlign w:val="center"/>
          </w:tcPr>
          <w:p>
            <w:pPr>
              <w:pStyle w:val="TableContents"/>
              <w:spacing w:before="0" w:after="0"/>
              <w:ind w:left="0" w:right="0" w:hanging="0"/>
              <w:jc w:val="right"/>
              <w:rPr/>
            </w:pPr>
            <w:r>
              <w:rPr/>
              <w:t> </w:t>
            </w:r>
          </w:p>
        </w:tc>
        <w:tc>
          <w:tcPr>
            <w:tcW w:w="832" w:type="dxa"/>
            <w:gridSpan w:val="2"/>
            <w:tcBorders/>
            <w:shd w:fill="auto" w:val="clear"/>
            <w:vAlign w:val="center"/>
          </w:tcPr>
          <w:p>
            <w:pPr>
              <w:pStyle w:val="TableContents"/>
              <w:spacing w:before="0" w:after="0"/>
              <w:ind w:left="0" w:right="0" w:hanging="0"/>
              <w:jc w:val="right"/>
              <w:rPr/>
            </w:pPr>
            <w:r>
              <w:rPr/>
              <w:t> </w:t>
            </w:r>
          </w:p>
        </w:tc>
        <w:tc>
          <w:tcPr>
            <w:tcW w:w="391" w:type="dxa"/>
            <w:tcBorders/>
            <w:shd w:fill="auto" w:val="clear"/>
            <w:vAlign w:val="center"/>
          </w:tcPr>
          <w:p>
            <w:pPr>
              <w:pStyle w:val="TableContents"/>
              <w:spacing w:before="0" w:after="0"/>
              <w:ind w:left="0" w:right="0" w:firstLine="200"/>
              <w:jc w:val="right"/>
              <w:rPr/>
            </w:pPr>
            <w:r>
              <w:rPr/>
              <w:t> </w:t>
            </w:r>
          </w:p>
        </w:tc>
      </w:tr>
      <w:tr>
        <w:trPr/>
        <w:tc>
          <w:tcPr>
            <w:tcW w:w="3466" w:type="dxa"/>
            <w:tcBorders/>
            <w:shd w:fill="auto" w:val="clear"/>
            <w:vAlign w:val="center"/>
          </w:tcPr>
          <w:p>
            <w:pPr>
              <w:pStyle w:val="TableContents"/>
              <w:spacing w:before="0" w:after="0"/>
              <w:ind w:left="200" w:right="0" w:hanging="0"/>
              <w:jc w:val="left"/>
              <w:rPr>
                <w:rFonts w:ascii="Times New Roman;serif" w:hAnsi="Times New Roman;serif"/>
                <w:b w:val="false"/>
                <w:sz w:val="20"/>
              </w:rPr>
            </w:pPr>
            <w:r>
              <w:rPr>
                <w:rFonts w:ascii="Times New Roman;serif" w:hAnsi="Times New Roman;serif"/>
                <w:b w:val="false"/>
                <w:sz w:val="20"/>
              </w:rPr>
              <w:t>Greater China</w:t>
            </w:r>
          </w:p>
        </w:tc>
        <w:tc>
          <w:tcPr>
            <w:tcW w:w="146" w:type="dxa"/>
            <w:tcBorders/>
            <w:shd w:fill="auto" w:val="clear"/>
            <w:vAlign w:val="center"/>
          </w:tcPr>
          <w:p>
            <w:pPr>
              <w:pStyle w:val="TableContents"/>
              <w:spacing w:before="0" w:after="0"/>
              <w:ind w:left="0" w:right="0" w:hanging="0"/>
              <w:jc w:val="left"/>
              <w:rPr/>
            </w:pPr>
            <w:r>
              <w:rPr/>
              <w:t> </w:t>
            </w:r>
          </w:p>
        </w:tc>
        <w:tc>
          <w:tcPr>
            <w:tcW w:w="239" w:type="dxa"/>
            <w:tcBorders/>
            <w:shd w:fill="auto" w:val="clear"/>
            <w:vAlign w:val="center"/>
          </w:tcPr>
          <w:p>
            <w:pPr>
              <w:pStyle w:val="TableContents"/>
              <w:spacing w:before="0" w:after="0"/>
              <w:ind w:left="0" w:right="0" w:hanging="0"/>
              <w:jc w:val="left"/>
              <w:rPr/>
            </w:pPr>
            <w:r>
              <w:rPr/>
              <w:t> </w:t>
            </w:r>
          </w:p>
        </w:tc>
        <w:tc>
          <w:tcPr>
            <w:tcW w:w="692"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401</w:t>
            </w:r>
          </w:p>
        </w:tc>
        <w:tc>
          <w:tcPr>
            <w:tcW w:w="169" w:type="dxa"/>
            <w:tcBorders/>
            <w:shd w:fill="auto" w:val="clear"/>
            <w:vAlign w:val="center"/>
          </w:tcPr>
          <w:p>
            <w:pPr>
              <w:pStyle w:val="TableContents"/>
              <w:spacing w:before="0" w:after="0"/>
              <w:ind w:left="0" w:right="0" w:hanging="0"/>
              <w:jc w:val="left"/>
              <w:rPr/>
            </w:pPr>
            <w:r>
              <w:rPr/>
              <w:t> </w:t>
            </w:r>
          </w:p>
        </w:tc>
        <w:tc>
          <w:tcPr>
            <w:tcW w:w="169" w:type="dxa"/>
            <w:tcBorders/>
            <w:shd w:fill="auto" w:val="clear"/>
            <w:vAlign w:val="center"/>
          </w:tcPr>
          <w:p>
            <w:pPr>
              <w:pStyle w:val="TableContents"/>
              <w:spacing w:before="0" w:after="0"/>
              <w:ind w:left="0" w:right="0" w:hanging="0"/>
              <w:jc w:val="right"/>
              <w:rPr/>
            </w:pPr>
            <w:r>
              <w:rPr/>
              <w:t> </w:t>
            </w:r>
          </w:p>
        </w:tc>
        <w:tc>
          <w:tcPr>
            <w:tcW w:w="169" w:type="dxa"/>
            <w:tcBorders/>
            <w:shd w:fill="auto" w:val="clear"/>
            <w:vAlign w:val="center"/>
          </w:tcPr>
          <w:p>
            <w:pPr>
              <w:pStyle w:val="TableContents"/>
              <w:spacing w:before="0" w:after="0"/>
              <w:ind w:left="0" w:right="0" w:hanging="0"/>
              <w:jc w:val="left"/>
              <w:rPr/>
            </w:pPr>
            <w:r>
              <w:rPr/>
              <w:t> </w:t>
            </w:r>
          </w:p>
        </w:tc>
        <w:tc>
          <w:tcPr>
            <w:tcW w:w="488"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110</w:t>
            </w:r>
          </w:p>
        </w:tc>
        <w:tc>
          <w:tcPr>
            <w:tcW w:w="169" w:type="dxa"/>
            <w:tcBorders/>
            <w:shd w:fill="auto" w:val="clear"/>
            <w:vAlign w:val="center"/>
          </w:tcPr>
          <w:p>
            <w:pPr>
              <w:pStyle w:val="TableContents"/>
              <w:spacing w:before="0" w:after="0"/>
              <w:ind w:left="0" w:right="0" w:hanging="0"/>
              <w:jc w:val="left"/>
              <w:rPr/>
            </w:pPr>
            <w:r>
              <w:rPr/>
              <w:t> </w:t>
            </w:r>
          </w:p>
        </w:tc>
        <w:tc>
          <w:tcPr>
            <w:tcW w:w="169" w:type="dxa"/>
            <w:tcBorders/>
            <w:shd w:fill="auto" w:val="clear"/>
            <w:vAlign w:val="center"/>
          </w:tcPr>
          <w:p>
            <w:pPr>
              <w:pStyle w:val="TableContents"/>
              <w:spacing w:before="0" w:after="0"/>
              <w:ind w:left="0" w:right="0" w:hanging="0"/>
              <w:jc w:val="right"/>
              <w:rPr/>
            </w:pPr>
            <w:r>
              <w:rPr/>
              <w:t> </w:t>
            </w:r>
          </w:p>
        </w:tc>
        <w:tc>
          <w:tcPr>
            <w:tcW w:w="247" w:type="dxa"/>
            <w:tcBorders/>
            <w:shd w:fill="auto" w:val="clear"/>
            <w:vAlign w:val="center"/>
          </w:tcPr>
          <w:p>
            <w:pPr>
              <w:pStyle w:val="TableContents"/>
              <w:spacing w:before="0" w:after="0"/>
              <w:ind w:left="0" w:right="0" w:hanging="0"/>
              <w:jc w:val="left"/>
              <w:rPr/>
            </w:pPr>
            <w:r>
              <w:rPr/>
              <w:t> </w:t>
            </w:r>
          </w:p>
        </w:tc>
        <w:tc>
          <w:tcPr>
            <w:tcW w:w="713"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266</w:t>
            </w:r>
          </w:p>
        </w:tc>
        <w:tc>
          <w:tcPr>
            <w:tcW w:w="169" w:type="dxa"/>
            <w:tcBorders/>
            <w:shd w:fill="auto" w:val="clear"/>
            <w:vAlign w:val="center"/>
          </w:tcPr>
          <w:p>
            <w:pPr>
              <w:pStyle w:val="TableContents"/>
              <w:spacing w:before="0" w:after="0"/>
              <w:ind w:left="0" w:right="0" w:hanging="0"/>
              <w:jc w:val="left"/>
              <w:rPr/>
            </w:pPr>
            <w:r>
              <w:rPr/>
              <w:t> </w:t>
            </w:r>
          </w:p>
        </w:tc>
        <w:tc>
          <w:tcPr>
            <w:tcW w:w="169" w:type="dxa"/>
            <w:tcBorders/>
            <w:shd w:fill="auto" w:val="clear"/>
            <w:vAlign w:val="center"/>
          </w:tcPr>
          <w:p>
            <w:pPr>
              <w:pStyle w:val="TableContents"/>
              <w:spacing w:before="0" w:after="0"/>
              <w:ind w:left="0" w:right="0" w:hanging="0"/>
              <w:jc w:val="right"/>
              <w:rPr/>
            </w:pPr>
            <w:r>
              <w:rPr/>
              <w:t> </w:t>
            </w:r>
          </w:p>
        </w:tc>
        <w:tc>
          <w:tcPr>
            <w:tcW w:w="169" w:type="dxa"/>
            <w:tcBorders/>
            <w:shd w:fill="auto" w:val="clear"/>
            <w:vAlign w:val="center"/>
          </w:tcPr>
          <w:p>
            <w:pPr>
              <w:pStyle w:val="TableContents"/>
              <w:spacing w:before="0" w:after="0"/>
              <w:ind w:left="0" w:right="0" w:hanging="0"/>
              <w:jc w:val="left"/>
              <w:rPr/>
            </w:pPr>
            <w:r>
              <w:rPr/>
              <w:t> </w:t>
            </w:r>
          </w:p>
        </w:tc>
        <w:tc>
          <w:tcPr>
            <w:tcW w:w="663"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777</w:t>
            </w:r>
          </w:p>
        </w:tc>
        <w:tc>
          <w:tcPr>
            <w:tcW w:w="391" w:type="dxa"/>
            <w:tcBorders/>
            <w:shd w:fill="auto" w:val="clear"/>
            <w:vAlign w:val="center"/>
          </w:tcPr>
          <w:p>
            <w:pPr>
              <w:pStyle w:val="TableContents"/>
              <w:spacing w:before="0" w:after="0"/>
              <w:ind w:left="0" w:right="0" w:firstLine="200"/>
              <w:jc w:val="left"/>
              <w:rPr/>
            </w:pPr>
            <w:r>
              <w:rPr/>
              <w:t> </w:t>
            </w:r>
          </w:p>
        </w:tc>
      </w:tr>
      <w:tr>
        <w:trPr/>
        <w:tc>
          <w:tcPr>
            <w:tcW w:w="3466" w:type="dxa"/>
            <w:tcBorders/>
            <w:shd w:fill="auto" w:val="clear"/>
            <w:vAlign w:val="center"/>
          </w:tcPr>
          <w:p>
            <w:pPr>
              <w:pStyle w:val="TableContents"/>
              <w:spacing w:before="0" w:after="0"/>
              <w:ind w:left="200" w:right="0" w:hanging="0"/>
              <w:jc w:val="left"/>
              <w:rPr>
                <w:rFonts w:ascii="Times New Roman;serif" w:hAnsi="Times New Roman;serif"/>
                <w:b w:val="false"/>
                <w:sz w:val="20"/>
              </w:rPr>
            </w:pPr>
            <w:r>
              <w:rPr>
                <w:rFonts w:ascii="Times New Roman;serif" w:hAnsi="Times New Roman;serif"/>
                <w:b w:val="false"/>
                <w:sz w:val="20"/>
              </w:rPr>
              <w:t>Asia (excluding Greater China)</w:t>
            </w:r>
          </w:p>
        </w:tc>
        <w:tc>
          <w:tcPr>
            <w:tcW w:w="146" w:type="dxa"/>
            <w:tcBorders/>
            <w:shd w:fill="auto" w:val="clear"/>
            <w:vAlign w:val="center"/>
          </w:tcPr>
          <w:p>
            <w:pPr>
              <w:pStyle w:val="TableContents"/>
              <w:spacing w:before="0" w:after="0"/>
              <w:ind w:left="0" w:right="0" w:hanging="0"/>
              <w:jc w:val="left"/>
              <w:rPr/>
            </w:pPr>
            <w:r>
              <w:rPr/>
              <w:t> </w:t>
            </w:r>
          </w:p>
        </w:tc>
        <w:tc>
          <w:tcPr>
            <w:tcW w:w="239" w:type="dxa"/>
            <w:tcBorders/>
            <w:shd w:fill="auto" w:val="clear"/>
            <w:vAlign w:val="center"/>
          </w:tcPr>
          <w:p>
            <w:pPr>
              <w:pStyle w:val="TableContents"/>
              <w:spacing w:before="0" w:after="0"/>
              <w:ind w:left="0" w:right="0" w:hanging="0"/>
              <w:jc w:val="left"/>
              <w:rPr/>
            </w:pPr>
            <w:r>
              <w:rPr/>
              <w:t> </w:t>
            </w:r>
          </w:p>
        </w:tc>
        <w:tc>
          <w:tcPr>
            <w:tcW w:w="692"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37</w:t>
            </w:r>
          </w:p>
        </w:tc>
        <w:tc>
          <w:tcPr>
            <w:tcW w:w="169" w:type="dxa"/>
            <w:tcBorders/>
            <w:shd w:fill="auto" w:val="clear"/>
            <w:vAlign w:val="center"/>
          </w:tcPr>
          <w:p>
            <w:pPr>
              <w:pStyle w:val="TableContents"/>
              <w:spacing w:before="0" w:after="0"/>
              <w:ind w:left="0" w:right="0" w:hanging="0"/>
              <w:jc w:val="left"/>
              <w:rPr/>
            </w:pPr>
            <w:r>
              <w:rPr/>
              <w:t> </w:t>
            </w:r>
          </w:p>
        </w:tc>
        <w:tc>
          <w:tcPr>
            <w:tcW w:w="169" w:type="dxa"/>
            <w:tcBorders/>
            <w:shd w:fill="auto" w:val="clear"/>
            <w:vAlign w:val="center"/>
          </w:tcPr>
          <w:p>
            <w:pPr>
              <w:pStyle w:val="TableContents"/>
              <w:spacing w:before="0" w:after="0"/>
              <w:ind w:left="0" w:right="0" w:hanging="0"/>
              <w:jc w:val="right"/>
              <w:rPr/>
            </w:pPr>
            <w:r>
              <w:rPr/>
              <w:t> </w:t>
            </w:r>
          </w:p>
        </w:tc>
        <w:tc>
          <w:tcPr>
            <w:tcW w:w="169" w:type="dxa"/>
            <w:tcBorders/>
            <w:shd w:fill="auto" w:val="clear"/>
            <w:vAlign w:val="center"/>
          </w:tcPr>
          <w:p>
            <w:pPr>
              <w:pStyle w:val="TableContents"/>
              <w:spacing w:before="0" w:after="0"/>
              <w:ind w:left="0" w:right="0" w:hanging="0"/>
              <w:jc w:val="left"/>
              <w:rPr/>
            </w:pPr>
            <w:r>
              <w:rPr/>
              <w:t> </w:t>
            </w:r>
          </w:p>
        </w:tc>
        <w:tc>
          <w:tcPr>
            <w:tcW w:w="488"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5</w:t>
            </w:r>
          </w:p>
        </w:tc>
        <w:tc>
          <w:tcPr>
            <w:tcW w:w="169" w:type="dxa"/>
            <w:tcBorders/>
            <w:shd w:fill="auto" w:val="clear"/>
            <w:vAlign w:val="center"/>
          </w:tcPr>
          <w:p>
            <w:pPr>
              <w:pStyle w:val="TableContents"/>
              <w:spacing w:before="0" w:after="0"/>
              <w:ind w:left="0" w:right="0" w:hanging="0"/>
              <w:jc w:val="left"/>
              <w:rPr/>
            </w:pPr>
            <w:r>
              <w:rPr/>
              <w:t> </w:t>
            </w:r>
          </w:p>
        </w:tc>
        <w:tc>
          <w:tcPr>
            <w:tcW w:w="169" w:type="dxa"/>
            <w:tcBorders/>
            <w:shd w:fill="auto" w:val="clear"/>
            <w:vAlign w:val="center"/>
          </w:tcPr>
          <w:p>
            <w:pPr>
              <w:pStyle w:val="TableContents"/>
              <w:spacing w:before="0" w:after="0"/>
              <w:ind w:left="0" w:right="0" w:hanging="0"/>
              <w:jc w:val="right"/>
              <w:rPr/>
            </w:pPr>
            <w:r>
              <w:rPr/>
              <w:t> </w:t>
            </w:r>
          </w:p>
        </w:tc>
        <w:tc>
          <w:tcPr>
            <w:tcW w:w="247" w:type="dxa"/>
            <w:tcBorders/>
            <w:shd w:fill="auto" w:val="clear"/>
            <w:vAlign w:val="center"/>
          </w:tcPr>
          <w:p>
            <w:pPr>
              <w:pStyle w:val="TableContents"/>
              <w:spacing w:before="0" w:after="0"/>
              <w:ind w:left="0" w:right="0" w:hanging="0"/>
              <w:jc w:val="left"/>
              <w:rPr/>
            </w:pPr>
            <w:r>
              <w:rPr/>
              <w:t> </w:t>
            </w:r>
          </w:p>
        </w:tc>
        <w:tc>
          <w:tcPr>
            <w:tcW w:w="713"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98</w:t>
            </w:r>
          </w:p>
        </w:tc>
        <w:tc>
          <w:tcPr>
            <w:tcW w:w="169" w:type="dxa"/>
            <w:tcBorders/>
            <w:shd w:fill="auto" w:val="clear"/>
            <w:vAlign w:val="center"/>
          </w:tcPr>
          <w:p>
            <w:pPr>
              <w:pStyle w:val="TableContents"/>
              <w:spacing w:before="0" w:after="0"/>
              <w:ind w:left="0" w:right="0" w:hanging="0"/>
              <w:jc w:val="left"/>
              <w:rPr/>
            </w:pPr>
            <w:r>
              <w:rPr/>
              <w:t> </w:t>
            </w:r>
          </w:p>
        </w:tc>
        <w:tc>
          <w:tcPr>
            <w:tcW w:w="169" w:type="dxa"/>
            <w:tcBorders/>
            <w:shd w:fill="auto" w:val="clear"/>
            <w:vAlign w:val="center"/>
          </w:tcPr>
          <w:p>
            <w:pPr>
              <w:pStyle w:val="TableContents"/>
              <w:spacing w:before="0" w:after="0"/>
              <w:ind w:left="0" w:right="0" w:hanging="0"/>
              <w:jc w:val="right"/>
              <w:rPr/>
            </w:pPr>
            <w:r>
              <w:rPr/>
              <w:t> </w:t>
            </w:r>
          </w:p>
        </w:tc>
        <w:tc>
          <w:tcPr>
            <w:tcW w:w="169" w:type="dxa"/>
            <w:tcBorders/>
            <w:shd w:fill="auto" w:val="clear"/>
            <w:vAlign w:val="center"/>
          </w:tcPr>
          <w:p>
            <w:pPr>
              <w:pStyle w:val="TableContents"/>
              <w:spacing w:before="0" w:after="0"/>
              <w:ind w:left="0" w:right="0" w:hanging="0"/>
              <w:jc w:val="left"/>
              <w:rPr/>
            </w:pPr>
            <w:r>
              <w:rPr/>
              <w:t> </w:t>
            </w:r>
          </w:p>
        </w:tc>
        <w:tc>
          <w:tcPr>
            <w:tcW w:w="663"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140</w:t>
            </w:r>
          </w:p>
        </w:tc>
        <w:tc>
          <w:tcPr>
            <w:tcW w:w="391" w:type="dxa"/>
            <w:tcBorders/>
            <w:shd w:fill="auto" w:val="clear"/>
            <w:vAlign w:val="center"/>
          </w:tcPr>
          <w:p>
            <w:pPr>
              <w:pStyle w:val="TableContents"/>
              <w:spacing w:before="0" w:after="0"/>
              <w:ind w:left="0" w:right="0" w:firstLine="200"/>
              <w:jc w:val="left"/>
              <w:rPr/>
            </w:pPr>
            <w:r>
              <w:rPr/>
              <w:t> </w:t>
            </w:r>
          </w:p>
        </w:tc>
      </w:tr>
      <w:tr>
        <w:trPr/>
        <w:tc>
          <w:tcPr>
            <w:tcW w:w="3466" w:type="dxa"/>
            <w:tcBorders/>
            <w:shd w:fill="auto" w:val="clear"/>
            <w:vAlign w:val="center"/>
          </w:tcPr>
          <w:p>
            <w:pPr>
              <w:pStyle w:val="TableContents"/>
              <w:spacing w:before="0" w:after="0"/>
              <w:ind w:left="200" w:right="0" w:hanging="0"/>
              <w:jc w:val="left"/>
              <w:rPr>
                <w:rFonts w:ascii="Times New Roman;serif" w:hAnsi="Times New Roman;serif"/>
                <w:b w:val="false"/>
                <w:sz w:val="20"/>
              </w:rPr>
            </w:pPr>
            <w:r>
              <w:rPr>
                <w:rFonts w:ascii="Times New Roman;serif" w:hAnsi="Times New Roman;serif"/>
                <w:b w:val="false"/>
                <w:sz w:val="20"/>
              </w:rPr>
              <w:t>Western Europe</w:t>
            </w:r>
          </w:p>
        </w:tc>
        <w:tc>
          <w:tcPr>
            <w:tcW w:w="146" w:type="dxa"/>
            <w:tcBorders/>
            <w:shd w:fill="auto" w:val="clear"/>
            <w:vAlign w:val="center"/>
          </w:tcPr>
          <w:p>
            <w:pPr>
              <w:pStyle w:val="TableContents"/>
              <w:spacing w:before="0" w:after="0"/>
              <w:ind w:left="0" w:right="0" w:hanging="0"/>
              <w:jc w:val="left"/>
              <w:rPr/>
            </w:pPr>
            <w:r>
              <w:rPr/>
              <w:t> </w:t>
            </w:r>
          </w:p>
        </w:tc>
        <w:tc>
          <w:tcPr>
            <w:tcW w:w="239" w:type="dxa"/>
            <w:tcBorders/>
            <w:shd w:fill="auto" w:val="clear"/>
            <w:vAlign w:val="center"/>
          </w:tcPr>
          <w:p>
            <w:pPr>
              <w:pStyle w:val="TableContents"/>
              <w:spacing w:before="0" w:after="0"/>
              <w:ind w:left="0" w:right="0" w:hanging="0"/>
              <w:jc w:val="left"/>
              <w:rPr/>
            </w:pPr>
            <w:r>
              <w:rPr/>
              <w:t> </w:t>
            </w:r>
          </w:p>
        </w:tc>
        <w:tc>
          <w:tcPr>
            <w:tcW w:w="692"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47</w:t>
            </w:r>
          </w:p>
        </w:tc>
        <w:tc>
          <w:tcPr>
            <w:tcW w:w="169" w:type="dxa"/>
            <w:tcBorders/>
            <w:shd w:fill="auto" w:val="clear"/>
            <w:vAlign w:val="center"/>
          </w:tcPr>
          <w:p>
            <w:pPr>
              <w:pStyle w:val="TableContents"/>
              <w:spacing w:before="0" w:after="0"/>
              <w:ind w:left="0" w:right="0" w:hanging="0"/>
              <w:jc w:val="left"/>
              <w:rPr/>
            </w:pPr>
            <w:r>
              <w:rPr/>
              <w:t> </w:t>
            </w:r>
          </w:p>
        </w:tc>
        <w:tc>
          <w:tcPr>
            <w:tcW w:w="169" w:type="dxa"/>
            <w:tcBorders/>
            <w:shd w:fill="auto" w:val="clear"/>
            <w:vAlign w:val="center"/>
          </w:tcPr>
          <w:p>
            <w:pPr>
              <w:pStyle w:val="TableContents"/>
              <w:spacing w:before="0" w:after="0"/>
              <w:ind w:left="0" w:right="0" w:hanging="0"/>
              <w:jc w:val="right"/>
              <w:rPr/>
            </w:pPr>
            <w:r>
              <w:rPr/>
              <w:t> </w:t>
            </w:r>
          </w:p>
        </w:tc>
        <w:tc>
          <w:tcPr>
            <w:tcW w:w="169" w:type="dxa"/>
            <w:tcBorders/>
            <w:shd w:fill="auto" w:val="clear"/>
            <w:vAlign w:val="center"/>
          </w:tcPr>
          <w:p>
            <w:pPr>
              <w:pStyle w:val="TableContents"/>
              <w:spacing w:before="0" w:after="0"/>
              <w:ind w:left="0" w:right="0" w:hanging="0"/>
              <w:jc w:val="left"/>
              <w:rPr/>
            </w:pPr>
            <w:r>
              <w:rPr/>
              <w:t> </w:t>
            </w:r>
          </w:p>
        </w:tc>
        <w:tc>
          <w:tcPr>
            <w:tcW w:w="488"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28</w:t>
            </w:r>
          </w:p>
        </w:tc>
        <w:tc>
          <w:tcPr>
            <w:tcW w:w="169" w:type="dxa"/>
            <w:tcBorders/>
            <w:shd w:fill="auto" w:val="clear"/>
            <w:vAlign w:val="center"/>
          </w:tcPr>
          <w:p>
            <w:pPr>
              <w:pStyle w:val="TableContents"/>
              <w:spacing w:before="0" w:after="0"/>
              <w:ind w:left="0" w:right="0" w:hanging="0"/>
              <w:jc w:val="left"/>
              <w:rPr/>
            </w:pPr>
            <w:r>
              <w:rPr/>
              <w:t> </w:t>
            </w:r>
          </w:p>
        </w:tc>
        <w:tc>
          <w:tcPr>
            <w:tcW w:w="169" w:type="dxa"/>
            <w:tcBorders/>
            <w:shd w:fill="auto" w:val="clear"/>
            <w:vAlign w:val="center"/>
          </w:tcPr>
          <w:p>
            <w:pPr>
              <w:pStyle w:val="TableContents"/>
              <w:spacing w:before="0" w:after="0"/>
              <w:ind w:left="0" w:right="0" w:hanging="0"/>
              <w:jc w:val="right"/>
              <w:rPr/>
            </w:pPr>
            <w:r>
              <w:rPr/>
              <w:t> </w:t>
            </w:r>
          </w:p>
        </w:tc>
        <w:tc>
          <w:tcPr>
            <w:tcW w:w="247" w:type="dxa"/>
            <w:tcBorders/>
            <w:shd w:fill="auto" w:val="clear"/>
            <w:vAlign w:val="center"/>
          </w:tcPr>
          <w:p>
            <w:pPr>
              <w:pStyle w:val="TableContents"/>
              <w:spacing w:before="0" w:after="0"/>
              <w:ind w:left="0" w:right="0" w:hanging="0"/>
              <w:jc w:val="left"/>
              <w:rPr/>
            </w:pPr>
            <w:r>
              <w:rPr/>
              <w:t> </w:t>
            </w:r>
          </w:p>
        </w:tc>
        <w:tc>
          <w:tcPr>
            <w:tcW w:w="713"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43</w:t>
            </w:r>
          </w:p>
        </w:tc>
        <w:tc>
          <w:tcPr>
            <w:tcW w:w="169" w:type="dxa"/>
            <w:tcBorders/>
            <w:shd w:fill="auto" w:val="clear"/>
            <w:vAlign w:val="center"/>
          </w:tcPr>
          <w:p>
            <w:pPr>
              <w:pStyle w:val="TableContents"/>
              <w:spacing w:before="0" w:after="0"/>
              <w:ind w:left="0" w:right="0" w:hanging="0"/>
              <w:jc w:val="left"/>
              <w:rPr/>
            </w:pPr>
            <w:r>
              <w:rPr/>
              <w:t> </w:t>
            </w:r>
          </w:p>
        </w:tc>
        <w:tc>
          <w:tcPr>
            <w:tcW w:w="169" w:type="dxa"/>
            <w:tcBorders/>
            <w:shd w:fill="auto" w:val="clear"/>
            <w:vAlign w:val="center"/>
          </w:tcPr>
          <w:p>
            <w:pPr>
              <w:pStyle w:val="TableContents"/>
              <w:spacing w:before="0" w:after="0"/>
              <w:ind w:left="0" w:right="0" w:hanging="0"/>
              <w:jc w:val="right"/>
              <w:rPr/>
            </w:pPr>
            <w:r>
              <w:rPr/>
              <w:t> </w:t>
            </w:r>
          </w:p>
        </w:tc>
        <w:tc>
          <w:tcPr>
            <w:tcW w:w="169" w:type="dxa"/>
            <w:tcBorders/>
            <w:shd w:fill="auto" w:val="clear"/>
            <w:vAlign w:val="center"/>
          </w:tcPr>
          <w:p>
            <w:pPr>
              <w:pStyle w:val="TableContents"/>
              <w:spacing w:before="0" w:after="0"/>
              <w:ind w:left="0" w:right="0" w:hanging="0"/>
              <w:jc w:val="left"/>
              <w:rPr/>
            </w:pPr>
            <w:r>
              <w:rPr/>
              <w:t> </w:t>
            </w:r>
          </w:p>
        </w:tc>
        <w:tc>
          <w:tcPr>
            <w:tcW w:w="663"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118</w:t>
            </w:r>
          </w:p>
        </w:tc>
        <w:tc>
          <w:tcPr>
            <w:tcW w:w="391" w:type="dxa"/>
            <w:tcBorders/>
            <w:shd w:fill="auto" w:val="clear"/>
            <w:vAlign w:val="center"/>
          </w:tcPr>
          <w:p>
            <w:pPr>
              <w:pStyle w:val="TableContents"/>
              <w:spacing w:before="0" w:after="0"/>
              <w:ind w:left="0" w:right="0" w:firstLine="200"/>
              <w:jc w:val="left"/>
              <w:rPr/>
            </w:pPr>
            <w:r>
              <w:rPr/>
              <w:t> </w:t>
            </w:r>
          </w:p>
        </w:tc>
      </w:tr>
      <w:tr>
        <w:trPr/>
        <w:tc>
          <w:tcPr>
            <w:tcW w:w="3466" w:type="dxa"/>
            <w:tcBorders/>
            <w:shd w:fill="auto" w:val="clear"/>
            <w:vAlign w:val="center"/>
          </w:tcPr>
          <w:p>
            <w:pPr>
              <w:pStyle w:val="TableContents"/>
              <w:spacing w:before="0" w:after="0"/>
              <w:ind w:left="200" w:right="0" w:hanging="0"/>
              <w:jc w:val="left"/>
              <w:rPr>
                <w:rFonts w:ascii="Times New Roman" w:hAnsi="Times New Roman"/>
                <w:sz w:val="20"/>
              </w:rPr>
            </w:pPr>
            <w:r>
              <w:rPr>
                <w:rFonts w:ascii="Times New Roman;serif" w:hAnsi="Times New Roman;serif"/>
                <w:b w:val="false"/>
                <w:sz w:val="20"/>
              </w:rPr>
              <w:t>Russia/the CIS &amp; Ukraine</w:t>
            </w:r>
            <w:r>
              <w:rPr>
                <w:rFonts w:ascii="Times New Roman;serif" w:hAnsi="Times New Roman;serif"/>
                <w:b w:val="false"/>
                <w:sz w:val="13"/>
              </w:rPr>
              <w:t>(1)</w:t>
            </w:r>
          </w:p>
        </w:tc>
        <w:tc>
          <w:tcPr>
            <w:tcW w:w="146" w:type="dxa"/>
            <w:tcBorders/>
            <w:shd w:fill="auto" w:val="clear"/>
            <w:vAlign w:val="center"/>
          </w:tcPr>
          <w:p>
            <w:pPr>
              <w:pStyle w:val="TableContents"/>
              <w:spacing w:before="0" w:after="0"/>
              <w:ind w:left="0" w:right="0" w:hanging="0"/>
              <w:jc w:val="left"/>
              <w:rPr/>
            </w:pPr>
            <w:r>
              <w:rPr/>
              <w:t> </w:t>
            </w:r>
          </w:p>
        </w:tc>
        <w:tc>
          <w:tcPr>
            <w:tcW w:w="239" w:type="dxa"/>
            <w:tcBorders/>
            <w:shd w:fill="auto" w:val="clear"/>
            <w:vAlign w:val="center"/>
          </w:tcPr>
          <w:p>
            <w:pPr>
              <w:pStyle w:val="TableContents"/>
              <w:spacing w:before="0" w:after="0"/>
              <w:ind w:left="0" w:right="0" w:hanging="0"/>
              <w:jc w:val="left"/>
              <w:rPr/>
            </w:pPr>
            <w:r>
              <w:rPr/>
              <w:t> </w:t>
            </w:r>
          </w:p>
        </w:tc>
        <w:tc>
          <w:tcPr>
            <w:tcW w:w="692" w:type="dxa"/>
            <w:tcBorders/>
            <w:shd w:fill="auto" w:val="clear"/>
            <w:vAlign w:val="center"/>
          </w:tcPr>
          <w:p>
            <w:pPr>
              <w:pStyle w:val="TableContents"/>
              <w:spacing w:before="0" w:after="0"/>
              <w:ind w:left="0" w:right="0" w:hanging="0"/>
              <w:jc w:val="right"/>
              <w:rPr/>
            </w:pPr>
            <w:r>
              <w:rPr/>
              <w:t>—</w:t>
            </w:r>
          </w:p>
        </w:tc>
        <w:tc>
          <w:tcPr>
            <w:tcW w:w="169" w:type="dxa"/>
            <w:tcBorders/>
            <w:shd w:fill="auto" w:val="clear"/>
            <w:vAlign w:val="center"/>
          </w:tcPr>
          <w:p>
            <w:pPr>
              <w:pStyle w:val="TableContents"/>
              <w:spacing w:before="0" w:after="0"/>
              <w:ind w:left="0" w:right="0" w:hanging="0"/>
              <w:jc w:val="left"/>
              <w:rPr/>
            </w:pPr>
            <w:r>
              <w:rPr/>
              <w:t> </w:t>
            </w:r>
          </w:p>
        </w:tc>
        <w:tc>
          <w:tcPr>
            <w:tcW w:w="169" w:type="dxa"/>
            <w:tcBorders/>
            <w:shd w:fill="auto" w:val="clear"/>
            <w:vAlign w:val="center"/>
          </w:tcPr>
          <w:p>
            <w:pPr>
              <w:pStyle w:val="TableContents"/>
              <w:spacing w:before="0" w:after="0"/>
              <w:ind w:left="0" w:right="0" w:hanging="0"/>
              <w:jc w:val="right"/>
              <w:rPr/>
            </w:pPr>
            <w:r>
              <w:rPr/>
              <w:t> </w:t>
            </w:r>
          </w:p>
        </w:tc>
        <w:tc>
          <w:tcPr>
            <w:tcW w:w="169" w:type="dxa"/>
            <w:tcBorders/>
            <w:shd w:fill="auto" w:val="clear"/>
            <w:vAlign w:val="center"/>
          </w:tcPr>
          <w:p>
            <w:pPr>
              <w:pStyle w:val="TableContents"/>
              <w:spacing w:before="0" w:after="0"/>
              <w:ind w:left="0" w:right="0" w:hanging="0"/>
              <w:jc w:val="left"/>
              <w:rPr/>
            </w:pPr>
            <w:r>
              <w:rPr/>
              <w:t> </w:t>
            </w:r>
          </w:p>
        </w:tc>
        <w:tc>
          <w:tcPr>
            <w:tcW w:w="488" w:type="dxa"/>
            <w:tcBorders/>
            <w:shd w:fill="auto" w:val="clear"/>
            <w:vAlign w:val="center"/>
          </w:tcPr>
          <w:p>
            <w:pPr>
              <w:pStyle w:val="TableContents"/>
              <w:spacing w:before="0" w:after="0"/>
              <w:ind w:left="0" w:right="0" w:hanging="0"/>
              <w:jc w:val="right"/>
              <w:rPr/>
            </w:pPr>
            <w:r>
              <w:rPr/>
              <w:t>—</w:t>
            </w:r>
          </w:p>
        </w:tc>
        <w:tc>
          <w:tcPr>
            <w:tcW w:w="169" w:type="dxa"/>
            <w:tcBorders/>
            <w:shd w:fill="auto" w:val="clear"/>
            <w:vAlign w:val="center"/>
          </w:tcPr>
          <w:p>
            <w:pPr>
              <w:pStyle w:val="TableContents"/>
              <w:spacing w:before="0" w:after="0"/>
              <w:ind w:left="0" w:right="0" w:hanging="0"/>
              <w:jc w:val="left"/>
              <w:rPr/>
            </w:pPr>
            <w:r>
              <w:rPr/>
              <w:t> </w:t>
            </w:r>
          </w:p>
        </w:tc>
        <w:tc>
          <w:tcPr>
            <w:tcW w:w="169" w:type="dxa"/>
            <w:tcBorders/>
            <w:shd w:fill="auto" w:val="clear"/>
            <w:vAlign w:val="center"/>
          </w:tcPr>
          <w:p>
            <w:pPr>
              <w:pStyle w:val="TableContents"/>
              <w:spacing w:before="0" w:after="0"/>
              <w:ind w:left="0" w:right="0" w:hanging="0"/>
              <w:jc w:val="right"/>
              <w:rPr/>
            </w:pPr>
            <w:r>
              <w:rPr/>
              <w:t> </w:t>
            </w:r>
          </w:p>
        </w:tc>
        <w:tc>
          <w:tcPr>
            <w:tcW w:w="247" w:type="dxa"/>
            <w:tcBorders/>
            <w:shd w:fill="auto" w:val="clear"/>
            <w:vAlign w:val="center"/>
          </w:tcPr>
          <w:p>
            <w:pPr>
              <w:pStyle w:val="TableContents"/>
              <w:spacing w:before="0" w:after="0"/>
              <w:ind w:left="0" w:right="0" w:hanging="0"/>
              <w:jc w:val="left"/>
              <w:rPr/>
            </w:pPr>
            <w:r>
              <w:rPr/>
              <w:t> </w:t>
            </w:r>
          </w:p>
        </w:tc>
        <w:tc>
          <w:tcPr>
            <w:tcW w:w="713"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69</w:t>
            </w:r>
          </w:p>
        </w:tc>
        <w:tc>
          <w:tcPr>
            <w:tcW w:w="169" w:type="dxa"/>
            <w:tcBorders/>
            <w:shd w:fill="auto" w:val="clear"/>
            <w:vAlign w:val="center"/>
          </w:tcPr>
          <w:p>
            <w:pPr>
              <w:pStyle w:val="TableContents"/>
              <w:spacing w:before="0" w:after="0"/>
              <w:ind w:left="0" w:right="0" w:hanging="0"/>
              <w:jc w:val="left"/>
              <w:rPr/>
            </w:pPr>
            <w:r>
              <w:rPr/>
              <w:t> </w:t>
            </w:r>
          </w:p>
        </w:tc>
        <w:tc>
          <w:tcPr>
            <w:tcW w:w="169" w:type="dxa"/>
            <w:tcBorders/>
            <w:shd w:fill="auto" w:val="clear"/>
            <w:vAlign w:val="center"/>
          </w:tcPr>
          <w:p>
            <w:pPr>
              <w:pStyle w:val="TableContents"/>
              <w:spacing w:before="0" w:after="0"/>
              <w:ind w:left="0" w:right="0" w:hanging="0"/>
              <w:jc w:val="right"/>
              <w:rPr/>
            </w:pPr>
            <w:r>
              <w:rPr/>
              <w:t> </w:t>
            </w:r>
          </w:p>
        </w:tc>
        <w:tc>
          <w:tcPr>
            <w:tcW w:w="169" w:type="dxa"/>
            <w:tcBorders/>
            <w:shd w:fill="auto" w:val="clear"/>
            <w:vAlign w:val="center"/>
          </w:tcPr>
          <w:p>
            <w:pPr>
              <w:pStyle w:val="TableContents"/>
              <w:spacing w:before="0" w:after="0"/>
              <w:ind w:left="0" w:right="0" w:hanging="0"/>
              <w:jc w:val="left"/>
              <w:rPr/>
            </w:pPr>
            <w:r>
              <w:rPr/>
              <w:t> </w:t>
            </w:r>
          </w:p>
        </w:tc>
        <w:tc>
          <w:tcPr>
            <w:tcW w:w="663"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69</w:t>
            </w:r>
          </w:p>
        </w:tc>
        <w:tc>
          <w:tcPr>
            <w:tcW w:w="391" w:type="dxa"/>
            <w:tcBorders/>
            <w:shd w:fill="auto" w:val="clear"/>
            <w:vAlign w:val="center"/>
          </w:tcPr>
          <w:p>
            <w:pPr>
              <w:pStyle w:val="TableContents"/>
              <w:spacing w:before="0" w:after="0"/>
              <w:ind w:left="0" w:right="0" w:firstLine="200"/>
              <w:jc w:val="left"/>
              <w:rPr/>
            </w:pPr>
            <w:r>
              <w:rPr/>
              <w:t> </w:t>
            </w:r>
          </w:p>
        </w:tc>
      </w:tr>
      <w:tr>
        <w:trPr/>
        <w:tc>
          <w:tcPr>
            <w:tcW w:w="3466" w:type="dxa"/>
            <w:tcBorders/>
            <w:shd w:fill="auto" w:val="clear"/>
            <w:vAlign w:val="center"/>
          </w:tcPr>
          <w:p>
            <w:pPr>
              <w:pStyle w:val="TableContents"/>
              <w:spacing w:before="0" w:after="0"/>
              <w:ind w:left="200" w:right="0" w:hanging="0"/>
              <w:jc w:val="left"/>
              <w:rPr>
                <w:rFonts w:ascii="Times New Roman;serif" w:hAnsi="Times New Roman;serif"/>
                <w:b w:val="false"/>
                <w:sz w:val="20"/>
              </w:rPr>
            </w:pPr>
            <w:r>
              <w:rPr>
                <w:rFonts w:ascii="Times New Roman;serif" w:hAnsi="Times New Roman;serif"/>
                <w:b w:val="false"/>
                <w:sz w:val="20"/>
              </w:rPr>
              <w:t>Latin America</w:t>
            </w:r>
          </w:p>
        </w:tc>
        <w:tc>
          <w:tcPr>
            <w:tcW w:w="146" w:type="dxa"/>
            <w:tcBorders/>
            <w:shd w:fill="auto" w:val="clear"/>
            <w:vAlign w:val="center"/>
          </w:tcPr>
          <w:p>
            <w:pPr>
              <w:pStyle w:val="TableContents"/>
              <w:spacing w:before="0" w:after="0"/>
              <w:ind w:left="0" w:right="0" w:hanging="0"/>
              <w:jc w:val="left"/>
              <w:rPr/>
            </w:pPr>
            <w:r>
              <w:rPr/>
              <w:t> </w:t>
            </w:r>
          </w:p>
        </w:tc>
        <w:tc>
          <w:tcPr>
            <w:tcW w:w="239" w:type="dxa"/>
            <w:tcBorders/>
            <w:shd w:fill="auto" w:val="clear"/>
            <w:vAlign w:val="center"/>
          </w:tcPr>
          <w:p>
            <w:pPr>
              <w:pStyle w:val="TableContents"/>
              <w:spacing w:before="0" w:after="0"/>
              <w:ind w:left="0" w:right="0" w:hanging="0"/>
              <w:jc w:val="left"/>
              <w:rPr/>
            </w:pPr>
            <w:r>
              <w:rPr/>
              <w:t> </w:t>
            </w:r>
          </w:p>
        </w:tc>
        <w:tc>
          <w:tcPr>
            <w:tcW w:w="692"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w:t>
            </w:r>
          </w:p>
        </w:tc>
        <w:tc>
          <w:tcPr>
            <w:tcW w:w="169" w:type="dxa"/>
            <w:tcBorders/>
            <w:shd w:fill="auto" w:val="clear"/>
            <w:vAlign w:val="center"/>
          </w:tcPr>
          <w:p>
            <w:pPr>
              <w:pStyle w:val="TableContents"/>
              <w:spacing w:before="0" w:after="0"/>
              <w:ind w:left="0" w:right="0" w:hanging="0"/>
              <w:jc w:val="left"/>
              <w:rPr/>
            </w:pPr>
            <w:r>
              <w:rPr/>
              <w:t> </w:t>
            </w:r>
          </w:p>
        </w:tc>
        <w:tc>
          <w:tcPr>
            <w:tcW w:w="169" w:type="dxa"/>
            <w:tcBorders/>
            <w:shd w:fill="auto" w:val="clear"/>
            <w:vAlign w:val="center"/>
          </w:tcPr>
          <w:p>
            <w:pPr>
              <w:pStyle w:val="TableContents"/>
              <w:spacing w:before="0" w:after="0"/>
              <w:ind w:left="0" w:right="0" w:hanging="0"/>
              <w:jc w:val="right"/>
              <w:rPr/>
            </w:pPr>
            <w:r>
              <w:rPr/>
              <w:t> </w:t>
            </w:r>
          </w:p>
        </w:tc>
        <w:tc>
          <w:tcPr>
            <w:tcW w:w="169" w:type="dxa"/>
            <w:tcBorders/>
            <w:shd w:fill="auto" w:val="clear"/>
            <w:vAlign w:val="center"/>
          </w:tcPr>
          <w:p>
            <w:pPr>
              <w:pStyle w:val="TableContents"/>
              <w:spacing w:before="0" w:after="0"/>
              <w:ind w:left="0" w:right="0" w:hanging="0"/>
              <w:jc w:val="left"/>
              <w:rPr/>
            </w:pPr>
            <w:r>
              <w:rPr/>
              <w:t> </w:t>
            </w:r>
          </w:p>
        </w:tc>
        <w:tc>
          <w:tcPr>
            <w:tcW w:w="488" w:type="dxa"/>
            <w:tcBorders/>
            <w:shd w:fill="auto" w:val="clear"/>
            <w:vAlign w:val="center"/>
          </w:tcPr>
          <w:p>
            <w:pPr>
              <w:pStyle w:val="TableContents"/>
              <w:spacing w:before="0" w:after="0"/>
              <w:ind w:left="0" w:right="0" w:hanging="0"/>
              <w:jc w:val="right"/>
              <w:rPr/>
            </w:pPr>
            <w:r>
              <w:rPr/>
              <w:t>—</w:t>
            </w:r>
          </w:p>
        </w:tc>
        <w:tc>
          <w:tcPr>
            <w:tcW w:w="169" w:type="dxa"/>
            <w:tcBorders/>
            <w:shd w:fill="auto" w:val="clear"/>
            <w:vAlign w:val="center"/>
          </w:tcPr>
          <w:p>
            <w:pPr>
              <w:pStyle w:val="TableContents"/>
              <w:spacing w:before="0" w:after="0"/>
              <w:ind w:left="0" w:right="0" w:hanging="0"/>
              <w:jc w:val="left"/>
              <w:rPr/>
            </w:pPr>
            <w:r>
              <w:rPr/>
              <w:t> </w:t>
            </w:r>
          </w:p>
        </w:tc>
        <w:tc>
          <w:tcPr>
            <w:tcW w:w="169" w:type="dxa"/>
            <w:tcBorders/>
            <w:shd w:fill="auto" w:val="clear"/>
            <w:vAlign w:val="center"/>
          </w:tcPr>
          <w:p>
            <w:pPr>
              <w:pStyle w:val="TableContents"/>
              <w:spacing w:before="0" w:after="0"/>
              <w:ind w:left="0" w:right="0" w:hanging="0"/>
              <w:jc w:val="right"/>
              <w:rPr/>
            </w:pPr>
            <w:r>
              <w:rPr/>
              <w:t> </w:t>
            </w:r>
          </w:p>
        </w:tc>
        <w:tc>
          <w:tcPr>
            <w:tcW w:w="247" w:type="dxa"/>
            <w:tcBorders/>
            <w:shd w:fill="auto" w:val="clear"/>
            <w:vAlign w:val="center"/>
          </w:tcPr>
          <w:p>
            <w:pPr>
              <w:pStyle w:val="TableContents"/>
              <w:spacing w:before="0" w:after="0"/>
              <w:ind w:left="0" w:right="0" w:hanging="0"/>
              <w:jc w:val="left"/>
              <w:rPr/>
            </w:pPr>
            <w:r>
              <w:rPr/>
              <w:t> </w:t>
            </w:r>
          </w:p>
        </w:tc>
        <w:tc>
          <w:tcPr>
            <w:tcW w:w="713"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52</w:t>
            </w:r>
          </w:p>
        </w:tc>
        <w:tc>
          <w:tcPr>
            <w:tcW w:w="169" w:type="dxa"/>
            <w:tcBorders/>
            <w:shd w:fill="auto" w:val="clear"/>
            <w:vAlign w:val="center"/>
          </w:tcPr>
          <w:p>
            <w:pPr>
              <w:pStyle w:val="TableContents"/>
              <w:spacing w:before="0" w:after="0"/>
              <w:ind w:left="0" w:right="0" w:hanging="0"/>
              <w:jc w:val="left"/>
              <w:rPr/>
            </w:pPr>
            <w:r>
              <w:rPr/>
              <w:t> </w:t>
            </w:r>
          </w:p>
        </w:tc>
        <w:tc>
          <w:tcPr>
            <w:tcW w:w="169" w:type="dxa"/>
            <w:tcBorders/>
            <w:shd w:fill="auto" w:val="clear"/>
            <w:vAlign w:val="center"/>
          </w:tcPr>
          <w:p>
            <w:pPr>
              <w:pStyle w:val="TableContents"/>
              <w:spacing w:before="0" w:after="0"/>
              <w:ind w:left="0" w:right="0" w:hanging="0"/>
              <w:jc w:val="right"/>
              <w:rPr/>
            </w:pPr>
            <w:r>
              <w:rPr/>
              <w:t> </w:t>
            </w:r>
          </w:p>
        </w:tc>
        <w:tc>
          <w:tcPr>
            <w:tcW w:w="169" w:type="dxa"/>
            <w:tcBorders/>
            <w:shd w:fill="auto" w:val="clear"/>
            <w:vAlign w:val="center"/>
          </w:tcPr>
          <w:p>
            <w:pPr>
              <w:pStyle w:val="TableContents"/>
              <w:spacing w:before="0" w:after="0"/>
              <w:ind w:left="0" w:right="0" w:hanging="0"/>
              <w:jc w:val="left"/>
              <w:rPr/>
            </w:pPr>
            <w:r>
              <w:rPr/>
              <w:t> </w:t>
            </w:r>
          </w:p>
        </w:tc>
        <w:tc>
          <w:tcPr>
            <w:tcW w:w="663"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54</w:t>
            </w:r>
          </w:p>
        </w:tc>
        <w:tc>
          <w:tcPr>
            <w:tcW w:w="391" w:type="dxa"/>
            <w:tcBorders/>
            <w:shd w:fill="auto" w:val="clear"/>
            <w:vAlign w:val="center"/>
          </w:tcPr>
          <w:p>
            <w:pPr>
              <w:pStyle w:val="TableContents"/>
              <w:spacing w:before="0" w:after="0"/>
              <w:ind w:left="0" w:right="0" w:firstLine="200"/>
              <w:jc w:val="left"/>
              <w:rPr/>
            </w:pPr>
            <w:r>
              <w:rPr/>
              <w:t> </w:t>
            </w:r>
          </w:p>
        </w:tc>
      </w:tr>
      <w:tr>
        <w:trPr/>
        <w:tc>
          <w:tcPr>
            <w:tcW w:w="3466" w:type="dxa"/>
            <w:tcBorders/>
            <w:shd w:fill="auto" w:val="clear"/>
            <w:vAlign w:val="center"/>
          </w:tcPr>
          <w:p>
            <w:pPr>
              <w:pStyle w:val="TableContents"/>
              <w:spacing w:before="0" w:after="0"/>
              <w:ind w:left="200" w:right="0" w:hanging="0"/>
              <w:jc w:val="left"/>
              <w:rPr>
                <w:rFonts w:ascii="Times New Roman;serif" w:hAnsi="Times New Roman;serif"/>
                <w:b w:val="false"/>
                <w:sz w:val="20"/>
              </w:rPr>
            </w:pPr>
            <w:r>
              <w:rPr>
                <w:rFonts w:ascii="Times New Roman;serif" w:hAnsi="Times New Roman;serif"/>
                <w:b w:val="false"/>
                <w:sz w:val="20"/>
              </w:rPr>
              <w:t>Rest of the World</w:t>
            </w:r>
          </w:p>
        </w:tc>
        <w:tc>
          <w:tcPr>
            <w:tcW w:w="146" w:type="dxa"/>
            <w:tcBorders/>
            <w:shd w:fill="auto" w:val="clear"/>
            <w:vAlign w:val="center"/>
          </w:tcPr>
          <w:p>
            <w:pPr>
              <w:pStyle w:val="TableContents"/>
              <w:spacing w:before="0" w:after="0"/>
              <w:ind w:left="0" w:right="0" w:hanging="0"/>
              <w:jc w:val="left"/>
              <w:rPr/>
            </w:pPr>
            <w:r>
              <w:rPr/>
              <w:t> </w:t>
            </w:r>
          </w:p>
        </w:tc>
        <w:tc>
          <w:tcPr>
            <w:tcW w:w="239"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692"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17</w:t>
            </w:r>
          </w:p>
        </w:tc>
        <w:tc>
          <w:tcPr>
            <w:tcW w:w="169"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69"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pPr>
            <w:r>
              <w:rPr/>
              <w:t> </w:t>
            </w:r>
          </w:p>
        </w:tc>
        <w:tc>
          <w:tcPr>
            <w:tcW w:w="169"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488"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pPr>
            <w:r>
              <w:rPr/>
              <w:t>—</w:t>
            </w:r>
          </w:p>
        </w:tc>
        <w:tc>
          <w:tcPr>
            <w:tcW w:w="169"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69"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pPr>
            <w:r>
              <w:rPr/>
              <w:t> </w:t>
            </w:r>
          </w:p>
        </w:tc>
        <w:tc>
          <w:tcPr>
            <w:tcW w:w="247"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713"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55</w:t>
            </w:r>
          </w:p>
        </w:tc>
        <w:tc>
          <w:tcPr>
            <w:tcW w:w="169"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69"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pPr>
            <w:r>
              <w:rPr/>
              <w:t> </w:t>
            </w:r>
          </w:p>
        </w:tc>
        <w:tc>
          <w:tcPr>
            <w:tcW w:w="169"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663"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72</w:t>
            </w:r>
          </w:p>
        </w:tc>
        <w:tc>
          <w:tcPr>
            <w:tcW w:w="3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r>
        <w:trPr/>
        <w:tc>
          <w:tcPr>
            <w:tcW w:w="346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International Total</w:t>
            </w:r>
          </w:p>
        </w:tc>
        <w:tc>
          <w:tcPr>
            <w:tcW w:w="146" w:type="dxa"/>
            <w:tcBorders/>
            <w:shd w:fill="auto" w:val="clear"/>
            <w:vAlign w:val="center"/>
          </w:tcPr>
          <w:p>
            <w:pPr>
              <w:pStyle w:val="TableContents"/>
              <w:spacing w:before="0" w:after="0"/>
              <w:ind w:left="0" w:right="0" w:hanging="0"/>
              <w:jc w:val="left"/>
              <w:rPr/>
            </w:pPr>
            <w:r>
              <w:rPr/>
              <w:t> </w:t>
            </w:r>
          </w:p>
        </w:tc>
        <w:tc>
          <w:tcPr>
            <w:tcW w:w="239" w:type="dxa"/>
            <w:tcBorders/>
            <w:shd w:fill="auto" w:val="clear"/>
            <w:vAlign w:val="center"/>
          </w:tcPr>
          <w:p>
            <w:pPr>
              <w:pStyle w:val="TableContents"/>
              <w:spacing w:before="0" w:after="0"/>
              <w:ind w:left="0" w:right="0" w:hanging="0"/>
              <w:jc w:val="left"/>
              <w:rPr/>
            </w:pPr>
            <w:r>
              <w:rPr/>
              <w:t> </w:t>
            </w:r>
          </w:p>
        </w:tc>
        <w:tc>
          <w:tcPr>
            <w:tcW w:w="692"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504</w:t>
            </w:r>
          </w:p>
        </w:tc>
        <w:tc>
          <w:tcPr>
            <w:tcW w:w="169" w:type="dxa"/>
            <w:tcBorders/>
            <w:shd w:fill="auto" w:val="clear"/>
            <w:vAlign w:val="center"/>
          </w:tcPr>
          <w:p>
            <w:pPr>
              <w:pStyle w:val="TableContents"/>
              <w:spacing w:before="0" w:after="0"/>
              <w:ind w:left="0" w:right="0" w:hanging="0"/>
              <w:jc w:val="left"/>
              <w:rPr/>
            </w:pPr>
            <w:r>
              <w:rPr/>
              <w:t> </w:t>
            </w:r>
          </w:p>
        </w:tc>
        <w:tc>
          <w:tcPr>
            <w:tcW w:w="169" w:type="dxa"/>
            <w:tcBorders/>
            <w:shd w:fill="auto" w:val="clear"/>
            <w:vAlign w:val="center"/>
          </w:tcPr>
          <w:p>
            <w:pPr>
              <w:pStyle w:val="TableContents"/>
              <w:spacing w:before="0" w:after="0"/>
              <w:ind w:left="0" w:right="0" w:hanging="0"/>
              <w:jc w:val="right"/>
              <w:rPr/>
            </w:pPr>
            <w:r>
              <w:rPr/>
              <w:t> </w:t>
            </w:r>
          </w:p>
        </w:tc>
        <w:tc>
          <w:tcPr>
            <w:tcW w:w="169" w:type="dxa"/>
            <w:tcBorders/>
            <w:shd w:fill="auto" w:val="clear"/>
            <w:vAlign w:val="center"/>
          </w:tcPr>
          <w:p>
            <w:pPr>
              <w:pStyle w:val="TableContents"/>
              <w:spacing w:before="0" w:after="0"/>
              <w:ind w:left="0" w:right="0" w:hanging="0"/>
              <w:jc w:val="left"/>
              <w:rPr/>
            </w:pPr>
            <w:r>
              <w:rPr/>
              <w:t> </w:t>
            </w:r>
          </w:p>
        </w:tc>
        <w:tc>
          <w:tcPr>
            <w:tcW w:w="488"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143</w:t>
            </w:r>
          </w:p>
        </w:tc>
        <w:tc>
          <w:tcPr>
            <w:tcW w:w="169" w:type="dxa"/>
            <w:tcBorders/>
            <w:shd w:fill="auto" w:val="clear"/>
            <w:vAlign w:val="center"/>
          </w:tcPr>
          <w:p>
            <w:pPr>
              <w:pStyle w:val="TableContents"/>
              <w:spacing w:before="0" w:after="0"/>
              <w:ind w:left="0" w:right="0" w:hanging="0"/>
              <w:jc w:val="left"/>
              <w:rPr/>
            </w:pPr>
            <w:r>
              <w:rPr/>
              <w:t> </w:t>
            </w:r>
          </w:p>
        </w:tc>
        <w:tc>
          <w:tcPr>
            <w:tcW w:w="169" w:type="dxa"/>
            <w:tcBorders/>
            <w:shd w:fill="auto" w:val="clear"/>
            <w:vAlign w:val="center"/>
          </w:tcPr>
          <w:p>
            <w:pPr>
              <w:pStyle w:val="TableContents"/>
              <w:spacing w:before="0" w:after="0"/>
              <w:ind w:left="0" w:right="0" w:hanging="0"/>
              <w:jc w:val="right"/>
              <w:rPr/>
            </w:pPr>
            <w:r>
              <w:rPr/>
              <w:t> </w:t>
            </w:r>
          </w:p>
        </w:tc>
        <w:tc>
          <w:tcPr>
            <w:tcW w:w="247" w:type="dxa"/>
            <w:tcBorders/>
            <w:shd w:fill="auto" w:val="clear"/>
            <w:vAlign w:val="center"/>
          </w:tcPr>
          <w:p>
            <w:pPr>
              <w:pStyle w:val="TableContents"/>
              <w:spacing w:before="0" w:after="0"/>
              <w:ind w:left="0" w:right="0" w:hanging="0"/>
              <w:jc w:val="left"/>
              <w:rPr/>
            </w:pPr>
            <w:r>
              <w:rPr/>
              <w:t> </w:t>
            </w:r>
          </w:p>
        </w:tc>
        <w:tc>
          <w:tcPr>
            <w:tcW w:w="713"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583</w:t>
            </w:r>
          </w:p>
        </w:tc>
        <w:tc>
          <w:tcPr>
            <w:tcW w:w="169" w:type="dxa"/>
            <w:tcBorders/>
            <w:shd w:fill="auto" w:val="clear"/>
            <w:vAlign w:val="center"/>
          </w:tcPr>
          <w:p>
            <w:pPr>
              <w:pStyle w:val="TableContents"/>
              <w:spacing w:before="0" w:after="0"/>
              <w:ind w:left="0" w:right="0" w:hanging="0"/>
              <w:jc w:val="left"/>
              <w:rPr/>
            </w:pPr>
            <w:r>
              <w:rPr/>
              <w:t> </w:t>
            </w:r>
          </w:p>
        </w:tc>
        <w:tc>
          <w:tcPr>
            <w:tcW w:w="169" w:type="dxa"/>
            <w:tcBorders/>
            <w:shd w:fill="auto" w:val="clear"/>
            <w:vAlign w:val="center"/>
          </w:tcPr>
          <w:p>
            <w:pPr>
              <w:pStyle w:val="TableContents"/>
              <w:spacing w:before="0" w:after="0"/>
              <w:ind w:left="0" w:right="0" w:hanging="0"/>
              <w:jc w:val="right"/>
              <w:rPr/>
            </w:pPr>
            <w:r>
              <w:rPr/>
              <w:t> </w:t>
            </w:r>
          </w:p>
        </w:tc>
        <w:tc>
          <w:tcPr>
            <w:tcW w:w="169" w:type="dxa"/>
            <w:tcBorders/>
            <w:shd w:fill="auto" w:val="clear"/>
            <w:vAlign w:val="center"/>
          </w:tcPr>
          <w:p>
            <w:pPr>
              <w:pStyle w:val="TableContents"/>
              <w:spacing w:before="0" w:after="0"/>
              <w:ind w:left="0" w:right="0" w:hanging="0"/>
              <w:jc w:val="left"/>
              <w:rPr/>
            </w:pPr>
            <w:r>
              <w:rPr/>
              <w:t> </w:t>
            </w:r>
          </w:p>
        </w:tc>
        <w:tc>
          <w:tcPr>
            <w:tcW w:w="663"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1,230</w:t>
            </w:r>
          </w:p>
        </w:tc>
        <w:tc>
          <w:tcPr>
            <w:tcW w:w="391" w:type="dxa"/>
            <w:tcBorders/>
            <w:shd w:fill="auto" w:val="clear"/>
            <w:vAlign w:val="center"/>
          </w:tcPr>
          <w:p>
            <w:pPr>
              <w:pStyle w:val="TableContents"/>
              <w:spacing w:before="0" w:after="0"/>
              <w:ind w:left="0" w:right="0" w:hanging="0"/>
              <w:jc w:val="left"/>
              <w:rPr/>
            </w:pPr>
            <w:r>
              <w:rPr/>
              <w:t> </w:t>
            </w:r>
          </w:p>
        </w:tc>
      </w:tr>
      <w:tr>
        <w:trPr/>
        <w:tc>
          <w:tcPr>
            <w:tcW w:w="3466" w:type="dxa"/>
            <w:tcBorders/>
            <w:shd w:fill="auto" w:val="clear"/>
            <w:vAlign w:val="center"/>
          </w:tcPr>
          <w:p>
            <w:pPr>
              <w:pStyle w:val="TableContents"/>
              <w:spacing w:before="0" w:after="0"/>
              <w:ind w:left="0" w:right="0" w:hanging="0"/>
              <w:jc w:val="left"/>
              <w:rPr>
                <w:rFonts w:ascii="Times New Roman" w:hAnsi="Times New Roman"/>
                <w:sz w:val="20"/>
              </w:rPr>
            </w:pPr>
            <w:r>
              <w:rPr>
                <w:rFonts w:ascii="Times New Roman;serif" w:hAnsi="Times New Roman;serif"/>
                <w:b w:val="false"/>
                <w:sz w:val="20"/>
              </w:rPr>
              <w:t>Worldwide Total</w:t>
            </w:r>
            <w:r>
              <w:rPr>
                <w:rFonts w:ascii="Times New Roman;serif" w:hAnsi="Times New Roman;serif"/>
                <w:b w:val="false"/>
                <w:sz w:val="13"/>
              </w:rPr>
              <w:t>(2)</w:t>
            </w:r>
          </w:p>
        </w:tc>
        <w:tc>
          <w:tcPr>
            <w:tcW w:w="146" w:type="dxa"/>
            <w:tcBorders/>
            <w:shd w:fill="auto" w:val="clear"/>
            <w:vAlign w:val="center"/>
          </w:tcPr>
          <w:p>
            <w:pPr>
              <w:pStyle w:val="TableContents"/>
              <w:spacing w:before="0" w:after="0"/>
              <w:ind w:left="0" w:right="0" w:hanging="0"/>
              <w:jc w:val="left"/>
              <w:rPr/>
            </w:pPr>
            <w:r>
              <w:rPr/>
              <w:t> </w:t>
            </w:r>
          </w:p>
        </w:tc>
        <w:tc>
          <w:tcPr>
            <w:tcW w:w="239" w:type="dxa"/>
            <w:tcBorders>
              <w:top w:val="single" w:sz="4" w:space="0" w:color="000000"/>
              <w:bottom w:val="double" w:sz="6" w:space="0" w:color="000000"/>
            </w:tcBorders>
            <w:shd w:fill="auto" w:val="clear"/>
            <w:tcMar>
              <w:left w:w="0" w:type="dxa"/>
              <w:right w:w="0" w:type="dxa"/>
            </w:tcMar>
            <w:vAlign w:val="center"/>
          </w:tcPr>
          <w:p>
            <w:pPr>
              <w:pStyle w:val="TableContents"/>
              <w:spacing w:before="0" w:after="0"/>
              <w:ind w:left="0" w:right="0" w:hanging="0"/>
              <w:jc w:val="left"/>
              <w:rPr/>
            </w:pPr>
            <w:r>
              <w:rPr/>
              <w:t> </w:t>
            </w:r>
          </w:p>
        </w:tc>
        <w:tc>
          <w:tcPr>
            <w:tcW w:w="692" w:type="dxa"/>
            <w:tcBorders>
              <w:top w:val="single" w:sz="4" w:space="0" w:color="000000"/>
              <w:bottom w:val="double" w:sz="6" w:space="0" w:color="000000"/>
            </w:tcBorders>
            <w:shd w:fill="auto" w:val="clear"/>
            <w:tcMar>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778</w:t>
            </w:r>
          </w:p>
        </w:tc>
        <w:tc>
          <w:tcPr>
            <w:tcW w:w="169" w:type="dxa"/>
            <w:tcBorders>
              <w:top w:val="single" w:sz="4" w:space="0" w:color="000000"/>
              <w:bottom w:val="double" w:sz="6" w:space="0" w:color="000000"/>
            </w:tcBorders>
            <w:shd w:fill="auto" w:val="clear"/>
            <w:tcMar>
              <w:left w:w="0" w:type="dxa"/>
              <w:right w:w="0" w:type="dxa"/>
            </w:tcMar>
            <w:vAlign w:val="center"/>
          </w:tcPr>
          <w:p>
            <w:pPr>
              <w:pStyle w:val="TableContents"/>
              <w:spacing w:before="0" w:after="0"/>
              <w:ind w:left="0" w:right="0" w:hanging="0"/>
              <w:jc w:val="left"/>
              <w:rPr/>
            </w:pPr>
            <w:r>
              <w:rPr/>
              <w:t> </w:t>
            </w:r>
          </w:p>
        </w:tc>
        <w:tc>
          <w:tcPr>
            <w:tcW w:w="169" w:type="dxa"/>
            <w:tcBorders>
              <w:top w:val="single" w:sz="4" w:space="0" w:color="000000"/>
              <w:bottom w:val="double" w:sz="6" w:space="0" w:color="000000"/>
            </w:tcBorders>
            <w:shd w:fill="auto" w:val="clear"/>
            <w:tcMar>
              <w:left w:w="0" w:type="dxa"/>
              <w:right w:w="0" w:type="dxa"/>
            </w:tcMar>
            <w:vAlign w:val="center"/>
          </w:tcPr>
          <w:p>
            <w:pPr>
              <w:pStyle w:val="TableContents"/>
              <w:spacing w:before="0" w:after="0"/>
              <w:ind w:left="0" w:right="0" w:hanging="0"/>
              <w:jc w:val="right"/>
              <w:rPr/>
            </w:pPr>
            <w:r>
              <w:rPr/>
              <w:t> </w:t>
            </w:r>
          </w:p>
        </w:tc>
        <w:tc>
          <w:tcPr>
            <w:tcW w:w="169" w:type="dxa"/>
            <w:tcBorders>
              <w:top w:val="single" w:sz="4" w:space="0" w:color="000000"/>
              <w:bottom w:val="double" w:sz="6" w:space="0" w:color="000000"/>
            </w:tcBorders>
            <w:shd w:fill="auto" w:val="clear"/>
            <w:tcMar>
              <w:left w:w="0" w:type="dxa"/>
              <w:right w:w="0" w:type="dxa"/>
            </w:tcMar>
            <w:vAlign w:val="center"/>
          </w:tcPr>
          <w:p>
            <w:pPr>
              <w:pStyle w:val="TableContents"/>
              <w:spacing w:before="0" w:after="0"/>
              <w:ind w:left="0" w:right="0" w:hanging="0"/>
              <w:jc w:val="left"/>
              <w:rPr/>
            </w:pPr>
            <w:r>
              <w:rPr/>
              <w:t> </w:t>
            </w:r>
          </w:p>
        </w:tc>
        <w:tc>
          <w:tcPr>
            <w:tcW w:w="488" w:type="dxa"/>
            <w:tcBorders>
              <w:top w:val="single" w:sz="4" w:space="0" w:color="000000"/>
              <w:bottom w:val="double" w:sz="6" w:space="0" w:color="000000"/>
            </w:tcBorders>
            <w:shd w:fill="auto" w:val="clear"/>
            <w:tcMar>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149</w:t>
            </w:r>
          </w:p>
        </w:tc>
        <w:tc>
          <w:tcPr>
            <w:tcW w:w="169" w:type="dxa"/>
            <w:tcBorders>
              <w:top w:val="single" w:sz="4" w:space="0" w:color="000000"/>
              <w:bottom w:val="double" w:sz="6" w:space="0" w:color="000000"/>
            </w:tcBorders>
            <w:shd w:fill="auto" w:val="clear"/>
            <w:tcMar>
              <w:left w:w="0" w:type="dxa"/>
              <w:right w:w="0" w:type="dxa"/>
            </w:tcMar>
            <w:vAlign w:val="center"/>
          </w:tcPr>
          <w:p>
            <w:pPr>
              <w:pStyle w:val="TableContents"/>
              <w:spacing w:before="0" w:after="0"/>
              <w:ind w:left="0" w:right="0" w:hanging="0"/>
              <w:jc w:val="left"/>
              <w:rPr/>
            </w:pPr>
            <w:r>
              <w:rPr/>
              <w:t> </w:t>
            </w:r>
          </w:p>
        </w:tc>
        <w:tc>
          <w:tcPr>
            <w:tcW w:w="169" w:type="dxa"/>
            <w:tcBorders>
              <w:top w:val="single" w:sz="4" w:space="0" w:color="000000"/>
              <w:bottom w:val="double" w:sz="6" w:space="0" w:color="000000"/>
            </w:tcBorders>
            <w:shd w:fill="auto" w:val="clear"/>
            <w:tcMar>
              <w:left w:w="0" w:type="dxa"/>
              <w:right w:w="0" w:type="dxa"/>
            </w:tcMar>
            <w:vAlign w:val="center"/>
          </w:tcPr>
          <w:p>
            <w:pPr>
              <w:pStyle w:val="TableContents"/>
              <w:spacing w:before="0" w:after="0"/>
              <w:ind w:left="0" w:right="0" w:hanging="0"/>
              <w:jc w:val="right"/>
              <w:rPr/>
            </w:pPr>
            <w:r>
              <w:rPr/>
              <w:t> </w:t>
            </w:r>
          </w:p>
        </w:tc>
        <w:tc>
          <w:tcPr>
            <w:tcW w:w="247" w:type="dxa"/>
            <w:tcBorders>
              <w:top w:val="single" w:sz="4" w:space="0" w:color="000000"/>
              <w:bottom w:val="double" w:sz="6" w:space="0" w:color="000000"/>
            </w:tcBorders>
            <w:shd w:fill="auto" w:val="clear"/>
            <w:tcMar>
              <w:left w:w="0" w:type="dxa"/>
              <w:right w:w="0" w:type="dxa"/>
            </w:tcMar>
            <w:vAlign w:val="center"/>
          </w:tcPr>
          <w:p>
            <w:pPr>
              <w:pStyle w:val="TableContents"/>
              <w:spacing w:before="0" w:after="0"/>
              <w:ind w:left="0" w:right="0" w:hanging="0"/>
              <w:jc w:val="left"/>
              <w:rPr/>
            </w:pPr>
            <w:r>
              <w:rPr/>
              <w:t> </w:t>
            </w:r>
          </w:p>
        </w:tc>
        <w:tc>
          <w:tcPr>
            <w:tcW w:w="713" w:type="dxa"/>
            <w:tcBorders>
              <w:top w:val="single" w:sz="4" w:space="0" w:color="000000"/>
              <w:bottom w:val="double" w:sz="6" w:space="0" w:color="000000"/>
            </w:tcBorders>
            <w:shd w:fill="auto" w:val="clear"/>
            <w:tcMar>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704</w:t>
            </w:r>
          </w:p>
        </w:tc>
        <w:tc>
          <w:tcPr>
            <w:tcW w:w="169" w:type="dxa"/>
            <w:tcBorders>
              <w:top w:val="single" w:sz="4" w:space="0" w:color="000000"/>
              <w:bottom w:val="double" w:sz="6" w:space="0" w:color="000000"/>
            </w:tcBorders>
            <w:shd w:fill="auto" w:val="clear"/>
            <w:tcMar>
              <w:left w:w="0" w:type="dxa"/>
              <w:right w:w="0" w:type="dxa"/>
            </w:tcMar>
            <w:vAlign w:val="center"/>
          </w:tcPr>
          <w:p>
            <w:pPr>
              <w:pStyle w:val="TableContents"/>
              <w:spacing w:before="0" w:after="0"/>
              <w:ind w:left="0" w:right="0" w:hanging="0"/>
              <w:jc w:val="left"/>
              <w:rPr/>
            </w:pPr>
            <w:r>
              <w:rPr/>
              <w:t> </w:t>
            </w:r>
          </w:p>
        </w:tc>
        <w:tc>
          <w:tcPr>
            <w:tcW w:w="169" w:type="dxa"/>
            <w:tcBorders>
              <w:top w:val="single" w:sz="4" w:space="0" w:color="000000"/>
              <w:bottom w:val="double" w:sz="6" w:space="0" w:color="000000"/>
            </w:tcBorders>
            <w:shd w:fill="auto" w:val="clear"/>
            <w:tcMar>
              <w:left w:w="0" w:type="dxa"/>
              <w:right w:w="0" w:type="dxa"/>
            </w:tcMar>
            <w:vAlign w:val="center"/>
          </w:tcPr>
          <w:p>
            <w:pPr>
              <w:pStyle w:val="TableContents"/>
              <w:spacing w:before="0" w:after="0"/>
              <w:ind w:left="0" w:right="0" w:hanging="0"/>
              <w:jc w:val="right"/>
              <w:rPr/>
            </w:pPr>
            <w:r>
              <w:rPr/>
              <w:t> </w:t>
            </w:r>
          </w:p>
        </w:tc>
        <w:tc>
          <w:tcPr>
            <w:tcW w:w="169" w:type="dxa"/>
            <w:tcBorders>
              <w:top w:val="single" w:sz="4" w:space="0" w:color="000000"/>
              <w:bottom w:val="double" w:sz="6" w:space="0" w:color="000000"/>
            </w:tcBorders>
            <w:shd w:fill="auto" w:val="clear"/>
            <w:tcMar>
              <w:left w:w="0" w:type="dxa"/>
              <w:right w:w="0" w:type="dxa"/>
            </w:tcMar>
            <w:vAlign w:val="center"/>
          </w:tcPr>
          <w:p>
            <w:pPr>
              <w:pStyle w:val="TableContents"/>
              <w:spacing w:before="0" w:after="0"/>
              <w:ind w:left="0" w:right="0" w:hanging="0"/>
              <w:jc w:val="left"/>
              <w:rPr/>
            </w:pPr>
            <w:r>
              <w:rPr/>
              <w:t> </w:t>
            </w:r>
          </w:p>
        </w:tc>
        <w:tc>
          <w:tcPr>
            <w:tcW w:w="663" w:type="dxa"/>
            <w:tcBorders>
              <w:top w:val="single" w:sz="4" w:space="0" w:color="000000"/>
              <w:bottom w:val="double" w:sz="6" w:space="0" w:color="000000"/>
            </w:tcBorders>
            <w:shd w:fill="auto" w:val="clear"/>
            <w:tcMar>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1,631</w:t>
            </w:r>
          </w:p>
        </w:tc>
        <w:tc>
          <w:tcPr>
            <w:tcW w:w="391" w:type="dxa"/>
            <w:tcBorders>
              <w:top w:val="single" w:sz="4" w:space="0" w:color="000000"/>
              <w:bottom w:val="double" w:sz="6" w:space="0" w:color="000000"/>
            </w:tcBorders>
            <w:shd w:fill="auto" w:val="clear"/>
            <w:tcMar>
              <w:left w:w="0" w:type="dxa"/>
              <w:right w:w="0" w:type="dxa"/>
            </w:tcMar>
            <w:vAlign w:val="center"/>
          </w:tcPr>
          <w:p>
            <w:pPr>
              <w:pStyle w:val="TableContents"/>
              <w:spacing w:before="0" w:after="0"/>
              <w:ind w:left="0" w:right="0" w:hanging="0"/>
              <w:jc w:val="left"/>
              <w:rPr/>
            </w:pPr>
            <w:r>
              <w:rPr/>
              <w:t> </w:t>
            </w:r>
          </w:p>
        </w:tc>
      </w:tr>
      <w:tr>
        <w:trPr/>
        <w:tc>
          <w:tcPr>
            <w:tcW w:w="34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931" w:type="dxa"/>
            <w:gridSpan w:val="2"/>
            <w:tcBorders/>
            <w:shd w:fill="auto" w:val="clear"/>
            <w:vAlign w:val="center"/>
          </w:tcPr>
          <w:p>
            <w:pPr>
              <w:pStyle w:val="TableContents"/>
              <w:spacing w:before="0" w:after="0"/>
              <w:ind w:left="0" w:right="0" w:hanging="0"/>
              <w:jc w:val="left"/>
              <w:rPr/>
            </w:pPr>
            <w:r>
              <w:rPr/>
              <w:t> </w:t>
            </w:r>
          </w:p>
        </w:tc>
        <w:tc>
          <w:tcPr>
            <w:tcW w:w="169" w:type="dxa"/>
            <w:tcBorders/>
            <w:shd w:fill="auto" w:val="clear"/>
            <w:vAlign w:val="center"/>
          </w:tcPr>
          <w:p>
            <w:pPr>
              <w:pStyle w:val="TableContents"/>
              <w:spacing w:before="0" w:after="0"/>
              <w:ind w:left="0" w:right="0" w:hanging="0"/>
              <w:jc w:val="left"/>
              <w:rPr/>
            </w:pPr>
            <w:r>
              <w:rPr/>
              <w:t> </w:t>
            </w:r>
          </w:p>
        </w:tc>
        <w:tc>
          <w:tcPr>
            <w:tcW w:w="169" w:type="dxa"/>
            <w:tcBorders/>
            <w:shd w:fill="auto" w:val="clear"/>
            <w:vAlign w:val="center"/>
          </w:tcPr>
          <w:p>
            <w:pPr>
              <w:pStyle w:val="TableContents"/>
              <w:spacing w:before="0" w:after="0"/>
              <w:ind w:left="0" w:right="0" w:hanging="0"/>
              <w:jc w:val="left"/>
              <w:rPr/>
            </w:pPr>
            <w:r>
              <w:rPr/>
              <w:t> </w:t>
            </w:r>
          </w:p>
        </w:tc>
        <w:tc>
          <w:tcPr>
            <w:tcW w:w="657" w:type="dxa"/>
            <w:gridSpan w:val="2"/>
            <w:tcBorders/>
            <w:shd w:fill="auto" w:val="clear"/>
            <w:vAlign w:val="center"/>
          </w:tcPr>
          <w:p>
            <w:pPr>
              <w:pStyle w:val="TableContents"/>
              <w:spacing w:before="0" w:after="0"/>
              <w:ind w:left="0" w:right="0" w:hanging="0"/>
              <w:jc w:val="left"/>
              <w:rPr/>
            </w:pPr>
            <w:r>
              <w:rPr/>
              <w:t> </w:t>
            </w:r>
          </w:p>
        </w:tc>
        <w:tc>
          <w:tcPr>
            <w:tcW w:w="169" w:type="dxa"/>
            <w:tcBorders/>
            <w:shd w:fill="auto" w:val="clear"/>
            <w:vAlign w:val="center"/>
          </w:tcPr>
          <w:p>
            <w:pPr>
              <w:pStyle w:val="TableContents"/>
              <w:spacing w:before="0" w:after="0"/>
              <w:ind w:left="0" w:right="0" w:hanging="0"/>
              <w:jc w:val="left"/>
              <w:rPr/>
            </w:pPr>
            <w:r>
              <w:rPr/>
              <w:t> </w:t>
            </w:r>
          </w:p>
        </w:tc>
        <w:tc>
          <w:tcPr>
            <w:tcW w:w="169" w:type="dxa"/>
            <w:tcBorders/>
            <w:shd w:fill="auto" w:val="clear"/>
            <w:vAlign w:val="center"/>
          </w:tcPr>
          <w:p>
            <w:pPr>
              <w:pStyle w:val="TableContents"/>
              <w:spacing w:before="0" w:after="0"/>
              <w:ind w:left="0" w:right="0" w:hanging="0"/>
              <w:jc w:val="left"/>
              <w:rPr/>
            </w:pPr>
            <w:r>
              <w:rPr/>
              <w:t> </w:t>
            </w:r>
          </w:p>
        </w:tc>
        <w:tc>
          <w:tcPr>
            <w:tcW w:w="960" w:type="dxa"/>
            <w:gridSpan w:val="2"/>
            <w:tcBorders/>
            <w:shd w:fill="auto" w:val="clear"/>
            <w:vAlign w:val="center"/>
          </w:tcPr>
          <w:p>
            <w:pPr>
              <w:pStyle w:val="TableContents"/>
              <w:spacing w:before="0" w:after="0"/>
              <w:ind w:left="0" w:right="0" w:hanging="0"/>
              <w:jc w:val="left"/>
              <w:rPr/>
            </w:pPr>
            <w:r>
              <w:rPr/>
              <w:t> </w:t>
            </w:r>
          </w:p>
        </w:tc>
        <w:tc>
          <w:tcPr>
            <w:tcW w:w="169" w:type="dxa"/>
            <w:tcBorders/>
            <w:shd w:fill="auto" w:val="clear"/>
            <w:vAlign w:val="center"/>
          </w:tcPr>
          <w:p>
            <w:pPr>
              <w:pStyle w:val="TableContents"/>
              <w:spacing w:before="0" w:after="0"/>
              <w:ind w:left="0" w:right="0" w:hanging="0"/>
              <w:jc w:val="left"/>
              <w:rPr/>
            </w:pPr>
            <w:r>
              <w:rPr/>
              <w:t> </w:t>
            </w:r>
          </w:p>
        </w:tc>
        <w:tc>
          <w:tcPr>
            <w:tcW w:w="169" w:type="dxa"/>
            <w:tcBorders/>
            <w:shd w:fill="auto" w:val="clear"/>
            <w:vAlign w:val="center"/>
          </w:tcPr>
          <w:p>
            <w:pPr>
              <w:pStyle w:val="TableContents"/>
              <w:spacing w:before="0" w:after="0"/>
              <w:ind w:left="0" w:right="0" w:hanging="0"/>
              <w:jc w:val="left"/>
              <w:rPr/>
            </w:pPr>
            <w:r>
              <w:rPr/>
              <w:t> </w:t>
            </w:r>
          </w:p>
        </w:tc>
        <w:tc>
          <w:tcPr>
            <w:tcW w:w="832" w:type="dxa"/>
            <w:gridSpan w:val="2"/>
            <w:tcBorders/>
            <w:shd w:fill="auto" w:val="clear"/>
            <w:vAlign w:val="center"/>
          </w:tcPr>
          <w:p>
            <w:pPr>
              <w:pStyle w:val="TableContents"/>
              <w:spacing w:before="0" w:after="0"/>
              <w:ind w:left="0" w:right="0" w:hanging="0"/>
              <w:jc w:val="left"/>
              <w:rPr/>
            </w:pPr>
            <w:r>
              <w:rPr/>
              <w:t> </w:t>
            </w:r>
          </w:p>
        </w:tc>
        <w:tc>
          <w:tcPr>
            <w:tcW w:w="391" w:type="dxa"/>
            <w:tcBorders/>
            <w:shd w:fill="auto" w:val="clear"/>
            <w:vAlign w:val="center"/>
          </w:tcPr>
          <w:p>
            <w:pPr>
              <w:pStyle w:val="TableContents"/>
              <w:spacing w:before="0" w:after="0"/>
              <w:ind w:left="0" w:right="0" w:hanging="0"/>
              <w:jc w:val="left"/>
              <w:rPr/>
            </w:pPr>
            <w:r>
              <w:rPr/>
              <w:t> </w:t>
            </w:r>
          </w:p>
        </w:tc>
      </w:tr>
      <w:tr>
        <w:trPr/>
        <w:tc>
          <w:tcPr>
            <w:tcW w:w="34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4394" w:type="dxa"/>
            <w:gridSpan w:val="14"/>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March 31, 2022</w:t>
            </w:r>
          </w:p>
        </w:tc>
        <w:tc>
          <w:tcPr>
            <w:tcW w:w="3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34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4394" w:type="dxa"/>
            <w:gridSpan w:val="14"/>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Commercial Multiplex Locations in IMAX Network</w:t>
            </w:r>
          </w:p>
        </w:tc>
        <w:tc>
          <w:tcPr>
            <w:tcW w:w="3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34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931"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Traditional</w:t>
              <w:br/>
              <w:t>JRSA</w:t>
            </w:r>
          </w:p>
        </w:tc>
        <w:tc>
          <w:tcPr>
            <w:tcW w:w="169"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69"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657"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Hybrid</w:t>
              <w:br/>
              <w:t>JRSA</w:t>
            </w:r>
          </w:p>
        </w:tc>
        <w:tc>
          <w:tcPr>
            <w:tcW w:w="169"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69"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960"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Sale / Sales-</w:t>
              <w:br/>
              <w:t>type Lease</w:t>
            </w:r>
          </w:p>
        </w:tc>
        <w:tc>
          <w:tcPr>
            <w:tcW w:w="169"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69"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832"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Total</w:t>
            </w:r>
          </w:p>
        </w:tc>
        <w:tc>
          <w:tcPr>
            <w:tcW w:w="3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346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Domestic Total (United States &amp; Canada)</w:t>
            </w:r>
          </w:p>
        </w:tc>
        <w:tc>
          <w:tcPr>
            <w:tcW w:w="146" w:type="dxa"/>
            <w:tcBorders/>
            <w:shd w:fill="auto" w:val="clear"/>
            <w:vAlign w:val="center"/>
          </w:tcPr>
          <w:p>
            <w:pPr>
              <w:pStyle w:val="TableContents"/>
              <w:spacing w:before="0" w:after="0"/>
              <w:ind w:left="0" w:right="0" w:hanging="0"/>
              <w:jc w:val="left"/>
              <w:rPr/>
            </w:pPr>
            <w:r>
              <w:rPr/>
              <w:t> </w:t>
            </w:r>
          </w:p>
        </w:tc>
        <w:tc>
          <w:tcPr>
            <w:tcW w:w="239"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692"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273</w:t>
            </w:r>
          </w:p>
        </w:tc>
        <w:tc>
          <w:tcPr>
            <w:tcW w:w="169"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69" w:type="dxa"/>
            <w:tcBorders>
              <w:bottom w:val="single" w:sz="4" w:space="0" w:color="000000"/>
            </w:tcBorders>
            <w:shd w:fill="auto" w:val="clear"/>
            <w:tcMar>
              <w:top w:w="0" w:type="dxa"/>
              <w:left w:w="0" w:type="dxa"/>
              <w:right w:w="0" w:type="dxa"/>
            </w:tcMar>
            <w:vAlign w:val="center"/>
          </w:tcPr>
          <w:p>
            <w:pPr>
              <w:pStyle w:val="TableContents"/>
              <w:spacing w:before="0" w:after="283"/>
              <w:ind w:left="0" w:right="0" w:hanging="0"/>
              <w:rPr>
                <w:sz w:val="4"/>
                <w:szCs w:val="4"/>
              </w:rPr>
            </w:pPr>
            <w:r>
              <w:rPr>
                <w:sz w:val="4"/>
                <w:szCs w:val="4"/>
              </w:rPr>
            </w:r>
          </w:p>
        </w:tc>
        <w:tc>
          <w:tcPr>
            <w:tcW w:w="169"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488"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6</w:t>
            </w:r>
          </w:p>
        </w:tc>
        <w:tc>
          <w:tcPr>
            <w:tcW w:w="169"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69" w:type="dxa"/>
            <w:tcBorders>
              <w:bottom w:val="single" w:sz="4" w:space="0" w:color="000000"/>
            </w:tcBorders>
            <w:shd w:fill="auto" w:val="clear"/>
            <w:tcMar>
              <w:top w:w="0" w:type="dxa"/>
              <w:left w:w="0" w:type="dxa"/>
              <w:right w:w="0" w:type="dxa"/>
            </w:tcMar>
            <w:vAlign w:val="center"/>
          </w:tcPr>
          <w:p>
            <w:pPr>
              <w:pStyle w:val="TableContents"/>
              <w:spacing w:before="0" w:after="283"/>
              <w:ind w:left="0" w:right="0" w:hanging="0"/>
              <w:rPr>
                <w:sz w:val="4"/>
                <w:szCs w:val="4"/>
              </w:rPr>
            </w:pPr>
            <w:r>
              <w:rPr>
                <w:sz w:val="4"/>
                <w:szCs w:val="4"/>
              </w:rPr>
            </w:r>
          </w:p>
        </w:tc>
        <w:tc>
          <w:tcPr>
            <w:tcW w:w="247"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713"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123</w:t>
            </w:r>
          </w:p>
        </w:tc>
        <w:tc>
          <w:tcPr>
            <w:tcW w:w="169"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69" w:type="dxa"/>
            <w:tcBorders>
              <w:bottom w:val="single" w:sz="4" w:space="0" w:color="000000"/>
            </w:tcBorders>
            <w:shd w:fill="auto" w:val="clear"/>
            <w:tcMar>
              <w:top w:w="0" w:type="dxa"/>
              <w:left w:w="0" w:type="dxa"/>
              <w:right w:w="0" w:type="dxa"/>
            </w:tcMar>
            <w:vAlign w:val="center"/>
          </w:tcPr>
          <w:p>
            <w:pPr>
              <w:pStyle w:val="TableContents"/>
              <w:spacing w:before="0" w:after="283"/>
              <w:ind w:left="0" w:right="0" w:hanging="0"/>
              <w:rPr>
                <w:sz w:val="4"/>
                <w:szCs w:val="4"/>
              </w:rPr>
            </w:pPr>
            <w:r>
              <w:rPr>
                <w:sz w:val="4"/>
                <w:szCs w:val="4"/>
              </w:rPr>
            </w:r>
          </w:p>
        </w:tc>
        <w:tc>
          <w:tcPr>
            <w:tcW w:w="169"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663"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402</w:t>
            </w:r>
          </w:p>
        </w:tc>
        <w:tc>
          <w:tcPr>
            <w:tcW w:w="3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r>
        <w:trPr/>
        <w:tc>
          <w:tcPr>
            <w:tcW w:w="346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International:</w:t>
            </w:r>
          </w:p>
        </w:tc>
        <w:tc>
          <w:tcPr>
            <w:tcW w:w="146" w:type="dxa"/>
            <w:tcBorders/>
            <w:shd w:fill="auto" w:val="clear"/>
            <w:vAlign w:val="center"/>
          </w:tcPr>
          <w:p>
            <w:pPr>
              <w:pStyle w:val="TableContents"/>
              <w:spacing w:before="0" w:after="0"/>
              <w:ind w:left="0" w:right="0" w:hanging="0"/>
              <w:jc w:val="left"/>
              <w:rPr/>
            </w:pPr>
            <w:r>
              <w:rPr/>
              <w:t> </w:t>
            </w:r>
          </w:p>
        </w:tc>
        <w:tc>
          <w:tcPr>
            <w:tcW w:w="931" w:type="dxa"/>
            <w:gridSpan w:val="2"/>
            <w:tcBorders/>
            <w:shd w:fill="auto" w:val="clear"/>
            <w:vAlign w:val="center"/>
          </w:tcPr>
          <w:p>
            <w:pPr>
              <w:pStyle w:val="TableContents"/>
              <w:spacing w:before="0" w:after="0"/>
              <w:ind w:left="0" w:right="0" w:hanging="0"/>
              <w:jc w:val="right"/>
              <w:rPr/>
            </w:pPr>
            <w:r>
              <w:rPr/>
              <w:t> </w:t>
            </w:r>
          </w:p>
        </w:tc>
        <w:tc>
          <w:tcPr>
            <w:tcW w:w="169" w:type="dxa"/>
            <w:tcBorders/>
            <w:shd w:fill="auto" w:val="clear"/>
            <w:vAlign w:val="center"/>
          </w:tcPr>
          <w:p>
            <w:pPr>
              <w:pStyle w:val="TableContents"/>
              <w:spacing w:before="0" w:after="0"/>
              <w:ind w:left="0" w:right="0" w:hanging="0"/>
              <w:jc w:val="right"/>
              <w:rPr/>
            </w:pPr>
            <w:r>
              <w:rPr/>
              <w:t> </w:t>
            </w:r>
          </w:p>
        </w:tc>
        <w:tc>
          <w:tcPr>
            <w:tcW w:w="169" w:type="dxa"/>
            <w:tcBorders/>
            <w:shd w:fill="auto" w:val="clear"/>
            <w:vAlign w:val="center"/>
          </w:tcPr>
          <w:p>
            <w:pPr>
              <w:pStyle w:val="TableContents"/>
              <w:spacing w:before="0" w:after="0"/>
              <w:ind w:left="0" w:right="0" w:hanging="0"/>
              <w:jc w:val="right"/>
              <w:rPr/>
            </w:pPr>
            <w:r>
              <w:rPr/>
              <w:t> </w:t>
            </w:r>
          </w:p>
        </w:tc>
        <w:tc>
          <w:tcPr>
            <w:tcW w:w="657" w:type="dxa"/>
            <w:gridSpan w:val="2"/>
            <w:tcBorders/>
            <w:shd w:fill="auto" w:val="clear"/>
            <w:vAlign w:val="center"/>
          </w:tcPr>
          <w:p>
            <w:pPr>
              <w:pStyle w:val="TableContents"/>
              <w:spacing w:before="0" w:after="0"/>
              <w:ind w:left="0" w:right="0" w:hanging="0"/>
              <w:jc w:val="right"/>
              <w:rPr/>
            </w:pPr>
            <w:r>
              <w:rPr/>
              <w:t> </w:t>
            </w:r>
          </w:p>
        </w:tc>
        <w:tc>
          <w:tcPr>
            <w:tcW w:w="169" w:type="dxa"/>
            <w:tcBorders/>
            <w:shd w:fill="auto" w:val="clear"/>
            <w:vAlign w:val="center"/>
          </w:tcPr>
          <w:p>
            <w:pPr>
              <w:pStyle w:val="TableContents"/>
              <w:spacing w:before="0" w:after="0"/>
              <w:ind w:left="0" w:right="0" w:hanging="0"/>
              <w:jc w:val="right"/>
              <w:rPr/>
            </w:pPr>
            <w:r>
              <w:rPr/>
              <w:t> </w:t>
            </w:r>
          </w:p>
        </w:tc>
        <w:tc>
          <w:tcPr>
            <w:tcW w:w="169" w:type="dxa"/>
            <w:tcBorders/>
            <w:shd w:fill="auto" w:val="clear"/>
            <w:vAlign w:val="center"/>
          </w:tcPr>
          <w:p>
            <w:pPr>
              <w:pStyle w:val="TableContents"/>
              <w:spacing w:before="0" w:after="0"/>
              <w:ind w:left="0" w:right="0" w:hanging="0"/>
              <w:jc w:val="right"/>
              <w:rPr/>
            </w:pPr>
            <w:r>
              <w:rPr/>
              <w:t> </w:t>
            </w:r>
          </w:p>
        </w:tc>
        <w:tc>
          <w:tcPr>
            <w:tcW w:w="960" w:type="dxa"/>
            <w:gridSpan w:val="2"/>
            <w:tcBorders/>
            <w:shd w:fill="auto" w:val="clear"/>
            <w:vAlign w:val="center"/>
          </w:tcPr>
          <w:p>
            <w:pPr>
              <w:pStyle w:val="TableContents"/>
              <w:spacing w:before="0" w:after="0"/>
              <w:ind w:left="0" w:right="0" w:hanging="0"/>
              <w:jc w:val="right"/>
              <w:rPr/>
            </w:pPr>
            <w:r>
              <w:rPr/>
              <w:t> </w:t>
            </w:r>
          </w:p>
        </w:tc>
        <w:tc>
          <w:tcPr>
            <w:tcW w:w="169" w:type="dxa"/>
            <w:tcBorders/>
            <w:shd w:fill="auto" w:val="clear"/>
            <w:vAlign w:val="center"/>
          </w:tcPr>
          <w:p>
            <w:pPr>
              <w:pStyle w:val="TableContents"/>
              <w:spacing w:before="0" w:after="0"/>
              <w:ind w:left="0" w:right="0" w:hanging="0"/>
              <w:jc w:val="right"/>
              <w:rPr/>
            </w:pPr>
            <w:r>
              <w:rPr/>
              <w:t> </w:t>
            </w:r>
          </w:p>
        </w:tc>
        <w:tc>
          <w:tcPr>
            <w:tcW w:w="169" w:type="dxa"/>
            <w:tcBorders/>
            <w:shd w:fill="auto" w:val="clear"/>
            <w:vAlign w:val="center"/>
          </w:tcPr>
          <w:p>
            <w:pPr>
              <w:pStyle w:val="TableContents"/>
              <w:spacing w:before="0" w:after="0"/>
              <w:ind w:left="0" w:right="0" w:hanging="0"/>
              <w:jc w:val="right"/>
              <w:rPr/>
            </w:pPr>
            <w:r>
              <w:rPr/>
              <w:t> </w:t>
            </w:r>
          </w:p>
        </w:tc>
        <w:tc>
          <w:tcPr>
            <w:tcW w:w="832" w:type="dxa"/>
            <w:gridSpan w:val="2"/>
            <w:tcBorders/>
            <w:shd w:fill="auto" w:val="clear"/>
            <w:vAlign w:val="center"/>
          </w:tcPr>
          <w:p>
            <w:pPr>
              <w:pStyle w:val="TableContents"/>
              <w:spacing w:before="0" w:after="0"/>
              <w:ind w:left="0" w:right="0" w:hanging="0"/>
              <w:jc w:val="right"/>
              <w:rPr/>
            </w:pPr>
            <w:r>
              <w:rPr/>
              <w:t> </w:t>
            </w:r>
          </w:p>
        </w:tc>
        <w:tc>
          <w:tcPr>
            <w:tcW w:w="391" w:type="dxa"/>
            <w:tcBorders/>
            <w:shd w:fill="auto" w:val="clear"/>
            <w:vAlign w:val="center"/>
          </w:tcPr>
          <w:p>
            <w:pPr>
              <w:pStyle w:val="TableContents"/>
              <w:spacing w:before="0" w:after="0"/>
              <w:ind w:left="0" w:right="0" w:firstLine="200"/>
              <w:jc w:val="right"/>
              <w:rPr/>
            </w:pPr>
            <w:r>
              <w:rPr/>
              <w:t> </w:t>
            </w:r>
          </w:p>
        </w:tc>
      </w:tr>
      <w:tr>
        <w:trPr/>
        <w:tc>
          <w:tcPr>
            <w:tcW w:w="3466" w:type="dxa"/>
            <w:tcBorders/>
            <w:shd w:fill="auto" w:val="clear"/>
            <w:vAlign w:val="center"/>
          </w:tcPr>
          <w:p>
            <w:pPr>
              <w:pStyle w:val="TableContents"/>
              <w:spacing w:before="0" w:after="0"/>
              <w:ind w:left="200" w:right="0" w:hanging="0"/>
              <w:jc w:val="left"/>
              <w:rPr>
                <w:rFonts w:ascii="Times New Roman;serif" w:hAnsi="Times New Roman;serif"/>
                <w:b w:val="false"/>
                <w:sz w:val="20"/>
              </w:rPr>
            </w:pPr>
            <w:r>
              <w:rPr>
                <w:rFonts w:ascii="Times New Roman;serif" w:hAnsi="Times New Roman;serif"/>
                <w:b w:val="false"/>
                <w:sz w:val="20"/>
              </w:rPr>
              <w:t>Greater China</w:t>
            </w:r>
          </w:p>
        </w:tc>
        <w:tc>
          <w:tcPr>
            <w:tcW w:w="146" w:type="dxa"/>
            <w:tcBorders/>
            <w:shd w:fill="auto" w:val="clear"/>
            <w:vAlign w:val="center"/>
          </w:tcPr>
          <w:p>
            <w:pPr>
              <w:pStyle w:val="TableContents"/>
              <w:spacing w:before="0" w:after="0"/>
              <w:ind w:left="0" w:right="0" w:hanging="0"/>
              <w:jc w:val="left"/>
              <w:rPr/>
            </w:pPr>
            <w:r>
              <w:rPr/>
              <w:t> </w:t>
            </w:r>
          </w:p>
        </w:tc>
        <w:tc>
          <w:tcPr>
            <w:tcW w:w="239" w:type="dxa"/>
            <w:tcBorders/>
            <w:shd w:fill="auto" w:val="clear"/>
            <w:vAlign w:val="center"/>
          </w:tcPr>
          <w:p>
            <w:pPr>
              <w:pStyle w:val="TableContents"/>
              <w:spacing w:before="0" w:after="0"/>
              <w:ind w:left="0" w:right="0" w:hanging="0"/>
              <w:jc w:val="left"/>
              <w:rPr/>
            </w:pPr>
            <w:r>
              <w:rPr/>
              <w:t> </w:t>
            </w:r>
          </w:p>
        </w:tc>
        <w:tc>
          <w:tcPr>
            <w:tcW w:w="692"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397</w:t>
            </w:r>
          </w:p>
        </w:tc>
        <w:tc>
          <w:tcPr>
            <w:tcW w:w="169" w:type="dxa"/>
            <w:tcBorders/>
            <w:shd w:fill="auto" w:val="clear"/>
            <w:vAlign w:val="center"/>
          </w:tcPr>
          <w:p>
            <w:pPr>
              <w:pStyle w:val="TableContents"/>
              <w:spacing w:before="0" w:after="0"/>
              <w:ind w:left="0" w:right="0" w:hanging="0"/>
              <w:jc w:val="left"/>
              <w:rPr/>
            </w:pPr>
            <w:r>
              <w:rPr/>
              <w:t> </w:t>
            </w:r>
          </w:p>
        </w:tc>
        <w:tc>
          <w:tcPr>
            <w:tcW w:w="169" w:type="dxa"/>
            <w:tcBorders/>
            <w:shd w:fill="auto" w:val="clear"/>
            <w:vAlign w:val="center"/>
          </w:tcPr>
          <w:p>
            <w:pPr>
              <w:pStyle w:val="TableContents"/>
              <w:spacing w:before="0" w:after="283"/>
              <w:ind w:left="0" w:right="0" w:hanging="0"/>
              <w:rPr>
                <w:sz w:val="4"/>
                <w:szCs w:val="4"/>
              </w:rPr>
            </w:pPr>
            <w:r>
              <w:rPr>
                <w:sz w:val="4"/>
                <w:szCs w:val="4"/>
              </w:rPr>
            </w:r>
          </w:p>
        </w:tc>
        <w:tc>
          <w:tcPr>
            <w:tcW w:w="169" w:type="dxa"/>
            <w:tcBorders/>
            <w:shd w:fill="auto" w:val="clear"/>
            <w:vAlign w:val="center"/>
          </w:tcPr>
          <w:p>
            <w:pPr>
              <w:pStyle w:val="TableContents"/>
              <w:spacing w:before="0" w:after="0"/>
              <w:ind w:left="0" w:right="0" w:hanging="0"/>
              <w:jc w:val="left"/>
              <w:rPr/>
            </w:pPr>
            <w:r>
              <w:rPr/>
              <w:t> </w:t>
            </w:r>
          </w:p>
        </w:tc>
        <w:tc>
          <w:tcPr>
            <w:tcW w:w="488"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112</w:t>
            </w:r>
          </w:p>
        </w:tc>
        <w:tc>
          <w:tcPr>
            <w:tcW w:w="169" w:type="dxa"/>
            <w:tcBorders/>
            <w:shd w:fill="auto" w:val="clear"/>
            <w:vAlign w:val="center"/>
          </w:tcPr>
          <w:p>
            <w:pPr>
              <w:pStyle w:val="TableContents"/>
              <w:spacing w:before="0" w:after="0"/>
              <w:ind w:left="0" w:right="0" w:hanging="0"/>
              <w:jc w:val="left"/>
              <w:rPr/>
            </w:pPr>
            <w:r>
              <w:rPr/>
              <w:t> </w:t>
            </w:r>
          </w:p>
        </w:tc>
        <w:tc>
          <w:tcPr>
            <w:tcW w:w="169" w:type="dxa"/>
            <w:tcBorders/>
            <w:shd w:fill="auto" w:val="clear"/>
            <w:vAlign w:val="center"/>
          </w:tcPr>
          <w:p>
            <w:pPr>
              <w:pStyle w:val="TableContents"/>
              <w:spacing w:before="0" w:after="283"/>
              <w:ind w:left="0" w:right="0" w:hanging="0"/>
              <w:rPr>
                <w:sz w:val="4"/>
                <w:szCs w:val="4"/>
              </w:rPr>
            </w:pPr>
            <w:r>
              <w:rPr>
                <w:sz w:val="4"/>
                <w:szCs w:val="4"/>
              </w:rPr>
            </w:r>
          </w:p>
        </w:tc>
        <w:tc>
          <w:tcPr>
            <w:tcW w:w="247" w:type="dxa"/>
            <w:tcBorders/>
            <w:shd w:fill="auto" w:val="clear"/>
            <w:vAlign w:val="center"/>
          </w:tcPr>
          <w:p>
            <w:pPr>
              <w:pStyle w:val="TableContents"/>
              <w:spacing w:before="0" w:after="0"/>
              <w:ind w:left="0" w:right="0" w:hanging="0"/>
              <w:jc w:val="left"/>
              <w:rPr/>
            </w:pPr>
            <w:r>
              <w:rPr/>
              <w:t> </w:t>
            </w:r>
          </w:p>
        </w:tc>
        <w:tc>
          <w:tcPr>
            <w:tcW w:w="713"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267</w:t>
            </w:r>
          </w:p>
        </w:tc>
        <w:tc>
          <w:tcPr>
            <w:tcW w:w="169" w:type="dxa"/>
            <w:tcBorders/>
            <w:shd w:fill="auto" w:val="clear"/>
            <w:vAlign w:val="center"/>
          </w:tcPr>
          <w:p>
            <w:pPr>
              <w:pStyle w:val="TableContents"/>
              <w:spacing w:before="0" w:after="0"/>
              <w:ind w:left="0" w:right="0" w:hanging="0"/>
              <w:jc w:val="left"/>
              <w:rPr/>
            </w:pPr>
            <w:r>
              <w:rPr/>
              <w:t> </w:t>
            </w:r>
          </w:p>
        </w:tc>
        <w:tc>
          <w:tcPr>
            <w:tcW w:w="169" w:type="dxa"/>
            <w:tcBorders/>
            <w:shd w:fill="auto" w:val="clear"/>
            <w:vAlign w:val="center"/>
          </w:tcPr>
          <w:p>
            <w:pPr>
              <w:pStyle w:val="TableContents"/>
              <w:spacing w:before="0" w:after="283"/>
              <w:ind w:left="0" w:right="0" w:hanging="0"/>
              <w:rPr>
                <w:sz w:val="4"/>
                <w:szCs w:val="4"/>
              </w:rPr>
            </w:pPr>
            <w:r>
              <w:rPr>
                <w:sz w:val="4"/>
                <w:szCs w:val="4"/>
              </w:rPr>
            </w:r>
          </w:p>
        </w:tc>
        <w:tc>
          <w:tcPr>
            <w:tcW w:w="169" w:type="dxa"/>
            <w:tcBorders/>
            <w:shd w:fill="auto" w:val="clear"/>
            <w:vAlign w:val="center"/>
          </w:tcPr>
          <w:p>
            <w:pPr>
              <w:pStyle w:val="TableContents"/>
              <w:spacing w:before="0" w:after="0"/>
              <w:ind w:left="0" w:right="0" w:hanging="0"/>
              <w:jc w:val="left"/>
              <w:rPr/>
            </w:pPr>
            <w:r>
              <w:rPr/>
              <w:t> </w:t>
            </w:r>
          </w:p>
        </w:tc>
        <w:tc>
          <w:tcPr>
            <w:tcW w:w="663"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776</w:t>
            </w:r>
          </w:p>
        </w:tc>
        <w:tc>
          <w:tcPr>
            <w:tcW w:w="391" w:type="dxa"/>
            <w:tcBorders/>
            <w:shd w:fill="auto" w:val="clear"/>
            <w:vAlign w:val="center"/>
          </w:tcPr>
          <w:p>
            <w:pPr>
              <w:pStyle w:val="TableContents"/>
              <w:spacing w:before="0" w:after="0"/>
              <w:ind w:left="0" w:right="0" w:firstLine="200"/>
              <w:jc w:val="left"/>
              <w:rPr/>
            </w:pPr>
            <w:r>
              <w:rPr/>
              <w:t> </w:t>
            </w:r>
          </w:p>
        </w:tc>
      </w:tr>
      <w:tr>
        <w:trPr/>
        <w:tc>
          <w:tcPr>
            <w:tcW w:w="3466" w:type="dxa"/>
            <w:tcBorders/>
            <w:shd w:fill="auto" w:val="clear"/>
            <w:vAlign w:val="center"/>
          </w:tcPr>
          <w:p>
            <w:pPr>
              <w:pStyle w:val="TableContents"/>
              <w:spacing w:before="0" w:after="0"/>
              <w:ind w:left="200" w:right="0" w:hanging="0"/>
              <w:jc w:val="left"/>
              <w:rPr>
                <w:rFonts w:ascii="Times New Roman;serif" w:hAnsi="Times New Roman;serif"/>
                <w:b w:val="false"/>
                <w:sz w:val="20"/>
              </w:rPr>
            </w:pPr>
            <w:r>
              <w:rPr>
                <w:rFonts w:ascii="Times New Roman;serif" w:hAnsi="Times New Roman;serif"/>
                <w:b w:val="false"/>
                <w:sz w:val="20"/>
              </w:rPr>
              <w:t>Asia (excluding Greater China)</w:t>
            </w:r>
          </w:p>
        </w:tc>
        <w:tc>
          <w:tcPr>
            <w:tcW w:w="146" w:type="dxa"/>
            <w:tcBorders/>
            <w:shd w:fill="auto" w:val="clear"/>
            <w:vAlign w:val="center"/>
          </w:tcPr>
          <w:p>
            <w:pPr>
              <w:pStyle w:val="TableContents"/>
              <w:spacing w:before="0" w:after="0"/>
              <w:ind w:left="0" w:right="0" w:hanging="0"/>
              <w:jc w:val="left"/>
              <w:rPr/>
            </w:pPr>
            <w:r>
              <w:rPr/>
              <w:t> </w:t>
            </w:r>
          </w:p>
        </w:tc>
        <w:tc>
          <w:tcPr>
            <w:tcW w:w="239" w:type="dxa"/>
            <w:tcBorders/>
            <w:shd w:fill="auto" w:val="clear"/>
            <w:vAlign w:val="center"/>
          </w:tcPr>
          <w:p>
            <w:pPr>
              <w:pStyle w:val="TableContents"/>
              <w:spacing w:before="0" w:after="0"/>
              <w:ind w:left="0" w:right="0" w:hanging="0"/>
              <w:jc w:val="left"/>
              <w:rPr/>
            </w:pPr>
            <w:r>
              <w:rPr/>
              <w:t> </w:t>
            </w:r>
          </w:p>
        </w:tc>
        <w:tc>
          <w:tcPr>
            <w:tcW w:w="692"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33</w:t>
            </w:r>
          </w:p>
        </w:tc>
        <w:tc>
          <w:tcPr>
            <w:tcW w:w="169" w:type="dxa"/>
            <w:tcBorders/>
            <w:shd w:fill="auto" w:val="clear"/>
            <w:vAlign w:val="center"/>
          </w:tcPr>
          <w:p>
            <w:pPr>
              <w:pStyle w:val="TableContents"/>
              <w:spacing w:before="0" w:after="0"/>
              <w:ind w:left="0" w:right="0" w:hanging="0"/>
              <w:jc w:val="left"/>
              <w:rPr/>
            </w:pPr>
            <w:r>
              <w:rPr/>
              <w:t> </w:t>
            </w:r>
          </w:p>
        </w:tc>
        <w:tc>
          <w:tcPr>
            <w:tcW w:w="169" w:type="dxa"/>
            <w:tcBorders/>
            <w:shd w:fill="auto" w:val="clear"/>
            <w:vAlign w:val="center"/>
          </w:tcPr>
          <w:p>
            <w:pPr>
              <w:pStyle w:val="TableContents"/>
              <w:spacing w:before="0" w:after="283"/>
              <w:ind w:left="0" w:right="0" w:hanging="0"/>
              <w:rPr>
                <w:sz w:val="4"/>
                <w:szCs w:val="4"/>
              </w:rPr>
            </w:pPr>
            <w:r>
              <w:rPr>
                <w:sz w:val="4"/>
                <w:szCs w:val="4"/>
              </w:rPr>
            </w:r>
          </w:p>
        </w:tc>
        <w:tc>
          <w:tcPr>
            <w:tcW w:w="169" w:type="dxa"/>
            <w:tcBorders/>
            <w:shd w:fill="auto" w:val="clear"/>
            <w:vAlign w:val="center"/>
          </w:tcPr>
          <w:p>
            <w:pPr>
              <w:pStyle w:val="TableContents"/>
              <w:spacing w:before="0" w:after="0"/>
              <w:ind w:left="0" w:right="0" w:hanging="0"/>
              <w:jc w:val="left"/>
              <w:rPr/>
            </w:pPr>
            <w:r>
              <w:rPr/>
              <w:t> </w:t>
            </w:r>
          </w:p>
        </w:tc>
        <w:tc>
          <w:tcPr>
            <w:tcW w:w="488"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w:t>
            </w:r>
          </w:p>
        </w:tc>
        <w:tc>
          <w:tcPr>
            <w:tcW w:w="169" w:type="dxa"/>
            <w:tcBorders/>
            <w:shd w:fill="auto" w:val="clear"/>
            <w:vAlign w:val="center"/>
          </w:tcPr>
          <w:p>
            <w:pPr>
              <w:pStyle w:val="TableContents"/>
              <w:spacing w:before="0" w:after="0"/>
              <w:ind w:left="0" w:right="0" w:hanging="0"/>
              <w:jc w:val="left"/>
              <w:rPr/>
            </w:pPr>
            <w:r>
              <w:rPr/>
              <w:t> </w:t>
            </w:r>
          </w:p>
        </w:tc>
        <w:tc>
          <w:tcPr>
            <w:tcW w:w="169" w:type="dxa"/>
            <w:tcBorders/>
            <w:shd w:fill="auto" w:val="clear"/>
            <w:vAlign w:val="center"/>
          </w:tcPr>
          <w:p>
            <w:pPr>
              <w:pStyle w:val="TableContents"/>
              <w:spacing w:before="0" w:after="283"/>
              <w:ind w:left="0" w:right="0" w:hanging="0"/>
              <w:rPr>
                <w:sz w:val="4"/>
                <w:szCs w:val="4"/>
              </w:rPr>
            </w:pPr>
            <w:r>
              <w:rPr>
                <w:sz w:val="4"/>
                <w:szCs w:val="4"/>
              </w:rPr>
            </w:r>
          </w:p>
        </w:tc>
        <w:tc>
          <w:tcPr>
            <w:tcW w:w="247" w:type="dxa"/>
            <w:tcBorders/>
            <w:shd w:fill="auto" w:val="clear"/>
            <w:vAlign w:val="center"/>
          </w:tcPr>
          <w:p>
            <w:pPr>
              <w:pStyle w:val="TableContents"/>
              <w:spacing w:before="0" w:after="0"/>
              <w:ind w:left="0" w:right="0" w:hanging="0"/>
              <w:jc w:val="left"/>
              <w:rPr/>
            </w:pPr>
            <w:r>
              <w:rPr/>
              <w:t> </w:t>
            </w:r>
          </w:p>
        </w:tc>
        <w:tc>
          <w:tcPr>
            <w:tcW w:w="713"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87</w:t>
            </w:r>
          </w:p>
        </w:tc>
        <w:tc>
          <w:tcPr>
            <w:tcW w:w="169" w:type="dxa"/>
            <w:tcBorders/>
            <w:shd w:fill="auto" w:val="clear"/>
            <w:vAlign w:val="center"/>
          </w:tcPr>
          <w:p>
            <w:pPr>
              <w:pStyle w:val="TableContents"/>
              <w:spacing w:before="0" w:after="0"/>
              <w:ind w:left="0" w:right="0" w:hanging="0"/>
              <w:jc w:val="left"/>
              <w:rPr/>
            </w:pPr>
            <w:r>
              <w:rPr/>
              <w:t> </w:t>
            </w:r>
          </w:p>
        </w:tc>
        <w:tc>
          <w:tcPr>
            <w:tcW w:w="169" w:type="dxa"/>
            <w:tcBorders/>
            <w:shd w:fill="auto" w:val="clear"/>
            <w:vAlign w:val="center"/>
          </w:tcPr>
          <w:p>
            <w:pPr>
              <w:pStyle w:val="TableContents"/>
              <w:spacing w:before="0" w:after="283"/>
              <w:ind w:left="0" w:right="0" w:hanging="0"/>
              <w:rPr>
                <w:sz w:val="4"/>
                <w:szCs w:val="4"/>
              </w:rPr>
            </w:pPr>
            <w:r>
              <w:rPr>
                <w:sz w:val="4"/>
                <w:szCs w:val="4"/>
              </w:rPr>
            </w:r>
          </w:p>
        </w:tc>
        <w:tc>
          <w:tcPr>
            <w:tcW w:w="169" w:type="dxa"/>
            <w:tcBorders/>
            <w:shd w:fill="auto" w:val="clear"/>
            <w:vAlign w:val="center"/>
          </w:tcPr>
          <w:p>
            <w:pPr>
              <w:pStyle w:val="TableContents"/>
              <w:spacing w:before="0" w:after="0"/>
              <w:ind w:left="0" w:right="0" w:hanging="0"/>
              <w:jc w:val="left"/>
              <w:rPr/>
            </w:pPr>
            <w:r>
              <w:rPr/>
              <w:t> </w:t>
            </w:r>
          </w:p>
        </w:tc>
        <w:tc>
          <w:tcPr>
            <w:tcW w:w="663"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122</w:t>
            </w:r>
          </w:p>
        </w:tc>
        <w:tc>
          <w:tcPr>
            <w:tcW w:w="391" w:type="dxa"/>
            <w:tcBorders/>
            <w:shd w:fill="auto" w:val="clear"/>
            <w:vAlign w:val="center"/>
          </w:tcPr>
          <w:p>
            <w:pPr>
              <w:pStyle w:val="TableContents"/>
              <w:spacing w:before="0" w:after="0"/>
              <w:ind w:left="0" w:right="0" w:firstLine="200"/>
              <w:jc w:val="left"/>
              <w:rPr/>
            </w:pPr>
            <w:r>
              <w:rPr/>
              <w:t> </w:t>
            </w:r>
          </w:p>
        </w:tc>
      </w:tr>
      <w:tr>
        <w:trPr/>
        <w:tc>
          <w:tcPr>
            <w:tcW w:w="3466" w:type="dxa"/>
            <w:tcBorders/>
            <w:shd w:fill="auto" w:val="clear"/>
            <w:vAlign w:val="center"/>
          </w:tcPr>
          <w:p>
            <w:pPr>
              <w:pStyle w:val="TableContents"/>
              <w:spacing w:before="0" w:after="0"/>
              <w:ind w:left="200" w:right="0" w:hanging="0"/>
              <w:jc w:val="left"/>
              <w:rPr>
                <w:rFonts w:ascii="Times New Roman;serif" w:hAnsi="Times New Roman;serif"/>
                <w:b w:val="false"/>
                <w:sz w:val="20"/>
              </w:rPr>
            </w:pPr>
            <w:r>
              <w:rPr>
                <w:rFonts w:ascii="Times New Roman;serif" w:hAnsi="Times New Roman;serif"/>
                <w:b w:val="false"/>
                <w:sz w:val="20"/>
              </w:rPr>
              <w:t>Western Europe</w:t>
            </w:r>
          </w:p>
        </w:tc>
        <w:tc>
          <w:tcPr>
            <w:tcW w:w="146" w:type="dxa"/>
            <w:tcBorders/>
            <w:shd w:fill="auto" w:val="clear"/>
            <w:vAlign w:val="center"/>
          </w:tcPr>
          <w:p>
            <w:pPr>
              <w:pStyle w:val="TableContents"/>
              <w:spacing w:before="0" w:after="0"/>
              <w:ind w:left="0" w:right="0" w:hanging="0"/>
              <w:jc w:val="left"/>
              <w:rPr/>
            </w:pPr>
            <w:r>
              <w:rPr/>
              <w:t> </w:t>
            </w:r>
          </w:p>
        </w:tc>
        <w:tc>
          <w:tcPr>
            <w:tcW w:w="239" w:type="dxa"/>
            <w:tcBorders/>
            <w:shd w:fill="auto" w:val="clear"/>
            <w:vAlign w:val="center"/>
          </w:tcPr>
          <w:p>
            <w:pPr>
              <w:pStyle w:val="TableContents"/>
              <w:spacing w:before="0" w:after="0"/>
              <w:ind w:left="0" w:right="0" w:hanging="0"/>
              <w:jc w:val="left"/>
              <w:rPr/>
            </w:pPr>
            <w:r>
              <w:rPr/>
              <w:t> </w:t>
            </w:r>
          </w:p>
        </w:tc>
        <w:tc>
          <w:tcPr>
            <w:tcW w:w="692"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46</w:t>
            </w:r>
          </w:p>
        </w:tc>
        <w:tc>
          <w:tcPr>
            <w:tcW w:w="169" w:type="dxa"/>
            <w:tcBorders/>
            <w:shd w:fill="auto" w:val="clear"/>
            <w:vAlign w:val="center"/>
          </w:tcPr>
          <w:p>
            <w:pPr>
              <w:pStyle w:val="TableContents"/>
              <w:spacing w:before="0" w:after="0"/>
              <w:ind w:left="0" w:right="0" w:hanging="0"/>
              <w:jc w:val="left"/>
              <w:rPr/>
            </w:pPr>
            <w:r>
              <w:rPr/>
              <w:t> </w:t>
            </w:r>
          </w:p>
        </w:tc>
        <w:tc>
          <w:tcPr>
            <w:tcW w:w="169" w:type="dxa"/>
            <w:tcBorders/>
            <w:shd w:fill="auto" w:val="clear"/>
            <w:vAlign w:val="center"/>
          </w:tcPr>
          <w:p>
            <w:pPr>
              <w:pStyle w:val="TableContents"/>
              <w:spacing w:before="0" w:after="283"/>
              <w:ind w:left="0" w:right="0" w:hanging="0"/>
              <w:rPr>
                <w:sz w:val="4"/>
                <w:szCs w:val="4"/>
              </w:rPr>
            </w:pPr>
            <w:r>
              <w:rPr>
                <w:sz w:val="4"/>
                <w:szCs w:val="4"/>
              </w:rPr>
            </w:r>
          </w:p>
        </w:tc>
        <w:tc>
          <w:tcPr>
            <w:tcW w:w="169" w:type="dxa"/>
            <w:tcBorders/>
            <w:shd w:fill="auto" w:val="clear"/>
            <w:vAlign w:val="center"/>
          </w:tcPr>
          <w:p>
            <w:pPr>
              <w:pStyle w:val="TableContents"/>
              <w:spacing w:before="0" w:after="0"/>
              <w:ind w:left="0" w:right="0" w:hanging="0"/>
              <w:jc w:val="left"/>
              <w:rPr/>
            </w:pPr>
            <w:r>
              <w:rPr/>
              <w:t> </w:t>
            </w:r>
          </w:p>
        </w:tc>
        <w:tc>
          <w:tcPr>
            <w:tcW w:w="488"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28</w:t>
            </w:r>
          </w:p>
        </w:tc>
        <w:tc>
          <w:tcPr>
            <w:tcW w:w="169" w:type="dxa"/>
            <w:tcBorders/>
            <w:shd w:fill="auto" w:val="clear"/>
            <w:vAlign w:val="center"/>
          </w:tcPr>
          <w:p>
            <w:pPr>
              <w:pStyle w:val="TableContents"/>
              <w:spacing w:before="0" w:after="0"/>
              <w:ind w:left="0" w:right="0" w:hanging="0"/>
              <w:jc w:val="left"/>
              <w:rPr/>
            </w:pPr>
            <w:r>
              <w:rPr/>
              <w:t> </w:t>
            </w:r>
          </w:p>
        </w:tc>
        <w:tc>
          <w:tcPr>
            <w:tcW w:w="169" w:type="dxa"/>
            <w:tcBorders/>
            <w:shd w:fill="auto" w:val="clear"/>
            <w:vAlign w:val="center"/>
          </w:tcPr>
          <w:p>
            <w:pPr>
              <w:pStyle w:val="TableContents"/>
              <w:spacing w:before="0" w:after="283"/>
              <w:ind w:left="0" w:right="0" w:hanging="0"/>
              <w:rPr>
                <w:sz w:val="4"/>
                <w:szCs w:val="4"/>
              </w:rPr>
            </w:pPr>
            <w:r>
              <w:rPr>
                <w:sz w:val="4"/>
                <w:szCs w:val="4"/>
              </w:rPr>
            </w:r>
          </w:p>
        </w:tc>
        <w:tc>
          <w:tcPr>
            <w:tcW w:w="247" w:type="dxa"/>
            <w:tcBorders/>
            <w:shd w:fill="auto" w:val="clear"/>
            <w:vAlign w:val="center"/>
          </w:tcPr>
          <w:p>
            <w:pPr>
              <w:pStyle w:val="TableContents"/>
              <w:spacing w:before="0" w:after="0"/>
              <w:ind w:left="0" w:right="0" w:hanging="0"/>
              <w:jc w:val="left"/>
              <w:rPr/>
            </w:pPr>
            <w:r>
              <w:rPr/>
              <w:t> </w:t>
            </w:r>
          </w:p>
        </w:tc>
        <w:tc>
          <w:tcPr>
            <w:tcW w:w="713"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41</w:t>
            </w:r>
          </w:p>
        </w:tc>
        <w:tc>
          <w:tcPr>
            <w:tcW w:w="169" w:type="dxa"/>
            <w:tcBorders/>
            <w:shd w:fill="auto" w:val="clear"/>
            <w:vAlign w:val="center"/>
          </w:tcPr>
          <w:p>
            <w:pPr>
              <w:pStyle w:val="TableContents"/>
              <w:spacing w:before="0" w:after="0"/>
              <w:ind w:left="0" w:right="0" w:hanging="0"/>
              <w:jc w:val="left"/>
              <w:rPr/>
            </w:pPr>
            <w:r>
              <w:rPr/>
              <w:t> </w:t>
            </w:r>
          </w:p>
        </w:tc>
        <w:tc>
          <w:tcPr>
            <w:tcW w:w="169" w:type="dxa"/>
            <w:tcBorders/>
            <w:shd w:fill="auto" w:val="clear"/>
            <w:vAlign w:val="center"/>
          </w:tcPr>
          <w:p>
            <w:pPr>
              <w:pStyle w:val="TableContents"/>
              <w:spacing w:before="0" w:after="283"/>
              <w:ind w:left="0" w:right="0" w:hanging="0"/>
              <w:rPr>
                <w:sz w:val="4"/>
                <w:szCs w:val="4"/>
              </w:rPr>
            </w:pPr>
            <w:r>
              <w:rPr>
                <w:sz w:val="4"/>
                <w:szCs w:val="4"/>
              </w:rPr>
            </w:r>
          </w:p>
        </w:tc>
        <w:tc>
          <w:tcPr>
            <w:tcW w:w="169" w:type="dxa"/>
            <w:tcBorders/>
            <w:shd w:fill="auto" w:val="clear"/>
            <w:vAlign w:val="center"/>
          </w:tcPr>
          <w:p>
            <w:pPr>
              <w:pStyle w:val="TableContents"/>
              <w:spacing w:before="0" w:after="0"/>
              <w:ind w:left="0" w:right="0" w:hanging="0"/>
              <w:jc w:val="left"/>
              <w:rPr/>
            </w:pPr>
            <w:r>
              <w:rPr/>
              <w:t> </w:t>
            </w:r>
          </w:p>
        </w:tc>
        <w:tc>
          <w:tcPr>
            <w:tcW w:w="663"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115</w:t>
            </w:r>
          </w:p>
        </w:tc>
        <w:tc>
          <w:tcPr>
            <w:tcW w:w="391" w:type="dxa"/>
            <w:tcBorders/>
            <w:shd w:fill="auto" w:val="clear"/>
            <w:vAlign w:val="center"/>
          </w:tcPr>
          <w:p>
            <w:pPr>
              <w:pStyle w:val="TableContents"/>
              <w:spacing w:before="0" w:after="0"/>
              <w:ind w:left="0" w:right="0" w:firstLine="200"/>
              <w:jc w:val="left"/>
              <w:rPr/>
            </w:pPr>
            <w:r>
              <w:rPr/>
              <w:t> </w:t>
            </w:r>
          </w:p>
        </w:tc>
      </w:tr>
      <w:tr>
        <w:trPr/>
        <w:tc>
          <w:tcPr>
            <w:tcW w:w="3466" w:type="dxa"/>
            <w:tcBorders/>
            <w:shd w:fill="auto" w:val="clear"/>
            <w:vAlign w:val="center"/>
          </w:tcPr>
          <w:p>
            <w:pPr>
              <w:pStyle w:val="TableContents"/>
              <w:spacing w:before="0" w:after="0"/>
              <w:ind w:left="200" w:right="0" w:hanging="0"/>
              <w:jc w:val="left"/>
              <w:rPr>
                <w:rFonts w:ascii="Times New Roman" w:hAnsi="Times New Roman"/>
                <w:sz w:val="20"/>
              </w:rPr>
            </w:pPr>
            <w:r>
              <w:rPr>
                <w:rFonts w:ascii="Times New Roman;serif" w:hAnsi="Times New Roman;serif"/>
                <w:b w:val="false"/>
                <w:sz w:val="20"/>
              </w:rPr>
              <w:t>Russia/the CIS &amp; Ukraine</w:t>
            </w:r>
            <w:r>
              <w:rPr>
                <w:rFonts w:ascii="Times New Roman;serif" w:hAnsi="Times New Roman;serif"/>
                <w:b w:val="false"/>
                <w:sz w:val="13"/>
              </w:rPr>
              <w:t>(1)</w:t>
            </w:r>
          </w:p>
        </w:tc>
        <w:tc>
          <w:tcPr>
            <w:tcW w:w="146" w:type="dxa"/>
            <w:tcBorders/>
            <w:shd w:fill="auto" w:val="clear"/>
            <w:vAlign w:val="center"/>
          </w:tcPr>
          <w:p>
            <w:pPr>
              <w:pStyle w:val="TableContents"/>
              <w:spacing w:before="0" w:after="0"/>
              <w:ind w:left="0" w:right="0" w:hanging="0"/>
              <w:jc w:val="left"/>
              <w:rPr/>
            </w:pPr>
            <w:r>
              <w:rPr/>
              <w:t> </w:t>
            </w:r>
          </w:p>
        </w:tc>
        <w:tc>
          <w:tcPr>
            <w:tcW w:w="239" w:type="dxa"/>
            <w:tcBorders/>
            <w:shd w:fill="auto" w:val="clear"/>
            <w:vAlign w:val="center"/>
          </w:tcPr>
          <w:p>
            <w:pPr>
              <w:pStyle w:val="TableContents"/>
              <w:spacing w:before="0" w:after="0"/>
              <w:ind w:left="0" w:right="0" w:hanging="0"/>
              <w:jc w:val="left"/>
              <w:rPr/>
            </w:pPr>
            <w:r>
              <w:rPr/>
              <w:t> </w:t>
            </w:r>
          </w:p>
        </w:tc>
        <w:tc>
          <w:tcPr>
            <w:tcW w:w="692" w:type="dxa"/>
            <w:tcBorders/>
            <w:shd w:fill="auto" w:val="clear"/>
            <w:vAlign w:val="center"/>
          </w:tcPr>
          <w:p>
            <w:pPr>
              <w:pStyle w:val="TableContents"/>
              <w:spacing w:before="0" w:after="0"/>
              <w:ind w:left="0" w:right="0" w:hanging="0"/>
              <w:jc w:val="right"/>
              <w:rPr/>
            </w:pPr>
            <w:r>
              <w:rPr/>
              <w:t>—</w:t>
            </w:r>
          </w:p>
        </w:tc>
        <w:tc>
          <w:tcPr>
            <w:tcW w:w="169" w:type="dxa"/>
            <w:tcBorders/>
            <w:shd w:fill="auto" w:val="clear"/>
            <w:vAlign w:val="center"/>
          </w:tcPr>
          <w:p>
            <w:pPr>
              <w:pStyle w:val="TableContents"/>
              <w:spacing w:before="0" w:after="0"/>
              <w:ind w:left="0" w:right="0" w:hanging="0"/>
              <w:jc w:val="left"/>
              <w:rPr/>
            </w:pPr>
            <w:r>
              <w:rPr/>
              <w:t> </w:t>
            </w:r>
          </w:p>
        </w:tc>
        <w:tc>
          <w:tcPr>
            <w:tcW w:w="169" w:type="dxa"/>
            <w:tcBorders/>
            <w:shd w:fill="auto" w:val="clear"/>
            <w:vAlign w:val="center"/>
          </w:tcPr>
          <w:p>
            <w:pPr>
              <w:pStyle w:val="TableContents"/>
              <w:spacing w:before="0" w:after="283"/>
              <w:ind w:left="0" w:right="0" w:hanging="0"/>
              <w:rPr>
                <w:sz w:val="4"/>
                <w:szCs w:val="4"/>
              </w:rPr>
            </w:pPr>
            <w:r>
              <w:rPr>
                <w:sz w:val="4"/>
                <w:szCs w:val="4"/>
              </w:rPr>
            </w:r>
          </w:p>
        </w:tc>
        <w:tc>
          <w:tcPr>
            <w:tcW w:w="169" w:type="dxa"/>
            <w:tcBorders/>
            <w:shd w:fill="auto" w:val="clear"/>
            <w:vAlign w:val="center"/>
          </w:tcPr>
          <w:p>
            <w:pPr>
              <w:pStyle w:val="TableContents"/>
              <w:spacing w:before="0" w:after="0"/>
              <w:ind w:left="0" w:right="0" w:hanging="0"/>
              <w:jc w:val="left"/>
              <w:rPr/>
            </w:pPr>
            <w:r>
              <w:rPr/>
              <w:t> </w:t>
            </w:r>
          </w:p>
        </w:tc>
        <w:tc>
          <w:tcPr>
            <w:tcW w:w="488" w:type="dxa"/>
            <w:tcBorders/>
            <w:shd w:fill="auto" w:val="clear"/>
            <w:vAlign w:val="center"/>
          </w:tcPr>
          <w:p>
            <w:pPr>
              <w:pStyle w:val="TableContents"/>
              <w:spacing w:before="0" w:after="0"/>
              <w:ind w:left="0" w:right="0" w:hanging="0"/>
              <w:jc w:val="right"/>
              <w:rPr/>
            </w:pPr>
            <w:r>
              <w:rPr/>
              <w:t>—</w:t>
            </w:r>
          </w:p>
        </w:tc>
        <w:tc>
          <w:tcPr>
            <w:tcW w:w="169" w:type="dxa"/>
            <w:tcBorders/>
            <w:shd w:fill="auto" w:val="clear"/>
            <w:vAlign w:val="center"/>
          </w:tcPr>
          <w:p>
            <w:pPr>
              <w:pStyle w:val="TableContents"/>
              <w:spacing w:before="0" w:after="0"/>
              <w:ind w:left="0" w:right="0" w:hanging="0"/>
              <w:jc w:val="left"/>
              <w:rPr/>
            </w:pPr>
            <w:r>
              <w:rPr/>
              <w:t> </w:t>
            </w:r>
          </w:p>
        </w:tc>
        <w:tc>
          <w:tcPr>
            <w:tcW w:w="169" w:type="dxa"/>
            <w:tcBorders/>
            <w:shd w:fill="auto" w:val="clear"/>
            <w:vAlign w:val="center"/>
          </w:tcPr>
          <w:p>
            <w:pPr>
              <w:pStyle w:val="TableContents"/>
              <w:spacing w:before="0" w:after="283"/>
              <w:ind w:left="0" w:right="0" w:hanging="0"/>
              <w:rPr>
                <w:sz w:val="4"/>
                <w:szCs w:val="4"/>
              </w:rPr>
            </w:pPr>
            <w:r>
              <w:rPr>
                <w:sz w:val="4"/>
                <w:szCs w:val="4"/>
              </w:rPr>
            </w:r>
          </w:p>
        </w:tc>
        <w:tc>
          <w:tcPr>
            <w:tcW w:w="247" w:type="dxa"/>
            <w:tcBorders/>
            <w:shd w:fill="auto" w:val="clear"/>
            <w:vAlign w:val="center"/>
          </w:tcPr>
          <w:p>
            <w:pPr>
              <w:pStyle w:val="TableContents"/>
              <w:spacing w:before="0" w:after="0"/>
              <w:ind w:left="0" w:right="0" w:hanging="0"/>
              <w:jc w:val="left"/>
              <w:rPr/>
            </w:pPr>
            <w:r>
              <w:rPr/>
              <w:t> </w:t>
            </w:r>
          </w:p>
        </w:tc>
        <w:tc>
          <w:tcPr>
            <w:tcW w:w="713"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70</w:t>
            </w:r>
          </w:p>
        </w:tc>
        <w:tc>
          <w:tcPr>
            <w:tcW w:w="169" w:type="dxa"/>
            <w:tcBorders/>
            <w:shd w:fill="auto" w:val="clear"/>
            <w:vAlign w:val="center"/>
          </w:tcPr>
          <w:p>
            <w:pPr>
              <w:pStyle w:val="TableContents"/>
              <w:spacing w:before="0" w:after="0"/>
              <w:ind w:left="0" w:right="0" w:hanging="0"/>
              <w:jc w:val="left"/>
              <w:rPr/>
            </w:pPr>
            <w:r>
              <w:rPr/>
              <w:t> </w:t>
            </w:r>
          </w:p>
        </w:tc>
        <w:tc>
          <w:tcPr>
            <w:tcW w:w="169" w:type="dxa"/>
            <w:tcBorders/>
            <w:shd w:fill="auto" w:val="clear"/>
            <w:vAlign w:val="center"/>
          </w:tcPr>
          <w:p>
            <w:pPr>
              <w:pStyle w:val="TableContents"/>
              <w:spacing w:before="0" w:after="283"/>
              <w:ind w:left="0" w:right="0" w:hanging="0"/>
              <w:rPr>
                <w:sz w:val="4"/>
                <w:szCs w:val="4"/>
              </w:rPr>
            </w:pPr>
            <w:r>
              <w:rPr>
                <w:sz w:val="4"/>
                <w:szCs w:val="4"/>
              </w:rPr>
            </w:r>
          </w:p>
        </w:tc>
        <w:tc>
          <w:tcPr>
            <w:tcW w:w="169" w:type="dxa"/>
            <w:tcBorders/>
            <w:shd w:fill="auto" w:val="clear"/>
            <w:vAlign w:val="center"/>
          </w:tcPr>
          <w:p>
            <w:pPr>
              <w:pStyle w:val="TableContents"/>
              <w:spacing w:before="0" w:after="0"/>
              <w:ind w:left="0" w:right="0" w:hanging="0"/>
              <w:jc w:val="left"/>
              <w:rPr/>
            </w:pPr>
            <w:r>
              <w:rPr/>
              <w:t> </w:t>
            </w:r>
          </w:p>
        </w:tc>
        <w:tc>
          <w:tcPr>
            <w:tcW w:w="663"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70</w:t>
            </w:r>
          </w:p>
        </w:tc>
        <w:tc>
          <w:tcPr>
            <w:tcW w:w="391" w:type="dxa"/>
            <w:tcBorders/>
            <w:shd w:fill="auto" w:val="clear"/>
            <w:vAlign w:val="center"/>
          </w:tcPr>
          <w:p>
            <w:pPr>
              <w:pStyle w:val="TableContents"/>
              <w:spacing w:before="0" w:after="0"/>
              <w:ind w:left="0" w:right="0" w:firstLine="200"/>
              <w:jc w:val="left"/>
              <w:rPr/>
            </w:pPr>
            <w:r>
              <w:rPr/>
              <w:t> </w:t>
            </w:r>
          </w:p>
        </w:tc>
      </w:tr>
      <w:tr>
        <w:trPr/>
        <w:tc>
          <w:tcPr>
            <w:tcW w:w="3466" w:type="dxa"/>
            <w:tcBorders/>
            <w:shd w:fill="auto" w:val="clear"/>
            <w:vAlign w:val="center"/>
          </w:tcPr>
          <w:p>
            <w:pPr>
              <w:pStyle w:val="TableContents"/>
              <w:spacing w:before="0" w:after="0"/>
              <w:ind w:left="200" w:right="0" w:hanging="0"/>
              <w:jc w:val="left"/>
              <w:rPr>
                <w:rFonts w:ascii="Times New Roman;serif" w:hAnsi="Times New Roman;serif"/>
                <w:b w:val="false"/>
                <w:sz w:val="20"/>
              </w:rPr>
            </w:pPr>
            <w:r>
              <w:rPr>
                <w:rFonts w:ascii="Times New Roman;serif" w:hAnsi="Times New Roman;serif"/>
                <w:b w:val="false"/>
                <w:sz w:val="20"/>
              </w:rPr>
              <w:t>Latin America</w:t>
            </w:r>
          </w:p>
        </w:tc>
        <w:tc>
          <w:tcPr>
            <w:tcW w:w="146" w:type="dxa"/>
            <w:tcBorders/>
            <w:shd w:fill="auto" w:val="clear"/>
            <w:vAlign w:val="center"/>
          </w:tcPr>
          <w:p>
            <w:pPr>
              <w:pStyle w:val="TableContents"/>
              <w:spacing w:before="0" w:after="0"/>
              <w:ind w:left="0" w:right="0" w:hanging="0"/>
              <w:jc w:val="left"/>
              <w:rPr/>
            </w:pPr>
            <w:r>
              <w:rPr/>
              <w:t> </w:t>
            </w:r>
          </w:p>
        </w:tc>
        <w:tc>
          <w:tcPr>
            <w:tcW w:w="239" w:type="dxa"/>
            <w:tcBorders/>
            <w:shd w:fill="auto" w:val="clear"/>
            <w:vAlign w:val="center"/>
          </w:tcPr>
          <w:p>
            <w:pPr>
              <w:pStyle w:val="TableContents"/>
              <w:spacing w:before="0" w:after="0"/>
              <w:ind w:left="0" w:right="0" w:hanging="0"/>
              <w:jc w:val="left"/>
              <w:rPr/>
            </w:pPr>
            <w:r>
              <w:rPr/>
              <w:t> </w:t>
            </w:r>
          </w:p>
        </w:tc>
        <w:tc>
          <w:tcPr>
            <w:tcW w:w="692"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w:t>
            </w:r>
          </w:p>
        </w:tc>
        <w:tc>
          <w:tcPr>
            <w:tcW w:w="169" w:type="dxa"/>
            <w:tcBorders/>
            <w:shd w:fill="auto" w:val="clear"/>
            <w:vAlign w:val="center"/>
          </w:tcPr>
          <w:p>
            <w:pPr>
              <w:pStyle w:val="TableContents"/>
              <w:spacing w:before="0" w:after="0"/>
              <w:ind w:left="0" w:right="0" w:hanging="0"/>
              <w:jc w:val="left"/>
              <w:rPr/>
            </w:pPr>
            <w:r>
              <w:rPr/>
              <w:t> </w:t>
            </w:r>
          </w:p>
        </w:tc>
        <w:tc>
          <w:tcPr>
            <w:tcW w:w="169" w:type="dxa"/>
            <w:tcBorders/>
            <w:shd w:fill="auto" w:val="clear"/>
            <w:vAlign w:val="center"/>
          </w:tcPr>
          <w:p>
            <w:pPr>
              <w:pStyle w:val="TableContents"/>
              <w:spacing w:before="0" w:after="283"/>
              <w:ind w:left="0" w:right="0" w:hanging="0"/>
              <w:rPr>
                <w:sz w:val="4"/>
                <w:szCs w:val="4"/>
              </w:rPr>
            </w:pPr>
            <w:r>
              <w:rPr>
                <w:sz w:val="4"/>
                <w:szCs w:val="4"/>
              </w:rPr>
            </w:r>
          </w:p>
        </w:tc>
        <w:tc>
          <w:tcPr>
            <w:tcW w:w="169" w:type="dxa"/>
            <w:tcBorders/>
            <w:shd w:fill="auto" w:val="clear"/>
            <w:vAlign w:val="center"/>
          </w:tcPr>
          <w:p>
            <w:pPr>
              <w:pStyle w:val="TableContents"/>
              <w:spacing w:before="0" w:after="0"/>
              <w:ind w:left="0" w:right="0" w:hanging="0"/>
              <w:jc w:val="left"/>
              <w:rPr/>
            </w:pPr>
            <w:r>
              <w:rPr/>
              <w:t> </w:t>
            </w:r>
          </w:p>
        </w:tc>
        <w:tc>
          <w:tcPr>
            <w:tcW w:w="488" w:type="dxa"/>
            <w:tcBorders/>
            <w:shd w:fill="auto" w:val="clear"/>
            <w:vAlign w:val="center"/>
          </w:tcPr>
          <w:p>
            <w:pPr>
              <w:pStyle w:val="TableContents"/>
              <w:spacing w:before="0" w:after="0"/>
              <w:ind w:left="0" w:right="0" w:hanging="0"/>
              <w:jc w:val="right"/>
              <w:rPr/>
            </w:pPr>
            <w:r>
              <w:rPr/>
              <w:t>—</w:t>
            </w:r>
          </w:p>
        </w:tc>
        <w:tc>
          <w:tcPr>
            <w:tcW w:w="169" w:type="dxa"/>
            <w:tcBorders/>
            <w:shd w:fill="auto" w:val="clear"/>
            <w:vAlign w:val="center"/>
          </w:tcPr>
          <w:p>
            <w:pPr>
              <w:pStyle w:val="TableContents"/>
              <w:spacing w:before="0" w:after="0"/>
              <w:ind w:left="0" w:right="0" w:hanging="0"/>
              <w:jc w:val="left"/>
              <w:rPr/>
            </w:pPr>
            <w:r>
              <w:rPr/>
              <w:t> </w:t>
            </w:r>
          </w:p>
        </w:tc>
        <w:tc>
          <w:tcPr>
            <w:tcW w:w="169" w:type="dxa"/>
            <w:tcBorders/>
            <w:shd w:fill="auto" w:val="clear"/>
            <w:vAlign w:val="center"/>
          </w:tcPr>
          <w:p>
            <w:pPr>
              <w:pStyle w:val="TableContents"/>
              <w:spacing w:before="0" w:after="283"/>
              <w:ind w:left="0" w:right="0" w:hanging="0"/>
              <w:rPr>
                <w:sz w:val="4"/>
                <w:szCs w:val="4"/>
              </w:rPr>
            </w:pPr>
            <w:r>
              <w:rPr>
                <w:sz w:val="4"/>
                <w:szCs w:val="4"/>
              </w:rPr>
            </w:r>
          </w:p>
        </w:tc>
        <w:tc>
          <w:tcPr>
            <w:tcW w:w="247" w:type="dxa"/>
            <w:tcBorders/>
            <w:shd w:fill="auto" w:val="clear"/>
            <w:vAlign w:val="center"/>
          </w:tcPr>
          <w:p>
            <w:pPr>
              <w:pStyle w:val="TableContents"/>
              <w:spacing w:before="0" w:after="0"/>
              <w:ind w:left="0" w:right="0" w:hanging="0"/>
              <w:jc w:val="left"/>
              <w:rPr/>
            </w:pPr>
            <w:r>
              <w:rPr/>
              <w:t> </w:t>
            </w:r>
          </w:p>
        </w:tc>
        <w:tc>
          <w:tcPr>
            <w:tcW w:w="713"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51</w:t>
            </w:r>
          </w:p>
        </w:tc>
        <w:tc>
          <w:tcPr>
            <w:tcW w:w="169" w:type="dxa"/>
            <w:tcBorders/>
            <w:shd w:fill="auto" w:val="clear"/>
            <w:vAlign w:val="center"/>
          </w:tcPr>
          <w:p>
            <w:pPr>
              <w:pStyle w:val="TableContents"/>
              <w:spacing w:before="0" w:after="0"/>
              <w:ind w:left="0" w:right="0" w:hanging="0"/>
              <w:jc w:val="left"/>
              <w:rPr/>
            </w:pPr>
            <w:r>
              <w:rPr/>
              <w:t> </w:t>
            </w:r>
          </w:p>
        </w:tc>
        <w:tc>
          <w:tcPr>
            <w:tcW w:w="169" w:type="dxa"/>
            <w:tcBorders/>
            <w:shd w:fill="auto" w:val="clear"/>
            <w:vAlign w:val="center"/>
          </w:tcPr>
          <w:p>
            <w:pPr>
              <w:pStyle w:val="TableContents"/>
              <w:spacing w:before="0" w:after="283"/>
              <w:ind w:left="0" w:right="0" w:hanging="0"/>
              <w:rPr>
                <w:sz w:val="4"/>
                <w:szCs w:val="4"/>
              </w:rPr>
            </w:pPr>
            <w:r>
              <w:rPr>
                <w:sz w:val="4"/>
                <w:szCs w:val="4"/>
              </w:rPr>
            </w:r>
          </w:p>
        </w:tc>
        <w:tc>
          <w:tcPr>
            <w:tcW w:w="169" w:type="dxa"/>
            <w:tcBorders/>
            <w:shd w:fill="auto" w:val="clear"/>
            <w:vAlign w:val="center"/>
          </w:tcPr>
          <w:p>
            <w:pPr>
              <w:pStyle w:val="TableContents"/>
              <w:spacing w:before="0" w:after="0"/>
              <w:ind w:left="0" w:right="0" w:hanging="0"/>
              <w:jc w:val="left"/>
              <w:rPr/>
            </w:pPr>
            <w:r>
              <w:rPr/>
              <w:t> </w:t>
            </w:r>
          </w:p>
        </w:tc>
        <w:tc>
          <w:tcPr>
            <w:tcW w:w="663"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53</w:t>
            </w:r>
          </w:p>
        </w:tc>
        <w:tc>
          <w:tcPr>
            <w:tcW w:w="391" w:type="dxa"/>
            <w:tcBorders/>
            <w:shd w:fill="auto" w:val="clear"/>
            <w:vAlign w:val="center"/>
          </w:tcPr>
          <w:p>
            <w:pPr>
              <w:pStyle w:val="TableContents"/>
              <w:spacing w:before="0" w:after="0"/>
              <w:ind w:left="0" w:right="0" w:firstLine="200"/>
              <w:jc w:val="left"/>
              <w:rPr/>
            </w:pPr>
            <w:r>
              <w:rPr/>
              <w:t> </w:t>
            </w:r>
          </w:p>
        </w:tc>
      </w:tr>
      <w:tr>
        <w:trPr/>
        <w:tc>
          <w:tcPr>
            <w:tcW w:w="3466" w:type="dxa"/>
            <w:tcBorders/>
            <w:shd w:fill="auto" w:val="clear"/>
            <w:vAlign w:val="center"/>
          </w:tcPr>
          <w:p>
            <w:pPr>
              <w:pStyle w:val="TableContents"/>
              <w:spacing w:before="0" w:after="0"/>
              <w:ind w:left="200" w:right="0" w:hanging="0"/>
              <w:jc w:val="left"/>
              <w:rPr>
                <w:rFonts w:ascii="Times New Roman;serif" w:hAnsi="Times New Roman;serif"/>
                <w:b w:val="false"/>
                <w:sz w:val="20"/>
              </w:rPr>
            </w:pPr>
            <w:r>
              <w:rPr>
                <w:rFonts w:ascii="Times New Roman;serif" w:hAnsi="Times New Roman;serif"/>
                <w:b w:val="false"/>
                <w:sz w:val="20"/>
              </w:rPr>
              <w:t>Rest of the World</w:t>
            </w:r>
          </w:p>
        </w:tc>
        <w:tc>
          <w:tcPr>
            <w:tcW w:w="146" w:type="dxa"/>
            <w:tcBorders/>
            <w:shd w:fill="auto" w:val="clear"/>
            <w:vAlign w:val="center"/>
          </w:tcPr>
          <w:p>
            <w:pPr>
              <w:pStyle w:val="TableContents"/>
              <w:spacing w:before="0" w:after="0"/>
              <w:ind w:left="0" w:right="0" w:hanging="0"/>
              <w:jc w:val="left"/>
              <w:rPr/>
            </w:pPr>
            <w:r>
              <w:rPr/>
              <w:t> </w:t>
            </w:r>
          </w:p>
        </w:tc>
        <w:tc>
          <w:tcPr>
            <w:tcW w:w="239"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692"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16</w:t>
            </w:r>
          </w:p>
        </w:tc>
        <w:tc>
          <w:tcPr>
            <w:tcW w:w="169"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69" w:type="dxa"/>
            <w:tcBorders>
              <w:bottom w:val="single" w:sz="4" w:space="0" w:color="000000"/>
            </w:tcBorders>
            <w:shd w:fill="auto" w:val="clear"/>
            <w:tcMar>
              <w:top w:w="0" w:type="dxa"/>
              <w:left w:w="0" w:type="dxa"/>
              <w:right w:w="0" w:type="dxa"/>
            </w:tcMar>
            <w:vAlign w:val="center"/>
          </w:tcPr>
          <w:p>
            <w:pPr>
              <w:pStyle w:val="TableContents"/>
              <w:spacing w:before="0" w:after="283"/>
              <w:ind w:left="0" w:right="0" w:hanging="0"/>
              <w:rPr>
                <w:sz w:val="4"/>
                <w:szCs w:val="4"/>
              </w:rPr>
            </w:pPr>
            <w:r>
              <w:rPr>
                <w:sz w:val="4"/>
                <w:szCs w:val="4"/>
              </w:rPr>
            </w:r>
          </w:p>
        </w:tc>
        <w:tc>
          <w:tcPr>
            <w:tcW w:w="169"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488"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pPr>
            <w:r>
              <w:rPr/>
              <w:t>—</w:t>
            </w:r>
          </w:p>
        </w:tc>
        <w:tc>
          <w:tcPr>
            <w:tcW w:w="169"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69" w:type="dxa"/>
            <w:tcBorders>
              <w:bottom w:val="single" w:sz="4" w:space="0" w:color="000000"/>
            </w:tcBorders>
            <w:shd w:fill="auto" w:val="clear"/>
            <w:tcMar>
              <w:top w:w="0" w:type="dxa"/>
              <w:left w:w="0" w:type="dxa"/>
              <w:right w:w="0" w:type="dxa"/>
            </w:tcMar>
            <w:vAlign w:val="center"/>
          </w:tcPr>
          <w:p>
            <w:pPr>
              <w:pStyle w:val="TableContents"/>
              <w:spacing w:before="0" w:after="283"/>
              <w:ind w:left="0" w:right="0" w:hanging="0"/>
              <w:rPr>
                <w:sz w:val="4"/>
                <w:szCs w:val="4"/>
              </w:rPr>
            </w:pPr>
            <w:r>
              <w:rPr>
                <w:sz w:val="4"/>
                <w:szCs w:val="4"/>
              </w:rPr>
            </w:r>
          </w:p>
        </w:tc>
        <w:tc>
          <w:tcPr>
            <w:tcW w:w="247"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713"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52</w:t>
            </w:r>
          </w:p>
        </w:tc>
        <w:tc>
          <w:tcPr>
            <w:tcW w:w="169"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69" w:type="dxa"/>
            <w:tcBorders>
              <w:bottom w:val="single" w:sz="4" w:space="0" w:color="000000"/>
            </w:tcBorders>
            <w:shd w:fill="auto" w:val="clear"/>
            <w:tcMar>
              <w:top w:w="0" w:type="dxa"/>
              <w:left w:w="0" w:type="dxa"/>
              <w:right w:w="0" w:type="dxa"/>
            </w:tcMar>
            <w:vAlign w:val="center"/>
          </w:tcPr>
          <w:p>
            <w:pPr>
              <w:pStyle w:val="TableContents"/>
              <w:spacing w:before="0" w:after="283"/>
              <w:ind w:left="0" w:right="0" w:hanging="0"/>
              <w:rPr>
                <w:sz w:val="4"/>
                <w:szCs w:val="4"/>
              </w:rPr>
            </w:pPr>
            <w:r>
              <w:rPr>
                <w:sz w:val="4"/>
                <w:szCs w:val="4"/>
              </w:rPr>
            </w:r>
          </w:p>
        </w:tc>
        <w:tc>
          <w:tcPr>
            <w:tcW w:w="169"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663"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68</w:t>
            </w:r>
          </w:p>
        </w:tc>
        <w:tc>
          <w:tcPr>
            <w:tcW w:w="3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r>
        <w:trPr/>
        <w:tc>
          <w:tcPr>
            <w:tcW w:w="346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International Total</w:t>
            </w:r>
          </w:p>
        </w:tc>
        <w:tc>
          <w:tcPr>
            <w:tcW w:w="146" w:type="dxa"/>
            <w:tcBorders/>
            <w:shd w:fill="auto" w:val="clear"/>
            <w:vAlign w:val="center"/>
          </w:tcPr>
          <w:p>
            <w:pPr>
              <w:pStyle w:val="TableContents"/>
              <w:spacing w:before="0" w:after="0"/>
              <w:ind w:left="0" w:right="0" w:hanging="0"/>
              <w:jc w:val="left"/>
              <w:rPr/>
            </w:pPr>
            <w:r>
              <w:rPr/>
              <w:t> </w:t>
            </w:r>
          </w:p>
        </w:tc>
        <w:tc>
          <w:tcPr>
            <w:tcW w:w="239" w:type="dxa"/>
            <w:tcBorders/>
            <w:shd w:fill="auto" w:val="clear"/>
            <w:vAlign w:val="center"/>
          </w:tcPr>
          <w:p>
            <w:pPr>
              <w:pStyle w:val="TableContents"/>
              <w:spacing w:before="0" w:after="0"/>
              <w:ind w:left="0" w:right="0" w:hanging="0"/>
              <w:jc w:val="left"/>
              <w:rPr/>
            </w:pPr>
            <w:r>
              <w:rPr/>
              <w:t> </w:t>
            </w:r>
          </w:p>
        </w:tc>
        <w:tc>
          <w:tcPr>
            <w:tcW w:w="692"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494</w:t>
            </w:r>
          </w:p>
        </w:tc>
        <w:tc>
          <w:tcPr>
            <w:tcW w:w="169" w:type="dxa"/>
            <w:tcBorders/>
            <w:shd w:fill="auto" w:val="clear"/>
            <w:vAlign w:val="center"/>
          </w:tcPr>
          <w:p>
            <w:pPr>
              <w:pStyle w:val="TableContents"/>
              <w:spacing w:before="0" w:after="0"/>
              <w:ind w:left="0" w:right="0" w:hanging="0"/>
              <w:jc w:val="left"/>
              <w:rPr/>
            </w:pPr>
            <w:r>
              <w:rPr/>
              <w:t> </w:t>
            </w:r>
          </w:p>
        </w:tc>
        <w:tc>
          <w:tcPr>
            <w:tcW w:w="169" w:type="dxa"/>
            <w:tcBorders/>
            <w:shd w:fill="auto" w:val="clear"/>
            <w:vAlign w:val="center"/>
          </w:tcPr>
          <w:p>
            <w:pPr>
              <w:pStyle w:val="TableContents"/>
              <w:spacing w:before="0" w:after="283"/>
              <w:ind w:left="0" w:right="0" w:hanging="0"/>
              <w:rPr>
                <w:sz w:val="4"/>
                <w:szCs w:val="4"/>
              </w:rPr>
            </w:pPr>
            <w:r>
              <w:rPr>
                <w:sz w:val="4"/>
                <w:szCs w:val="4"/>
              </w:rPr>
            </w:r>
          </w:p>
        </w:tc>
        <w:tc>
          <w:tcPr>
            <w:tcW w:w="169" w:type="dxa"/>
            <w:tcBorders/>
            <w:shd w:fill="auto" w:val="clear"/>
            <w:vAlign w:val="center"/>
          </w:tcPr>
          <w:p>
            <w:pPr>
              <w:pStyle w:val="TableContents"/>
              <w:spacing w:before="0" w:after="0"/>
              <w:ind w:left="0" w:right="0" w:hanging="0"/>
              <w:jc w:val="left"/>
              <w:rPr/>
            </w:pPr>
            <w:r>
              <w:rPr/>
              <w:t> </w:t>
            </w:r>
          </w:p>
        </w:tc>
        <w:tc>
          <w:tcPr>
            <w:tcW w:w="488"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142</w:t>
            </w:r>
          </w:p>
        </w:tc>
        <w:tc>
          <w:tcPr>
            <w:tcW w:w="169" w:type="dxa"/>
            <w:tcBorders/>
            <w:shd w:fill="auto" w:val="clear"/>
            <w:vAlign w:val="center"/>
          </w:tcPr>
          <w:p>
            <w:pPr>
              <w:pStyle w:val="TableContents"/>
              <w:spacing w:before="0" w:after="0"/>
              <w:ind w:left="0" w:right="0" w:hanging="0"/>
              <w:jc w:val="left"/>
              <w:rPr/>
            </w:pPr>
            <w:r>
              <w:rPr/>
              <w:t> </w:t>
            </w:r>
          </w:p>
        </w:tc>
        <w:tc>
          <w:tcPr>
            <w:tcW w:w="169" w:type="dxa"/>
            <w:tcBorders/>
            <w:shd w:fill="auto" w:val="clear"/>
            <w:vAlign w:val="center"/>
          </w:tcPr>
          <w:p>
            <w:pPr>
              <w:pStyle w:val="TableContents"/>
              <w:spacing w:before="0" w:after="283"/>
              <w:ind w:left="0" w:right="0" w:hanging="0"/>
              <w:rPr>
                <w:sz w:val="4"/>
                <w:szCs w:val="4"/>
              </w:rPr>
            </w:pPr>
            <w:r>
              <w:rPr>
                <w:sz w:val="4"/>
                <w:szCs w:val="4"/>
              </w:rPr>
            </w:r>
          </w:p>
        </w:tc>
        <w:tc>
          <w:tcPr>
            <w:tcW w:w="247" w:type="dxa"/>
            <w:tcBorders/>
            <w:shd w:fill="auto" w:val="clear"/>
            <w:vAlign w:val="center"/>
          </w:tcPr>
          <w:p>
            <w:pPr>
              <w:pStyle w:val="TableContents"/>
              <w:spacing w:before="0" w:after="0"/>
              <w:ind w:left="0" w:right="0" w:hanging="0"/>
              <w:jc w:val="left"/>
              <w:rPr/>
            </w:pPr>
            <w:r>
              <w:rPr/>
              <w:t> </w:t>
            </w:r>
          </w:p>
        </w:tc>
        <w:tc>
          <w:tcPr>
            <w:tcW w:w="713"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568</w:t>
            </w:r>
          </w:p>
        </w:tc>
        <w:tc>
          <w:tcPr>
            <w:tcW w:w="169" w:type="dxa"/>
            <w:tcBorders/>
            <w:shd w:fill="auto" w:val="clear"/>
            <w:vAlign w:val="center"/>
          </w:tcPr>
          <w:p>
            <w:pPr>
              <w:pStyle w:val="TableContents"/>
              <w:spacing w:before="0" w:after="0"/>
              <w:ind w:left="0" w:right="0" w:hanging="0"/>
              <w:jc w:val="left"/>
              <w:rPr/>
            </w:pPr>
            <w:r>
              <w:rPr/>
              <w:t> </w:t>
            </w:r>
          </w:p>
        </w:tc>
        <w:tc>
          <w:tcPr>
            <w:tcW w:w="169" w:type="dxa"/>
            <w:tcBorders/>
            <w:shd w:fill="auto" w:val="clear"/>
            <w:vAlign w:val="center"/>
          </w:tcPr>
          <w:p>
            <w:pPr>
              <w:pStyle w:val="TableContents"/>
              <w:spacing w:before="0" w:after="283"/>
              <w:ind w:left="0" w:right="0" w:hanging="0"/>
              <w:rPr>
                <w:sz w:val="4"/>
                <w:szCs w:val="4"/>
              </w:rPr>
            </w:pPr>
            <w:r>
              <w:rPr>
                <w:sz w:val="4"/>
                <w:szCs w:val="4"/>
              </w:rPr>
            </w:r>
          </w:p>
        </w:tc>
        <w:tc>
          <w:tcPr>
            <w:tcW w:w="169" w:type="dxa"/>
            <w:tcBorders/>
            <w:shd w:fill="auto" w:val="clear"/>
            <w:vAlign w:val="center"/>
          </w:tcPr>
          <w:p>
            <w:pPr>
              <w:pStyle w:val="TableContents"/>
              <w:spacing w:before="0" w:after="0"/>
              <w:ind w:left="0" w:right="0" w:hanging="0"/>
              <w:jc w:val="left"/>
              <w:rPr/>
            </w:pPr>
            <w:r>
              <w:rPr/>
              <w:t> </w:t>
            </w:r>
          </w:p>
        </w:tc>
        <w:tc>
          <w:tcPr>
            <w:tcW w:w="663"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1,204</w:t>
            </w:r>
          </w:p>
        </w:tc>
        <w:tc>
          <w:tcPr>
            <w:tcW w:w="391" w:type="dxa"/>
            <w:tcBorders/>
            <w:shd w:fill="auto" w:val="clear"/>
            <w:vAlign w:val="center"/>
          </w:tcPr>
          <w:p>
            <w:pPr>
              <w:pStyle w:val="TableContents"/>
              <w:spacing w:before="0" w:after="0"/>
              <w:ind w:left="0" w:right="0" w:hanging="0"/>
              <w:jc w:val="left"/>
              <w:rPr/>
            </w:pPr>
            <w:r>
              <w:rPr/>
              <w:t> </w:t>
            </w:r>
          </w:p>
        </w:tc>
      </w:tr>
      <w:tr>
        <w:trPr/>
        <w:tc>
          <w:tcPr>
            <w:tcW w:w="3466" w:type="dxa"/>
            <w:tcBorders/>
            <w:shd w:fill="auto" w:val="clear"/>
            <w:vAlign w:val="center"/>
          </w:tcPr>
          <w:p>
            <w:pPr>
              <w:pStyle w:val="TableContents"/>
              <w:spacing w:before="0" w:after="0"/>
              <w:ind w:left="0" w:right="0" w:hanging="0"/>
              <w:jc w:val="left"/>
              <w:rPr>
                <w:rFonts w:ascii="Times New Roman" w:hAnsi="Times New Roman"/>
                <w:sz w:val="20"/>
              </w:rPr>
            </w:pPr>
            <w:r>
              <w:rPr>
                <w:rFonts w:ascii="Times New Roman;serif" w:hAnsi="Times New Roman;serif"/>
                <w:b w:val="false"/>
                <w:sz w:val="20"/>
              </w:rPr>
              <w:t>Worldwide Total</w:t>
            </w:r>
            <w:r>
              <w:rPr>
                <w:rFonts w:ascii="Times New Roman;serif" w:hAnsi="Times New Roman;serif"/>
                <w:b w:val="false"/>
                <w:sz w:val="13"/>
              </w:rPr>
              <w:t>(2)</w:t>
            </w:r>
          </w:p>
        </w:tc>
        <w:tc>
          <w:tcPr>
            <w:tcW w:w="146" w:type="dxa"/>
            <w:tcBorders/>
            <w:shd w:fill="auto" w:val="clear"/>
            <w:vAlign w:val="center"/>
          </w:tcPr>
          <w:p>
            <w:pPr>
              <w:pStyle w:val="TableContents"/>
              <w:spacing w:before="0" w:after="0"/>
              <w:ind w:left="0" w:right="0" w:hanging="0"/>
              <w:jc w:val="left"/>
              <w:rPr/>
            </w:pPr>
            <w:r>
              <w:rPr/>
              <w:t> </w:t>
            </w:r>
          </w:p>
        </w:tc>
        <w:tc>
          <w:tcPr>
            <w:tcW w:w="239" w:type="dxa"/>
            <w:tcBorders>
              <w:top w:val="single" w:sz="4" w:space="0" w:color="000000"/>
              <w:bottom w:val="double" w:sz="6" w:space="0" w:color="000000"/>
            </w:tcBorders>
            <w:shd w:fill="auto" w:val="clear"/>
            <w:tcMar>
              <w:left w:w="0" w:type="dxa"/>
              <w:right w:w="0" w:type="dxa"/>
            </w:tcMar>
            <w:vAlign w:val="center"/>
          </w:tcPr>
          <w:p>
            <w:pPr>
              <w:pStyle w:val="TableContents"/>
              <w:spacing w:before="0" w:after="0"/>
              <w:ind w:left="0" w:right="0" w:hanging="0"/>
              <w:jc w:val="left"/>
              <w:rPr/>
            </w:pPr>
            <w:r>
              <w:rPr/>
              <w:t> </w:t>
            </w:r>
          </w:p>
        </w:tc>
        <w:tc>
          <w:tcPr>
            <w:tcW w:w="692" w:type="dxa"/>
            <w:tcBorders>
              <w:top w:val="single" w:sz="4" w:space="0" w:color="000000"/>
              <w:bottom w:val="double" w:sz="6" w:space="0" w:color="000000"/>
            </w:tcBorders>
            <w:shd w:fill="auto" w:val="clear"/>
            <w:tcMar>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767</w:t>
            </w:r>
          </w:p>
        </w:tc>
        <w:tc>
          <w:tcPr>
            <w:tcW w:w="169" w:type="dxa"/>
            <w:tcBorders>
              <w:top w:val="single" w:sz="4" w:space="0" w:color="000000"/>
              <w:bottom w:val="double" w:sz="6" w:space="0" w:color="000000"/>
            </w:tcBorders>
            <w:shd w:fill="auto" w:val="clear"/>
            <w:tcMar>
              <w:left w:w="0" w:type="dxa"/>
              <w:right w:w="0" w:type="dxa"/>
            </w:tcMar>
            <w:vAlign w:val="center"/>
          </w:tcPr>
          <w:p>
            <w:pPr>
              <w:pStyle w:val="TableContents"/>
              <w:spacing w:before="0" w:after="0"/>
              <w:ind w:left="0" w:right="0" w:hanging="0"/>
              <w:jc w:val="left"/>
              <w:rPr/>
            </w:pPr>
            <w:r>
              <w:rPr/>
              <w:t> </w:t>
            </w:r>
          </w:p>
        </w:tc>
        <w:tc>
          <w:tcPr>
            <w:tcW w:w="169" w:type="dxa"/>
            <w:tcBorders>
              <w:top w:val="single" w:sz="4" w:space="0" w:color="000000"/>
              <w:bottom w:val="double" w:sz="6" w:space="0" w:color="000000"/>
            </w:tcBorders>
            <w:shd w:fill="auto" w:val="clear"/>
            <w:tcMar>
              <w:left w:w="0" w:type="dxa"/>
              <w:right w:w="0" w:type="dxa"/>
            </w:tcMar>
            <w:vAlign w:val="center"/>
          </w:tcPr>
          <w:p>
            <w:pPr>
              <w:pStyle w:val="TableContents"/>
              <w:spacing w:before="0" w:after="283"/>
              <w:ind w:left="0" w:right="0" w:hanging="0"/>
              <w:rPr>
                <w:sz w:val="4"/>
                <w:szCs w:val="4"/>
              </w:rPr>
            </w:pPr>
            <w:r>
              <w:rPr>
                <w:sz w:val="4"/>
                <w:szCs w:val="4"/>
              </w:rPr>
            </w:r>
          </w:p>
        </w:tc>
        <w:tc>
          <w:tcPr>
            <w:tcW w:w="169" w:type="dxa"/>
            <w:tcBorders>
              <w:top w:val="single" w:sz="4" w:space="0" w:color="000000"/>
              <w:bottom w:val="double" w:sz="6" w:space="0" w:color="000000"/>
            </w:tcBorders>
            <w:shd w:fill="auto" w:val="clear"/>
            <w:tcMar>
              <w:left w:w="0" w:type="dxa"/>
              <w:right w:w="0" w:type="dxa"/>
            </w:tcMar>
            <w:vAlign w:val="center"/>
          </w:tcPr>
          <w:p>
            <w:pPr>
              <w:pStyle w:val="TableContents"/>
              <w:spacing w:before="0" w:after="0"/>
              <w:ind w:left="0" w:right="0" w:hanging="0"/>
              <w:jc w:val="left"/>
              <w:rPr/>
            </w:pPr>
            <w:r>
              <w:rPr/>
              <w:t> </w:t>
            </w:r>
          </w:p>
        </w:tc>
        <w:tc>
          <w:tcPr>
            <w:tcW w:w="488" w:type="dxa"/>
            <w:tcBorders>
              <w:top w:val="single" w:sz="4" w:space="0" w:color="000000"/>
              <w:bottom w:val="double" w:sz="6" w:space="0" w:color="000000"/>
            </w:tcBorders>
            <w:shd w:fill="auto" w:val="clear"/>
            <w:tcMar>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148</w:t>
            </w:r>
          </w:p>
        </w:tc>
        <w:tc>
          <w:tcPr>
            <w:tcW w:w="169" w:type="dxa"/>
            <w:tcBorders>
              <w:top w:val="single" w:sz="4" w:space="0" w:color="000000"/>
              <w:bottom w:val="double" w:sz="6" w:space="0" w:color="000000"/>
            </w:tcBorders>
            <w:shd w:fill="auto" w:val="clear"/>
            <w:tcMar>
              <w:left w:w="0" w:type="dxa"/>
              <w:right w:w="0" w:type="dxa"/>
            </w:tcMar>
            <w:vAlign w:val="center"/>
          </w:tcPr>
          <w:p>
            <w:pPr>
              <w:pStyle w:val="TableContents"/>
              <w:spacing w:before="0" w:after="0"/>
              <w:ind w:left="0" w:right="0" w:hanging="0"/>
              <w:jc w:val="left"/>
              <w:rPr/>
            </w:pPr>
            <w:r>
              <w:rPr/>
              <w:t> </w:t>
            </w:r>
          </w:p>
        </w:tc>
        <w:tc>
          <w:tcPr>
            <w:tcW w:w="169" w:type="dxa"/>
            <w:tcBorders>
              <w:top w:val="single" w:sz="4" w:space="0" w:color="000000"/>
              <w:bottom w:val="double" w:sz="6" w:space="0" w:color="000000"/>
            </w:tcBorders>
            <w:shd w:fill="auto" w:val="clear"/>
            <w:tcMar>
              <w:left w:w="0" w:type="dxa"/>
              <w:right w:w="0" w:type="dxa"/>
            </w:tcMar>
            <w:vAlign w:val="center"/>
          </w:tcPr>
          <w:p>
            <w:pPr>
              <w:pStyle w:val="TableContents"/>
              <w:spacing w:before="0" w:after="283"/>
              <w:ind w:left="0" w:right="0" w:hanging="0"/>
              <w:rPr>
                <w:sz w:val="4"/>
                <w:szCs w:val="4"/>
              </w:rPr>
            </w:pPr>
            <w:r>
              <w:rPr>
                <w:sz w:val="4"/>
                <w:szCs w:val="4"/>
              </w:rPr>
            </w:r>
          </w:p>
        </w:tc>
        <w:tc>
          <w:tcPr>
            <w:tcW w:w="247" w:type="dxa"/>
            <w:tcBorders>
              <w:top w:val="single" w:sz="4" w:space="0" w:color="000000"/>
              <w:bottom w:val="double" w:sz="6" w:space="0" w:color="000000"/>
            </w:tcBorders>
            <w:shd w:fill="auto" w:val="clear"/>
            <w:tcMar>
              <w:left w:w="0" w:type="dxa"/>
              <w:right w:w="0" w:type="dxa"/>
            </w:tcMar>
            <w:vAlign w:val="center"/>
          </w:tcPr>
          <w:p>
            <w:pPr>
              <w:pStyle w:val="TableContents"/>
              <w:spacing w:before="0" w:after="0"/>
              <w:ind w:left="0" w:right="0" w:hanging="0"/>
              <w:jc w:val="left"/>
              <w:rPr/>
            </w:pPr>
            <w:r>
              <w:rPr/>
              <w:t> </w:t>
            </w:r>
          </w:p>
        </w:tc>
        <w:tc>
          <w:tcPr>
            <w:tcW w:w="713" w:type="dxa"/>
            <w:tcBorders>
              <w:top w:val="single" w:sz="4" w:space="0" w:color="000000"/>
              <w:bottom w:val="double" w:sz="6" w:space="0" w:color="000000"/>
            </w:tcBorders>
            <w:shd w:fill="auto" w:val="clear"/>
            <w:tcMar>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691</w:t>
            </w:r>
          </w:p>
        </w:tc>
        <w:tc>
          <w:tcPr>
            <w:tcW w:w="169" w:type="dxa"/>
            <w:tcBorders>
              <w:top w:val="single" w:sz="4" w:space="0" w:color="000000"/>
              <w:bottom w:val="double" w:sz="6" w:space="0" w:color="000000"/>
            </w:tcBorders>
            <w:shd w:fill="auto" w:val="clear"/>
            <w:tcMar>
              <w:left w:w="0" w:type="dxa"/>
              <w:right w:w="0" w:type="dxa"/>
            </w:tcMar>
            <w:vAlign w:val="center"/>
          </w:tcPr>
          <w:p>
            <w:pPr>
              <w:pStyle w:val="TableContents"/>
              <w:spacing w:before="0" w:after="0"/>
              <w:ind w:left="0" w:right="0" w:hanging="0"/>
              <w:jc w:val="left"/>
              <w:rPr/>
            </w:pPr>
            <w:r>
              <w:rPr/>
              <w:t> </w:t>
            </w:r>
          </w:p>
        </w:tc>
        <w:tc>
          <w:tcPr>
            <w:tcW w:w="169" w:type="dxa"/>
            <w:tcBorders>
              <w:top w:val="single" w:sz="4" w:space="0" w:color="000000"/>
              <w:bottom w:val="double" w:sz="6" w:space="0" w:color="000000"/>
            </w:tcBorders>
            <w:shd w:fill="auto" w:val="clear"/>
            <w:tcMar>
              <w:left w:w="0" w:type="dxa"/>
              <w:right w:w="0" w:type="dxa"/>
            </w:tcMar>
            <w:vAlign w:val="center"/>
          </w:tcPr>
          <w:p>
            <w:pPr>
              <w:pStyle w:val="TableContents"/>
              <w:spacing w:before="0" w:after="283"/>
              <w:ind w:left="0" w:right="0" w:hanging="0"/>
              <w:rPr>
                <w:sz w:val="4"/>
                <w:szCs w:val="4"/>
              </w:rPr>
            </w:pPr>
            <w:r>
              <w:rPr>
                <w:sz w:val="4"/>
                <w:szCs w:val="4"/>
              </w:rPr>
            </w:r>
          </w:p>
        </w:tc>
        <w:tc>
          <w:tcPr>
            <w:tcW w:w="169" w:type="dxa"/>
            <w:tcBorders>
              <w:top w:val="single" w:sz="4" w:space="0" w:color="000000"/>
              <w:bottom w:val="double" w:sz="6" w:space="0" w:color="000000"/>
            </w:tcBorders>
            <w:shd w:fill="auto" w:val="clear"/>
            <w:tcMar>
              <w:left w:w="0" w:type="dxa"/>
              <w:right w:w="0" w:type="dxa"/>
            </w:tcMar>
            <w:vAlign w:val="center"/>
          </w:tcPr>
          <w:p>
            <w:pPr>
              <w:pStyle w:val="TableContents"/>
              <w:spacing w:before="0" w:after="0"/>
              <w:ind w:left="0" w:right="0" w:hanging="0"/>
              <w:jc w:val="left"/>
              <w:rPr/>
            </w:pPr>
            <w:r>
              <w:rPr/>
              <w:t> </w:t>
            </w:r>
          </w:p>
        </w:tc>
        <w:tc>
          <w:tcPr>
            <w:tcW w:w="663" w:type="dxa"/>
            <w:tcBorders>
              <w:top w:val="single" w:sz="4" w:space="0" w:color="000000"/>
              <w:bottom w:val="double" w:sz="6" w:space="0" w:color="000000"/>
            </w:tcBorders>
            <w:shd w:fill="auto" w:val="clear"/>
            <w:tcMar>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1,606</w:t>
            </w:r>
          </w:p>
        </w:tc>
        <w:tc>
          <w:tcPr>
            <w:tcW w:w="391" w:type="dxa"/>
            <w:tcBorders>
              <w:top w:val="single" w:sz="4" w:space="0" w:color="000000"/>
              <w:bottom w:val="double" w:sz="6" w:space="0" w:color="000000"/>
            </w:tcBorders>
            <w:shd w:fill="auto" w:val="clear"/>
            <w:tcMar>
              <w:left w:w="0" w:type="dxa"/>
              <w:right w:w="0" w:type="dxa"/>
            </w:tcMar>
            <w:vAlign w:val="center"/>
          </w:tcPr>
          <w:p>
            <w:pPr>
              <w:pStyle w:val="TableContents"/>
              <w:spacing w:before="0" w:after="0"/>
              <w:ind w:left="0" w:right="0" w:hanging="0"/>
              <w:jc w:val="left"/>
              <w:rPr/>
            </w:pPr>
            <w:r>
              <w:rPr/>
              <w:t> </w:t>
            </w:r>
          </w:p>
        </w:tc>
      </w:tr>
    </w:tbl>
    <w:p>
      <w:pPr>
        <w:pStyle w:val="TextBody"/>
        <w:pBdr>
          <w:bottom w:val="single" w:sz="4" w:space="1" w:color="000000"/>
        </w:pBdr>
        <w:spacing w:before="0" w:after="0"/>
        <w:jc w:val="left"/>
        <w:rPr/>
      </w:pPr>
      <w:r>
        <w:rPr/>
        <w:t> </w:t>
      </w:r>
    </w:p>
    <w:p>
      <w:pPr>
        <w:pStyle w:val="TextBody"/>
        <w:spacing w:before="200" w:after="0"/>
        <w:jc w:val="both"/>
        <w:rPr>
          <w:rFonts w:ascii="Times New Roman" w:hAnsi="Times New Roman"/>
          <w:b w:val="false"/>
          <w:sz w:val="20"/>
        </w:rPr>
      </w:pPr>
      <w:r>
        <w:rPr>
          <w:rFonts w:ascii="Times New Roman" w:hAnsi="Times New Roman"/>
          <w:b w:val="false"/>
          <w:sz w:val="20"/>
        </w:rPr>
        <w:t>(1)</w:t>
      </w:r>
    </w:p>
    <w:p>
      <w:pPr>
        <w:pStyle w:val="TextBody"/>
        <w:spacing w:before="200" w:after="0"/>
        <w:jc w:val="both"/>
        <w:rPr>
          <w:rFonts w:ascii="Times New Roman;serif" w:hAnsi="Times New Roman;serif"/>
          <w:b w:val="false"/>
          <w:sz w:val="20"/>
        </w:rPr>
      </w:pPr>
      <w:r>
        <w:rPr>
          <w:rFonts w:ascii="Times New Roman;serif" w:hAnsi="Times New Roman;serif"/>
          <w:b w:val="false"/>
          <w:sz w:val="20"/>
        </w:rPr>
        <w:t>In addition to Russia, the Company has IMAX Systems in the Commonwealth of Independent States (“CIS”) which are Azerbaijan, Belarus, Kazakhstan, and Kyrgyzstan. Commencing in March 2022, in response to the ongoing conflict between Russia and Ukraine and resulting sanctions, the Company suspended its operations in Russia and Belarus. As of March 31, 2023, the IMAX network includes 54 systems in Russia, eight systems in Ukraine, and one system in Belarus.</w:t>
      </w:r>
    </w:p>
    <w:p>
      <w:pPr>
        <w:pStyle w:val="TextBody"/>
        <w:spacing w:before="200" w:after="0"/>
        <w:jc w:val="both"/>
        <w:rPr>
          <w:rFonts w:ascii="Times New Roman" w:hAnsi="Times New Roman"/>
          <w:b w:val="false"/>
          <w:sz w:val="20"/>
        </w:rPr>
      </w:pPr>
      <w:r>
        <w:rPr>
          <w:rFonts w:ascii="Times New Roman" w:hAnsi="Times New Roman"/>
          <w:b w:val="false"/>
          <w:sz w:val="20"/>
        </w:rPr>
        <w:t>(2)</w:t>
      </w:r>
    </w:p>
    <w:p>
      <w:pPr>
        <w:pStyle w:val="TextBody"/>
        <w:spacing w:before="200" w:after="283"/>
        <w:jc w:val="both"/>
        <w:rPr>
          <w:rFonts w:ascii="Times New Roman;serif" w:hAnsi="Times New Roman;serif"/>
          <w:b w:val="false"/>
          <w:sz w:val="20"/>
        </w:rPr>
      </w:pPr>
      <w:r>
        <w:rPr>
          <w:rFonts w:ascii="Times New Roman;serif" w:hAnsi="Times New Roman;serif"/>
          <w:b w:val="false"/>
          <w:sz w:val="20"/>
        </w:rPr>
        <w:t xml:space="preserve">Period-to-period changes in the tables above are reported net of the effect of permanently closed systems. </w:t>
      </w:r>
    </w:p>
    <w:p>
      <w:pPr>
        <w:pStyle w:val="TextBody"/>
        <w:spacing w:before="200" w:after="0"/>
        <w:jc w:val="both"/>
        <w:rPr>
          <w:rFonts w:ascii="Times New Roman;serif" w:hAnsi="Times New Roman;serif"/>
          <w:b w:val="false"/>
          <w:i/>
          <w:sz w:val="20"/>
        </w:rPr>
      </w:pPr>
      <w:r>
        <w:rPr>
          <w:rFonts w:ascii="Times New Roman;serif" w:hAnsi="Times New Roman;serif"/>
          <w:b w:val="false"/>
          <w:i/>
          <w:sz w:val="20"/>
        </w:rPr>
        <w:t>Backlog</w:t>
      </w:r>
    </w:p>
    <w:p>
      <w:pPr>
        <w:pStyle w:val="TextBody"/>
        <w:spacing w:before="200" w:after="0"/>
        <w:jc w:val="both"/>
        <w:rPr>
          <w:rFonts w:ascii="Times New Roman;serif" w:hAnsi="Times New Roman;serif"/>
          <w:b w:val="false"/>
          <w:sz w:val="20"/>
        </w:rPr>
      </w:pPr>
      <w:r>
        <w:rPr>
          <w:rFonts w:ascii="Times New Roman;serif" w:hAnsi="Times New Roman;serif"/>
          <w:b w:val="false"/>
          <w:sz w:val="20"/>
        </w:rPr>
        <w:t>The following table provides detailed information about the Company’s backlog as of March 31, 2023 and 2022:</w:t>
      </w:r>
    </w:p>
    <w:p>
      <w:pPr>
        <w:pStyle w:val="TextBody"/>
        <w:spacing w:before="0" w:after="0"/>
        <w:jc w:val="both"/>
        <w:rPr/>
      </w:pPr>
      <w:r>
        <w:rPr/>
        <w:t> </w:t>
      </w:r>
    </w:p>
    <w:tbl>
      <w:tblPr>
        <w:tblW w:w="10484" w:type="dxa"/>
        <w:jc w:val="left"/>
        <w:tblInd w:w="0" w:type="dxa"/>
        <w:tblCellMar>
          <w:top w:w="28" w:type="dxa"/>
          <w:left w:w="28" w:type="dxa"/>
          <w:bottom w:w="28" w:type="dxa"/>
          <w:right w:w="28" w:type="dxa"/>
        </w:tblCellMar>
      </w:tblPr>
      <w:tblGrid>
        <w:gridCol w:w="1051"/>
        <w:gridCol w:w="146"/>
        <w:gridCol w:w="146"/>
        <w:gridCol w:w="376"/>
        <w:gridCol w:w="146"/>
        <w:gridCol w:w="146"/>
        <w:gridCol w:w="146"/>
        <w:gridCol w:w="248"/>
        <w:gridCol w:w="488"/>
        <w:gridCol w:w="146"/>
        <w:gridCol w:w="146"/>
        <w:gridCol w:w="146"/>
        <w:gridCol w:w="196"/>
        <w:gridCol w:w="691"/>
        <w:gridCol w:w="146"/>
        <w:gridCol w:w="146"/>
        <w:gridCol w:w="146"/>
        <w:gridCol w:w="196"/>
        <w:gridCol w:w="601"/>
        <w:gridCol w:w="146"/>
        <w:gridCol w:w="146"/>
        <w:gridCol w:w="146"/>
        <w:gridCol w:w="146"/>
        <w:gridCol w:w="376"/>
        <w:gridCol w:w="146"/>
        <w:gridCol w:w="146"/>
        <w:gridCol w:w="146"/>
        <w:gridCol w:w="205"/>
        <w:gridCol w:w="531"/>
        <w:gridCol w:w="146"/>
        <w:gridCol w:w="146"/>
        <w:gridCol w:w="146"/>
        <w:gridCol w:w="196"/>
        <w:gridCol w:w="691"/>
        <w:gridCol w:w="146"/>
        <w:gridCol w:w="146"/>
        <w:gridCol w:w="146"/>
        <w:gridCol w:w="196"/>
        <w:gridCol w:w="601"/>
        <w:gridCol w:w="146"/>
        <w:gridCol w:w="191"/>
      </w:tblGrid>
      <w:tr>
        <w:trPr/>
        <w:tc>
          <w:tcPr>
            <w:tcW w:w="1051"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37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48" w:type="dxa"/>
            <w:tcBorders/>
            <w:shd w:fill="auto" w:val="clear"/>
            <w:vAlign w:val="center"/>
          </w:tcPr>
          <w:p>
            <w:pPr>
              <w:pStyle w:val="TableContents"/>
              <w:spacing w:before="0" w:after="283"/>
              <w:rPr>
                <w:sz w:val="4"/>
                <w:szCs w:val="4"/>
              </w:rPr>
            </w:pPr>
            <w:r>
              <w:rPr>
                <w:sz w:val="4"/>
                <w:szCs w:val="4"/>
              </w:rPr>
            </w:r>
          </w:p>
        </w:tc>
        <w:tc>
          <w:tcPr>
            <w:tcW w:w="488"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691"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601"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37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05" w:type="dxa"/>
            <w:tcBorders/>
            <w:shd w:fill="auto" w:val="clear"/>
            <w:vAlign w:val="center"/>
          </w:tcPr>
          <w:p>
            <w:pPr>
              <w:pStyle w:val="TableContents"/>
              <w:spacing w:before="0" w:after="283"/>
              <w:rPr>
                <w:sz w:val="4"/>
                <w:szCs w:val="4"/>
              </w:rPr>
            </w:pPr>
            <w:r>
              <w:rPr>
                <w:sz w:val="4"/>
                <w:szCs w:val="4"/>
              </w:rPr>
            </w:r>
          </w:p>
        </w:tc>
        <w:tc>
          <w:tcPr>
            <w:tcW w:w="531"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691"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601"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91" w:type="dxa"/>
            <w:tcBorders/>
            <w:shd w:fill="auto" w:val="clear"/>
            <w:vAlign w:val="center"/>
          </w:tcPr>
          <w:p>
            <w:pPr>
              <w:pStyle w:val="TableContents"/>
              <w:spacing w:before="0" w:after="283"/>
              <w:rPr>
                <w:sz w:val="4"/>
                <w:szCs w:val="4"/>
              </w:rPr>
            </w:pPr>
            <w:r>
              <w:rPr>
                <w:sz w:val="4"/>
                <w:szCs w:val="4"/>
              </w:rPr>
            </w:r>
          </w:p>
        </w:tc>
      </w:tr>
      <w:tr>
        <w:trPr/>
        <w:tc>
          <w:tcPr>
            <w:tcW w:w="1051"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4256" w:type="dxa"/>
            <w:gridSpan w:val="17"/>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March 31, 2023</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4256" w:type="dxa"/>
            <w:gridSpan w:val="17"/>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March 31, 2022</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r>
        <w:trPr/>
        <w:tc>
          <w:tcPr>
            <w:tcW w:w="1051"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696" w:type="dxa"/>
            <w:gridSpan w:val="7"/>
            <w:tcBorders/>
            <w:shd w:fill="auto" w:val="cle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Number of</w:t>
            </w:r>
          </w:p>
        </w:tc>
        <w:tc>
          <w:tcPr>
            <w:tcW w:w="146"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2122" w:type="dxa"/>
            <w:gridSpan w:val="7"/>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696" w:type="dxa"/>
            <w:gridSpan w:val="7"/>
            <w:tcBorders/>
            <w:shd w:fill="auto" w:val="cle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Number of</w:t>
            </w:r>
          </w:p>
        </w:tc>
        <w:tc>
          <w:tcPr>
            <w:tcW w:w="146"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2122" w:type="dxa"/>
            <w:gridSpan w:val="7"/>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191" w:type="dxa"/>
            <w:tcBorders/>
            <w:shd w:fill="auto" w:val="clear"/>
            <w:vAlign w:val="center"/>
          </w:tcPr>
          <w:p>
            <w:pPr>
              <w:pStyle w:val="TableContents"/>
              <w:spacing w:before="0" w:after="0"/>
              <w:ind w:left="0" w:right="0" w:hanging="0"/>
              <w:jc w:val="left"/>
              <w:rPr/>
            </w:pPr>
            <w:r>
              <w:rPr/>
              <w:t> </w:t>
            </w:r>
          </w:p>
        </w:tc>
      </w:tr>
      <w:tr>
        <w:trPr/>
        <w:tc>
          <w:tcPr>
            <w:tcW w:w="1051"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696" w:type="dxa"/>
            <w:gridSpan w:val="7"/>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Systems</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2122" w:type="dxa"/>
            <w:gridSpan w:val="7"/>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Dollar Value</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696" w:type="dxa"/>
            <w:gridSpan w:val="7"/>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Systems</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2122" w:type="dxa"/>
            <w:gridSpan w:val="7"/>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Dollar Value</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r>
        <w:trPr/>
        <w:tc>
          <w:tcPr>
            <w:tcW w:w="1051" w:type="dxa"/>
            <w:tcBorders/>
            <w:shd w:fill="auto" w:val="clear"/>
            <w:vAlign w:val="center"/>
          </w:tcPr>
          <w:p>
            <w:pPr>
              <w:pStyle w:val="TableContents"/>
              <w:spacing w:before="0" w:after="0"/>
              <w:ind w:left="0" w:right="0" w:hanging="0"/>
              <w:jc w:val="left"/>
              <w:rPr>
                <w:rFonts w:ascii="Times New Roman;serif" w:hAnsi="Times New Roman;serif"/>
                <w:b w:val="false"/>
                <w:i/>
                <w:sz w:val="16"/>
              </w:rPr>
            </w:pPr>
            <w:r>
              <w:rPr>
                <w:rFonts w:ascii="Times New Roman;serif" w:hAnsi="Times New Roman;serif"/>
                <w:b w:val="false"/>
                <w:i/>
                <w:sz w:val="16"/>
              </w:rPr>
              <w:t>(In thousands of U.S. Dollars, except number of systems)</w:t>
            </w:r>
          </w:p>
        </w:tc>
        <w:tc>
          <w:tcPr>
            <w:tcW w:w="146" w:type="dxa"/>
            <w:tcBorders/>
            <w:shd w:fill="auto" w:val="clear"/>
            <w:vAlign w:val="center"/>
          </w:tcPr>
          <w:p>
            <w:pPr>
              <w:pStyle w:val="TableContents"/>
              <w:spacing w:before="0" w:after="0"/>
              <w:ind w:left="0" w:right="0" w:hanging="0"/>
              <w:jc w:val="left"/>
              <w:rPr/>
            </w:pPr>
            <w:r>
              <w:rPr/>
              <w:t> </w:t>
            </w:r>
          </w:p>
        </w:tc>
        <w:tc>
          <w:tcPr>
            <w:tcW w:w="522"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New</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736"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Upgrade</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887"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New</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797"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Upgrade</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522"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New</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736"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Upgrade</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887"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New</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797"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Upgrade</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r>
        <w:trPr/>
        <w:tc>
          <w:tcPr>
            <w:tcW w:w="1051" w:type="dxa"/>
            <w:tcBorders/>
            <w:shd w:fill="auto" w:val="clear"/>
            <w:vAlign w:val="center"/>
          </w:tcPr>
          <w:p>
            <w:pPr>
              <w:pStyle w:val="TableContents"/>
              <w:spacing w:before="0" w:after="0"/>
              <w:ind w:left="0" w:right="0" w:hanging="0"/>
              <w:jc w:val="left"/>
              <w:rPr>
                <w:rFonts w:ascii="Times New Roman;serif" w:hAnsi="Times New Roman;serif"/>
                <w:b w:val="false"/>
                <w:sz w:val="16"/>
              </w:rPr>
            </w:pPr>
            <w:r>
              <w:rPr>
                <w:rFonts w:ascii="Times New Roman;serif" w:hAnsi="Times New Roman;serif"/>
                <w:b w:val="false"/>
                <w:sz w:val="16"/>
              </w:rPr>
              <w:t>Sale and sales-type lease arrangements</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376"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157</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248" w:type="dxa"/>
            <w:tcBorders/>
            <w:shd w:fill="auto" w:val="clear"/>
            <w:vAlign w:val="center"/>
          </w:tcPr>
          <w:p>
            <w:pPr>
              <w:pStyle w:val="TableContents"/>
              <w:spacing w:before="0" w:after="0"/>
              <w:ind w:left="0" w:right="0" w:hanging="0"/>
              <w:jc w:val="left"/>
              <w:rPr/>
            </w:pPr>
            <w:r>
              <w:rPr/>
              <w:t> </w:t>
            </w:r>
          </w:p>
        </w:tc>
        <w:tc>
          <w:tcPr>
            <w:tcW w:w="488"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13</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96" w:type="dxa"/>
            <w:tcBorders/>
            <w:shd w:fill="auto" w:val="clear"/>
            <w:vAlign w:val="center"/>
          </w:tcPr>
          <w:p>
            <w:pPr>
              <w:pStyle w:val="TableContents"/>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691"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173,374</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96" w:type="dxa"/>
            <w:tcBorders/>
            <w:shd w:fill="auto" w:val="clear"/>
            <w:vAlign w:val="center"/>
          </w:tcPr>
          <w:p>
            <w:pPr>
              <w:pStyle w:val="TableContents"/>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601"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14,293</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376"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159</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205" w:type="dxa"/>
            <w:tcBorders/>
            <w:shd w:fill="auto" w:val="clear"/>
            <w:vAlign w:val="center"/>
          </w:tcPr>
          <w:p>
            <w:pPr>
              <w:pStyle w:val="TableContents"/>
              <w:spacing w:before="0" w:after="0"/>
              <w:ind w:left="0" w:right="0" w:hanging="0"/>
              <w:jc w:val="left"/>
              <w:rPr/>
            </w:pPr>
            <w:r>
              <w:rPr/>
              <w:t> </w:t>
            </w:r>
          </w:p>
        </w:tc>
        <w:tc>
          <w:tcPr>
            <w:tcW w:w="531"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12</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96" w:type="dxa"/>
            <w:tcBorders/>
            <w:shd w:fill="auto" w:val="clear"/>
            <w:vAlign w:val="center"/>
          </w:tcPr>
          <w:p>
            <w:pPr>
              <w:pStyle w:val="TableContents"/>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691"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182,246</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96" w:type="dxa"/>
            <w:tcBorders/>
            <w:shd w:fill="auto" w:val="clear"/>
            <w:vAlign w:val="center"/>
          </w:tcPr>
          <w:p>
            <w:pPr>
              <w:pStyle w:val="TableContents"/>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601"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11,252</w:t>
            </w:r>
          </w:p>
        </w:tc>
        <w:tc>
          <w:tcPr>
            <w:tcW w:w="146" w:type="dxa"/>
            <w:tcBorders/>
            <w:shd w:fill="auto" w:val="clear"/>
            <w:vAlign w:val="center"/>
          </w:tcPr>
          <w:p>
            <w:pPr>
              <w:pStyle w:val="TableContents"/>
              <w:spacing w:before="0" w:after="0"/>
              <w:ind w:left="0" w:right="0" w:hanging="0"/>
              <w:jc w:val="left"/>
              <w:rPr/>
            </w:pPr>
            <w:r>
              <w:rPr/>
              <w:t> </w:t>
            </w:r>
          </w:p>
        </w:tc>
        <w:tc>
          <w:tcPr>
            <w:tcW w:w="191" w:type="dxa"/>
            <w:tcBorders/>
            <w:shd w:fill="auto" w:val="clear"/>
            <w:vAlign w:val="center"/>
          </w:tcPr>
          <w:p>
            <w:pPr>
              <w:pStyle w:val="TableContents"/>
              <w:spacing w:before="0" w:after="0"/>
              <w:ind w:left="0" w:right="0" w:hanging="0"/>
              <w:jc w:val="left"/>
              <w:rPr/>
            </w:pPr>
            <w:r>
              <w:rPr/>
              <w:t> </w:t>
            </w:r>
          </w:p>
        </w:tc>
      </w:tr>
      <w:tr>
        <w:trPr/>
        <w:tc>
          <w:tcPr>
            <w:tcW w:w="1051" w:type="dxa"/>
            <w:tcBorders/>
            <w:shd w:fill="auto" w:val="clear"/>
            <w:vAlign w:val="center"/>
          </w:tcPr>
          <w:p>
            <w:pPr>
              <w:pStyle w:val="TableContents"/>
              <w:spacing w:before="0" w:after="0"/>
              <w:ind w:left="0" w:right="0" w:hanging="0"/>
              <w:jc w:val="left"/>
              <w:rPr>
                <w:rFonts w:ascii="Times New Roman;serif" w:hAnsi="Times New Roman;serif"/>
                <w:b w:val="false"/>
                <w:sz w:val="16"/>
              </w:rPr>
            </w:pPr>
            <w:r>
              <w:rPr>
                <w:rFonts w:ascii="Times New Roman;serif" w:hAnsi="Times New Roman;serif"/>
                <w:b w:val="false"/>
                <w:sz w:val="16"/>
              </w:rPr>
              <w:t>Hybrid JRSA</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376"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114</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248" w:type="dxa"/>
            <w:tcBorders/>
            <w:shd w:fill="auto" w:val="clear"/>
            <w:vAlign w:val="center"/>
          </w:tcPr>
          <w:p>
            <w:pPr>
              <w:pStyle w:val="TableContents"/>
              <w:spacing w:before="0" w:after="0"/>
              <w:ind w:left="0" w:right="0" w:hanging="0"/>
              <w:jc w:val="left"/>
              <w:rPr/>
            </w:pPr>
            <w:r>
              <w:rPr/>
              <w:t> </w:t>
            </w:r>
          </w:p>
        </w:tc>
        <w:tc>
          <w:tcPr>
            <w:tcW w:w="488"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4</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96" w:type="dxa"/>
            <w:tcBorders/>
            <w:shd w:fill="auto" w:val="clear"/>
            <w:vAlign w:val="center"/>
          </w:tcPr>
          <w:p>
            <w:pPr>
              <w:pStyle w:val="TableContents"/>
              <w:spacing w:before="0" w:after="0"/>
              <w:ind w:left="0" w:right="0" w:hanging="0"/>
              <w:jc w:val="left"/>
              <w:rPr/>
            </w:pPr>
            <w:r>
              <w:rPr/>
              <w:t> </w:t>
            </w:r>
          </w:p>
        </w:tc>
        <w:tc>
          <w:tcPr>
            <w:tcW w:w="691"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84,354</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96" w:type="dxa"/>
            <w:tcBorders/>
            <w:shd w:fill="auto" w:val="clear"/>
            <w:vAlign w:val="center"/>
          </w:tcPr>
          <w:p>
            <w:pPr>
              <w:pStyle w:val="TableContents"/>
              <w:spacing w:before="0" w:after="0"/>
              <w:ind w:left="0" w:right="0" w:hanging="0"/>
              <w:jc w:val="left"/>
              <w:rPr/>
            </w:pPr>
            <w:r>
              <w:rPr/>
              <w:t> </w:t>
            </w:r>
          </w:p>
        </w:tc>
        <w:tc>
          <w:tcPr>
            <w:tcW w:w="601"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3,235</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376"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125</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205" w:type="dxa"/>
            <w:tcBorders/>
            <w:shd w:fill="auto" w:val="clear"/>
            <w:vAlign w:val="center"/>
          </w:tcPr>
          <w:p>
            <w:pPr>
              <w:pStyle w:val="TableContents"/>
              <w:spacing w:before="0" w:after="0"/>
              <w:ind w:left="0" w:right="0" w:hanging="0"/>
              <w:jc w:val="left"/>
              <w:rPr/>
            </w:pPr>
            <w:r>
              <w:rPr/>
              <w:t> </w:t>
            </w:r>
          </w:p>
        </w:tc>
        <w:tc>
          <w:tcPr>
            <w:tcW w:w="531"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6</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96" w:type="dxa"/>
            <w:tcBorders/>
            <w:shd w:fill="auto" w:val="clear"/>
            <w:vAlign w:val="center"/>
          </w:tcPr>
          <w:p>
            <w:pPr>
              <w:pStyle w:val="TableContents"/>
              <w:spacing w:before="0" w:after="0"/>
              <w:ind w:left="0" w:right="0" w:hanging="0"/>
              <w:jc w:val="left"/>
              <w:rPr/>
            </w:pPr>
            <w:r>
              <w:rPr/>
              <w:t> </w:t>
            </w:r>
          </w:p>
        </w:tc>
        <w:tc>
          <w:tcPr>
            <w:tcW w:w="691"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91,001</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96" w:type="dxa"/>
            <w:tcBorders/>
            <w:shd w:fill="auto" w:val="clear"/>
            <w:vAlign w:val="center"/>
          </w:tcPr>
          <w:p>
            <w:pPr>
              <w:pStyle w:val="TableContents"/>
              <w:spacing w:before="0" w:after="0"/>
              <w:ind w:left="0" w:right="0" w:hanging="0"/>
              <w:jc w:val="left"/>
              <w:rPr/>
            </w:pPr>
            <w:r>
              <w:rPr/>
              <w:t> </w:t>
            </w:r>
          </w:p>
        </w:tc>
        <w:tc>
          <w:tcPr>
            <w:tcW w:w="601"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4,785</w:t>
            </w:r>
          </w:p>
        </w:tc>
        <w:tc>
          <w:tcPr>
            <w:tcW w:w="146" w:type="dxa"/>
            <w:tcBorders/>
            <w:shd w:fill="auto" w:val="clear"/>
            <w:vAlign w:val="center"/>
          </w:tcPr>
          <w:p>
            <w:pPr>
              <w:pStyle w:val="TableContents"/>
              <w:spacing w:before="0" w:after="0"/>
              <w:ind w:left="0" w:right="0" w:hanging="0"/>
              <w:jc w:val="left"/>
              <w:rPr/>
            </w:pPr>
            <w:r>
              <w:rPr/>
              <w:t> </w:t>
            </w:r>
          </w:p>
        </w:tc>
        <w:tc>
          <w:tcPr>
            <w:tcW w:w="191" w:type="dxa"/>
            <w:tcBorders/>
            <w:shd w:fill="auto" w:val="clear"/>
            <w:vAlign w:val="center"/>
          </w:tcPr>
          <w:p>
            <w:pPr>
              <w:pStyle w:val="TableContents"/>
              <w:spacing w:before="0" w:after="0"/>
              <w:ind w:left="0" w:right="0" w:hanging="0"/>
              <w:jc w:val="left"/>
              <w:rPr/>
            </w:pPr>
            <w:r>
              <w:rPr/>
              <w:t> </w:t>
            </w:r>
          </w:p>
        </w:tc>
      </w:tr>
      <w:tr>
        <w:trPr/>
        <w:tc>
          <w:tcPr>
            <w:tcW w:w="1051" w:type="dxa"/>
            <w:tcBorders/>
            <w:shd w:fill="auto" w:val="clear"/>
            <w:vAlign w:val="center"/>
          </w:tcPr>
          <w:p>
            <w:pPr>
              <w:pStyle w:val="TableContents"/>
              <w:spacing w:before="0" w:after="0"/>
              <w:ind w:left="0" w:right="0" w:hanging="0"/>
              <w:jc w:val="left"/>
              <w:rPr>
                <w:rFonts w:ascii="Times New Roman" w:hAnsi="Times New Roman"/>
                <w:sz w:val="16"/>
              </w:rPr>
            </w:pPr>
            <w:r>
              <w:rPr>
                <w:rFonts w:ascii="Times New Roman;serif" w:hAnsi="Times New Roman;serif"/>
                <w:b w:val="false"/>
                <w:sz w:val="16"/>
              </w:rPr>
              <w:t>Traditional JRSA</w:t>
            </w:r>
            <w:r>
              <w:rPr>
                <w:rFonts w:ascii="Times New Roman;serif" w:hAnsi="Times New Roman;serif"/>
                <w:b w:val="false"/>
                <w:sz w:val="11"/>
              </w:rPr>
              <w:t>(1)(2)</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37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109</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248"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488"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71</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9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6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200</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9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60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2,900</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37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99</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205"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53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86</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9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6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200</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9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60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4,500</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r>
        <w:trPr/>
        <w:tc>
          <w:tcPr>
            <w:tcW w:w="1051" w:type="dxa"/>
            <w:tcBorders/>
            <w:shd w:fill="auto" w:val="clear"/>
            <w:vAlign w:val="center"/>
          </w:tcPr>
          <w:p>
            <w:pPr>
              <w:pStyle w:val="TableContents"/>
              <w:spacing w:before="0" w:after="283"/>
              <w:ind w:left="0" w:right="0" w:hanging="0"/>
              <w:rPr>
                <w:sz w:val="4"/>
                <w:szCs w:val="4"/>
              </w:rPr>
            </w:pPr>
            <w:r>
              <w:rPr>
                <w:sz w:val="4"/>
                <w:szCs w:val="4"/>
              </w:rPr>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37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380</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248"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488"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88</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9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69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257,928</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9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60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20,428</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37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383</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205"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53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104</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9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69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273,447</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9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60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20,537</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9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bl>
    <w:p>
      <w:pPr>
        <w:pStyle w:val="TextBody"/>
        <w:pBdr>
          <w:bottom w:val="single" w:sz="4" w:space="1" w:color="000000"/>
        </w:pBdr>
        <w:spacing w:before="0" w:after="0"/>
        <w:jc w:val="left"/>
        <w:rPr/>
      </w:pPr>
      <w:r>
        <w:rPr/>
        <w:t> </w:t>
      </w:r>
    </w:p>
    <w:p>
      <w:pPr>
        <w:pStyle w:val="TextBody"/>
        <w:spacing w:before="200" w:after="0"/>
        <w:jc w:val="both"/>
        <w:rPr>
          <w:rFonts w:ascii="Times New Roman" w:hAnsi="Times New Roman"/>
          <w:b w:val="false"/>
          <w:sz w:val="20"/>
        </w:rPr>
      </w:pPr>
      <w:r>
        <w:rPr>
          <w:rFonts w:ascii="Times New Roman" w:hAnsi="Times New Roman"/>
          <w:b w:val="false"/>
          <w:sz w:val="20"/>
        </w:rPr>
        <w:t>(1)</w:t>
      </w:r>
    </w:p>
    <w:p>
      <w:pPr>
        <w:pStyle w:val="TextBody"/>
        <w:spacing w:before="200" w:after="283"/>
        <w:jc w:val="both"/>
        <w:rPr>
          <w:rFonts w:ascii="Times New Roman;serif" w:hAnsi="Times New Roman;serif"/>
          <w:b w:val="false"/>
          <w:sz w:val="20"/>
        </w:rPr>
      </w:pPr>
      <w:r>
        <w:rPr>
          <w:rFonts w:ascii="Times New Roman;serif" w:hAnsi="Times New Roman;serif"/>
          <w:b w:val="false"/>
          <w:sz w:val="20"/>
        </w:rPr>
        <w:t>Includes 38 IMAX Systems (2022 — 43) where certain of the Company's contracts contain options for the customer to elect to upgrade system type or to alter the contract structure (for example, from a joint revenue sharing arrangement to a sale) after signing, but before installation. Current backlog information reflects all known elections.</w:t>
      </w:r>
    </w:p>
    <w:p>
      <w:pPr>
        <w:pStyle w:val="TextBody"/>
        <w:spacing w:before="240" w:after="0"/>
        <w:jc w:val="center"/>
        <w:rPr>
          <w:rFonts w:ascii="Times New Roman;serif" w:hAnsi="Times New Roman;serif"/>
          <w:b w:val="false"/>
          <w:sz w:val="20"/>
        </w:rPr>
      </w:pPr>
      <w:r>
        <w:rPr>
          <w:rFonts w:ascii="Times New Roman;serif" w:hAnsi="Times New Roman;serif"/>
          <w:b w:val="false"/>
          <w:sz w:val="20"/>
        </w:rPr>
        <w:t>50</w:t>
      </w:r>
    </w:p>
    <w:p>
      <w:pPr>
        <w:pStyle w:val="HorizontalLine"/>
        <w:rPr/>
      </w:pPr>
      <w:r>
        <w:rPr/>
      </w:r>
    </w:p>
    <w:p>
      <w:pPr>
        <w:pStyle w:val="TextBody"/>
        <w:spacing w:before="0" w:after="0"/>
        <w:jc w:val="left"/>
        <w:rPr/>
      </w:pPr>
      <w:r>
        <w:rPr/>
        <w:t> </w:t>
      </w:r>
    </w:p>
    <w:p>
      <w:pPr>
        <w:pStyle w:val="TextBody"/>
        <w:spacing w:before="200" w:after="0"/>
        <w:jc w:val="both"/>
        <w:rPr>
          <w:rFonts w:ascii="Times New Roman" w:hAnsi="Times New Roman"/>
          <w:b w:val="false"/>
          <w:sz w:val="20"/>
        </w:rPr>
      </w:pPr>
      <w:r>
        <w:rPr>
          <w:rFonts w:ascii="Times New Roman" w:hAnsi="Times New Roman"/>
          <w:b w:val="false"/>
          <w:sz w:val="20"/>
        </w:rPr>
        <w:t>(2)</w:t>
      </w:r>
    </w:p>
    <w:p>
      <w:pPr>
        <w:pStyle w:val="TextBody"/>
        <w:spacing w:before="200" w:after="283"/>
        <w:jc w:val="both"/>
        <w:rPr>
          <w:rFonts w:ascii="Times New Roman;serif" w:hAnsi="Times New Roman;serif"/>
          <w:b w:val="false"/>
          <w:sz w:val="20"/>
        </w:rPr>
      </w:pPr>
      <w:r>
        <w:rPr>
          <w:rFonts w:ascii="Times New Roman;serif" w:hAnsi="Times New Roman;serif"/>
          <w:b w:val="false"/>
          <w:sz w:val="20"/>
        </w:rPr>
        <w:t>The consideration owed under joint revenue sharing arrangements, which are accounted for as leases, is typically contingent on the box office receipts earned by the exhibitor. Accordingly, such arrangements do not usually have a dollar value in backlog; however, certain joint revenue sharing arrangements provide for contracted upfront payments and therefore carry a backlog value based on those payments.</w:t>
      </w:r>
    </w:p>
    <w:p>
      <w:pPr>
        <w:pStyle w:val="TextBody"/>
        <w:spacing w:before="200" w:after="0"/>
        <w:jc w:val="both"/>
        <w:rPr>
          <w:rFonts w:ascii="Times New Roman;serif" w:hAnsi="Times New Roman;serif"/>
          <w:b w:val="false"/>
          <w:sz w:val="20"/>
        </w:rPr>
      </w:pPr>
      <w:r>
        <w:rPr>
          <w:rFonts w:ascii="Times New Roman;serif" w:hAnsi="Times New Roman;serif"/>
          <w:b w:val="false"/>
          <w:sz w:val="20"/>
        </w:rPr>
        <w:t>As of March 31, 2023, the Company’s backlog includes 14 systems in Russia, one system in Ukraine, and five systems in Belarus with a total fixed contracted value of $22.9 million.</w:t>
      </w:r>
    </w:p>
    <w:p>
      <w:pPr>
        <w:pStyle w:val="TextBody"/>
        <w:spacing w:before="200" w:after="0"/>
        <w:jc w:val="both"/>
        <w:rPr>
          <w:rFonts w:ascii="Times New Roman" w:hAnsi="Times New Roman"/>
          <w:sz w:val="20"/>
        </w:rPr>
      </w:pPr>
      <w:r>
        <w:rPr>
          <w:rFonts w:ascii="Times New Roman;serif" w:hAnsi="Times New Roman;serif"/>
          <w:b w:val="false"/>
          <w:sz w:val="20"/>
        </w:rPr>
        <w:t>The backlog reflects the minimum number of commitments for IMAX Systems under signed contracts. The dollar value fluctuates depending on the number of new arrangements signed from year-to-year, which adds to backlog and the installation and acceptance of IMAX Systems and the settlement of contracts, both of which reduce backlog. The dollar value of backlog typically represents the fixed contracted revenue under signed IMAX System sale and lease agreements that the Company expects to recognize as revenue upon installation and acceptance of the associated system, as well as an estimate of variable consideration in sales arrangements. The value of backlog does not include amounts allocated to maintenance and extended warranty revenues or revenue from systems in which the Company has an equity interest, operating leases, and long-term conditional theater commitments. The Company believes that the contractual obligations for IMAX System installations that are listed in backlog are valid and binding commitments.</w:t>
      </w:r>
      <w:r>
        <w:rPr>
          <w:rFonts w:ascii="Times New Roman" w:hAnsi="Times New Roman"/>
          <w:sz w:val="20"/>
        </w:rPr>
        <w:t xml:space="preserve"> </w:t>
      </w:r>
    </w:p>
    <w:p>
      <w:pPr>
        <w:pStyle w:val="TextBody"/>
        <w:spacing w:before="200" w:after="0"/>
        <w:jc w:val="both"/>
        <w:rPr>
          <w:rFonts w:ascii="Times New Roman;serif" w:hAnsi="Times New Roman;serif"/>
          <w:b w:val="false"/>
          <w:sz w:val="20"/>
        </w:rPr>
      </w:pPr>
      <w:r>
        <w:rPr>
          <w:rFonts w:ascii="Times New Roman;serif" w:hAnsi="Times New Roman;serif"/>
          <w:b w:val="false"/>
          <w:sz w:val="20"/>
        </w:rPr>
        <w:t>From time to time, in the normal course of its business, the Company will have customers who are unable to proceed with an IMAX System installation for a variety of reasons, including the inability to obtain certain consents, approvals or financing. Once the determination is made that the customer will not proceed with installation, the agreement with the customer is terminated or amended. If the agreement is terminated, once the Company and the customer are released from all their future obligations under the agreement, all or a portion of the initial rents or fees that the customer previously made to the Company are recognized as revenue.</w:t>
      </w:r>
    </w:p>
    <w:p>
      <w:pPr>
        <w:pStyle w:val="TextBody"/>
        <w:spacing w:before="200" w:after="0"/>
        <w:jc w:val="both"/>
        <w:rPr>
          <w:rFonts w:ascii="Times New Roman;serif" w:hAnsi="Times New Roman;serif"/>
          <w:b w:val="false"/>
          <w:sz w:val="20"/>
        </w:rPr>
      </w:pPr>
      <w:r>
        <w:rPr>
          <w:rFonts w:ascii="Times New Roman;serif" w:hAnsi="Times New Roman;serif"/>
          <w:b w:val="false"/>
          <w:sz w:val="20"/>
        </w:rPr>
        <w:t>The following tables provide detailed information about the Company’s backlog by arrangement type and geographic location as of March 31, 2023 and 2022:</w:t>
      </w:r>
    </w:p>
    <w:p>
      <w:pPr>
        <w:pStyle w:val="TextBody"/>
        <w:spacing w:before="0" w:after="0"/>
        <w:jc w:val="both"/>
        <w:rPr/>
      </w:pPr>
      <w:r>
        <w:rPr/>
        <w:t> </w:t>
      </w:r>
    </w:p>
    <w:tbl>
      <w:tblPr>
        <w:tblW w:w="8114" w:type="dxa"/>
        <w:jc w:val="left"/>
        <w:tblInd w:w="0" w:type="dxa"/>
        <w:tblCellMar>
          <w:top w:w="28" w:type="dxa"/>
          <w:left w:w="28" w:type="dxa"/>
          <w:bottom w:w="28" w:type="dxa"/>
          <w:right w:w="28" w:type="dxa"/>
        </w:tblCellMar>
      </w:tblPr>
      <w:tblGrid>
        <w:gridCol w:w="3466"/>
        <w:gridCol w:w="146"/>
        <w:gridCol w:w="239"/>
        <w:gridCol w:w="692"/>
        <w:gridCol w:w="146"/>
        <w:gridCol w:w="146"/>
        <w:gridCol w:w="162"/>
        <w:gridCol w:w="469"/>
        <w:gridCol w:w="146"/>
        <w:gridCol w:w="146"/>
        <w:gridCol w:w="246"/>
        <w:gridCol w:w="714"/>
        <w:gridCol w:w="146"/>
        <w:gridCol w:w="146"/>
        <w:gridCol w:w="146"/>
        <w:gridCol w:w="421"/>
        <w:gridCol w:w="146"/>
        <w:gridCol w:w="391"/>
      </w:tblGrid>
      <w:tr>
        <w:trPr/>
        <w:tc>
          <w:tcPr>
            <w:tcW w:w="346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39" w:type="dxa"/>
            <w:tcBorders/>
            <w:shd w:fill="auto" w:val="clear"/>
            <w:vAlign w:val="center"/>
          </w:tcPr>
          <w:p>
            <w:pPr>
              <w:pStyle w:val="TableContents"/>
              <w:spacing w:before="0" w:after="283"/>
              <w:rPr>
                <w:sz w:val="4"/>
                <w:szCs w:val="4"/>
              </w:rPr>
            </w:pPr>
            <w:r>
              <w:rPr>
                <w:sz w:val="4"/>
                <w:szCs w:val="4"/>
              </w:rPr>
            </w:r>
          </w:p>
        </w:tc>
        <w:tc>
          <w:tcPr>
            <w:tcW w:w="692"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62" w:type="dxa"/>
            <w:tcBorders/>
            <w:shd w:fill="auto" w:val="clear"/>
            <w:vAlign w:val="center"/>
          </w:tcPr>
          <w:p>
            <w:pPr>
              <w:pStyle w:val="TableContents"/>
              <w:spacing w:before="0" w:after="283"/>
              <w:rPr>
                <w:sz w:val="4"/>
                <w:szCs w:val="4"/>
              </w:rPr>
            </w:pPr>
            <w:r>
              <w:rPr>
                <w:sz w:val="4"/>
                <w:szCs w:val="4"/>
              </w:rPr>
            </w:r>
          </w:p>
        </w:tc>
        <w:tc>
          <w:tcPr>
            <w:tcW w:w="469"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46" w:type="dxa"/>
            <w:tcBorders/>
            <w:shd w:fill="auto" w:val="clear"/>
            <w:vAlign w:val="center"/>
          </w:tcPr>
          <w:p>
            <w:pPr>
              <w:pStyle w:val="TableContents"/>
              <w:spacing w:before="0" w:after="283"/>
              <w:rPr>
                <w:sz w:val="4"/>
                <w:szCs w:val="4"/>
              </w:rPr>
            </w:pPr>
            <w:r>
              <w:rPr>
                <w:sz w:val="4"/>
                <w:szCs w:val="4"/>
              </w:rPr>
            </w:r>
          </w:p>
        </w:tc>
        <w:tc>
          <w:tcPr>
            <w:tcW w:w="714"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421"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391" w:type="dxa"/>
            <w:tcBorders/>
            <w:shd w:fill="auto" w:val="clear"/>
            <w:vAlign w:val="center"/>
          </w:tcPr>
          <w:p>
            <w:pPr>
              <w:pStyle w:val="TableContents"/>
              <w:spacing w:before="0" w:after="283"/>
              <w:rPr>
                <w:sz w:val="4"/>
                <w:szCs w:val="4"/>
              </w:rPr>
            </w:pPr>
            <w:r>
              <w:rPr>
                <w:sz w:val="4"/>
                <w:szCs w:val="4"/>
              </w:rPr>
            </w:r>
          </w:p>
        </w:tc>
      </w:tr>
      <w:tr>
        <w:trPr/>
        <w:tc>
          <w:tcPr>
            <w:tcW w:w="3466"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3965" w:type="dxa"/>
            <w:gridSpan w:val="14"/>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March 31, 2023</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391" w:type="dxa"/>
            <w:tcBorders/>
            <w:shd w:fill="auto" w:val="clear"/>
            <w:vAlign w:val="center"/>
          </w:tcPr>
          <w:p>
            <w:pPr>
              <w:pStyle w:val="TableContents"/>
              <w:spacing w:before="0" w:after="0"/>
              <w:ind w:left="0" w:right="0" w:hanging="0"/>
              <w:jc w:val="left"/>
              <w:rPr/>
            </w:pPr>
            <w:r>
              <w:rPr/>
              <w:t> </w:t>
            </w:r>
          </w:p>
        </w:tc>
      </w:tr>
      <w:tr>
        <w:trPr/>
        <w:tc>
          <w:tcPr>
            <w:tcW w:w="3466"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3965" w:type="dxa"/>
            <w:gridSpan w:val="14"/>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IMAX System Backlog</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391" w:type="dxa"/>
            <w:tcBorders/>
            <w:shd w:fill="auto" w:val="clear"/>
            <w:vAlign w:val="center"/>
          </w:tcPr>
          <w:p>
            <w:pPr>
              <w:pStyle w:val="TableContents"/>
              <w:spacing w:before="0" w:after="0"/>
              <w:ind w:left="0" w:right="0" w:hanging="0"/>
              <w:jc w:val="left"/>
              <w:rPr/>
            </w:pPr>
            <w:r>
              <w:rPr/>
              <w:t> </w:t>
            </w:r>
          </w:p>
        </w:tc>
      </w:tr>
      <w:tr>
        <w:trPr/>
        <w:tc>
          <w:tcPr>
            <w:tcW w:w="3466"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931"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Traditional</w:t>
              <w:br/>
              <w:t>JRSA</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631"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Hybrid</w:t>
              <w:br/>
              <w:t>JRSA</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960"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Sale / Sales-</w:t>
              <w:br/>
              <w:t>type Lease</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567"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Total</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391" w:type="dxa"/>
            <w:tcBorders/>
            <w:shd w:fill="auto" w:val="clear"/>
            <w:vAlign w:val="center"/>
          </w:tcPr>
          <w:p>
            <w:pPr>
              <w:pStyle w:val="TableContents"/>
              <w:spacing w:before="0" w:after="0"/>
              <w:ind w:left="0" w:right="0" w:hanging="0"/>
              <w:jc w:val="left"/>
              <w:rPr/>
            </w:pPr>
            <w:r>
              <w:rPr/>
              <w:t> </w:t>
            </w:r>
          </w:p>
        </w:tc>
      </w:tr>
      <w:tr>
        <w:trPr/>
        <w:tc>
          <w:tcPr>
            <w:tcW w:w="346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Domestic Total (United States &amp; Canada)</w:t>
            </w:r>
          </w:p>
        </w:tc>
        <w:tc>
          <w:tcPr>
            <w:tcW w:w="146" w:type="dxa"/>
            <w:tcBorders/>
            <w:shd w:fill="auto" w:val="clear"/>
            <w:vAlign w:val="center"/>
          </w:tcPr>
          <w:p>
            <w:pPr>
              <w:pStyle w:val="TableContents"/>
              <w:spacing w:before="0" w:after="0"/>
              <w:ind w:left="0" w:right="0" w:hanging="0"/>
              <w:jc w:val="left"/>
              <w:rPr/>
            </w:pPr>
            <w:r>
              <w:rPr/>
              <w:t> </w:t>
            </w:r>
          </w:p>
        </w:tc>
        <w:tc>
          <w:tcPr>
            <w:tcW w:w="239"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692"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100</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62"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469"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2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714"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9</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42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111</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391" w:type="dxa"/>
            <w:tcBorders/>
            <w:shd w:fill="auto" w:val="clear"/>
            <w:vAlign w:val="center"/>
          </w:tcPr>
          <w:p>
            <w:pPr>
              <w:pStyle w:val="TableContents"/>
              <w:spacing w:before="0" w:after="0"/>
              <w:ind w:left="0" w:right="0" w:hanging="0"/>
              <w:jc w:val="left"/>
              <w:rPr/>
            </w:pPr>
            <w:r>
              <w:rPr/>
              <w:t> </w:t>
            </w:r>
          </w:p>
        </w:tc>
      </w:tr>
      <w:tr>
        <w:trPr/>
        <w:tc>
          <w:tcPr>
            <w:tcW w:w="346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International:</w:t>
            </w:r>
          </w:p>
        </w:tc>
        <w:tc>
          <w:tcPr>
            <w:tcW w:w="146" w:type="dxa"/>
            <w:tcBorders/>
            <w:shd w:fill="auto" w:val="clear"/>
            <w:vAlign w:val="center"/>
          </w:tcPr>
          <w:p>
            <w:pPr>
              <w:pStyle w:val="TableContents"/>
              <w:spacing w:before="0" w:after="0"/>
              <w:ind w:left="0" w:right="0" w:hanging="0"/>
              <w:jc w:val="left"/>
              <w:rPr/>
            </w:pPr>
            <w:r>
              <w:rPr/>
              <w:t> </w:t>
            </w:r>
          </w:p>
        </w:tc>
        <w:tc>
          <w:tcPr>
            <w:tcW w:w="931" w:type="dxa"/>
            <w:gridSpan w:val="2"/>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631" w:type="dxa"/>
            <w:gridSpan w:val="2"/>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960" w:type="dxa"/>
            <w:gridSpan w:val="2"/>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567" w:type="dxa"/>
            <w:gridSpan w:val="2"/>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391" w:type="dxa"/>
            <w:tcBorders/>
            <w:shd w:fill="auto" w:val="clear"/>
            <w:vAlign w:val="center"/>
          </w:tcPr>
          <w:p>
            <w:pPr>
              <w:pStyle w:val="TableContents"/>
              <w:spacing w:before="0" w:after="0"/>
              <w:ind w:left="0" w:right="0" w:firstLine="200"/>
              <w:jc w:val="left"/>
              <w:rPr/>
            </w:pPr>
            <w:r>
              <w:rPr/>
              <w:t> </w:t>
            </w:r>
          </w:p>
        </w:tc>
      </w:tr>
      <w:tr>
        <w:trPr/>
        <w:tc>
          <w:tcPr>
            <w:tcW w:w="3466" w:type="dxa"/>
            <w:tcBorders/>
            <w:shd w:fill="auto" w:val="clear"/>
            <w:vAlign w:val="center"/>
          </w:tcPr>
          <w:p>
            <w:pPr>
              <w:pStyle w:val="TableContents"/>
              <w:spacing w:before="0" w:after="0"/>
              <w:ind w:left="200" w:right="0" w:hanging="0"/>
              <w:jc w:val="left"/>
              <w:rPr>
                <w:rFonts w:ascii="Times New Roman;serif" w:hAnsi="Times New Roman;serif"/>
                <w:b w:val="false"/>
                <w:sz w:val="20"/>
              </w:rPr>
            </w:pPr>
            <w:r>
              <w:rPr>
                <w:rFonts w:ascii="Times New Roman;serif" w:hAnsi="Times New Roman;serif"/>
                <w:b w:val="false"/>
                <w:sz w:val="20"/>
              </w:rPr>
              <w:t>Greater China</w:t>
            </w:r>
          </w:p>
        </w:tc>
        <w:tc>
          <w:tcPr>
            <w:tcW w:w="146" w:type="dxa"/>
            <w:tcBorders/>
            <w:shd w:fill="auto" w:val="clear"/>
            <w:vAlign w:val="center"/>
          </w:tcPr>
          <w:p>
            <w:pPr>
              <w:pStyle w:val="TableContents"/>
              <w:spacing w:before="0" w:after="0"/>
              <w:ind w:left="0" w:right="0" w:hanging="0"/>
              <w:jc w:val="left"/>
              <w:rPr/>
            </w:pPr>
            <w:r>
              <w:rPr/>
              <w:t> </w:t>
            </w:r>
          </w:p>
        </w:tc>
        <w:tc>
          <w:tcPr>
            <w:tcW w:w="239" w:type="dxa"/>
            <w:tcBorders/>
            <w:shd w:fill="auto" w:val="clear"/>
            <w:vAlign w:val="center"/>
          </w:tcPr>
          <w:p>
            <w:pPr>
              <w:pStyle w:val="TableContents"/>
              <w:spacing w:before="0" w:after="0"/>
              <w:ind w:left="0" w:right="0" w:hanging="0"/>
              <w:jc w:val="left"/>
              <w:rPr/>
            </w:pPr>
            <w:r>
              <w:rPr/>
              <w:t> </w:t>
            </w:r>
          </w:p>
        </w:tc>
        <w:tc>
          <w:tcPr>
            <w:tcW w:w="692"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42</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62" w:type="dxa"/>
            <w:tcBorders/>
            <w:shd w:fill="auto" w:val="clear"/>
            <w:vAlign w:val="center"/>
          </w:tcPr>
          <w:p>
            <w:pPr>
              <w:pStyle w:val="TableContents"/>
              <w:spacing w:before="0" w:after="0"/>
              <w:ind w:left="0" w:right="0" w:hanging="0"/>
              <w:jc w:val="left"/>
              <w:rPr/>
            </w:pPr>
            <w:r>
              <w:rPr/>
              <w:t> </w:t>
            </w:r>
          </w:p>
        </w:tc>
        <w:tc>
          <w:tcPr>
            <w:tcW w:w="469"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92</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246" w:type="dxa"/>
            <w:tcBorders/>
            <w:shd w:fill="auto" w:val="clear"/>
            <w:vAlign w:val="center"/>
          </w:tcPr>
          <w:p>
            <w:pPr>
              <w:pStyle w:val="TableContents"/>
              <w:spacing w:before="0" w:after="0"/>
              <w:ind w:left="0" w:right="0" w:hanging="0"/>
              <w:jc w:val="left"/>
              <w:rPr/>
            </w:pPr>
            <w:r>
              <w:rPr/>
              <w:t> </w:t>
            </w:r>
          </w:p>
        </w:tc>
        <w:tc>
          <w:tcPr>
            <w:tcW w:w="714"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66</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42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200</w:t>
            </w:r>
          </w:p>
        </w:tc>
        <w:tc>
          <w:tcPr>
            <w:tcW w:w="146" w:type="dxa"/>
            <w:tcBorders/>
            <w:shd w:fill="auto" w:val="clear"/>
            <w:vAlign w:val="center"/>
          </w:tcPr>
          <w:p>
            <w:pPr>
              <w:pStyle w:val="TableContents"/>
              <w:spacing w:before="0" w:after="0"/>
              <w:ind w:left="0" w:right="0" w:hanging="0"/>
              <w:jc w:val="left"/>
              <w:rPr/>
            </w:pPr>
            <w:r>
              <w:rPr/>
              <w:t> </w:t>
            </w:r>
          </w:p>
        </w:tc>
        <w:tc>
          <w:tcPr>
            <w:tcW w:w="391" w:type="dxa"/>
            <w:tcBorders/>
            <w:shd w:fill="auto" w:val="clear"/>
            <w:vAlign w:val="center"/>
          </w:tcPr>
          <w:p>
            <w:pPr>
              <w:pStyle w:val="TableContents"/>
              <w:spacing w:before="0" w:after="0"/>
              <w:ind w:left="0" w:right="0" w:firstLine="200"/>
              <w:jc w:val="left"/>
              <w:rPr/>
            </w:pPr>
            <w:r>
              <w:rPr/>
              <w:t> </w:t>
            </w:r>
          </w:p>
        </w:tc>
      </w:tr>
      <w:tr>
        <w:trPr/>
        <w:tc>
          <w:tcPr>
            <w:tcW w:w="3466" w:type="dxa"/>
            <w:tcBorders/>
            <w:shd w:fill="auto" w:val="clear"/>
            <w:vAlign w:val="center"/>
          </w:tcPr>
          <w:p>
            <w:pPr>
              <w:pStyle w:val="TableContents"/>
              <w:spacing w:before="0" w:after="0"/>
              <w:ind w:left="200" w:right="0" w:hanging="0"/>
              <w:jc w:val="left"/>
              <w:rPr>
                <w:rFonts w:ascii="Times New Roman;serif" w:hAnsi="Times New Roman;serif"/>
                <w:b w:val="false"/>
                <w:sz w:val="20"/>
              </w:rPr>
            </w:pPr>
            <w:r>
              <w:rPr>
                <w:rFonts w:ascii="Times New Roman;serif" w:hAnsi="Times New Roman;serif"/>
                <w:b w:val="false"/>
                <w:sz w:val="20"/>
              </w:rPr>
              <w:t>Asia (excluding Greater China)</w:t>
            </w:r>
          </w:p>
        </w:tc>
        <w:tc>
          <w:tcPr>
            <w:tcW w:w="146" w:type="dxa"/>
            <w:tcBorders/>
            <w:shd w:fill="auto" w:val="clear"/>
            <w:vAlign w:val="center"/>
          </w:tcPr>
          <w:p>
            <w:pPr>
              <w:pStyle w:val="TableContents"/>
              <w:spacing w:before="0" w:after="0"/>
              <w:ind w:left="0" w:right="0" w:hanging="0"/>
              <w:jc w:val="left"/>
              <w:rPr/>
            </w:pPr>
            <w:r>
              <w:rPr/>
              <w:t> </w:t>
            </w:r>
          </w:p>
        </w:tc>
        <w:tc>
          <w:tcPr>
            <w:tcW w:w="239" w:type="dxa"/>
            <w:tcBorders/>
            <w:shd w:fill="auto" w:val="clear"/>
            <w:vAlign w:val="center"/>
          </w:tcPr>
          <w:p>
            <w:pPr>
              <w:pStyle w:val="TableContents"/>
              <w:spacing w:before="0" w:after="0"/>
              <w:ind w:left="0" w:right="0" w:hanging="0"/>
              <w:jc w:val="left"/>
              <w:rPr/>
            </w:pPr>
            <w:r>
              <w:rPr/>
              <w:t> </w:t>
            </w:r>
          </w:p>
        </w:tc>
        <w:tc>
          <w:tcPr>
            <w:tcW w:w="692"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13</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62" w:type="dxa"/>
            <w:tcBorders/>
            <w:shd w:fill="auto" w:val="clear"/>
            <w:vAlign w:val="center"/>
          </w:tcPr>
          <w:p>
            <w:pPr>
              <w:pStyle w:val="TableContents"/>
              <w:spacing w:before="0" w:after="0"/>
              <w:ind w:left="0" w:right="0" w:hanging="0"/>
              <w:jc w:val="left"/>
              <w:rPr/>
            </w:pPr>
            <w:r>
              <w:rPr/>
              <w:t> </w:t>
            </w:r>
          </w:p>
        </w:tc>
        <w:tc>
          <w:tcPr>
            <w:tcW w:w="469"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13</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246" w:type="dxa"/>
            <w:tcBorders/>
            <w:shd w:fill="auto" w:val="clear"/>
            <w:vAlign w:val="center"/>
          </w:tcPr>
          <w:p>
            <w:pPr>
              <w:pStyle w:val="TableContents"/>
              <w:spacing w:before="0" w:after="0"/>
              <w:ind w:left="0" w:right="0" w:hanging="0"/>
              <w:jc w:val="left"/>
              <w:rPr/>
            </w:pPr>
            <w:r>
              <w:rPr/>
              <w:t> </w:t>
            </w:r>
          </w:p>
        </w:tc>
        <w:tc>
          <w:tcPr>
            <w:tcW w:w="714"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33</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42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59</w:t>
            </w:r>
          </w:p>
        </w:tc>
        <w:tc>
          <w:tcPr>
            <w:tcW w:w="146" w:type="dxa"/>
            <w:tcBorders/>
            <w:shd w:fill="auto" w:val="clear"/>
            <w:vAlign w:val="center"/>
          </w:tcPr>
          <w:p>
            <w:pPr>
              <w:pStyle w:val="TableContents"/>
              <w:spacing w:before="0" w:after="0"/>
              <w:ind w:left="0" w:right="0" w:hanging="0"/>
              <w:jc w:val="left"/>
              <w:rPr/>
            </w:pPr>
            <w:r>
              <w:rPr/>
              <w:t> </w:t>
            </w:r>
          </w:p>
        </w:tc>
        <w:tc>
          <w:tcPr>
            <w:tcW w:w="391" w:type="dxa"/>
            <w:tcBorders/>
            <w:shd w:fill="auto" w:val="clear"/>
            <w:vAlign w:val="center"/>
          </w:tcPr>
          <w:p>
            <w:pPr>
              <w:pStyle w:val="TableContents"/>
              <w:spacing w:before="0" w:after="0"/>
              <w:ind w:left="0" w:right="0" w:firstLine="200"/>
              <w:jc w:val="left"/>
              <w:rPr/>
            </w:pPr>
            <w:r>
              <w:rPr/>
              <w:t> </w:t>
            </w:r>
          </w:p>
        </w:tc>
      </w:tr>
      <w:tr>
        <w:trPr/>
        <w:tc>
          <w:tcPr>
            <w:tcW w:w="3466" w:type="dxa"/>
            <w:tcBorders/>
            <w:shd w:fill="auto" w:val="clear"/>
            <w:vAlign w:val="center"/>
          </w:tcPr>
          <w:p>
            <w:pPr>
              <w:pStyle w:val="TableContents"/>
              <w:spacing w:before="0" w:after="0"/>
              <w:ind w:left="200" w:right="0" w:hanging="0"/>
              <w:jc w:val="left"/>
              <w:rPr>
                <w:rFonts w:ascii="Times New Roman;serif" w:hAnsi="Times New Roman;serif"/>
                <w:b w:val="false"/>
                <w:sz w:val="20"/>
              </w:rPr>
            </w:pPr>
            <w:r>
              <w:rPr>
                <w:rFonts w:ascii="Times New Roman;serif" w:hAnsi="Times New Roman;serif"/>
                <w:b w:val="false"/>
                <w:sz w:val="20"/>
              </w:rPr>
              <w:t>Western Europe</w:t>
            </w:r>
          </w:p>
        </w:tc>
        <w:tc>
          <w:tcPr>
            <w:tcW w:w="146" w:type="dxa"/>
            <w:tcBorders/>
            <w:shd w:fill="auto" w:val="clear"/>
            <w:vAlign w:val="center"/>
          </w:tcPr>
          <w:p>
            <w:pPr>
              <w:pStyle w:val="TableContents"/>
              <w:spacing w:before="0" w:after="0"/>
              <w:ind w:left="0" w:right="0" w:hanging="0"/>
              <w:jc w:val="left"/>
              <w:rPr/>
            </w:pPr>
            <w:r>
              <w:rPr/>
              <w:t> </w:t>
            </w:r>
          </w:p>
        </w:tc>
        <w:tc>
          <w:tcPr>
            <w:tcW w:w="239" w:type="dxa"/>
            <w:tcBorders/>
            <w:shd w:fill="auto" w:val="clear"/>
            <w:vAlign w:val="center"/>
          </w:tcPr>
          <w:p>
            <w:pPr>
              <w:pStyle w:val="TableContents"/>
              <w:spacing w:before="0" w:after="0"/>
              <w:ind w:left="0" w:right="0" w:hanging="0"/>
              <w:jc w:val="left"/>
              <w:rPr/>
            </w:pPr>
            <w:r>
              <w:rPr/>
              <w:t> </w:t>
            </w:r>
          </w:p>
        </w:tc>
        <w:tc>
          <w:tcPr>
            <w:tcW w:w="692"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19</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62" w:type="dxa"/>
            <w:tcBorders/>
            <w:shd w:fill="auto" w:val="clear"/>
            <w:vAlign w:val="center"/>
          </w:tcPr>
          <w:p>
            <w:pPr>
              <w:pStyle w:val="TableContents"/>
              <w:spacing w:before="0" w:after="0"/>
              <w:ind w:left="0" w:right="0" w:hanging="0"/>
              <w:jc w:val="left"/>
              <w:rPr/>
            </w:pPr>
            <w:r>
              <w:rPr/>
              <w:t> </w:t>
            </w:r>
          </w:p>
        </w:tc>
        <w:tc>
          <w:tcPr>
            <w:tcW w:w="469"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10</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246" w:type="dxa"/>
            <w:tcBorders/>
            <w:shd w:fill="auto" w:val="clear"/>
            <w:vAlign w:val="center"/>
          </w:tcPr>
          <w:p>
            <w:pPr>
              <w:pStyle w:val="TableContents"/>
              <w:spacing w:before="0" w:after="0"/>
              <w:ind w:left="0" w:right="0" w:hanging="0"/>
              <w:jc w:val="left"/>
              <w:rPr/>
            </w:pPr>
            <w:r>
              <w:rPr/>
              <w:t> </w:t>
            </w:r>
          </w:p>
        </w:tc>
        <w:tc>
          <w:tcPr>
            <w:tcW w:w="714"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6</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42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35</w:t>
            </w:r>
          </w:p>
        </w:tc>
        <w:tc>
          <w:tcPr>
            <w:tcW w:w="146" w:type="dxa"/>
            <w:tcBorders/>
            <w:shd w:fill="auto" w:val="clear"/>
            <w:vAlign w:val="center"/>
          </w:tcPr>
          <w:p>
            <w:pPr>
              <w:pStyle w:val="TableContents"/>
              <w:spacing w:before="0" w:after="0"/>
              <w:ind w:left="0" w:right="0" w:hanging="0"/>
              <w:jc w:val="left"/>
              <w:rPr/>
            </w:pPr>
            <w:r>
              <w:rPr/>
              <w:t> </w:t>
            </w:r>
          </w:p>
        </w:tc>
        <w:tc>
          <w:tcPr>
            <w:tcW w:w="391" w:type="dxa"/>
            <w:tcBorders/>
            <w:shd w:fill="auto" w:val="clear"/>
            <w:vAlign w:val="center"/>
          </w:tcPr>
          <w:p>
            <w:pPr>
              <w:pStyle w:val="TableContents"/>
              <w:spacing w:before="0" w:after="0"/>
              <w:ind w:left="0" w:right="0" w:firstLine="200"/>
              <w:jc w:val="left"/>
              <w:rPr/>
            </w:pPr>
            <w:r>
              <w:rPr/>
              <w:t> </w:t>
            </w:r>
          </w:p>
        </w:tc>
      </w:tr>
      <w:tr>
        <w:trPr/>
        <w:tc>
          <w:tcPr>
            <w:tcW w:w="3466" w:type="dxa"/>
            <w:tcBorders/>
            <w:shd w:fill="auto" w:val="clear"/>
            <w:vAlign w:val="center"/>
          </w:tcPr>
          <w:p>
            <w:pPr>
              <w:pStyle w:val="TableContents"/>
              <w:spacing w:before="0" w:after="0"/>
              <w:ind w:left="200" w:right="0" w:hanging="0"/>
              <w:jc w:val="left"/>
              <w:rPr>
                <w:rFonts w:ascii="Times New Roman" w:hAnsi="Times New Roman"/>
                <w:sz w:val="20"/>
              </w:rPr>
            </w:pPr>
            <w:r>
              <w:rPr>
                <w:rFonts w:ascii="Times New Roman;serif" w:hAnsi="Times New Roman;serif"/>
                <w:b w:val="false"/>
                <w:sz w:val="20"/>
              </w:rPr>
              <w:t>Russia/the CIS &amp; Ukraine</w:t>
            </w:r>
            <w:r>
              <w:rPr>
                <w:rFonts w:ascii="Times New Roman;serif" w:hAnsi="Times New Roman;serif"/>
                <w:b w:val="false"/>
                <w:sz w:val="13"/>
              </w:rPr>
              <w:t>(1)</w:t>
            </w:r>
          </w:p>
        </w:tc>
        <w:tc>
          <w:tcPr>
            <w:tcW w:w="146" w:type="dxa"/>
            <w:tcBorders/>
            <w:shd w:fill="auto" w:val="clear"/>
            <w:vAlign w:val="center"/>
          </w:tcPr>
          <w:p>
            <w:pPr>
              <w:pStyle w:val="TableContents"/>
              <w:spacing w:before="0" w:after="0"/>
              <w:ind w:left="0" w:right="0" w:hanging="0"/>
              <w:jc w:val="left"/>
              <w:rPr/>
            </w:pPr>
            <w:r>
              <w:rPr/>
              <w:t> </w:t>
            </w:r>
          </w:p>
        </w:tc>
        <w:tc>
          <w:tcPr>
            <w:tcW w:w="239" w:type="dxa"/>
            <w:tcBorders/>
            <w:shd w:fill="auto" w:val="clear"/>
            <w:vAlign w:val="center"/>
          </w:tcPr>
          <w:p>
            <w:pPr>
              <w:pStyle w:val="TableContents"/>
              <w:spacing w:before="0" w:after="0"/>
              <w:ind w:left="0" w:right="0" w:hanging="0"/>
              <w:jc w:val="left"/>
              <w:rPr/>
            </w:pPr>
            <w:r>
              <w:rPr/>
              <w:t> </w:t>
            </w:r>
          </w:p>
        </w:tc>
        <w:tc>
          <w:tcPr>
            <w:tcW w:w="692"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62" w:type="dxa"/>
            <w:tcBorders/>
            <w:shd w:fill="auto" w:val="clear"/>
            <w:vAlign w:val="center"/>
          </w:tcPr>
          <w:p>
            <w:pPr>
              <w:pStyle w:val="TableContents"/>
              <w:spacing w:before="0" w:after="0"/>
              <w:ind w:left="0" w:right="0" w:hanging="0"/>
              <w:jc w:val="left"/>
              <w:rPr/>
            </w:pPr>
            <w:r>
              <w:rPr/>
              <w:t> </w:t>
            </w:r>
          </w:p>
        </w:tc>
        <w:tc>
          <w:tcPr>
            <w:tcW w:w="469"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246" w:type="dxa"/>
            <w:tcBorders/>
            <w:shd w:fill="auto" w:val="clear"/>
            <w:vAlign w:val="center"/>
          </w:tcPr>
          <w:p>
            <w:pPr>
              <w:pStyle w:val="TableContents"/>
              <w:spacing w:before="0" w:after="0"/>
              <w:ind w:left="0" w:right="0" w:hanging="0"/>
              <w:jc w:val="left"/>
              <w:rPr/>
            </w:pPr>
            <w:r>
              <w:rPr/>
              <w:t> </w:t>
            </w:r>
          </w:p>
        </w:tc>
        <w:tc>
          <w:tcPr>
            <w:tcW w:w="714"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22</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42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22</w:t>
            </w:r>
          </w:p>
        </w:tc>
        <w:tc>
          <w:tcPr>
            <w:tcW w:w="146" w:type="dxa"/>
            <w:tcBorders/>
            <w:shd w:fill="auto" w:val="clear"/>
            <w:vAlign w:val="center"/>
          </w:tcPr>
          <w:p>
            <w:pPr>
              <w:pStyle w:val="TableContents"/>
              <w:spacing w:before="0" w:after="0"/>
              <w:ind w:left="0" w:right="0" w:hanging="0"/>
              <w:jc w:val="left"/>
              <w:rPr/>
            </w:pPr>
            <w:r>
              <w:rPr/>
              <w:t> </w:t>
            </w:r>
          </w:p>
        </w:tc>
        <w:tc>
          <w:tcPr>
            <w:tcW w:w="391" w:type="dxa"/>
            <w:tcBorders/>
            <w:shd w:fill="auto" w:val="clear"/>
            <w:vAlign w:val="center"/>
          </w:tcPr>
          <w:p>
            <w:pPr>
              <w:pStyle w:val="TableContents"/>
              <w:spacing w:before="0" w:after="0"/>
              <w:ind w:left="0" w:right="0" w:firstLine="200"/>
              <w:jc w:val="left"/>
              <w:rPr/>
            </w:pPr>
            <w:r>
              <w:rPr/>
              <w:t> </w:t>
            </w:r>
          </w:p>
        </w:tc>
      </w:tr>
      <w:tr>
        <w:trPr/>
        <w:tc>
          <w:tcPr>
            <w:tcW w:w="3466" w:type="dxa"/>
            <w:tcBorders/>
            <w:shd w:fill="auto" w:val="clear"/>
            <w:vAlign w:val="center"/>
          </w:tcPr>
          <w:p>
            <w:pPr>
              <w:pStyle w:val="TableContents"/>
              <w:spacing w:before="0" w:after="0"/>
              <w:ind w:left="200" w:right="0" w:hanging="0"/>
              <w:jc w:val="left"/>
              <w:rPr>
                <w:rFonts w:ascii="Times New Roman;serif" w:hAnsi="Times New Roman;serif"/>
                <w:b w:val="false"/>
                <w:sz w:val="20"/>
              </w:rPr>
            </w:pPr>
            <w:r>
              <w:rPr>
                <w:rFonts w:ascii="Times New Roman;serif" w:hAnsi="Times New Roman;serif"/>
                <w:b w:val="false"/>
                <w:sz w:val="20"/>
              </w:rPr>
              <w:t>Latin America</w:t>
            </w:r>
          </w:p>
        </w:tc>
        <w:tc>
          <w:tcPr>
            <w:tcW w:w="146" w:type="dxa"/>
            <w:tcBorders/>
            <w:shd w:fill="auto" w:val="clear"/>
            <w:vAlign w:val="center"/>
          </w:tcPr>
          <w:p>
            <w:pPr>
              <w:pStyle w:val="TableContents"/>
              <w:spacing w:before="0" w:after="0"/>
              <w:ind w:left="0" w:right="0" w:hanging="0"/>
              <w:jc w:val="left"/>
              <w:rPr/>
            </w:pPr>
            <w:r>
              <w:rPr/>
              <w:t> </w:t>
            </w:r>
          </w:p>
        </w:tc>
        <w:tc>
          <w:tcPr>
            <w:tcW w:w="239" w:type="dxa"/>
            <w:tcBorders/>
            <w:shd w:fill="auto" w:val="clear"/>
            <w:vAlign w:val="center"/>
          </w:tcPr>
          <w:p>
            <w:pPr>
              <w:pStyle w:val="TableContents"/>
              <w:spacing w:before="0" w:after="0"/>
              <w:ind w:left="0" w:right="0" w:hanging="0"/>
              <w:jc w:val="left"/>
              <w:rPr/>
            </w:pPr>
            <w:r>
              <w:rPr/>
              <w:t> </w:t>
            </w:r>
          </w:p>
        </w:tc>
        <w:tc>
          <w:tcPr>
            <w:tcW w:w="692"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62" w:type="dxa"/>
            <w:tcBorders/>
            <w:shd w:fill="auto" w:val="clear"/>
            <w:vAlign w:val="center"/>
          </w:tcPr>
          <w:p>
            <w:pPr>
              <w:pStyle w:val="TableContents"/>
              <w:spacing w:before="0" w:after="0"/>
              <w:ind w:left="0" w:right="0" w:hanging="0"/>
              <w:jc w:val="left"/>
              <w:rPr/>
            </w:pPr>
            <w:r>
              <w:rPr/>
              <w:t> </w:t>
            </w:r>
          </w:p>
        </w:tc>
        <w:tc>
          <w:tcPr>
            <w:tcW w:w="469"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246" w:type="dxa"/>
            <w:tcBorders/>
            <w:shd w:fill="auto" w:val="clear"/>
            <w:vAlign w:val="center"/>
          </w:tcPr>
          <w:p>
            <w:pPr>
              <w:pStyle w:val="TableContents"/>
              <w:spacing w:before="0" w:after="0"/>
              <w:ind w:left="0" w:right="0" w:hanging="0"/>
              <w:jc w:val="left"/>
              <w:rPr/>
            </w:pPr>
            <w:r>
              <w:rPr/>
              <w:t> </w:t>
            </w:r>
          </w:p>
        </w:tc>
        <w:tc>
          <w:tcPr>
            <w:tcW w:w="714"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42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5</w:t>
            </w:r>
          </w:p>
        </w:tc>
        <w:tc>
          <w:tcPr>
            <w:tcW w:w="146" w:type="dxa"/>
            <w:tcBorders/>
            <w:shd w:fill="auto" w:val="clear"/>
            <w:vAlign w:val="center"/>
          </w:tcPr>
          <w:p>
            <w:pPr>
              <w:pStyle w:val="TableContents"/>
              <w:spacing w:before="0" w:after="0"/>
              <w:ind w:left="0" w:right="0" w:hanging="0"/>
              <w:jc w:val="left"/>
              <w:rPr/>
            </w:pPr>
            <w:r>
              <w:rPr/>
              <w:t> </w:t>
            </w:r>
          </w:p>
        </w:tc>
        <w:tc>
          <w:tcPr>
            <w:tcW w:w="391" w:type="dxa"/>
            <w:tcBorders/>
            <w:shd w:fill="auto" w:val="clear"/>
            <w:vAlign w:val="center"/>
          </w:tcPr>
          <w:p>
            <w:pPr>
              <w:pStyle w:val="TableContents"/>
              <w:spacing w:before="0" w:after="0"/>
              <w:ind w:left="0" w:right="0" w:firstLine="200"/>
              <w:jc w:val="left"/>
              <w:rPr/>
            </w:pPr>
            <w:r>
              <w:rPr/>
              <w:t> </w:t>
            </w:r>
          </w:p>
        </w:tc>
      </w:tr>
      <w:tr>
        <w:trPr/>
        <w:tc>
          <w:tcPr>
            <w:tcW w:w="3466" w:type="dxa"/>
            <w:tcBorders/>
            <w:shd w:fill="auto" w:val="clear"/>
            <w:vAlign w:val="center"/>
          </w:tcPr>
          <w:p>
            <w:pPr>
              <w:pStyle w:val="TableContents"/>
              <w:spacing w:before="0" w:after="0"/>
              <w:ind w:left="200" w:right="0" w:hanging="0"/>
              <w:jc w:val="left"/>
              <w:rPr>
                <w:rFonts w:ascii="Times New Roman;serif" w:hAnsi="Times New Roman;serif"/>
                <w:b w:val="false"/>
                <w:sz w:val="20"/>
              </w:rPr>
            </w:pPr>
            <w:r>
              <w:rPr>
                <w:rFonts w:ascii="Times New Roman;serif" w:hAnsi="Times New Roman;serif"/>
                <w:b w:val="false"/>
                <w:sz w:val="20"/>
              </w:rPr>
              <w:t>Rest of the World</w:t>
            </w:r>
          </w:p>
        </w:tc>
        <w:tc>
          <w:tcPr>
            <w:tcW w:w="146" w:type="dxa"/>
            <w:tcBorders/>
            <w:shd w:fill="auto" w:val="clear"/>
            <w:vAlign w:val="center"/>
          </w:tcPr>
          <w:p>
            <w:pPr>
              <w:pStyle w:val="TableContents"/>
              <w:spacing w:before="0" w:after="0"/>
              <w:ind w:left="0" w:right="0" w:hanging="0"/>
              <w:jc w:val="left"/>
              <w:rPr/>
            </w:pPr>
            <w:r>
              <w:rPr/>
              <w:t> </w:t>
            </w:r>
          </w:p>
        </w:tc>
        <w:tc>
          <w:tcPr>
            <w:tcW w:w="239"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692"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62"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469"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2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714"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32</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42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36</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391" w:type="dxa"/>
            <w:tcBorders/>
            <w:shd w:fill="auto" w:val="clear"/>
            <w:vAlign w:val="center"/>
          </w:tcPr>
          <w:p>
            <w:pPr>
              <w:pStyle w:val="TableContents"/>
              <w:spacing w:before="0" w:after="0"/>
              <w:ind w:left="0" w:right="0" w:hanging="0"/>
              <w:jc w:val="left"/>
              <w:rPr/>
            </w:pPr>
            <w:r>
              <w:rPr/>
              <w:t> </w:t>
            </w:r>
          </w:p>
        </w:tc>
      </w:tr>
      <w:tr>
        <w:trPr/>
        <w:tc>
          <w:tcPr>
            <w:tcW w:w="346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International Total</w:t>
            </w:r>
          </w:p>
        </w:tc>
        <w:tc>
          <w:tcPr>
            <w:tcW w:w="146" w:type="dxa"/>
            <w:tcBorders/>
            <w:shd w:fill="auto" w:val="clear"/>
            <w:vAlign w:val="center"/>
          </w:tcPr>
          <w:p>
            <w:pPr>
              <w:pStyle w:val="TableContents"/>
              <w:spacing w:before="0" w:after="0"/>
              <w:ind w:left="0" w:right="0" w:hanging="0"/>
              <w:jc w:val="left"/>
              <w:rPr/>
            </w:pPr>
            <w:r>
              <w:rPr/>
              <w:t> </w:t>
            </w:r>
          </w:p>
        </w:tc>
        <w:tc>
          <w:tcPr>
            <w:tcW w:w="239"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692"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80</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62"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469"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116</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2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714"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161</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42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357</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391" w:type="dxa"/>
            <w:tcBorders/>
            <w:shd w:fill="auto" w:val="clear"/>
            <w:vAlign w:val="center"/>
          </w:tcPr>
          <w:p>
            <w:pPr>
              <w:pStyle w:val="TableContents"/>
              <w:spacing w:before="0" w:after="0"/>
              <w:ind w:left="0" w:right="0" w:hanging="0"/>
              <w:jc w:val="left"/>
              <w:rPr/>
            </w:pPr>
            <w:r>
              <w:rPr/>
              <w:t> </w:t>
            </w:r>
          </w:p>
        </w:tc>
      </w:tr>
      <w:tr>
        <w:trPr/>
        <w:tc>
          <w:tcPr>
            <w:tcW w:w="346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Worldwide Total</w:t>
            </w:r>
          </w:p>
        </w:tc>
        <w:tc>
          <w:tcPr>
            <w:tcW w:w="146" w:type="dxa"/>
            <w:tcBorders/>
            <w:shd w:fill="auto" w:val="clear"/>
            <w:vAlign w:val="center"/>
          </w:tcPr>
          <w:p>
            <w:pPr>
              <w:pStyle w:val="TableContents"/>
              <w:spacing w:before="0" w:after="0"/>
              <w:ind w:left="0" w:right="0" w:hanging="0"/>
              <w:jc w:val="left"/>
              <w:rPr/>
            </w:pPr>
            <w:r>
              <w:rPr/>
              <w:t> </w:t>
            </w:r>
          </w:p>
        </w:tc>
        <w:tc>
          <w:tcPr>
            <w:tcW w:w="239"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692"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180</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62"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469"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118</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2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714"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170</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42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468</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391" w:type="dxa"/>
            <w:tcBorders/>
            <w:shd w:fill="auto" w:val="clear"/>
            <w:vAlign w:val="center"/>
          </w:tcPr>
          <w:p>
            <w:pPr>
              <w:pStyle w:val="TableContents"/>
              <w:spacing w:before="0" w:after="0"/>
              <w:ind w:left="0" w:right="0" w:hanging="0"/>
              <w:jc w:val="left"/>
              <w:rPr>
                <w:rFonts w:ascii="Times New Roman;serif" w:hAnsi="Times New Roman;serif"/>
                <w:b w:val="false"/>
                <w:sz w:val="13"/>
              </w:rPr>
            </w:pPr>
            <w:r>
              <w:rPr>
                <w:rFonts w:ascii="Times New Roman;serif" w:hAnsi="Times New Roman;serif"/>
                <w:b w:val="false"/>
                <w:sz w:val="13"/>
              </w:rPr>
              <w:t>(2)</w:t>
            </w:r>
          </w:p>
        </w:tc>
      </w:tr>
      <w:tr>
        <w:trPr/>
        <w:tc>
          <w:tcPr>
            <w:tcW w:w="34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931" w:type="dxa"/>
            <w:gridSpan w:val="2"/>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631" w:type="dxa"/>
            <w:gridSpan w:val="2"/>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960" w:type="dxa"/>
            <w:gridSpan w:val="2"/>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567" w:type="dxa"/>
            <w:gridSpan w:val="2"/>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391" w:type="dxa"/>
            <w:tcBorders/>
            <w:shd w:fill="auto" w:val="clear"/>
            <w:vAlign w:val="center"/>
          </w:tcPr>
          <w:p>
            <w:pPr>
              <w:pStyle w:val="TableContents"/>
              <w:spacing w:before="0" w:after="0"/>
              <w:ind w:left="0" w:right="0" w:hanging="0"/>
              <w:jc w:val="left"/>
              <w:rPr/>
            </w:pPr>
            <w:r>
              <w:rPr/>
              <w:t> </w:t>
            </w:r>
          </w:p>
        </w:tc>
      </w:tr>
      <w:tr>
        <w:trPr/>
        <w:tc>
          <w:tcPr>
            <w:tcW w:w="3466"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3965" w:type="dxa"/>
            <w:gridSpan w:val="14"/>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March 31, 2022</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391" w:type="dxa"/>
            <w:tcBorders/>
            <w:shd w:fill="auto" w:val="clear"/>
            <w:vAlign w:val="center"/>
          </w:tcPr>
          <w:p>
            <w:pPr>
              <w:pStyle w:val="TableContents"/>
              <w:spacing w:before="0" w:after="0"/>
              <w:ind w:left="0" w:right="0" w:hanging="0"/>
              <w:jc w:val="left"/>
              <w:rPr/>
            </w:pPr>
            <w:r>
              <w:rPr/>
              <w:t> </w:t>
            </w:r>
          </w:p>
        </w:tc>
      </w:tr>
      <w:tr>
        <w:trPr/>
        <w:tc>
          <w:tcPr>
            <w:tcW w:w="3466"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3965" w:type="dxa"/>
            <w:gridSpan w:val="14"/>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IMAX System Backlog</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391" w:type="dxa"/>
            <w:tcBorders/>
            <w:shd w:fill="auto" w:val="clear"/>
            <w:vAlign w:val="center"/>
          </w:tcPr>
          <w:p>
            <w:pPr>
              <w:pStyle w:val="TableContents"/>
              <w:spacing w:before="0" w:after="0"/>
              <w:ind w:left="0" w:right="0" w:hanging="0"/>
              <w:jc w:val="left"/>
              <w:rPr/>
            </w:pPr>
            <w:r>
              <w:rPr/>
              <w:t> </w:t>
            </w:r>
          </w:p>
        </w:tc>
      </w:tr>
      <w:tr>
        <w:trPr/>
        <w:tc>
          <w:tcPr>
            <w:tcW w:w="3466"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931"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Traditional</w:t>
              <w:br/>
              <w:t>JRSA</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631"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Hybrid</w:t>
              <w:br/>
              <w:t>JRSA</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960"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Sale / Sales-</w:t>
              <w:br/>
              <w:t>type Lease</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567"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Total</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391" w:type="dxa"/>
            <w:tcBorders/>
            <w:shd w:fill="auto" w:val="clear"/>
            <w:vAlign w:val="center"/>
          </w:tcPr>
          <w:p>
            <w:pPr>
              <w:pStyle w:val="TableContents"/>
              <w:spacing w:before="0" w:after="0"/>
              <w:ind w:left="0" w:right="0" w:hanging="0"/>
              <w:jc w:val="left"/>
              <w:rPr/>
            </w:pPr>
            <w:r>
              <w:rPr/>
              <w:t> </w:t>
            </w:r>
          </w:p>
        </w:tc>
      </w:tr>
      <w:tr>
        <w:trPr/>
        <w:tc>
          <w:tcPr>
            <w:tcW w:w="346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Domestic Total (United States &amp; Canada)</w:t>
            </w:r>
          </w:p>
        </w:tc>
        <w:tc>
          <w:tcPr>
            <w:tcW w:w="146" w:type="dxa"/>
            <w:tcBorders/>
            <w:shd w:fill="auto" w:val="clear"/>
            <w:vAlign w:val="center"/>
          </w:tcPr>
          <w:p>
            <w:pPr>
              <w:pStyle w:val="TableContents"/>
              <w:spacing w:before="0" w:after="0"/>
              <w:ind w:left="0" w:right="0" w:hanging="0"/>
              <w:jc w:val="left"/>
              <w:rPr/>
            </w:pPr>
            <w:r>
              <w:rPr/>
              <w:t> </w:t>
            </w:r>
          </w:p>
        </w:tc>
        <w:tc>
          <w:tcPr>
            <w:tcW w:w="239"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692"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124</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62"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469"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2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714"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8</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42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134</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391" w:type="dxa"/>
            <w:tcBorders/>
            <w:shd w:fill="auto" w:val="clear"/>
            <w:vAlign w:val="center"/>
          </w:tcPr>
          <w:p>
            <w:pPr>
              <w:pStyle w:val="TableContents"/>
              <w:spacing w:before="0" w:after="0"/>
              <w:ind w:left="0" w:right="0" w:hanging="0"/>
              <w:jc w:val="left"/>
              <w:rPr/>
            </w:pPr>
            <w:r>
              <w:rPr/>
              <w:t> </w:t>
            </w:r>
          </w:p>
        </w:tc>
      </w:tr>
      <w:tr>
        <w:trPr/>
        <w:tc>
          <w:tcPr>
            <w:tcW w:w="346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International:</w:t>
            </w:r>
          </w:p>
        </w:tc>
        <w:tc>
          <w:tcPr>
            <w:tcW w:w="146" w:type="dxa"/>
            <w:tcBorders/>
            <w:shd w:fill="auto" w:val="clear"/>
            <w:vAlign w:val="center"/>
          </w:tcPr>
          <w:p>
            <w:pPr>
              <w:pStyle w:val="TableContents"/>
              <w:spacing w:before="0" w:after="0"/>
              <w:ind w:left="0" w:right="0" w:hanging="0"/>
              <w:jc w:val="left"/>
              <w:rPr/>
            </w:pPr>
            <w:r>
              <w:rPr/>
              <w:t> </w:t>
            </w:r>
          </w:p>
        </w:tc>
        <w:tc>
          <w:tcPr>
            <w:tcW w:w="931" w:type="dxa"/>
            <w:gridSpan w:val="2"/>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631" w:type="dxa"/>
            <w:gridSpan w:val="2"/>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960" w:type="dxa"/>
            <w:gridSpan w:val="2"/>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567" w:type="dxa"/>
            <w:gridSpan w:val="2"/>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391" w:type="dxa"/>
            <w:tcBorders/>
            <w:shd w:fill="auto" w:val="clear"/>
            <w:vAlign w:val="center"/>
          </w:tcPr>
          <w:p>
            <w:pPr>
              <w:pStyle w:val="TableContents"/>
              <w:spacing w:before="0" w:after="0"/>
              <w:ind w:left="0" w:right="0" w:firstLine="200"/>
              <w:jc w:val="left"/>
              <w:rPr/>
            </w:pPr>
            <w:r>
              <w:rPr/>
              <w:t> </w:t>
            </w:r>
          </w:p>
        </w:tc>
      </w:tr>
      <w:tr>
        <w:trPr/>
        <w:tc>
          <w:tcPr>
            <w:tcW w:w="3466" w:type="dxa"/>
            <w:tcBorders/>
            <w:shd w:fill="auto" w:val="clear"/>
            <w:vAlign w:val="center"/>
          </w:tcPr>
          <w:p>
            <w:pPr>
              <w:pStyle w:val="TableContents"/>
              <w:spacing w:before="0" w:after="0"/>
              <w:ind w:left="200" w:right="0" w:hanging="0"/>
              <w:jc w:val="left"/>
              <w:rPr>
                <w:rFonts w:ascii="Times New Roman;serif" w:hAnsi="Times New Roman;serif"/>
                <w:b w:val="false"/>
                <w:sz w:val="20"/>
              </w:rPr>
            </w:pPr>
            <w:r>
              <w:rPr>
                <w:rFonts w:ascii="Times New Roman;serif" w:hAnsi="Times New Roman;serif"/>
                <w:b w:val="false"/>
                <w:sz w:val="20"/>
              </w:rPr>
              <w:t>Greater China</w:t>
            </w:r>
          </w:p>
        </w:tc>
        <w:tc>
          <w:tcPr>
            <w:tcW w:w="146" w:type="dxa"/>
            <w:tcBorders/>
            <w:shd w:fill="auto" w:val="clear"/>
            <w:vAlign w:val="center"/>
          </w:tcPr>
          <w:p>
            <w:pPr>
              <w:pStyle w:val="TableContents"/>
              <w:spacing w:before="0" w:after="0"/>
              <w:ind w:left="0" w:right="0" w:hanging="0"/>
              <w:jc w:val="left"/>
              <w:rPr/>
            </w:pPr>
            <w:r>
              <w:rPr/>
              <w:t> </w:t>
            </w:r>
          </w:p>
        </w:tc>
        <w:tc>
          <w:tcPr>
            <w:tcW w:w="239" w:type="dxa"/>
            <w:tcBorders/>
            <w:shd w:fill="auto" w:val="clear"/>
            <w:vAlign w:val="center"/>
          </w:tcPr>
          <w:p>
            <w:pPr>
              <w:pStyle w:val="TableContents"/>
              <w:spacing w:before="0" w:after="0"/>
              <w:ind w:left="0" w:right="0" w:hanging="0"/>
              <w:jc w:val="left"/>
              <w:rPr/>
            </w:pPr>
            <w:r>
              <w:rPr/>
              <w:t> </w:t>
            </w:r>
          </w:p>
        </w:tc>
        <w:tc>
          <w:tcPr>
            <w:tcW w:w="692"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41</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62" w:type="dxa"/>
            <w:tcBorders/>
            <w:shd w:fill="auto" w:val="clear"/>
            <w:vAlign w:val="center"/>
          </w:tcPr>
          <w:p>
            <w:pPr>
              <w:pStyle w:val="TableContents"/>
              <w:spacing w:before="0" w:after="0"/>
              <w:ind w:left="0" w:right="0" w:hanging="0"/>
              <w:jc w:val="left"/>
              <w:rPr/>
            </w:pPr>
            <w:r>
              <w:rPr/>
              <w:t> </w:t>
            </w:r>
          </w:p>
        </w:tc>
        <w:tc>
          <w:tcPr>
            <w:tcW w:w="469"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99</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246" w:type="dxa"/>
            <w:tcBorders/>
            <w:shd w:fill="auto" w:val="clear"/>
            <w:vAlign w:val="center"/>
          </w:tcPr>
          <w:p>
            <w:pPr>
              <w:pStyle w:val="TableContents"/>
              <w:spacing w:before="0" w:after="0"/>
              <w:ind w:left="0" w:right="0" w:hanging="0"/>
              <w:jc w:val="left"/>
              <w:rPr/>
            </w:pPr>
            <w:r>
              <w:rPr/>
              <w:t> </w:t>
            </w:r>
          </w:p>
        </w:tc>
        <w:tc>
          <w:tcPr>
            <w:tcW w:w="714"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68</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42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208</w:t>
            </w:r>
          </w:p>
        </w:tc>
        <w:tc>
          <w:tcPr>
            <w:tcW w:w="146" w:type="dxa"/>
            <w:tcBorders/>
            <w:shd w:fill="auto" w:val="clear"/>
            <w:vAlign w:val="center"/>
          </w:tcPr>
          <w:p>
            <w:pPr>
              <w:pStyle w:val="TableContents"/>
              <w:spacing w:before="0" w:after="0"/>
              <w:ind w:left="0" w:right="0" w:hanging="0"/>
              <w:jc w:val="left"/>
              <w:rPr/>
            </w:pPr>
            <w:r>
              <w:rPr/>
              <w:t> </w:t>
            </w:r>
          </w:p>
        </w:tc>
        <w:tc>
          <w:tcPr>
            <w:tcW w:w="391" w:type="dxa"/>
            <w:tcBorders/>
            <w:shd w:fill="auto" w:val="clear"/>
            <w:vAlign w:val="center"/>
          </w:tcPr>
          <w:p>
            <w:pPr>
              <w:pStyle w:val="TableContents"/>
              <w:spacing w:before="0" w:after="0"/>
              <w:ind w:left="0" w:right="0" w:firstLine="200"/>
              <w:jc w:val="left"/>
              <w:rPr/>
            </w:pPr>
            <w:r>
              <w:rPr/>
              <w:t> </w:t>
            </w:r>
          </w:p>
        </w:tc>
      </w:tr>
      <w:tr>
        <w:trPr/>
        <w:tc>
          <w:tcPr>
            <w:tcW w:w="3466" w:type="dxa"/>
            <w:tcBorders/>
            <w:shd w:fill="auto" w:val="clear"/>
            <w:vAlign w:val="center"/>
          </w:tcPr>
          <w:p>
            <w:pPr>
              <w:pStyle w:val="TableContents"/>
              <w:spacing w:before="0" w:after="0"/>
              <w:ind w:left="200" w:right="0" w:hanging="0"/>
              <w:jc w:val="left"/>
              <w:rPr>
                <w:rFonts w:ascii="Times New Roman;serif" w:hAnsi="Times New Roman;serif"/>
                <w:b w:val="false"/>
                <w:sz w:val="20"/>
              </w:rPr>
            </w:pPr>
            <w:r>
              <w:rPr>
                <w:rFonts w:ascii="Times New Roman;serif" w:hAnsi="Times New Roman;serif"/>
                <w:b w:val="false"/>
                <w:sz w:val="20"/>
              </w:rPr>
              <w:t>Asia (excluding Greater China)</w:t>
            </w:r>
          </w:p>
        </w:tc>
        <w:tc>
          <w:tcPr>
            <w:tcW w:w="146" w:type="dxa"/>
            <w:tcBorders/>
            <w:shd w:fill="auto" w:val="clear"/>
            <w:vAlign w:val="center"/>
          </w:tcPr>
          <w:p>
            <w:pPr>
              <w:pStyle w:val="TableContents"/>
              <w:spacing w:before="0" w:after="0"/>
              <w:ind w:left="0" w:right="0" w:hanging="0"/>
              <w:jc w:val="left"/>
              <w:rPr/>
            </w:pPr>
            <w:r>
              <w:rPr/>
              <w:t> </w:t>
            </w:r>
          </w:p>
        </w:tc>
        <w:tc>
          <w:tcPr>
            <w:tcW w:w="239" w:type="dxa"/>
            <w:tcBorders/>
            <w:shd w:fill="auto" w:val="clear"/>
            <w:vAlign w:val="center"/>
          </w:tcPr>
          <w:p>
            <w:pPr>
              <w:pStyle w:val="TableContents"/>
              <w:spacing w:before="0" w:after="0"/>
              <w:ind w:left="0" w:right="0" w:hanging="0"/>
              <w:jc w:val="left"/>
              <w:rPr/>
            </w:pPr>
            <w:r>
              <w:rPr/>
              <w:t> </w:t>
            </w:r>
          </w:p>
        </w:tc>
        <w:tc>
          <w:tcPr>
            <w:tcW w:w="692"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62" w:type="dxa"/>
            <w:tcBorders/>
            <w:shd w:fill="auto" w:val="clear"/>
            <w:vAlign w:val="center"/>
          </w:tcPr>
          <w:p>
            <w:pPr>
              <w:pStyle w:val="TableContents"/>
              <w:spacing w:before="0" w:after="0"/>
              <w:ind w:left="0" w:right="0" w:hanging="0"/>
              <w:jc w:val="left"/>
              <w:rPr/>
            </w:pPr>
            <w:r>
              <w:rPr/>
              <w:t> </w:t>
            </w:r>
          </w:p>
        </w:tc>
        <w:tc>
          <w:tcPr>
            <w:tcW w:w="469"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16</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246" w:type="dxa"/>
            <w:tcBorders/>
            <w:shd w:fill="auto" w:val="clear"/>
            <w:vAlign w:val="center"/>
          </w:tcPr>
          <w:p>
            <w:pPr>
              <w:pStyle w:val="TableContents"/>
              <w:spacing w:before="0" w:after="0"/>
              <w:ind w:left="0" w:right="0" w:hanging="0"/>
              <w:jc w:val="left"/>
              <w:rPr/>
            </w:pPr>
            <w:r>
              <w:rPr/>
              <w:t> </w:t>
            </w:r>
          </w:p>
        </w:tc>
        <w:tc>
          <w:tcPr>
            <w:tcW w:w="714"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35</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42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54</w:t>
            </w:r>
          </w:p>
        </w:tc>
        <w:tc>
          <w:tcPr>
            <w:tcW w:w="146" w:type="dxa"/>
            <w:tcBorders/>
            <w:shd w:fill="auto" w:val="clear"/>
            <w:vAlign w:val="center"/>
          </w:tcPr>
          <w:p>
            <w:pPr>
              <w:pStyle w:val="TableContents"/>
              <w:spacing w:before="0" w:after="0"/>
              <w:ind w:left="0" w:right="0" w:hanging="0"/>
              <w:jc w:val="left"/>
              <w:rPr/>
            </w:pPr>
            <w:r>
              <w:rPr/>
              <w:t> </w:t>
            </w:r>
          </w:p>
        </w:tc>
        <w:tc>
          <w:tcPr>
            <w:tcW w:w="391" w:type="dxa"/>
            <w:tcBorders/>
            <w:shd w:fill="auto" w:val="clear"/>
            <w:vAlign w:val="center"/>
          </w:tcPr>
          <w:p>
            <w:pPr>
              <w:pStyle w:val="TableContents"/>
              <w:spacing w:before="0" w:after="0"/>
              <w:ind w:left="0" w:right="0" w:firstLine="200"/>
              <w:jc w:val="left"/>
              <w:rPr/>
            </w:pPr>
            <w:r>
              <w:rPr/>
              <w:t> </w:t>
            </w:r>
          </w:p>
        </w:tc>
      </w:tr>
      <w:tr>
        <w:trPr/>
        <w:tc>
          <w:tcPr>
            <w:tcW w:w="3466" w:type="dxa"/>
            <w:tcBorders/>
            <w:shd w:fill="auto" w:val="clear"/>
            <w:vAlign w:val="center"/>
          </w:tcPr>
          <w:p>
            <w:pPr>
              <w:pStyle w:val="TableContents"/>
              <w:spacing w:before="0" w:after="0"/>
              <w:ind w:left="200" w:right="0" w:hanging="0"/>
              <w:jc w:val="left"/>
              <w:rPr>
                <w:rFonts w:ascii="Times New Roman;serif" w:hAnsi="Times New Roman;serif"/>
                <w:b w:val="false"/>
                <w:sz w:val="20"/>
              </w:rPr>
            </w:pPr>
            <w:r>
              <w:rPr>
                <w:rFonts w:ascii="Times New Roman;serif" w:hAnsi="Times New Roman;serif"/>
                <w:b w:val="false"/>
                <w:sz w:val="20"/>
              </w:rPr>
              <w:t>Western Europe</w:t>
            </w:r>
          </w:p>
        </w:tc>
        <w:tc>
          <w:tcPr>
            <w:tcW w:w="146" w:type="dxa"/>
            <w:tcBorders/>
            <w:shd w:fill="auto" w:val="clear"/>
            <w:vAlign w:val="center"/>
          </w:tcPr>
          <w:p>
            <w:pPr>
              <w:pStyle w:val="TableContents"/>
              <w:spacing w:before="0" w:after="0"/>
              <w:ind w:left="0" w:right="0" w:hanging="0"/>
              <w:jc w:val="left"/>
              <w:rPr/>
            </w:pPr>
            <w:r>
              <w:rPr/>
              <w:t> </w:t>
            </w:r>
          </w:p>
        </w:tc>
        <w:tc>
          <w:tcPr>
            <w:tcW w:w="239" w:type="dxa"/>
            <w:tcBorders/>
            <w:shd w:fill="auto" w:val="clear"/>
            <w:vAlign w:val="center"/>
          </w:tcPr>
          <w:p>
            <w:pPr>
              <w:pStyle w:val="TableContents"/>
              <w:spacing w:before="0" w:after="0"/>
              <w:ind w:left="0" w:right="0" w:hanging="0"/>
              <w:jc w:val="left"/>
              <w:rPr/>
            </w:pPr>
            <w:r>
              <w:rPr/>
              <w:t> </w:t>
            </w:r>
          </w:p>
        </w:tc>
        <w:tc>
          <w:tcPr>
            <w:tcW w:w="692"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11</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62" w:type="dxa"/>
            <w:tcBorders/>
            <w:shd w:fill="auto" w:val="clear"/>
            <w:vAlign w:val="center"/>
          </w:tcPr>
          <w:p>
            <w:pPr>
              <w:pStyle w:val="TableContents"/>
              <w:spacing w:before="0" w:after="0"/>
              <w:ind w:left="0" w:right="0" w:hanging="0"/>
              <w:jc w:val="left"/>
              <w:rPr/>
            </w:pPr>
            <w:r>
              <w:rPr/>
              <w:t> </w:t>
            </w:r>
          </w:p>
        </w:tc>
        <w:tc>
          <w:tcPr>
            <w:tcW w:w="469"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12</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246" w:type="dxa"/>
            <w:tcBorders/>
            <w:shd w:fill="auto" w:val="clear"/>
            <w:vAlign w:val="center"/>
          </w:tcPr>
          <w:p>
            <w:pPr>
              <w:pStyle w:val="TableContents"/>
              <w:spacing w:before="0" w:after="0"/>
              <w:ind w:left="0" w:right="0" w:hanging="0"/>
              <w:jc w:val="left"/>
              <w:rPr/>
            </w:pPr>
            <w:r>
              <w:rPr/>
              <w:t> </w:t>
            </w:r>
          </w:p>
        </w:tc>
        <w:tc>
          <w:tcPr>
            <w:tcW w:w="714"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5</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42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28</w:t>
            </w:r>
          </w:p>
        </w:tc>
        <w:tc>
          <w:tcPr>
            <w:tcW w:w="146" w:type="dxa"/>
            <w:tcBorders/>
            <w:shd w:fill="auto" w:val="clear"/>
            <w:vAlign w:val="center"/>
          </w:tcPr>
          <w:p>
            <w:pPr>
              <w:pStyle w:val="TableContents"/>
              <w:spacing w:before="0" w:after="0"/>
              <w:ind w:left="0" w:right="0" w:hanging="0"/>
              <w:jc w:val="left"/>
              <w:rPr/>
            </w:pPr>
            <w:r>
              <w:rPr/>
              <w:t> </w:t>
            </w:r>
          </w:p>
        </w:tc>
        <w:tc>
          <w:tcPr>
            <w:tcW w:w="391" w:type="dxa"/>
            <w:tcBorders/>
            <w:shd w:fill="auto" w:val="clear"/>
            <w:vAlign w:val="center"/>
          </w:tcPr>
          <w:p>
            <w:pPr>
              <w:pStyle w:val="TableContents"/>
              <w:spacing w:before="0" w:after="0"/>
              <w:ind w:left="0" w:right="0" w:firstLine="200"/>
              <w:jc w:val="left"/>
              <w:rPr/>
            </w:pPr>
            <w:r>
              <w:rPr/>
              <w:t> </w:t>
            </w:r>
          </w:p>
        </w:tc>
      </w:tr>
      <w:tr>
        <w:trPr/>
        <w:tc>
          <w:tcPr>
            <w:tcW w:w="3466" w:type="dxa"/>
            <w:tcBorders/>
            <w:shd w:fill="auto" w:val="clear"/>
            <w:vAlign w:val="center"/>
          </w:tcPr>
          <w:p>
            <w:pPr>
              <w:pStyle w:val="TableContents"/>
              <w:spacing w:before="0" w:after="0"/>
              <w:ind w:left="200" w:right="0" w:hanging="0"/>
              <w:jc w:val="left"/>
              <w:rPr>
                <w:rFonts w:ascii="Times New Roman" w:hAnsi="Times New Roman"/>
                <w:sz w:val="20"/>
              </w:rPr>
            </w:pPr>
            <w:r>
              <w:rPr>
                <w:rFonts w:ascii="Times New Roman;serif" w:hAnsi="Times New Roman;serif"/>
                <w:b w:val="false"/>
                <w:sz w:val="20"/>
              </w:rPr>
              <w:t>Russia/the CIS &amp; Ukraine</w:t>
            </w:r>
            <w:r>
              <w:rPr>
                <w:rFonts w:ascii="Times New Roman;serif" w:hAnsi="Times New Roman;serif"/>
                <w:b w:val="false"/>
                <w:sz w:val="13"/>
              </w:rPr>
              <w:t>(1)</w:t>
            </w:r>
          </w:p>
        </w:tc>
        <w:tc>
          <w:tcPr>
            <w:tcW w:w="146" w:type="dxa"/>
            <w:tcBorders/>
            <w:shd w:fill="auto" w:val="clear"/>
            <w:vAlign w:val="center"/>
          </w:tcPr>
          <w:p>
            <w:pPr>
              <w:pStyle w:val="TableContents"/>
              <w:spacing w:before="0" w:after="0"/>
              <w:ind w:left="0" w:right="0" w:hanging="0"/>
              <w:jc w:val="left"/>
              <w:rPr/>
            </w:pPr>
            <w:r>
              <w:rPr/>
              <w:t> </w:t>
            </w:r>
          </w:p>
        </w:tc>
        <w:tc>
          <w:tcPr>
            <w:tcW w:w="239" w:type="dxa"/>
            <w:tcBorders/>
            <w:shd w:fill="auto" w:val="clear"/>
            <w:vAlign w:val="center"/>
          </w:tcPr>
          <w:p>
            <w:pPr>
              <w:pStyle w:val="TableContents"/>
              <w:spacing w:before="0" w:after="0"/>
              <w:ind w:left="0" w:right="0" w:hanging="0"/>
              <w:jc w:val="left"/>
              <w:rPr/>
            </w:pPr>
            <w:r>
              <w:rPr/>
              <w:t> </w:t>
            </w:r>
          </w:p>
        </w:tc>
        <w:tc>
          <w:tcPr>
            <w:tcW w:w="692"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62" w:type="dxa"/>
            <w:tcBorders/>
            <w:shd w:fill="auto" w:val="clear"/>
            <w:vAlign w:val="center"/>
          </w:tcPr>
          <w:p>
            <w:pPr>
              <w:pStyle w:val="TableContents"/>
              <w:spacing w:before="0" w:after="0"/>
              <w:ind w:left="0" w:right="0" w:hanging="0"/>
              <w:jc w:val="left"/>
              <w:rPr/>
            </w:pPr>
            <w:r>
              <w:rPr/>
              <w:t> </w:t>
            </w:r>
          </w:p>
        </w:tc>
        <w:tc>
          <w:tcPr>
            <w:tcW w:w="469"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246" w:type="dxa"/>
            <w:tcBorders/>
            <w:shd w:fill="auto" w:val="clear"/>
            <w:vAlign w:val="center"/>
          </w:tcPr>
          <w:p>
            <w:pPr>
              <w:pStyle w:val="TableContents"/>
              <w:spacing w:before="0" w:after="0"/>
              <w:ind w:left="0" w:right="0" w:hanging="0"/>
              <w:jc w:val="left"/>
              <w:rPr/>
            </w:pPr>
            <w:r>
              <w:rPr/>
              <w:t> </w:t>
            </w:r>
          </w:p>
        </w:tc>
        <w:tc>
          <w:tcPr>
            <w:tcW w:w="714"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23</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42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23</w:t>
            </w:r>
          </w:p>
        </w:tc>
        <w:tc>
          <w:tcPr>
            <w:tcW w:w="146" w:type="dxa"/>
            <w:tcBorders/>
            <w:shd w:fill="auto" w:val="clear"/>
            <w:vAlign w:val="center"/>
          </w:tcPr>
          <w:p>
            <w:pPr>
              <w:pStyle w:val="TableContents"/>
              <w:spacing w:before="0" w:after="0"/>
              <w:ind w:left="0" w:right="0" w:hanging="0"/>
              <w:jc w:val="left"/>
              <w:rPr/>
            </w:pPr>
            <w:r>
              <w:rPr/>
              <w:t> </w:t>
            </w:r>
          </w:p>
        </w:tc>
        <w:tc>
          <w:tcPr>
            <w:tcW w:w="391" w:type="dxa"/>
            <w:tcBorders/>
            <w:shd w:fill="auto" w:val="clear"/>
            <w:vAlign w:val="center"/>
          </w:tcPr>
          <w:p>
            <w:pPr>
              <w:pStyle w:val="TableContents"/>
              <w:spacing w:before="0" w:after="0"/>
              <w:ind w:left="0" w:right="0" w:firstLine="200"/>
              <w:jc w:val="left"/>
              <w:rPr/>
            </w:pPr>
            <w:r>
              <w:rPr/>
              <w:t> </w:t>
            </w:r>
          </w:p>
        </w:tc>
      </w:tr>
      <w:tr>
        <w:trPr/>
        <w:tc>
          <w:tcPr>
            <w:tcW w:w="3466" w:type="dxa"/>
            <w:tcBorders/>
            <w:shd w:fill="auto" w:val="clear"/>
            <w:vAlign w:val="center"/>
          </w:tcPr>
          <w:p>
            <w:pPr>
              <w:pStyle w:val="TableContents"/>
              <w:spacing w:before="0" w:after="0"/>
              <w:ind w:left="200" w:right="0" w:hanging="0"/>
              <w:jc w:val="left"/>
              <w:rPr>
                <w:rFonts w:ascii="Times New Roman;serif" w:hAnsi="Times New Roman;serif"/>
                <w:b w:val="false"/>
                <w:sz w:val="20"/>
              </w:rPr>
            </w:pPr>
            <w:r>
              <w:rPr>
                <w:rFonts w:ascii="Times New Roman;serif" w:hAnsi="Times New Roman;serif"/>
                <w:b w:val="false"/>
                <w:sz w:val="20"/>
              </w:rPr>
              <w:t>Latin America</w:t>
            </w:r>
          </w:p>
        </w:tc>
        <w:tc>
          <w:tcPr>
            <w:tcW w:w="146" w:type="dxa"/>
            <w:tcBorders/>
            <w:shd w:fill="auto" w:val="clear"/>
            <w:vAlign w:val="center"/>
          </w:tcPr>
          <w:p>
            <w:pPr>
              <w:pStyle w:val="TableContents"/>
              <w:spacing w:before="0" w:after="0"/>
              <w:ind w:left="0" w:right="0" w:hanging="0"/>
              <w:jc w:val="left"/>
              <w:rPr/>
            </w:pPr>
            <w:r>
              <w:rPr/>
              <w:t> </w:t>
            </w:r>
          </w:p>
        </w:tc>
        <w:tc>
          <w:tcPr>
            <w:tcW w:w="239" w:type="dxa"/>
            <w:tcBorders/>
            <w:shd w:fill="auto" w:val="clear"/>
            <w:vAlign w:val="center"/>
          </w:tcPr>
          <w:p>
            <w:pPr>
              <w:pStyle w:val="TableContents"/>
              <w:spacing w:before="0" w:after="0"/>
              <w:ind w:left="0" w:right="0" w:hanging="0"/>
              <w:jc w:val="left"/>
              <w:rPr/>
            </w:pPr>
            <w:r>
              <w:rPr/>
              <w:t> </w:t>
            </w:r>
          </w:p>
        </w:tc>
        <w:tc>
          <w:tcPr>
            <w:tcW w:w="692"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62" w:type="dxa"/>
            <w:tcBorders/>
            <w:shd w:fill="auto" w:val="clear"/>
            <w:vAlign w:val="center"/>
          </w:tcPr>
          <w:p>
            <w:pPr>
              <w:pStyle w:val="TableContents"/>
              <w:spacing w:before="0" w:after="0"/>
              <w:ind w:left="0" w:right="0" w:hanging="0"/>
              <w:jc w:val="left"/>
              <w:rPr/>
            </w:pPr>
            <w:r>
              <w:rPr/>
              <w:t> </w:t>
            </w:r>
          </w:p>
        </w:tc>
        <w:tc>
          <w:tcPr>
            <w:tcW w:w="469"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246" w:type="dxa"/>
            <w:tcBorders/>
            <w:shd w:fill="auto" w:val="clear"/>
            <w:vAlign w:val="center"/>
          </w:tcPr>
          <w:p>
            <w:pPr>
              <w:pStyle w:val="TableContents"/>
              <w:spacing w:before="0" w:after="0"/>
              <w:ind w:left="0" w:right="0" w:hanging="0"/>
              <w:jc w:val="left"/>
              <w:rPr/>
            </w:pPr>
            <w:r>
              <w:rPr/>
              <w:t> </w:t>
            </w:r>
          </w:p>
        </w:tc>
        <w:tc>
          <w:tcPr>
            <w:tcW w:w="714"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6</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42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9</w:t>
            </w:r>
          </w:p>
        </w:tc>
        <w:tc>
          <w:tcPr>
            <w:tcW w:w="146" w:type="dxa"/>
            <w:tcBorders/>
            <w:shd w:fill="auto" w:val="clear"/>
            <w:vAlign w:val="center"/>
          </w:tcPr>
          <w:p>
            <w:pPr>
              <w:pStyle w:val="TableContents"/>
              <w:spacing w:before="0" w:after="0"/>
              <w:ind w:left="0" w:right="0" w:hanging="0"/>
              <w:jc w:val="left"/>
              <w:rPr/>
            </w:pPr>
            <w:r>
              <w:rPr/>
              <w:t> </w:t>
            </w:r>
          </w:p>
        </w:tc>
        <w:tc>
          <w:tcPr>
            <w:tcW w:w="391" w:type="dxa"/>
            <w:tcBorders/>
            <w:shd w:fill="auto" w:val="clear"/>
            <w:vAlign w:val="center"/>
          </w:tcPr>
          <w:p>
            <w:pPr>
              <w:pStyle w:val="TableContents"/>
              <w:spacing w:before="0" w:after="0"/>
              <w:ind w:left="0" w:right="0" w:firstLine="200"/>
              <w:jc w:val="left"/>
              <w:rPr/>
            </w:pPr>
            <w:r>
              <w:rPr/>
              <w:t> </w:t>
            </w:r>
          </w:p>
        </w:tc>
      </w:tr>
      <w:tr>
        <w:trPr/>
        <w:tc>
          <w:tcPr>
            <w:tcW w:w="3466" w:type="dxa"/>
            <w:tcBorders/>
            <w:shd w:fill="auto" w:val="clear"/>
            <w:vAlign w:val="center"/>
          </w:tcPr>
          <w:p>
            <w:pPr>
              <w:pStyle w:val="TableContents"/>
              <w:spacing w:before="0" w:after="0"/>
              <w:ind w:left="200" w:right="0" w:hanging="0"/>
              <w:jc w:val="left"/>
              <w:rPr>
                <w:rFonts w:ascii="Times New Roman;serif" w:hAnsi="Times New Roman;serif"/>
                <w:b w:val="false"/>
                <w:sz w:val="20"/>
              </w:rPr>
            </w:pPr>
            <w:r>
              <w:rPr>
                <w:rFonts w:ascii="Times New Roman;serif" w:hAnsi="Times New Roman;serif"/>
                <w:b w:val="false"/>
                <w:sz w:val="20"/>
              </w:rPr>
              <w:t>Rest of the World</w:t>
            </w:r>
          </w:p>
        </w:tc>
        <w:tc>
          <w:tcPr>
            <w:tcW w:w="146" w:type="dxa"/>
            <w:tcBorders/>
            <w:shd w:fill="auto" w:val="clear"/>
            <w:vAlign w:val="center"/>
          </w:tcPr>
          <w:p>
            <w:pPr>
              <w:pStyle w:val="TableContents"/>
              <w:spacing w:before="0" w:after="0"/>
              <w:ind w:left="0" w:right="0" w:hanging="0"/>
              <w:jc w:val="left"/>
              <w:rPr/>
            </w:pPr>
            <w:r>
              <w:rPr/>
              <w:t> </w:t>
            </w:r>
          </w:p>
        </w:tc>
        <w:tc>
          <w:tcPr>
            <w:tcW w:w="239"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692"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62"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469"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2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714"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26</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42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31</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391" w:type="dxa"/>
            <w:tcBorders/>
            <w:shd w:fill="auto" w:val="clear"/>
            <w:vAlign w:val="center"/>
          </w:tcPr>
          <w:p>
            <w:pPr>
              <w:pStyle w:val="TableContents"/>
              <w:spacing w:before="0" w:after="0"/>
              <w:ind w:left="0" w:right="0" w:hanging="0"/>
              <w:jc w:val="left"/>
              <w:rPr/>
            </w:pPr>
            <w:r>
              <w:rPr/>
              <w:t> </w:t>
            </w:r>
          </w:p>
        </w:tc>
      </w:tr>
      <w:tr>
        <w:trPr/>
        <w:tc>
          <w:tcPr>
            <w:tcW w:w="346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International Total</w:t>
            </w:r>
          </w:p>
        </w:tc>
        <w:tc>
          <w:tcPr>
            <w:tcW w:w="146" w:type="dxa"/>
            <w:tcBorders/>
            <w:shd w:fill="auto" w:val="clear"/>
            <w:vAlign w:val="center"/>
          </w:tcPr>
          <w:p>
            <w:pPr>
              <w:pStyle w:val="TableContents"/>
              <w:spacing w:before="0" w:after="0"/>
              <w:ind w:left="0" w:right="0" w:hanging="0"/>
              <w:jc w:val="left"/>
              <w:rPr/>
            </w:pPr>
            <w:r>
              <w:rPr/>
              <w:t> </w:t>
            </w:r>
          </w:p>
        </w:tc>
        <w:tc>
          <w:tcPr>
            <w:tcW w:w="239"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692"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61</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62"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469"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129</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2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714"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163</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42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353</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391" w:type="dxa"/>
            <w:tcBorders/>
            <w:shd w:fill="auto" w:val="clear"/>
            <w:vAlign w:val="center"/>
          </w:tcPr>
          <w:p>
            <w:pPr>
              <w:pStyle w:val="TableContents"/>
              <w:spacing w:before="0" w:after="0"/>
              <w:ind w:left="0" w:right="0" w:hanging="0"/>
              <w:jc w:val="left"/>
              <w:rPr/>
            </w:pPr>
            <w:r>
              <w:rPr/>
              <w:t> </w:t>
            </w:r>
          </w:p>
        </w:tc>
      </w:tr>
      <w:tr>
        <w:trPr/>
        <w:tc>
          <w:tcPr>
            <w:tcW w:w="346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Worldwide Total</w:t>
            </w:r>
          </w:p>
        </w:tc>
        <w:tc>
          <w:tcPr>
            <w:tcW w:w="146" w:type="dxa"/>
            <w:tcBorders/>
            <w:shd w:fill="auto" w:val="clear"/>
            <w:vAlign w:val="center"/>
          </w:tcPr>
          <w:p>
            <w:pPr>
              <w:pStyle w:val="TableContents"/>
              <w:spacing w:before="0" w:after="0"/>
              <w:ind w:left="0" w:right="0" w:hanging="0"/>
              <w:jc w:val="left"/>
              <w:rPr/>
            </w:pPr>
            <w:r>
              <w:rPr/>
              <w:t> </w:t>
            </w:r>
          </w:p>
        </w:tc>
        <w:tc>
          <w:tcPr>
            <w:tcW w:w="239"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692"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185</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62"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469"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131</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2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714"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171</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42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487</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391" w:type="dxa"/>
            <w:tcBorders/>
            <w:shd w:fill="auto" w:val="clear"/>
            <w:vAlign w:val="center"/>
          </w:tcPr>
          <w:p>
            <w:pPr>
              <w:pStyle w:val="TableContents"/>
              <w:spacing w:before="0" w:after="0"/>
              <w:ind w:left="0" w:right="0" w:hanging="0"/>
              <w:jc w:val="left"/>
              <w:rPr>
                <w:rFonts w:ascii="Times New Roman;serif" w:hAnsi="Times New Roman;serif"/>
                <w:b w:val="false"/>
                <w:sz w:val="13"/>
              </w:rPr>
            </w:pPr>
            <w:r>
              <w:rPr>
                <w:rFonts w:ascii="Times New Roman;serif" w:hAnsi="Times New Roman;serif"/>
                <w:b w:val="false"/>
                <w:sz w:val="13"/>
              </w:rPr>
              <w:t>(3)</w:t>
            </w:r>
          </w:p>
        </w:tc>
      </w:tr>
    </w:tbl>
    <w:p>
      <w:pPr>
        <w:pStyle w:val="TextBody"/>
        <w:pBdr>
          <w:bottom w:val="single" w:sz="4" w:space="1" w:color="000000"/>
        </w:pBdr>
        <w:spacing w:before="0" w:after="0"/>
        <w:jc w:val="both"/>
        <w:rPr/>
      </w:pPr>
      <w:r>
        <w:rPr/>
        <w:t> </w:t>
      </w:r>
    </w:p>
    <w:p>
      <w:pPr>
        <w:pStyle w:val="TextBody"/>
        <w:spacing w:before="240" w:after="0"/>
        <w:jc w:val="center"/>
        <w:rPr>
          <w:rFonts w:ascii="Times New Roman;serif" w:hAnsi="Times New Roman;serif"/>
          <w:b w:val="false"/>
          <w:sz w:val="20"/>
        </w:rPr>
      </w:pPr>
      <w:r>
        <w:rPr>
          <w:rFonts w:ascii="Times New Roman;serif" w:hAnsi="Times New Roman;serif"/>
          <w:b w:val="false"/>
          <w:sz w:val="20"/>
        </w:rPr>
        <w:t>51</w:t>
      </w:r>
    </w:p>
    <w:p>
      <w:pPr>
        <w:pStyle w:val="HorizontalLine"/>
        <w:rPr/>
      </w:pPr>
      <w:r>
        <w:rPr/>
      </w:r>
    </w:p>
    <w:p>
      <w:pPr>
        <w:pStyle w:val="TextBody"/>
        <w:spacing w:before="0" w:after="0"/>
        <w:jc w:val="left"/>
        <w:rPr/>
      </w:pPr>
      <w:r>
        <w:rPr/>
        <w:t> </w:t>
      </w:r>
    </w:p>
    <w:p>
      <w:pPr>
        <w:pStyle w:val="TextBody"/>
        <w:spacing w:before="200" w:after="0"/>
        <w:jc w:val="both"/>
        <w:rPr>
          <w:rFonts w:ascii="Times New Roman" w:hAnsi="Times New Roman"/>
          <w:b w:val="false"/>
          <w:sz w:val="20"/>
        </w:rPr>
      </w:pPr>
      <w:r>
        <w:rPr>
          <w:rFonts w:ascii="Times New Roman" w:hAnsi="Times New Roman"/>
          <w:b w:val="false"/>
          <w:sz w:val="20"/>
        </w:rPr>
        <w:t>(1)</w:t>
      </w:r>
    </w:p>
    <w:p>
      <w:pPr>
        <w:pStyle w:val="TextBody"/>
        <w:spacing w:before="200" w:after="0"/>
        <w:jc w:val="both"/>
        <w:rPr>
          <w:rFonts w:ascii="Times New Roman;serif" w:hAnsi="Times New Roman;serif"/>
          <w:b w:val="false"/>
          <w:sz w:val="20"/>
        </w:rPr>
      </w:pPr>
      <w:r>
        <w:rPr>
          <w:rFonts w:ascii="Times New Roman;serif" w:hAnsi="Times New Roman;serif"/>
          <w:b w:val="false"/>
          <w:sz w:val="20"/>
        </w:rPr>
        <w:t>In addition to Russia, the Company has IMAX Systems in backlog in the Commonwealth of Independent States (“CIS”) which are Belarus, Kazakhstan, and Uzbekistan. Commencing in March 2022, in response to the ongoing conflict between Russia and Ukraine and resulting sanctions, the Company suspended its operations in Russia and Belarus. As of March 31, 2023, the Company's backlog includes 14 systems in Russia, one system in Ukraine, and five systems in Belarus with a total fixed contracted value of $22.9 million.</w:t>
      </w:r>
    </w:p>
    <w:p>
      <w:pPr>
        <w:pStyle w:val="TextBody"/>
        <w:spacing w:before="200" w:after="0"/>
        <w:jc w:val="both"/>
        <w:rPr>
          <w:rFonts w:ascii="Times New Roman" w:hAnsi="Times New Roman"/>
          <w:b w:val="false"/>
          <w:sz w:val="20"/>
        </w:rPr>
      </w:pPr>
      <w:r>
        <w:rPr>
          <w:rFonts w:ascii="Times New Roman" w:hAnsi="Times New Roman"/>
          <w:b w:val="false"/>
          <w:sz w:val="20"/>
        </w:rPr>
        <w:t>(2)</w:t>
      </w:r>
    </w:p>
    <w:p>
      <w:pPr>
        <w:pStyle w:val="TextBody"/>
        <w:spacing w:before="200" w:after="0"/>
        <w:jc w:val="both"/>
        <w:rPr>
          <w:rFonts w:ascii="Times New Roman;serif" w:hAnsi="Times New Roman;serif"/>
          <w:b w:val="false"/>
          <w:sz w:val="20"/>
        </w:rPr>
      </w:pPr>
      <w:r>
        <w:rPr>
          <w:rFonts w:ascii="Times New Roman;serif" w:hAnsi="Times New Roman;serif"/>
          <w:b w:val="false"/>
          <w:sz w:val="20"/>
        </w:rPr>
        <w:t>Includes 309 IMAX Laser Systems (221 new and 88 upgrades of existing locations).</w:t>
      </w:r>
    </w:p>
    <w:p>
      <w:pPr>
        <w:pStyle w:val="TextBody"/>
        <w:spacing w:before="200" w:after="0"/>
        <w:jc w:val="both"/>
        <w:rPr>
          <w:rFonts w:ascii="Times New Roman" w:hAnsi="Times New Roman"/>
          <w:b w:val="false"/>
          <w:sz w:val="20"/>
        </w:rPr>
      </w:pPr>
      <w:r>
        <w:rPr>
          <w:rFonts w:ascii="Times New Roman" w:hAnsi="Times New Roman"/>
          <w:b w:val="false"/>
          <w:sz w:val="20"/>
        </w:rPr>
        <w:t>(3)</w:t>
      </w:r>
    </w:p>
    <w:p>
      <w:pPr>
        <w:pStyle w:val="TextBody"/>
        <w:spacing w:before="200" w:after="283"/>
        <w:jc w:val="both"/>
        <w:rPr>
          <w:rFonts w:ascii="Times New Roman;serif" w:hAnsi="Times New Roman;serif"/>
          <w:b w:val="false"/>
          <w:sz w:val="20"/>
        </w:rPr>
      </w:pPr>
      <w:r>
        <w:rPr>
          <w:rFonts w:ascii="Times New Roman;serif" w:hAnsi="Times New Roman;serif"/>
          <w:b w:val="false"/>
          <w:sz w:val="20"/>
        </w:rPr>
        <w:t xml:space="preserve">Includes 284 IMAX Laser Systems (180 new and 104 upgrades of existing locations). </w:t>
      </w:r>
    </w:p>
    <w:p>
      <w:pPr>
        <w:pStyle w:val="TextBody"/>
        <w:spacing w:before="200" w:after="0"/>
        <w:jc w:val="both"/>
        <w:rPr>
          <w:rFonts w:ascii="Times New Roman;serif" w:hAnsi="Times New Roman;serif"/>
          <w:b w:val="false"/>
          <w:sz w:val="20"/>
        </w:rPr>
      </w:pPr>
      <w:r>
        <w:rPr>
          <w:rFonts w:ascii="Times New Roman;serif" w:hAnsi="Times New Roman;serif"/>
          <w:b w:val="false"/>
          <w:sz w:val="20"/>
        </w:rPr>
        <w:t>Approximately 34% of IMAX System arrangements in backlog as of March 31, 2023 are scheduled to be installed in international markets excluding Greater China (2022 — 30%).</w:t>
      </w:r>
    </w:p>
    <w:p>
      <w:pPr>
        <w:pStyle w:val="TextBody"/>
        <w:spacing w:before="200" w:after="0"/>
        <w:jc w:val="both"/>
        <w:rPr>
          <w:rFonts w:ascii="Times New Roman;serif" w:hAnsi="Times New Roman;serif"/>
          <w:b w:val="false"/>
          <w:i/>
          <w:sz w:val="20"/>
        </w:rPr>
      </w:pPr>
      <w:r>
        <w:rPr>
          <w:rFonts w:ascii="Times New Roman;serif" w:hAnsi="Times New Roman;serif"/>
          <w:b w:val="false"/>
          <w:i/>
          <w:sz w:val="20"/>
        </w:rPr>
        <w:t>Signings and Installations</w:t>
      </w:r>
    </w:p>
    <w:p>
      <w:pPr>
        <w:pStyle w:val="TextBody"/>
        <w:spacing w:before="200" w:after="0"/>
        <w:jc w:val="both"/>
        <w:rPr>
          <w:rFonts w:ascii="Times New Roman;serif" w:hAnsi="Times New Roman;serif"/>
          <w:b w:val="false"/>
          <w:sz w:val="20"/>
        </w:rPr>
      </w:pPr>
      <w:r>
        <w:rPr>
          <w:rFonts w:ascii="Times New Roman;serif" w:hAnsi="Times New Roman;serif"/>
          <w:b w:val="false"/>
          <w:sz w:val="20"/>
        </w:rPr>
        <w:t>The following tables provide detailed information about IMAX System signings and installations for the three months ended March 31, 2023 and 2022:</w:t>
      </w:r>
    </w:p>
    <w:p>
      <w:pPr>
        <w:pStyle w:val="TextBody"/>
        <w:spacing w:before="0" w:after="0"/>
        <w:jc w:val="both"/>
        <w:rPr/>
      </w:pPr>
      <w:r>
        <w:rPr/>
        <w:t> </w:t>
      </w:r>
    </w:p>
    <w:tbl>
      <w:tblPr>
        <w:tblW w:w="5820" w:type="dxa"/>
        <w:jc w:val="left"/>
        <w:tblInd w:w="0" w:type="dxa"/>
        <w:tblCellMar>
          <w:top w:w="28" w:type="dxa"/>
          <w:left w:w="28" w:type="dxa"/>
          <w:bottom w:w="28" w:type="dxa"/>
          <w:right w:w="28" w:type="dxa"/>
        </w:tblCellMar>
      </w:tblPr>
      <w:tblGrid>
        <w:gridCol w:w="3241"/>
        <w:gridCol w:w="250"/>
        <w:gridCol w:w="594"/>
        <w:gridCol w:w="250"/>
        <w:gridCol w:w="250"/>
        <w:gridCol w:w="250"/>
        <w:gridCol w:w="594"/>
        <w:gridCol w:w="391"/>
      </w:tblGrid>
      <w:tr>
        <w:trPr/>
        <w:tc>
          <w:tcPr>
            <w:tcW w:w="3241" w:type="dxa"/>
            <w:tcBorders/>
            <w:shd w:fill="auto" w:val="clear"/>
            <w:vAlign w:val="center"/>
          </w:tcPr>
          <w:p>
            <w:pPr>
              <w:pStyle w:val="TableContents"/>
              <w:spacing w:before="0" w:after="283"/>
              <w:rPr>
                <w:sz w:val="4"/>
                <w:szCs w:val="4"/>
              </w:rPr>
            </w:pPr>
            <w:r>
              <w:rPr>
                <w:sz w:val="4"/>
                <w:szCs w:val="4"/>
              </w:rPr>
            </w:r>
          </w:p>
        </w:tc>
        <w:tc>
          <w:tcPr>
            <w:tcW w:w="250" w:type="dxa"/>
            <w:tcBorders/>
            <w:shd w:fill="auto" w:val="clear"/>
            <w:vAlign w:val="center"/>
          </w:tcPr>
          <w:p>
            <w:pPr>
              <w:pStyle w:val="TableContents"/>
              <w:spacing w:before="0" w:after="283"/>
              <w:rPr>
                <w:sz w:val="4"/>
                <w:szCs w:val="4"/>
              </w:rPr>
            </w:pPr>
            <w:r>
              <w:rPr>
                <w:sz w:val="4"/>
                <w:szCs w:val="4"/>
              </w:rPr>
            </w:r>
          </w:p>
        </w:tc>
        <w:tc>
          <w:tcPr>
            <w:tcW w:w="594" w:type="dxa"/>
            <w:tcBorders/>
            <w:shd w:fill="auto" w:val="clear"/>
            <w:vAlign w:val="center"/>
          </w:tcPr>
          <w:p>
            <w:pPr>
              <w:pStyle w:val="TableContents"/>
              <w:spacing w:before="0" w:after="283"/>
              <w:rPr>
                <w:sz w:val="4"/>
                <w:szCs w:val="4"/>
              </w:rPr>
            </w:pPr>
            <w:r>
              <w:rPr>
                <w:sz w:val="4"/>
                <w:szCs w:val="4"/>
              </w:rPr>
            </w:r>
          </w:p>
        </w:tc>
        <w:tc>
          <w:tcPr>
            <w:tcW w:w="250" w:type="dxa"/>
            <w:tcBorders/>
            <w:shd w:fill="auto" w:val="clear"/>
            <w:vAlign w:val="center"/>
          </w:tcPr>
          <w:p>
            <w:pPr>
              <w:pStyle w:val="TableContents"/>
              <w:spacing w:before="0" w:after="283"/>
              <w:rPr>
                <w:sz w:val="4"/>
                <w:szCs w:val="4"/>
              </w:rPr>
            </w:pPr>
            <w:r>
              <w:rPr>
                <w:sz w:val="4"/>
                <w:szCs w:val="4"/>
              </w:rPr>
            </w:r>
          </w:p>
        </w:tc>
        <w:tc>
          <w:tcPr>
            <w:tcW w:w="250" w:type="dxa"/>
            <w:tcBorders/>
            <w:shd w:fill="auto" w:val="clear"/>
            <w:vAlign w:val="center"/>
          </w:tcPr>
          <w:p>
            <w:pPr>
              <w:pStyle w:val="TableContents"/>
              <w:spacing w:before="0" w:after="283"/>
              <w:rPr>
                <w:sz w:val="4"/>
                <w:szCs w:val="4"/>
              </w:rPr>
            </w:pPr>
            <w:r>
              <w:rPr>
                <w:sz w:val="4"/>
                <w:szCs w:val="4"/>
              </w:rPr>
            </w:r>
          </w:p>
        </w:tc>
        <w:tc>
          <w:tcPr>
            <w:tcW w:w="250" w:type="dxa"/>
            <w:tcBorders/>
            <w:shd w:fill="auto" w:val="clear"/>
            <w:vAlign w:val="center"/>
          </w:tcPr>
          <w:p>
            <w:pPr>
              <w:pStyle w:val="TableContents"/>
              <w:spacing w:before="0" w:after="283"/>
              <w:rPr>
                <w:sz w:val="4"/>
                <w:szCs w:val="4"/>
              </w:rPr>
            </w:pPr>
            <w:r>
              <w:rPr>
                <w:sz w:val="4"/>
                <w:szCs w:val="4"/>
              </w:rPr>
            </w:r>
          </w:p>
        </w:tc>
        <w:tc>
          <w:tcPr>
            <w:tcW w:w="594" w:type="dxa"/>
            <w:tcBorders/>
            <w:shd w:fill="auto" w:val="clear"/>
            <w:vAlign w:val="center"/>
          </w:tcPr>
          <w:p>
            <w:pPr>
              <w:pStyle w:val="TableContents"/>
              <w:spacing w:before="0" w:after="283"/>
              <w:rPr>
                <w:sz w:val="4"/>
                <w:szCs w:val="4"/>
              </w:rPr>
            </w:pPr>
            <w:r>
              <w:rPr>
                <w:sz w:val="4"/>
                <w:szCs w:val="4"/>
              </w:rPr>
            </w:r>
          </w:p>
        </w:tc>
        <w:tc>
          <w:tcPr>
            <w:tcW w:w="391" w:type="dxa"/>
            <w:tcBorders/>
            <w:shd w:fill="auto" w:val="clear"/>
            <w:vAlign w:val="center"/>
          </w:tcPr>
          <w:p>
            <w:pPr>
              <w:pStyle w:val="TableContents"/>
              <w:spacing w:before="0" w:after="283"/>
              <w:rPr>
                <w:sz w:val="4"/>
                <w:szCs w:val="4"/>
              </w:rPr>
            </w:pPr>
            <w:r>
              <w:rPr>
                <w:sz w:val="4"/>
                <w:szCs w:val="4"/>
              </w:rPr>
            </w:r>
          </w:p>
        </w:tc>
      </w:tr>
      <w:tr>
        <w:trPr/>
        <w:tc>
          <w:tcPr>
            <w:tcW w:w="3241" w:type="dxa"/>
            <w:tcBorders/>
            <w:shd w:fill="auto" w:val="clear"/>
            <w:vAlign w:val="center"/>
          </w:tcPr>
          <w:p>
            <w:pPr>
              <w:pStyle w:val="TableContents"/>
              <w:spacing w:before="0" w:after="0"/>
              <w:ind w:left="0" w:right="0" w:hanging="0"/>
              <w:jc w:val="left"/>
              <w:rPr/>
            </w:pPr>
            <w:r>
              <w:rPr/>
              <w:t> </w:t>
            </w:r>
          </w:p>
        </w:tc>
        <w:tc>
          <w:tcPr>
            <w:tcW w:w="2188" w:type="dxa"/>
            <w:gridSpan w:val="6"/>
            <w:tcBorders/>
            <w:shd w:fill="auto" w:val="cle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For the Three Months Ended</w:t>
            </w:r>
          </w:p>
        </w:tc>
        <w:tc>
          <w:tcPr>
            <w:tcW w:w="391" w:type="dxa"/>
            <w:tcBorders/>
            <w:shd w:fill="auto" w:val="clear"/>
            <w:vAlign w:val="center"/>
          </w:tcPr>
          <w:p>
            <w:pPr>
              <w:pStyle w:val="TableContents"/>
              <w:spacing w:before="0" w:after="0"/>
              <w:ind w:left="0" w:right="0" w:hanging="0"/>
              <w:jc w:val="center"/>
              <w:rPr/>
            </w:pPr>
            <w:r>
              <w:rPr/>
              <w:t> </w:t>
            </w:r>
          </w:p>
        </w:tc>
      </w:tr>
      <w:tr>
        <w:trPr/>
        <w:tc>
          <w:tcPr>
            <w:tcW w:w="3241" w:type="dxa"/>
            <w:tcBorders/>
            <w:shd w:fill="auto" w:val="clear"/>
            <w:vAlign w:val="center"/>
          </w:tcPr>
          <w:p>
            <w:pPr>
              <w:pStyle w:val="TableContents"/>
              <w:spacing w:before="0" w:after="0"/>
              <w:ind w:left="0" w:right="0" w:hanging="0"/>
              <w:jc w:val="left"/>
              <w:rPr/>
            </w:pPr>
            <w:r>
              <w:rPr/>
              <w:t> </w:t>
            </w:r>
          </w:p>
        </w:tc>
        <w:tc>
          <w:tcPr>
            <w:tcW w:w="2188" w:type="dxa"/>
            <w:gridSpan w:val="6"/>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March 31,</w:t>
            </w:r>
          </w:p>
        </w:tc>
        <w:tc>
          <w:tcPr>
            <w:tcW w:w="3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3241" w:type="dxa"/>
            <w:tcBorders/>
            <w:shd w:fill="auto" w:val="clear"/>
            <w:vAlign w:val="center"/>
          </w:tcPr>
          <w:p>
            <w:pPr>
              <w:pStyle w:val="TableContents"/>
              <w:spacing w:before="0" w:after="0"/>
              <w:ind w:left="0" w:right="0" w:hanging="0"/>
              <w:jc w:val="left"/>
              <w:rPr/>
            </w:pPr>
            <w:r>
              <w:rPr/>
              <w:t> </w:t>
            </w:r>
          </w:p>
        </w:tc>
        <w:tc>
          <w:tcPr>
            <w:tcW w:w="844"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2023</w:t>
            </w:r>
          </w:p>
        </w:tc>
        <w:tc>
          <w:tcPr>
            <w:tcW w:w="250"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250" w:type="dxa"/>
            <w:tcBorders/>
            <w:shd w:fill="auto" w:val="clear"/>
            <w:vAlign w:val="center"/>
          </w:tcPr>
          <w:p>
            <w:pPr>
              <w:pStyle w:val="TableContents"/>
              <w:spacing w:before="0" w:after="0"/>
              <w:ind w:left="0" w:right="0" w:hanging="0"/>
              <w:jc w:val="left"/>
              <w:rPr/>
            </w:pPr>
            <w:r>
              <w:rPr/>
              <w:t> </w:t>
            </w:r>
          </w:p>
        </w:tc>
        <w:tc>
          <w:tcPr>
            <w:tcW w:w="844"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2022</w:t>
            </w:r>
          </w:p>
        </w:tc>
        <w:tc>
          <w:tcPr>
            <w:tcW w:w="3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3241" w:type="dxa"/>
            <w:tcBorders/>
            <w:shd w:fill="auto" w:val="clear"/>
            <w:vAlign w:val="center"/>
          </w:tcPr>
          <w:p>
            <w:pPr>
              <w:pStyle w:val="TableContents"/>
              <w:spacing w:before="0" w:after="0"/>
              <w:ind w:left="0" w:right="0" w:hanging="0"/>
              <w:jc w:val="left"/>
              <w:rPr>
                <w:rFonts w:ascii="Times New Roman;serif" w:hAnsi="Times New Roman;serif"/>
                <w:b/>
                <w:sz w:val="20"/>
              </w:rPr>
            </w:pPr>
            <w:r>
              <w:rPr>
                <w:rFonts w:ascii="Times New Roman;serif" w:hAnsi="Times New Roman;serif"/>
                <w:b/>
                <w:sz w:val="20"/>
              </w:rPr>
              <w:t>System Signings:</w:t>
            </w:r>
          </w:p>
        </w:tc>
        <w:tc>
          <w:tcPr>
            <w:tcW w:w="844" w:type="dxa"/>
            <w:gridSpan w:val="2"/>
            <w:tcBorders/>
            <w:shd w:fill="auto" w:val="clear"/>
            <w:vAlign w:val="center"/>
          </w:tcPr>
          <w:p>
            <w:pPr>
              <w:pStyle w:val="TableContents"/>
              <w:spacing w:before="0" w:after="0"/>
              <w:ind w:left="0" w:right="0" w:hanging="0"/>
              <w:jc w:val="center"/>
              <w:rPr/>
            </w:pPr>
            <w:r>
              <w:rPr/>
              <w:t> </w:t>
            </w:r>
          </w:p>
        </w:tc>
        <w:tc>
          <w:tcPr>
            <w:tcW w:w="250" w:type="dxa"/>
            <w:tcBorders/>
            <w:shd w:fill="auto" w:val="clear"/>
            <w:vAlign w:val="center"/>
          </w:tcPr>
          <w:p>
            <w:pPr>
              <w:pStyle w:val="TableContents"/>
              <w:spacing w:before="0" w:after="0"/>
              <w:ind w:left="0" w:right="0" w:hanging="0"/>
              <w:jc w:val="center"/>
              <w:rPr/>
            </w:pPr>
            <w:r>
              <w:rPr/>
              <w:t> </w:t>
            </w:r>
          </w:p>
        </w:tc>
        <w:tc>
          <w:tcPr>
            <w:tcW w:w="250" w:type="dxa"/>
            <w:tcBorders/>
            <w:shd w:fill="auto" w:val="clear"/>
            <w:vAlign w:val="center"/>
          </w:tcPr>
          <w:p>
            <w:pPr>
              <w:pStyle w:val="TableContents"/>
              <w:spacing w:before="0" w:after="0"/>
              <w:ind w:left="0" w:right="0" w:hanging="0"/>
              <w:jc w:val="left"/>
              <w:rPr/>
            </w:pPr>
            <w:r>
              <w:rPr/>
              <w:t> </w:t>
            </w:r>
          </w:p>
        </w:tc>
        <w:tc>
          <w:tcPr>
            <w:tcW w:w="844" w:type="dxa"/>
            <w:gridSpan w:val="2"/>
            <w:tcBorders/>
            <w:shd w:fill="auto" w:val="clear"/>
            <w:vAlign w:val="center"/>
          </w:tcPr>
          <w:p>
            <w:pPr>
              <w:pStyle w:val="TableContents"/>
              <w:spacing w:before="0" w:after="0"/>
              <w:ind w:left="0" w:right="0" w:hanging="0"/>
              <w:jc w:val="center"/>
              <w:rPr/>
            </w:pPr>
            <w:r>
              <w:rPr/>
              <w:t> </w:t>
            </w:r>
          </w:p>
        </w:tc>
        <w:tc>
          <w:tcPr>
            <w:tcW w:w="391" w:type="dxa"/>
            <w:tcBorders/>
            <w:shd w:fill="auto" w:val="clear"/>
            <w:vAlign w:val="center"/>
          </w:tcPr>
          <w:p>
            <w:pPr>
              <w:pStyle w:val="TableContents"/>
              <w:spacing w:before="0" w:after="0"/>
              <w:ind w:left="0" w:right="0" w:hanging="0"/>
              <w:jc w:val="center"/>
              <w:rPr/>
            </w:pPr>
            <w:r>
              <w:rPr/>
              <w:t> </w:t>
            </w:r>
          </w:p>
        </w:tc>
      </w:tr>
      <w:tr>
        <w:trPr/>
        <w:tc>
          <w:tcPr>
            <w:tcW w:w="324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New IMAX Systems</w:t>
            </w:r>
          </w:p>
        </w:tc>
        <w:tc>
          <w:tcPr>
            <w:tcW w:w="844" w:type="dxa"/>
            <w:gridSpan w:val="2"/>
            <w:tcBorders/>
            <w:shd w:fill="auto" w:val="clear"/>
            <w:vAlign w:val="center"/>
          </w:tcPr>
          <w:p>
            <w:pPr>
              <w:pStyle w:val="TableContents"/>
              <w:spacing w:before="0" w:after="0"/>
              <w:ind w:left="0" w:right="0" w:hanging="0"/>
              <w:jc w:val="center"/>
              <w:rPr/>
            </w:pPr>
            <w:r>
              <w:rPr/>
              <w:t> </w:t>
            </w:r>
          </w:p>
        </w:tc>
        <w:tc>
          <w:tcPr>
            <w:tcW w:w="250" w:type="dxa"/>
            <w:tcBorders/>
            <w:shd w:fill="auto" w:val="clear"/>
            <w:vAlign w:val="center"/>
          </w:tcPr>
          <w:p>
            <w:pPr>
              <w:pStyle w:val="TableContents"/>
              <w:spacing w:before="0" w:after="0"/>
              <w:ind w:left="0" w:right="0" w:hanging="0"/>
              <w:jc w:val="center"/>
              <w:rPr/>
            </w:pPr>
            <w:r>
              <w:rPr/>
              <w:t> </w:t>
            </w:r>
          </w:p>
        </w:tc>
        <w:tc>
          <w:tcPr>
            <w:tcW w:w="250" w:type="dxa"/>
            <w:tcBorders/>
            <w:shd w:fill="auto" w:val="clear"/>
            <w:vAlign w:val="center"/>
          </w:tcPr>
          <w:p>
            <w:pPr>
              <w:pStyle w:val="TableContents"/>
              <w:spacing w:before="0" w:after="0"/>
              <w:ind w:left="0" w:right="0" w:hanging="0"/>
              <w:jc w:val="left"/>
              <w:rPr/>
            </w:pPr>
            <w:r>
              <w:rPr/>
              <w:t> </w:t>
            </w:r>
          </w:p>
        </w:tc>
        <w:tc>
          <w:tcPr>
            <w:tcW w:w="844" w:type="dxa"/>
            <w:gridSpan w:val="2"/>
            <w:tcBorders/>
            <w:shd w:fill="auto" w:val="clear"/>
            <w:vAlign w:val="center"/>
          </w:tcPr>
          <w:p>
            <w:pPr>
              <w:pStyle w:val="TableContents"/>
              <w:spacing w:before="0" w:after="0"/>
              <w:ind w:left="0" w:right="0" w:hanging="0"/>
              <w:jc w:val="center"/>
              <w:rPr/>
            </w:pPr>
            <w:r>
              <w:rPr/>
              <w:t> </w:t>
            </w:r>
          </w:p>
        </w:tc>
        <w:tc>
          <w:tcPr>
            <w:tcW w:w="391" w:type="dxa"/>
            <w:tcBorders/>
            <w:shd w:fill="auto" w:val="clear"/>
            <w:vAlign w:val="center"/>
          </w:tcPr>
          <w:p>
            <w:pPr>
              <w:pStyle w:val="TableContents"/>
              <w:spacing w:before="0" w:after="0"/>
              <w:ind w:left="0" w:right="0" w:firstLine="100"/>
              <w:jc w:val="center"/>
              <w:rPr/>
            </w:pPr>
            <w:r>
              <w:rPr/>
              <w:t> </w:t>
            </w:r>
          </w:p>
        </w:tc>
      </w:tr>
      <w:tr>
        <w:trPr/>
        <w:tc>
          <w:tcPr>
            <w:tcW w:w="3241" w:type="dxa"/>
            <w:tcBorders/>
            <w:shd w:fill="auto" w:val="clear"/>
            <w:vAlign w:val="center"/>
          </w:tcPr>
          <w:p>
            <w:pPr>
              <w:pStyle w:val="TableContents"/>
              <w:spacing w:before="0" w:after="0"/>
              <w:ind w:left="100" w:right="0" w:hanging="0"/>
              <w:jc w:val="left"/>
              <w:rPr>
                <w:rFonts w:ascii="Times New Roman;serif" w:hAnsi="Times New Roman;serif"/>
                <w:b w:val="false"/>
                <w:sz w:val="20"/>
              </w:rPr>
            </w:pPr>
            <w:r>
              <w:rPr>
                <w:rFonts w:ascii="Times New Roman;serif" w:hAnsi="Times New Roman;serif"/>
                <w:b w:val="false"/>
                <w:sz w:val="20"/>
              </w:rPr>
              <w:t>Sale and sales-type lease arrangements</w:t>
            </w:r>
          </w:p>
        </w:tc>
        <w:tc>
          <w:tcPr>
            <w:tcW w:w="250" w:type="dxa"/>
            <w:tcBorders/>
            <w:shd w:fill="auto" w:val="clear"/>
            <w:vAlign w:val="center"/>
          </w:tcPr>
          <w:p>
            <w:pPr>
              <w:pStyle w:val="TableContents"/>
              <w:spacing w:before="0" w:after="0"/>
              <w:ind w:left="0" w:right="0" w:hanging="0"/>
              <w:jc w:val="left"/>
              <w:rPr/>
            </w:pPr>
            <w:r>
              <w:rPr/>
              <w:t> </w:t>
            </w:r>
          </w:p>
        </w:tc>
        <w:tc>
          <w:tcPr>
            <w:tcW w:w="594"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14</w:t>
            </w:r>
          </w:p>
        </w:tc>
        <w:tc>
          <w:tcPr>
            <w:tcW w:w="250" w:type="dxa"/>
            <w:tcBorders/>
            <w:shd w:fill="auto" w:val="clear"/>
            <w:vAlign w:val="center"/>
          </w:tcPr>
          <w:p>
            <w:pPr>
              <w:pStyle w:val="TableContents"/>
              <w:spacing w:before="0" w:after="0"/>
              <w:ind w:left="0" w:right="0" w:hanging="0"/>
              <w:jc w:val="left"/>
              <w:rPr/>
            </w:pPr>
            <w:r>
              <w:rPr/>
              <w:t> </w:t>
            </w:r>
          </w:p>
        </w:tc>
        <w:tc>
          <w:tcPr>
            <w:tcW w:w="250" w:type="dxa"/>
            <w:tcBorders/>
            <w:shd w:fill="auto" w:val="clear"/>
            <w:vAlign w:val="center"/>
          </w:tcPr>
          <w:p>
            <w:pPr>
              <w:pStyle w:val="TableContents"/>
              <w:spacing w:before="0" w:after="0"/>
              <w:ind w:left="0" w:right="0" w:hanging="0"/>
              <w:jc w:val="left"/>
              <w:rPr/>
            </w:pPr>
            <w:r>
              <w:rPr/>
              <w:t> </w:t>
            </w:r>
          </w:p>
        </w:tc>
        <w:tc>
          <w:tcPr>
            <w:tcW w:w="250" w:type="dxa"/>
            <w:tcBorders/>
            <w:shd w:fill="auto" w:val="clear"/>
            <w:vAlign w:val="center"/>
          </w:tcPr>
          <w:p>
            <w:pPr>
              <w:pStyle w:val="TableContents"/>
              <w:spacing w:before="0" w:after="0"/>
              <w:ind w:left="0" w:right="0" w:hanging="0"/>
              <w:jc w:val="left"/>
              <w:rPr/>
            </w:pPr>
            <w:r>
              <w:rPr/>
              <w:t> </w:t>
            </w:r>
          </w:p>
        </w:tc>
        <w:tc>
          <w:tcPr>
            <w:tcW w:w="594"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4</w:t>
            </w:r>
          </w:p>
        </w:tc>
        <w:tc>
          <w:tcPr>
            <w:tcW w:w="391" w:type="dxa"/>
            <w:tcBorders/>
            <w:shd w:fill="auto" w:val="clear"/>
            <w:vAlign w:val="center"/>
          </w:tcPr>
          <w:p>
            <w:pPr>
              <w:pStyle w:val="TableContents"/>
              <w:spacing w:before="0" w:after="0"/>
              <w:ind w:left="0" w:right="0" w:firstLine="100"/>
              <w:jc w:val="left"/>
              <w:rPr/>
            </w:pPr>
            <w:r>
              <w:rPr/>
              <w:t> </w:t>
            </w:r>
          </w:p>
        </w:tc>
      </w:tr>
      <w:tr>
        <w:trPr/>
        <w:tc>
          <w:tcPr>
            <w:tcW w:w="3241" w:type="dxa"/>
            <w:tcBorders/>
            <w:shd w:fill="auto" w:val="clear"/>
            <w:vAlign w:val="center"/>
          </w:tcPr>
          <w:p>
            <w:pPr>
              <w:pStyle w:val="TableContents"/>
              <w:spacing w:before="0" w:after="0"/>
              <w:ind w:left="100" w:right="0" w:hanging="0"/>
              <w:jc w:val="left"/>
              <w:rPr>
                <w:rFonts w:ascii="Times New Roman;serif" w:hAnsi="Times New Roman;serif"/>
                <w:b w:val="false"/>
                <w:sz w:val="20"/>
              </w:rPr>
            </w:pPr>
            <w:r>
              <w:rPr>
                <w:rFonts w:ascii="Times New Roman;serif" w:hAnsi="Times New Roman;serif"/>
                <w:b w:val="false"/>
                <w:sz w:val="20"/>
              </w:rPr>
              <w:t>Hybrid JRSA</w:t>
            </w:r>
          </w:p>
        </w:tc>
        <w:tc>
          <w:tcPr>
            <w:tcW w:w="250" w:type="dxa"/>
            <w:tcBorders/>
            <w:shd w:fill="auto" w:val="clear"/>
            <w:vAlign w:val="center"/>
          </w:tcPr>
          <w:p>
            <w:pPr>
              <w:pStyle w:val="TableContents"/>
              <w:spacing w:before="0" w:after="0"/>
              <w:ind w:left="0" w:right="0" w:hanging="0"/>
              <w:jc w:val="left"/>
              <w:rPr/>
            </w:pPr>
            <w:r>
              <w:rPr/>
              <w:t> </w:t>
            </w:r>
          </w:p>
        </w:tc>
        <w:tc>
          <w:tcPr>
            <w:tcW w:w="594" w:type="dxa"/>
            <w:tcBorders/>
            <w:shd w:fill="auto" w:val="clear"/>
            <w:vAlign w:val="center"/>
          </w:tcPr>
          <w:p>
            <w:pPr>
              <w:pStyle w:val="TableContents"/>
              <w:spacing w:before="0" w:after="0"/>
              <w:ind w:left="0" w:right="0" w:hanging="0"/>
              <w:jc w:val="right"/>
              <w:rPr/>
            </w:pPr>
            <w:r>
              <w:rPr/>
              <w:t>—</w:t>
            </w:r>
          </w:p>
        </w:tc>
        <w:tc>
          <w:tcPr>
            <w:tcW w:w="250" w:type="dxa"/>
            <w:tcBorders/>
            <w:shd w:fill="auto" w:val="clear"/>
            <w:vAlign w:val="center"/>
          </w:tcPr>
          <w:p>
            <w:pPr>
              <w:pStyle w:val="TableContents"/>
              <w:spacing w:before="0" w:after="0"/>
              <w:ind w:left="0" w:right="0" w:hanging="0"/>
              <w:jc w:val="left"/>
              <w:rPr/>
            </w:pPr>
            <w:r>
              <w:rPr/>
              <w:t> </w:t>
            </w:r>
          </w:p>
        </w:tc>
        <w:tc>
          <w:tcPr>
            <w:tcW w:w="250" w:type="dxa"/>
            <w:tcBorders/>
            <w:shd w:fill="auto" w:val="clear"/>
            <w:vAlign w:val="center"/>
          </w:tcPr>
          <w:p>
            <w:pPr>
              <w:pStyle w:val="TableContents"/>
              <w:spacing w:before="0" w:after="0"/>
              <w:ind w:left="0" w:right="0" w:hanging="0"/>
              <w:jc w:val="left"/>
              <w:rPr/>
            </w:pPr>
            <w:r>
              <w:rPr/>
              <w:t> </w:t>
            </w:r>
          </w:p>
        </w:tc>
        <w:tc>
          <w:tcPr>
            <w:tcW w:w="250" w:type="dxa"/>
            <w:tcBorders/>
            <w:shd w:fill="auto" w:val="clear"/>
            <w:vAlign w:val="center"/>
          </w:tcPr>
          <w:p>
            <w:pPr>
              <w:pStyle w:val="TableContents"/>
              <w:spacing w:before="0" w:after="0"/>
              <w:ind w:left="0" w:right="0" w:hanging="0"/>
              <w:jc w:val="left"/>
              <w:rPr/>
            </w:pPr>
            <w:r>
              <w:rPr/>
              <w:t> </w:t>
            </w:r>
          </w:p>
        </w:tc>
        <w:tc>
          <w:tcPr>
            <w:tcW w:w="594"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w:t>
            </w:r>
          </w:p>
        </w:tc>
        <w:tc>
          <w:tcPr>
            <w:tcW w:w="391" w:type="dxa"/>
            <w:tcBorders/>
            <w:shd w:fill="auto" w:val="clear"/>
            <w:vAlign w:val="center"/>
          </w:tcPr>
          <w:p>
            <w:pPr>
              <w:pStyle w:val="TableContents"/>
              <w:spacing w:before="0" w:after="0"/>
              <w:ind w:left="0" w:right="0" w:firstLine="100"/>
              <w:jc w:val="left"/>
              <w:rPr/>
            </w:pPr>
            <w:r>
              <w:rPr/>
              <w:t> </w:t>
            </w:r>
          </w:p>
        </w:tc>
      </w:tr>
      <w:tr>
        <w:trPr/>
        <w:tc>
          <w:tcPr>
            <w:tcW w:w="3241" w:type="dxa"/>
            <w:tcBorders/>
            <w:shd w:fill="auto" w:val="clear"/>
            <w:vAlign w:val="center"/>
          </w:tcPr>
          <w:p>
            <w:pPr>
              <w:pStyle w:val="TableContents"/>
              <w:spacing w:before="0" w:after="0"/>
              <w:ind w:left="100" w:right="0" w:hanging="0"/>
              <w:jc w:val="left"/>
              <w:rPr>
                <w:rFonts w:ascii="Times New Roman;serif" w:hAnsi="Times New Roman;serif"/>
                <w:b w:val="false"/>
                <w:sz w:val="20"/>
              </w:rPr>
            </w:pPr>
            <w:r>
              <w:rPr>
                <w:rFonts w:ascii="Times New Roman;serif" w:hAnsi="Times New Roman;serif"/>
                <w:b w:val="false"/>
                <w:sz w:val="20"/>
              </w:rPr>
              <w:t>Traditional JRSA</w:t>
            </w:r>
          </w:p>
        </w:tc>
        <w:tc>
          <w:tcPr>
            <w:tcW w:w="250"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594"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13</w:t>
            </w:r>
          </w:p>
        </w:tc>
        <w:tc>
          <w:tcPr>
            <w:tcW w:w="250"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250" w:type="dxa"/>
            <w:tcBorders/>
            <w:shd w:fill="auto" w:val="clear"/>
            <w:vAlign w:val="center"/>
          </w:tcPr>
          <w:p>
            <w:pPr>
              <w:pStyle w:val="TableContents"/>
              <w:spacing w:before="0" w:after="0"/>
              <w:ind w:left="0" w:right="0" w:hanging="0"/>
              <w:jc w:val="left"/>
              <w:rPr/>
            </w:pPr>
            <w:r>
              <w:rPr/>
              <w:t> </w:t>
            </w:r>
          </w:p>
        </w:tc>
        <w:tc>
          <w:tcPr>
            <w:tcW w:w="250"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594"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w:t>
            </w:r>
          </w:p>
        </w:tc>
        <w:tc>
          <w:tcPr>
            <w:tcW w:w="3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firstLine="200"/>
              <w:jc w:val="left"/>
              <w:rPr/>
            </w:pPr>
            <w:r>
              <w:rPr/>
              <w:t> </w:t>
            </w:r>
          </w:p>
        </w:tc>
      </w:tr>
      <w:tr>
        <w:trPr/>
        <w:tc>
          <w:tcPr>
            <w:tcW w:w="3241" w:type="dxa"/>
            <w:tcBorders/>
            <w:shd w:fill="auto" w:val="clear"/>
            <w:vAlign w:val="center"/>
          </w:tcPr>
          <w:p>
            <w:pPr>
              <w:pStyle w:val="TableContents"/>
              <w:spacing w:before="0" w:after="0"/>
              <w:ind w:left="200" w:right="0" w:hanging="0"/>
              <w:jc w:val="left"/>
              <w:rPr>
                <w:rFonts w:ascii="Times New Roman;serif" w:hAnsi="Times New Roman;serif"/>
                <w:b w:val="false"/>
                <w:sz w:val="20"/>
              </w:rPr>
            </w:pPr>
            <w:r>
              <w:rPr>
                <w:rFonts w:ascii="Times New Roman;serif" w:hAnsi="Times New Roman;serif"/>
                <w:b w:val="false"/>
                <w:sz w:val="20"/>
              </w:rPr>
              <w:t>Total new IMAX Systems</w:t>
            </w:r>
          </w:p>
        </w:tc>
        <w:tc>
          <w:tcPr>
            <w:tcW w:w="250" w:type="dxa"/>
            <w:tcBorders/>
            <w:shd w:fill="auto" w:val="clear"/>
            <w:vAlign w:val="center"/>
          </w:tcPr>
          <w:p>
            <w:pPr>
              <w:pStyle w:val="TableContents"/>
              <w:spacing w:before="0" w:after="0"/>
              <w:ind w:left="0" w:right="0" w:hanging="0"/>
              <w:jc w:val="left"/>
              <w:rPr/>
            </w:pPr>
            <w:r>
              <w:rPr/>
              <w:t> </w:t>
            </w:r>
          </w:p>
        </w:tc>
        <w:tc>
          <w:tcPr>
            <w:tcW w:w="594"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27</w:t>
            </w:r>
          </w:p>
        </w:tc>
        <w:tc>
          <w:tcPr>
            <w:tcW w:w="250" w:type="dxa"/>
            <w:tcBorders/>
            <w:shd w:fill="auto" w:val="clear"/>
            <w:vAlign w:val="center"/>
          </w:tcPr>
          <w:p>
            <w:pPr>
              <w:pStyle w:val="TableContents"/>
              <w:spacing w:before="0" w:after="0"/>
              <w:ind w:left="0" w:right="0" w:hanging="0"/>
              <w:jc w:val="left"/>
              <w:rPr/>
            </w:pPr>
            <w:r>
              <w:rPr/>
              <w:t> </w:t>
            </w:r>
          </w:p>
        </w:tc>
        <w:tc>
          <w:tcPr>
            <w:tcW w:w="250" w:type="dxa"/>
            <w:tcBorders/>
            <w:shd w:fill="auto" w:val="clear"/>
            <w:vAlign w:val="center"/>
          </w:tcPr>
          <w:p>
            <w:pPr>
              <w:pStyle w:val="TableContents"/>
              <w:spacing w:before="0" w:after="0"/>
              <w:ind w:left="0" w:right="0" w:hanging="0"/>
              <w:jc w:val="left"/>
              <w:rPr/>
            </w:pPr>
            <w:r>
              <w:rPr/>
              <w:t> </w:t>
            </w:r>
          </w:p>
        </w:tc>
        <w:tc>
          <w:tcPr>
            <w:tcW w:w="250" w:type="dxa"/>
            <w:tcBorders/>
            <w:shd w:fill="auto" w:val="clear"/>
            <w:vAlign w:val="center"/>
          </w:tcPr>
          <w:p>
            <w:pPr>
              <w:pStyle w:val="TableContents"/>
              <w:spacing w:before="0" w:after="0"/>
              <w:ind w:left="0" w:right="0" w:hanging="0"/>
              <w:jc w:val="left"/>
              <w:rPr/>
            </w:pPr>
            <w:r>
              <w:rPr/>
              <w:t> </w:t>
            </w:r>
          </w:p>
        </w:tc>
        <w:tc>
          <w:tcPr>
            <w:tcW w:w="594"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7</w:t>
            </w:r>
          </w:p>
        </w:tc>
        <w:tc>
          <w:tcPr>
            <w:tcW w:w="391" w:type="dxa"/>
            <w:tcBorders/>
            <w:shd w:fill="auto" w:val="clear"/>
            <w:vAlign w:val="center"/>
          </w:tcPr>
          <w:p>
            <w:pPr>
              <w:pStyle w:val="TableContents"/>
              <w:spacing w:before="0" w:after="0"/>
              <w:ind w:left="0" w:right="0" w:hanging="0"/>
              <w:jc w:val="left"/>
              <w:rPr/>
            </w:pPr>
            <w:r>
              <w:rPr/>
              <w:t> </w:t>
            </w:r>
          </w:p>
        </w:tc>
      </w:tr>
      <w:tr>
        <w:trPr/>
        <w:tc>
          <w:tcPr>
            <w:tcW w:w="324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Upgrades of IMAX Systems</w:t>
            </w:r>
          </w:p>
        </w:tc>
        <w:tc>
          <w:tcPr>
            <w:tcW w:w="250"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594"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w:t>
            </w:r>
          </w:p>
        </w:tc>
        <w:tc>
          <w:tcPr>
            <w:tcW w:w="250"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250" w:type="dxa"/>
            <w:tcBorders/>
            <w:shd w:fill="auto" w:val="clear"/>
            <w:vAlign w:val="center"/>
          </w:tcPr>
          <w:p>
            <w:pPr>
              <w:pStyle w:val="TableContents"/>
              <w:spacing w:before="0" w:after="0"/>
              <w:ind w:left="0" w:right="0" w:hanging="0"/>
              <w:jc w:val="left"/>
              <w:rPr/>
            </w:pPr>
            <w:r>
              <w:rPr/>
              <w:t> </w:t>
            </w:r>
          </w:p>
        </w:tc>
        <w:tc>
          <w:tcPr>
            <w:tcW w:w="250"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594"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pPr>
            <w:r>
              <w:rPr/>
              <w:t>—</w:t>
            </w:r>
          </w:p>
        </w:tc>
        <w:tc>
          <w:tcPr>
            <w:tcW w:w="3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firstLine="200"/>
              <w:jc w:val="left"/>
              <w:rPr/>
            </w:pPr>
            <w:r>
              <w:rPr/>
              <w:t> </w:t>
            </w:r>
          </w:p>
        </w:tc>
      </w:tr>
      <w:tr>
        <w:trPr/>
        <w:tc>
          <w:tcPr>
            <w:tcW w:w="3241" w:type="dxa"/>
            <w:tcBorders/>
            <w:shd w:fill="auto" w:val="clear"/>
            <w:vAlign w:val="center"/>
          </w:tcPr>
          <w:p>
            <w:pPr>
              <w:pStyle w:val="TableContents"/>
              <w:spacing w:before="0" w:after="0"/>
              <w:ind w:left="200" w:right="0" w:hanging="0"/>
              <w:jc w:val="left"/>
              <w:rPr>
                <w:rFonts w:ascii="Times New Roman;serif" w:hAnsi="Times New Roman;serif"/>
                <w:b w:val="false"/>
                <w:sz w:val="20"/>
              </w:rPr>
            </w:pPr>
            <w:r>
              <w:rPr>
                <w:rFonts w:ascii="Times New Roman;serif" w:hAnsi="Times New Roman;serif"/>
                <w:b w:val="false"/>
                <w:sz w:val="20"/>
              </w:rPr>
              <w:t>Total IMAX System signings</w:t>
            </w:r>
          </w:p>
        </w:tc>
        <w:tc>
          <w:tcPr>
            <w:tcW w:w="250"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594"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28</w:t>
            </w:r>
          </w:p>
        </w:tc>
        <w:tc>
          <w:tcPr>
            <w:tcW w:w="250"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250" w:type="dxa"/>
            <w:tcBorders/>
            <w:shd w:fill="auto" w:val="clear"/>
            <w:vAlign w:val="center"/>
          </w:tcPr>
          <w:p>
            <w:pPr>
              <w:pStyle w:val="TableContents"/>
              <w:spacing w:before="0" w:after="0"/>
              <w:ind w:left="0" w:right="0" w:hanging="0"/>
              <w:jc w:val="left"/>
              <w:rPr/>
            </w:pPr>
            <w:r>
              <w:rPr/>
              <w:t> </w:t>
            </w:r>
          </w:p>
        </w:tc>
        <w:tc>
          <w:tcPr>
            <w:tcW w:w="250"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594"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7</w:t>
            </w:r>
          </w:p>
        </w:tc>
        <w:tc>
          <w:tcPr>
            <w:tcW w:w="39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r>
        <w:trPr/>
        <w:tc>
          <w:tcPr>
            <w:tcW w:w="3241" w:type="dxa"/>
            <w:tcBorders/>
            <w:shd w:fill="auto" w:val="clear"/>
            <w:vAlign w:val="center"/>
          </w:tcPr>
          <w:p>
            <w:pPr>
              <w:pStyle w:val="TableContents"/>
              <w:spacing w:before="0" w:after="0"/>
              <w:ind w:left="0" w:right="0" w:hanging="0"/>
              <w:jc w:val="left"/>
              <w:rPr/>
            </w:pPr>
            <w:r>
              <w:rPr/>
              <w:t> </w:t>
            </w:r>
          </w:p>
        </w:tc>
        <w:tc>
          <w:tcPr>
            <w:tcW w:w="844" w:type="dxa"/>
            <w:gridSpan w:val="2"/>
            <w:tcBorders/>
            <w:shd w:fill="auto" w:val="clear"/>
            <w:vAlign w:val="center"/>
          </w:tcPr>
          <w:p>
            <w:pPr>
              <w:pStyle w:val="TableContents"/>
              <w:spacing w:before="0" w:after="0"/>
              <w:ind w:left="0" w:right="0" w:hanging="0"/>
              <w:jc w:val="left"/>
              <w:rPr/>
            </w:pPr>
            <w:r>
              <w:rPr/>
              <w:t> </w:t>
            </w:r>
          </w:p>
        </w:tc>
        <w:tc>
          <w:tcPr>
            <w:tcW w:w="250" w:type="dxa"/>
            <w:tcBorders/>
            <w:shd w:fill="auto" w:val="clear"/>
            <w:vAlign w:val="center"/>
          </w:tcPr>
          <w:p>
            <w:pPr>
              <w:pStyle w:val="TableContents"/>
              <w:spacing w:before="0" w:after="0"/>
              <w:ind w:left="0" w:right="0" w:hanging="0"/>
              <w:jc w:val="left"/>
              <w:rPr/>
            </w:pPr>
            <w:r>
              <w:rPr/>
              <w:t> </w:t>
            </w:r>
          </w:p>
        </w:tc>
        <w:tc>
          <w:tcPr>
            <w:tcW w:w="250" w:type="dxa"/>
            <w:tcBorders/>
            <w:shd w:fill="auto" w:val="clear"/>
            <w:vAlign w:val="center"/>
          </w:tcPr>
          <w:p>
            <w:pPr>
              <w:pStyle w:val="TableContents"/>
              <w:spacing w:before="0" w:after="0"/>
              <w:ind w:left="0" w:right="0" w:hanging="0"/>
              <w:jc w:val="left"/>
              <w:rPr/>
            </w:pPr>
            <w:r>
              <w:rPr/>
              <w:t> </w:t>
            </w:r>
          </w:p>
        </w:tc>
        <w:tc>
          <w:tcPr>
            <w:tcW w:w="844" w:type="dxa"/>
            <w:gridSpan w:val="2"/>
            <w:tcBorders/>
            <w:shd w:fill="auto" w:val="clear"/>
            <w:vAlign w:val="center"/>
          </w:tcPr>
          <w:p>
            <w:pPr>
              <w:pStyle w:val="TableContents"/>
              <w:spacing w:before="0" w:after="0"/>
              <w:ind w:left="0" w:right="0" w:hanging="0"/>
              <w:jc w:val="left"/>
              <w:rPr/>
            </w:pPr>
            <w:r>
              <w:rPr/>
              <w:t> </w:t>
            </w:r>
          </w:p>
        </w:tc>
        <w:tc>
          <w:tcPr>
            <w:tcW w:w="391" w:type="dxa"/>
            <w:tcBorders/>
            <w:shd w:fill="auto" w:val="clear"/>
            <w:vAlign w:val="center"/>
          </w:tcPr>
          <w:p>
            <w:pPr>
              <w:pStyle w:val="TableContents"/>
              <w:spacing w:before="0" w:after="0"/>
              <w:ind w:left="0" w:right="0" w:hanging="0"/>
              <w:jc w:val="left"/>
              <w:rPr/>
            </w:pPr>
            <w:r>
              <w:rPr/>
              <w:t> </w:t>
            </w:r>
          </w:p>
        </w:tc>
      </w:tr>
      <w:tr>
        <w:trPr/>
        <w:tc>
          <w:tcPr>
            <w:tcW w:w="3241" w:type="dxa"/>
            <w:tcBorders/>
            <w:shd w:fill="auto" w:val="clear"/>
            <w:vAlign w:val="center"/>
          </w:tcPr>
          <w:p>
            <w:pPr>
              <w:pStyle w:val="TableContents"/>
              <w:spacing w:before="0" w:after="0"/>
              <w:ind w:left="0" w:right="0" w:hanging="0"/>
              <w:jc w:val="left"/>
              <w:rPr/>
            </w:pPr>
            <w:r>
              <w:rPr/>
              <w:t> </w:t>
            </w:r>
          </w:p>
        </w:tc>
        <w:tc>
          <w:tcPr>
            <w:tcW w:w="2188" w:type="dxa"/>
            <w:gridSpan w:val="6"/>
            <w:tcBorders/>
            <w:shd w:fill="auto" w:val="cle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For the Three Months Ended</w:t>
            </w:r>
          </w:p>
        </w:tc>
        <w:tc>
          <w:tcPr>
            <w:tcW w:w="391" w:type="dxa"/>
            <w:tcBorders/>
            <w:shd w:fill="auto" w:val="clear"/>
            <w:vAlign w:val="center"/>
          </w:tcPr>
          <w:p>
            <w:pPr>
              <w:pStyle w:val="TableContents"/>
              <w:spacing w:before="0" w:after="0"/>
              <w:ind w:left="0" w:right="0" w:hanging="0"/>
              <w:jc w:val="center"/>
              <w:rPr/>
            </w:pPr>
            <w:r>
              <w:rPr/>
              <w:t> </w:t>
            </w:r>
          </w:p>
        </w:tc>
      </w:tr>
      <w:tr>
        <w:trPr/>
        <w:tc>
          <w:tcPr>
            <w:tcW w:w="3241" w:type="dxa"/>
            <w:tcBorders/>
            <w:shd w:fill="auto" w:val="clear"/>
            <w:vAlign w:val="center"/>
          </w:tcPr>
          <w:p>
            <w:pPr>
              <w:pStyle w:val="TableContents"/>
              <w:spacing w:before="0" w:after="0"/>
              <w:ind w:left="0" w:right="0" w:hanging="0"/>
              <w:jc w:val="left"/>
              <w:rPr/>
            </w:pPr>
            <w:r>
              <w:rPr/>
              <w:t> </w:t>
            </w:r>
          </w:p>
        </w:tc>
        <w:tc>
          <w:tcPr>
            <w:tcW w:w="2188" w:type="dxa"/>
            <w:gridSpan w:val="6"/>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March 31,</w:t>
            </w:r>
          </w:p>
        </w:tc>
        <w:tc>
          <w:tcPr>
            <w:tcW w:w="3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3241" w:type="dxa"/>
            <w:tcBorders/>
            <w:shd w:fill="auto" w:val="clear"/>
            <w:vAlign w:val="center"/>
          </w:tcPr>
          <w:p>
            <w:pPr>
              <w:pStyle w:val="TableContents"/>
              <w:spacing w:before="0" w:after="0"/>
              <w:ind w:left="0" w:right="0" w:hanging="0"/>
              <w:jc w:val="left"/>
              <w:rPr/>
            </w:pPr>
            <w:r>
              <w:rPr/>
              <w:t> </w:t>
            </w:r>
          </w:p>
        </w:tc>
        <w:tc>
          <w:tcPr>
            <w:tcW w:w="844"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2023</w:t>
            </w:r>
          </w:p>
        </w:tc>
        <w:tc>
          <w:tcPr>
            <w:tcW w:w="250"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250" w:type="dxa"/>
            <w:tcBorders/>
            <w:shd w:fill="auto" w:val="clear"/>
            <w:vAlign w:val="center"/>
          </w:tcPr>
          <w:p>
            <w:pPr>
              <w:pStyle w:val="TableContents"/>
              <w:spacing w:before="0" w:after="0"/>
              <w:ind w:left="0" w:right="0" w:hanging="0"/>
              <w:jc w:val="left"/>
              <w:rPr/>
            </w:pPr>
            <w:r>
              <w:rPr/>
              <w:t> </w:t>
            </w:r>
          </w:p>
        </w:tc>
        <w:tc>
          <w:tcPr>
            <w:tcW w:w="844"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2022</w:t>
            </w:r>
          </w:p>
        </w:tc>
        <w:tc>
          <w:tcPr>
            <w:tcW w:w="3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3241" w:type="dxa"/>
            <w:tcBorders/>
            <w:shd w:fill="auto" w:val="clear"/>
            <w:vAlign w:val="center"/>
          </w:tcPr>
          <w:p>
            <w:pPr>
              <w:pStyle w:val="TableContents"/>
              <w:spacing w:before="0" w:after="0"/>
              <w:ind w:left="0" w:right="0" w:hanging="0"/>
              <w:jc w:val="left"/>
              <w:rPr>
                <w:rFonts w:ascii="Times New Roman;serif" w:hAnsi="Times New Roman;serif"/>
                <w:b/>
                <w:sz w:val="20"/>
              </w:rPr>
            </w:pPr>
            <w:r>
              <w:rPr>
                <w:rFonts w:ascii="Times New Roman;serif" w:hAnsi="Times New Roman;serif"/>
                <w:b/>
                <w:sz w:val="20"/>
              </w:rPr>
              <w:t>System Installations:</w:t>
            </w:r>
          </w:p>
        </w:tc>
        <w:tc>
          <w:tcPr>
            <w:tcW w:w="844" w:type="dxa"/>
            <w:gridSpan w:val="2"/>
            <w:tcBorders/>
            <w:shd w:fill="auto" w:val="clear"/>
            <w:vAlign w:val="center"/>
          </w:tcPr>
          <w:p>
            <w:pPr>
              <w:pStyle w:val="TableContents"/>
              <w:spacing w:before="0" w:after="0"/>
              <w:ind w:left="0" w:right="0" w:hanging="0"/>
              <w:jc w:val="left"/>
              <w:rPr/>
            </w:pPr>
            <w:r>
              <w:rPr/>
              <w:t> </w:t>
            </w:r>
          </w:p>
        </w:tc>
        <w:tc>
          <w:tcPr>
            <w:tcW w:w="250" w:type="dxa"/>
            <w:tcBorders/>
            <w:shd w:fill="auto" w:val="clear"/>
            <w:vAlign w:val="center"/>
          </w:tcPr>
          <w:p>
            <w:pPr>
              <w:pStyle w:val="TableContents"/>
              <w:spacing w:before="0" w:after="0"/>
              <w:ind w:left="0" w:right="0" w:hanging="0"/>
              <w:jc w:val="left"/>
              <w:rPr/>
            </w:pPr>
            <w:r>
              <w:rPr/>
              <w:t> </w:t>
            </w:r>
          </w:p>
        </w:tc>
        <w:tc>
          <w:tcPr>
            <w:tcW w:w="250" w:type="dxa"/>
            <w:tcBorders/>
            <w:shd w:fill="auto" w:val="clear"/>
            <w:vAlign w:val="center"/>
          </w:tcPr>
          <w:p>
            <w:pPr>
              <w:pStyle w:val="TableContents"/>
              <w:spacing w:before="0" w:after="0"/>
              <w:ind w:left="0" w:right="0" w:hanging="0"/>
              <w:jc w:val="left"/>
              <w:rPr/>
            </w:pPr>
            <w:r>
              <w:rPr/>
              <w:t> </w:t>
            </w:r>
          </w:p>
        </w:tc>
        <w:tc>
          <w:tcPr>
            <w:tcW w:w="844" w:type="dxa"/>
            <w:gridSpan w:val="2"/>
            <w:tcBorders/>
            <w:shd w:fill="auto" w:val="clear"/>
            <w:vAlign w:val="center"/>
          </w:tcPr>
          <w:p>
            <w:pPr>
              <w:pStyle w:val="TableContents"/>
              <w:spacing w:before="0" w:after="0"/>
              <w:ind w:left="0" w:right="0" w:hanging="0"/>
              <w:jc w:val="left"/>
              <w:rPr/>
            </w:pPr>
            <w:r>
              <w:rPr/>
              <w:t> </w:t>
            </w:r>
          </w:p>
        </w:tc>
        <w:tc>
          <w:tcPr>
            <w:tcW w:w="391" w:type="dxa"/>
            <w:tcBorders/>
            <w:shd w:fill="auto" w:val="clear"/>
            <w:vAlign w:val="center"/>
          </w:tcPr>
          <w:p>
            <w:pPr>
              <w:pStyle w:val="TableContents"/>
              <w:spacing w:before="0" w:after="0"/>
              <w:ind w:left="0" w:right="0" w:hanging="0"/>
              <w:jc w:val="left"/>
              <w:rPr/>
            </w:pPr>
            <w:r>
              <w:rPr/>
              <w:t> </w:t>
            </w:r>
          </w:p>
        </w:tc>
      </w:tr>
      <w:tr>
        <w:trPr/>
        <w:tc>
          <w:tcPr>
            <w:tcW w:w="324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New IMAX Systems</w:t>
            </w:r>
          </w:p>
        </w:tc>
        <w:tc>
          <w:tcPr>
            <w:tcW w:w="844" w:type="dxa"/>
            <w:gridSpan w:val="2"/>
            <w:tcBorders/>
            <w:shd w:fill="auto" w:val="clear"/>
            <w:vAlign w:val="center"/>
          </w:tcPr>
          <w:p>
            <w:pPr>
              <w:pStyle w:val="TableContents"/>
              <w:spacing w:before="0" w:after="0"/>
              <w:ind w:left="0" w:right="0" w:hanging="0"/>
              <w:jc w:val="left"/>
              <w:rPr/>
            </w:pPr>
            <w:r>
              <w:rPr/>
              <w:t> </w:t>
            </w:r>
          </w:p>
        </w:tc>
        <w:tc>
          <w:tcPr>
            <w:tcW w:w="250" w:type="dxa"/>
            <w:tcBorders/>
            <w:shd w:fill="auto" w:val="clear"/>
            <w:vAlign w:val="center"/>
          </w:tcPr>
          <w:p>
            <w:pPr>
              <w:pStyle w:val="TableContents"/>
              <w:spacing w:before="0" w:after="0"/>
              <w:ind w:left="0" w:right="0" w:hanging="0"/>
              <w:jc w:val="left"/>
              <w:rPr/>
            </w:pPr>
            <w:r>
              <w:rPr/>
              <w:t> </w:t>
            </w:r>
          </w:p>
        </w:tc>
        <w:tc>
          <w:tcPr>
            <w:tcW w:w="250" w:type="dxa"/>
            <w:tcBorders/>
            <w:shd w:fill="auto" w:val="clear"/>
            <w:vAlign w:val="center"/>
          </w:tcPr>
          <w:p>
            <w:pPr>
              <w:pStyle w:val="TableContents"/>
              <w:spacing w:before="0" w:after="0"/>
              <w:ind w:left="0" w:right="0" w:hanging="0"/>
              <w:jc w:val="left"/>
              <w:rPr/>
            </w:pPr>
            <w:r>
              <w:rPr/>
              <w:t> </w:t>
            </w:r>
          </w:p>
        </w:tc>
        <w:tc>
          <w:tcPr>
            <w:tcW w:w="844" w:type="dxa"/>
            <w:gridSpan w:val="2"/>
            <w:tcBorders/>
            <w:shd w:fill="auto" w:val="clear"/>
            <w:vAlign w:val="center"/>
          </w:tcPr>
          <w:p>
            <w:pPr>
              <w:pStyle w:val="TableContents"/>
              <w:spacing w:before="0" w:after="0"/>
              <w:ind w:left="0" w:right="0" w:hanging="0"/>
              <w:jc w:val="left"/>
              <w:rPr/>
            </w:pPr>
            <w:r>
              <w:rPr/>
              <w:t> </w:t>
            </w:r>
          </w:p>
        </w:tc>
        <w:tc>
          <w:tcPr>
            <w:tcW w:w="391" w:type="dxa"/>
            <w:tcBorders/>
            <w:shd w:fill="auto" w:val="clear"/>
            <w:vAlign w:val="center"/>
          </w:tcPr>
          <w:p>
            <w:pPr>
              <w:pStyle w:val="TableContents"/>
              <w:spacing w:before="0" w:after="0"/>
              <w:ind w:left="0" w:right="0" w:firstLine="100"/>
              <w:jc w:val="left"/>
              <w:rPr/>
            </w:pPr>
            <w:r>
              <w:rPr/>
              <w:t> </w:t>
            </w:r>
          </w:p>
        </w:tc>
      </w:tr>
      <w:tr>
        <w:trPr/>
        <w:tc>
          <w:tcPr>
            <w:tcW w:w="3241" w:type="dxa"/>
            <w:tcBorders/>
            <w:shd w:fill="auto" w:val="clear"/>
            <w:vAlign w:val="center"/>
          </w:tcPr>
          <w:p>
            <w:pPr>
              <w:pStyle w:val="TableContents"/>
              <w:spacing w:before="0" w:after="0"/>
              <w:ind w:left="100" w:right="0" w:hanging="0"/>
              <w:jc w:val="left"/>
              <w:rPr>
                <w:rFonts w:ascii="Times New Roman;serif" w:hAnsi="Times New Roman;serif"/>
                <w:b w:val="false"/>
                <w:sz w:val="20"/>
              </w:rPr>
            </w:pPr>
            <w:r>
              <w:rPr>
                <w:rFonts w:ascii="Times New Roman;serif" w:hAnsi="Times New Roman;serif"/>
                <w:b w:val="false"/>
                <w:sz w:val="20"/>
              </w:rPr>
              <w:t>Sale and sales-type lease arrangements</w:t>
            </w:r>
          </w:p>
        </w:tc>
        <w:tc>
          <w:tcPr>
            <w:tcW w:w="250" w:type="dxa"/>
            <w:tcBorders/>
            <w:shd w:fill="auto" w:val="clear"/>
            <w:vAlign w:val="center"/>
          </w:tcPr>
          <w:p>
            <w:pPr>
              <w:pStyle w:val="TableContents"/>
              <w:spacing w:before="0" w:after="0"/>
              <w:ind w:left="0" w:right="0" w:hanging="0"/>
              <w:jc w:val="left"/>
              <w:rPr/>
            </w:pPr>
            <w:r>
              <w:rPr/>
              <w:t> </w:t>
            </w:r>
          </w:p>
        </w:tc>
        <w:tc>
          <w:tcPr>
            <w:tcW w:w="594"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7</w:t>
            </w:r>
          </w:p>
        </w:tc>
        <w:tc>
          <w:tcPr>
            <w:tcW w:w="250" w:type="dxa"/>
            <w:tcBorders/>
            <w:shd w:fill="auto" w:val="clear"/>
            <w:vAlign w:val="center"/>
          </w:tcPr>
          <w:p>
            <w:pPr>
              <w:pStyle w:val="TableContents"/>
              <w:spacing w:before="0" w:after="0"/>
              <w:ind w:left="0" w:right="0" w:hanging="0"/>
              <w:jc w:val="left"/>
              <w:rPr/>
            </w:pPr>
            <w:r>
              <w:rPr/>
              <w:t> </w:t>
            </w:r>
          </w:p>
        </w:tc>
        <w:tc>
          <w:tcPr>
            <w:tcW w:w="250" w:type="dxa"/>
            <w:tcBorders/>
            <w:shd w:fill="auto" w:val="clear"/>
            <w:vAlign w:val="center"/>
          </w:tcPr>
          <w:p>
            <w:pPr>
              <w:pStyle w:val="TableContents"/>
              <w:spacing w:before="0" w:after="0"/>
              <w:ind w:left="0" w:right="0" w:hanging="0"/>
              <w:jc w:val="left"/>
              <w:rPr/>
            </w:pPr>
            <w:r>
              <w:rPr/>
              <w:t> </w:t>
            </w:r>
          </w:p>
        </w:tc>
        <w:tc>
          <w:tcPr>
            <w:tcW w:w="250" w:type="dxa"/>
            <w:tcBorders/>
            <w:shd w:fill="auto" w:val="clear"/>
            <w:vAlign w:val="center"/>
          </w:tcPr>
          <w:p>
            <w:pPr>
              <w:pStyle w:val="TableContents"/>
              <w:spacing w:before="0" w:after="0"/>
              <w:ind w:left="0" w:right="0" w:hanging="0"/>
              <w:jc w:val="left"/>
              <w:rPr/>
            </w:pPr>
            <w:r>
              <w:rPr/>
              <w:t> </w:t>
            </w:r>
          </w:p>
        </w:tc>
        <w:tc>
          <w:tcPr>
            <w:tcW w:w="594"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4</w:t>
            </w:r>
          </w:p>
        </w:tc>
        <w:tc>
          <w:tcPr>
            <w:tcW w:w="391" w:type="dxa"/>
            <w:tcBorders/>
            <w:shd w:fill="auto" w:val="clear"/>
            <w:vAlign w:val="center"/>
          </w:tcPr>
          <w:p>
            <w:pPr>
              <w:pStyle w:val="TableContents"/>
              <w:spacing w:before="0" w:after="0"/>
              <w:ind w:left="0" w:right="0" w:firstLine="100"/>
              <w:jc w:val="left"/>
              <w:rPr/>
            </w:pPr>
            <w:r>
              <w:rPr/>
              <w:t> </w:t>
            </w:r>
          </w:p>
        </w:tc>
      </w:tr>
      <w:tr>
        <w:trPr/>
        <w:tc>
          <w:tcPr>
            <w:tcW w:w="3241" w:type="dxa"/>
            <w:tcBorders/>
            <w:shd w:fill="auto" w:val="clear"/>
            <w:vAlign w:val="center"/>
          </w:tcPr>
          <w:p>
            <w:pPr>
              <w:pStyle w:val="TableContents"/>
              <w:spacing w:before="0" w:after="0"/>
              <w:ind w:left="100" w:right="0" w:hanging="0"/>
              <w:jc w:val="left"/>
              <w:rPr>
                <w:rFonts w:ascii="Times New Roman;serif" w:hAnsi="Times New Roman;serif"/>
                <w:b w:val="false"/>
                <w:sz w:val="20"/>
              </w:rPr>
            </w:pPr>
            <w:r>
              <w:rPr>
                <w:rFonts w:ascii="Times New Roman;serif" w:hAnsi="Times New Roman;serif"/>
                <w:b w:val="false"/>
                <w:sz w:val="20"/>
              </w:rPr>
              <w:t>Hybrid JRSA</w:t>
            </w:r>
          </w:p>
        </w:tc>
        <w:tc>
          <w:tcPr>
            <w:tcW w:w="250" w:type="dxa"/>
            <w:tcBorders/>
            <w:shd w:fill="auto" w:val="clear"/>
            <w:vAlign w:val="center"/>
          </w:tcPr>
          <w:p>
            <w:pPr>
              <w:pStyle w:val="TableContents"/>
              <w:spacing w:before="0" w:after="0"/>
              <w:ind w:left="0" w:right="0" w:hanging="0"/>
              <w:jc w:val="left"/>
              <w:rPr/>
            </w:pPr>
            <w:r>
              <w:rPr/>
              <w:t> </w:t>
            </w:r>
          </w:p>
        </w:tc>
        <w:tc>
          <w:tcPr>
            <w:tcW w:w="594" w:type="dxa"/>
            <w:tcBorders/>
            <w:shd w:fill="auto" w:val="clear"/>
            <w:vAlign w:val="center"/>
          </w:tcPr>
          <w:p>
            <w:pPr>
              <w:pStyle w:val="TableContents"/>
              <w:spacing w:before="0" w:after="0"/>
              <w:ind w:left="0" w:right="0" w:hanging="0"/>
              <w:jc w:val="right"/>
              <w:rPr/>
            </w:pPr>
            <w:r>
              <w:rPr/>
              <w:t>—</w:t>
            </w:r>
          </w:p>
        </w:tc>
        <w:tc>
          <w:tcPr>
            <w:tcW w:w="250" w:type="dxa"/>
            <w:tcBorders/>
            <w:shd w:fill="auto" w:val="clear"/>
            <w:vAlign w:val="center"/>
          </w:tcPr>
          <w:p>
            <w:pPr>
              <w:pStyle w:val="TableContents"/>
              <w:spacing w:before="0" w:after="0"/>
              <w:ind w:left="0" w:right="0" w:hanging="0"/>
              <w:jc w:val="left"/>
              <w:rPr/>
            </w:pPr>
            <w:r>
              <w:rPr/>
              <w:t> </w:t>
            </w:r>
          </w:p>
        </w:tc>
        <w:tc>
          <w:tcPr>
            <w:tcW w:w="250" w:type="dxa"/>
            <w:tcBorders/>
            <w:shd w:fill="auto" w:val="clear"/>
            <w:vAlign w:val="center"/>
          </w:tcPr>
          <w:p>
            <w:pPr>
              <w:pStyle w:val="TableContents"/>
              <w:spacing w:before="0" w:after="0"/>
              <w:ind w:left="0" w:right="0" w:hanging="0"/>
              <w:jc w:val="left"/>
              <w:rPr/>
            </w:pPr>
            <w:r>
              <w:rPr/>
              <w:t> </w:t>
            </w:r>
          </w:p>
        </w:tc>
        <w:tc>
          <w:tcPr>
            <w:tcW w:w="250" w:type="dxa"/>
            <w:tcBorders/>
            <w:shd w:fill="auto" w:val="clear"/>
            <w:vAlign w:val="center"/>
          </w:tcPr>
          <w:p>
            <w:pPr>
              <w:pStyle w:val="TableContents"/>
              <w:spacing w:before="0" w:after="0"/>
              <w:ind w:left="0" w:right="0" w:hanging="0"/>
              <w:jc w:val="left"/>
              <w:rPr/>
            </w:pPr>
            <w:r>
              <w:rPr/>
              <w:t> </w:t>
            </w:r>
          </w:p>
        </w:tc>
        <w:tc>
          <w:tcPr>
            <w:tcW w:w="594"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w:t>
            </w:r>
          </w:p>
        </w:tc>
        <w:tc>
          <w:tcPr>
            <w:tcW w:w="391" w:type="dxa"/>
            <w:tcBorders/>
            <w:shd w:fill="auto" w:val="clear"/>
            <w:vAlign w:val="center"/>
          </w:tcPr>
          <w:p>
            <w:pPr>
              <w:pStyle w:val="TableContents"/>
              <w:spacing w:before="0" w:after="0"/>
              <w:ind w:left="0" w:right="0" w:firstLine="100"/>
              <w:jc w:val="left"/>
              <w:rPr/>
            </w:pPr>
            <w:r>
              <w:rPr/>
              <w:t> </w:t>
            </w:r>
          </w:p>
        </w:tc>
      </w:tr>
      <w:tr>
        <w:trPr/>
        <w:tc>
          <w:tcPr>
            <w:tcW w:w="3241" w:type="dxa"/>
            <w:tcBorders/>
            <w:shd w:fill="auto" w:val="clear"/>
            <w:vAlign w:val="center"/>
          </w:tcPr>
          <w:p>
            <w:pPr>
              <w:pStyle w:val="TableContents"/>
              <w:spacing w:before="0" w:after="0"/>
              <w:ind w:left="100" w:right="0" w:hanging="0"/>
              <w:jc w:val="left"/>
              <w:rPr>
                <w:rFonts w:ascii="Times New Roman;serif" w:hAnsi="Times New Roman;serif"/>
                <w:b w:val="false"/>
                <w:sz w:val="20"/>
              </w:rPr>
            </w:pPr>
            <w:r>
              <w:rPr>
                <w:rFonts w:ascii="Times New Roman;serif" w:hAnsi="Times New Roman;serif"/>
                <w:b w:val="false"/>
                <w:sz w:val="20"/>
              </w:rPr>
              <w:t>Traditional JRSA</w:t>
            </w:r>
          </w:p>
        </w:tc>
        <w:tc>
          <w:tcPr>
            <w:tcW w:w="250"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594"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pPr>
            <w:r>
              <w:rPr/>
              <w:t>—</w:t>
            </w:r>
          </w:p>
        </w:tc>
        <w:tc>
          <w:tcPr>
            <w:tcW w:w="250"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250" w:type="dxa"/>
            <w:tcBorders/>
            <w:shd w:fill="auto" w:val="clear"/>
            <w:vAlign w:val="center"/>
          </w:tcPr>
          <w:p>
            <w:pPr>
              <w:pStyle w:val="TableContents"/>
              <w:spacing w:before="0" w:after="0"/>
              <w:ind w:left="0" w:right="0" w:hanging="0"/>
              <w:jc w:val="left"/>
              <w:rPr/>
            </w:pPr>
            <w:r>
              <w:rPr/>
              <w:t> </w:t>
            </w:r>
          </w:p>
        </w:tc>
        <w:tc>
          <w:tcPr>
            <w:tcW w:w="250"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594"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6</w:t>
            </w:r>
          </w:p>
        </w:tc>
        <w:tc>
          <w:tcPr>
            <w:tcW w:w="3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firstLine="200"/>
              <w:jc w:val="left"/>
              <w:rPr/>
            </w:pPr>
            <w:r>
              <w:rPr/>
              <w:t> </w:t>
            </w:r>
          </w:p>
        </w:tc>
      </w:tr>
      <w:tr>
        <w:trPr/>
        <w:tc>
          <w:tcPr>
            <w:tcW w:w="3241" w:type="dxa"/>
            <w:tcBorders/>
            <w:shd w:fill="auto" w:val="clear"/>
            <w:vAlign w:val="center"/>
          </w:tcPr>
          <w:p>
            <w:pPr>
              <w:pStyle w:val="TableContents"/>
              <w:spacing w:before="0" w:after="0"/>
              <w:ind w:left="200" w:right="0" w:hanging="0"/>
              <w:jc w:val="left"/>
              <w:rPr>
                <w:rFonts w:ascii="Times New Roman;serif" w:hAnsi="Times New Roman;serif"/>
                <w:b w:val="false"/>
                <w:sz w:val="20"/>
              </w:rPr>
            </w:pPr>
            <w:r>
              <w:rPr>
                <w:rFonts w:ascii="Times New Roman;serif" w:hAnsi="Times New Roman;serif"/>
                <w:b w:val="false"/>
                <w:sz w:val="20"/>
              </w:rPr>
              <w:t>Total new IMAX Systems</w:t>
            </w:r>
          </w:p>
        </w:tc>
        <w:tc>
          <w:tcPr>
            <w:tcW w:w="250" w:type="dxa"/>
            <w:tcBorders/>
            <w:shd w:fill="auto" w:val="clear"/>
            <w:vAlign w:val="center"/>
          </w:tcPr>
          <w:p>
            <w:pPr>
              <w:pStyle w:val="TableContents"/>
              <w:spacing w:before="0" w:after="0"/>
              <w:ind w:left="0" w:right="0" w:hanging="0"/>
              <w:jc w:val="left"/>
              <w:rPr/>
            </w:pPr>
            <w:r>
              <w:rPr/>
              <w:t> </w:t>
            </w:r>
          </w:p>
        </w:tc>
        <w:tc>
          <w:tcPr>
            <w:tcW w:w="594"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7</w:t>
            </w:r>
          </w:p>
        </w:tc>
        <w:tc>
          <w:tcPr>
            <w:tcW w:w="250" w:type="dxa"/>
            <w:tcBorders/>
            <w:shd w:fill="auto" w:val="clear"/>
            <w:vAlign w:val="center"/>
          </w:tcPr>
          <w:p>
            <w:pPr>
              <w:pStyle w:val="TableContents"/>
              <w:spacing w:before="0" w:after="0"/>
              <w:ind w:left="0" w:right="0" w:hanging="0"/>
              <w:jc w:val="left"/>
              <w:rPr/>
            </w:pPr>
            <w:r>
              <w:rPr/>
              <w:t> </w:t>
            </w:r>
          </w:p>
        </w:tc>
        <w:tc>
          <w:tcPr>
            <w:tcW w:w="250" w:type="dxa"/>
            <w:tcBorders/>
            <w:shd w:fill="auto" w:val="clear"/>
            <w:vAlign w:val="center"/>
          </w:tcPr>
          <w:p>
            <w:pPr>
              <w:pStyle w:val="TableContents"/>
              <w:spacing w:before="0" w:after="0"/>
              <w:ind w:left="0" w:right="0" w:hanging="0"/>
              <w:jc w:val="left"/>
              <w:rPr/>
            </w:pPr>
            <w:r>
              <w:rPr/>
              <w:t> </w:t>
            </w:r>
          </w:p>
        </w:tc>
        <w:tc>
          <w:tcPr>
            <w:tcW w:w="250" w:type="dxa"/>
            <w:tcBorders/>
            <w:shd w:fill="auto" w:val="clear"/>
            <w:vAlign w:val="center"/>
          </w:tcPr>
          <w:p>
            <w:pPr>
              <w:pStyle w:val="TableContents"/>
              <w:spacing w:before="0" w:after="0"/>
              <w:ind w:left="0" w:right="0" w:hanging="0"/>
              <w:jc w:val="left"/>
              <w:rPr/>
            </w:pPr>
            <w:r>
              <w:rPr/>
              <w:t> </w:t>
            </w:r>
          </w:p>
        </w:tc>
        <w:tc>
          <w:tcPr>
            <w:tcW w:w="594"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12</w:t>
            </w:r>
          </w:p>
        </w:tc>
        <w:tc>
          <w:tcPr>
            <w:tcW w:w="391" w:type="dxa"/>
            <w:tcBorders/>
            <w:shd w:fill="auto" w:val="clear"/>
            <w:vAlign w:val="center"/>
          </w:tcPr>
          <w:p>
            <w:pPr>
              <w:pStyle w:val="TableContents"/>
              <w:spacing w:before="0" w:after="0"/>
              <w:ind w:left="0" w:right="0" w:hanging="0"/>
              <w:jc w:val="left"/>
              <w:rPr/>
            </w:pPr>
            <w:r>
              <w:rPr/>
              <w:t> </w:t>
            </w:r>
          </w:p>
        </w:tc>
      </w:tr>
      <w:tr>
        <w:trPr/>
        <w:tc>
          <w:tcPr>
            <w:tcW w:w="324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Upgrades of IMAX Systems</w:t>
            </w:r>
          </w:p>
        </w:tc>
        <w:tc>
          <w:tcPr>
            <w:tcW w:w="250"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594"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w:t>
            </w:r>
          </w:p>
        </w:tc>
        <w:tc>
          <w:tcPr>
            <w:tcW w:w="250"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250" w:type="dxa"/>
            <w:tcBorders/>
            <w:shd w:fill="auto" w:val="clear"/>
            <w:vAlign w:val="center"/>
          </w:tcPr>
          <w:p>
            <w:pPr>
              <w:pStyle w:val="TableContents"/>
              <w:spacing w:before="0" w:after="0"/>
              <w:ind w:left="0" w:right="0" w:hanging="0"/>
              <w:jc w:val="left"/>
              <w:rPr/>
            </w:pPr>
            <w:r>
              <w:rPr/>
              <w:t> </w:t>
            </w:r>
          </w:p>
        </w:tc>
        <w:tc>
          <w:tcPr>
            <w:tcW w:w="250"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594"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w:t>
            </w:r>
          </w:p>
        </w:tc>
        <w:tc>
          <w:tcPr>
            <w:tcW w:w="3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firstLine="200"/>
              <w:jc w:val="left"/>
              <w:rPr/>
            </w:pPr>
            <w:r>
              <w:rPr/>
              <w:t> </w:t>
            </w:r>
          </w:p>
        </w:tc>
      </w:tr>
      <w:tr>
        <w:trPr/>
        <w:tc>
          <w:tcPr>
            <w:tcW w:w="3241" w:type="dxa"/>
            <w:tcBorders/>
            <w:shd w:fill="auto" w:val="clear"/>
            <w:vAlign w:val="center"/>
          </w:tcPr>
          <w:p>
            <w:pPr>
              <w:pStyle w:val="TableContents"/>
              <w:spacing w:before="0" w:after="0"/>
              <w:ind w:left="200" w:right="0" w:hanging="0"/>
              <w:jc w:val="left"/>
              <w:rPr>
                <w:rFonts w:ascii="Times New Roman;serif" w:hAnsi="Times New Roman;serif"/>
                <w:b w:val="false"/>
                <w:sz w:val="20"/>
              </w:rPr>
            </w:pPr>
            <w:r>
              <w:rPr>
                <w:rFonts w:ascii="Times New Roman;serif" w:hAnsi="Times New Roman;serif"/>
                <w:b w:val="false"/>
                <w:sz w:val="20"/>
              </w:rPr>
              <w:t>Total IMAX System installations</w:t>
            </w:r>
          </w:p>
        </w:tc>
        <w:tc>
          <w:tcPr>
            <w:tcW w:w="250"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594"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9</w:t>
            </w:r>
          </w:p>
        </w:tc>
        <w:tc>
          <w:tcPr>
            <w:tcW w:w="250"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250" w:type="dxa"/>
            <w:tcBorders/>
            <w:shd w:fill="auto" w:val="clear"/>
            <w:vAlign w:val="center"/>
          </w:tcPr>
          <w:p>
            <w:pPr>
              <w:pStyle w:val="TableContents"/>
              <w:spacing w:before="0" w:after="0"/>
              <w:ind w:left="0" w:right="0" w:hanging="0"/>
              <w:jc w:val="left"/>
              <w:rPr/>
            </w:pPr>
            <w:r>
              <w:rPr/>
              <w:t> </w:t>
            </w:r>
          </w:p>
        </w:tc>
        <w:tc>
          <w:tcPr>
            <w:tcW w:w="250"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594"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14</w:t>
            </w:r>
          </w:p>
        </w:tc>
        <w:tc>
          <w:tcPr>
            <w:tcW w:w="39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bl>
    <w:p>
      <w:pPr>
        <w:pStyle w:val="TextBody"/>
        <w:spacing w:before="200" w:after="0"/>
        <w:jc w:val="both"/>
        <w:rPr/>
      </w:pPr>
      <w:r>
        <w:rPr/>
        <w:t> </w:t>
      </w:r>
    </w:p>
    <w:p>
      <w:pPr>
        <w:pStyle w:val="TextBody"/>
        <w:spacing w:before="200" w:after="0"/>
        <w:jc w:val="both"/>
        <w:rPr/>
      </w:pPr>
      <w:r>
        <w:rPr/>
        <w:t> </w:t>
      </w:r>
    </w:p>
    <w:p>
      <w:pPr>
        <w:pStyle w:val="TextBody"/>
        <w:spacing w:before="0" w:after="0"/>
        <w:jc w:val="left"/>
        <w:rPr/>
      </w:pPr>
      <w:r>
        <w:rPr/>
        <w:t> </w:t>
      </w:r>
    </w:p>
    <w:p>
      <w:pPr>
        <w:pStyle w:val="TextBody"/>
        <w:spacing w:before="240" w:after="0"/>
        <w:jc w:val="center"/>
        <w:rPr>
          <w:rFonts w:ascii="Times New Roman;serif" w:hAnsi="Times New Roman;serif"/>
          <w:b w:val="false"/>
          <w:sz w:val="20"/>
        </w:rPr>
      </w:pPr>
      <w:r>
        <w:rPr>
          <w:rFonts w:ascii="Times New Roman;serif" w:hAnsi="Times New Roman;serif"/>
          <w:b w:val="false"/>
          <w:sz w:val="20"/>
        </w:rPr>
        <w:t>52</w:t>
      </w:r>
    </w:p>
    <w:p>
      <w:pPr>
        <w:pStyle w:val="HorizontalLine"/>
        <w:rPr/>
      </w:pPr>
      <w:r>
        <w:rPr/>
      </w:r>
    </w:p>
    <w:p>
      <w:pPr>
        <w:pStyle w:val="TextBody"/>
        <w:spacing w:before="0" w:after="0"/>
        <w:jc w:val="left"/>
        <w:rPr/>
      </w:pPr>
      <w:r>
        <w:rPr/>
        <w:t> </w:t>
      </w:r>
    </w:p>
    <w:p>
      <w:pPr>
        <w:pStyle w:val="TextBody"/>
        <w:spacing w:before="200" w:after="0"/>
        <w:jc w:val="both"/>
        <w:rPr>
          <w:rFonts w:ascii="Times New Roman;serif" w:hAnsi="Times New Roman;serif"/>
          <w:b/>
          <w:sz w:val="20"/>
        </w:rPr>
      </w:pPr>
      <w:r>
        <w:rPr>
          <w:rFonts w:ascii="Times New Roman;serif" w:hAnsi="Times New Roman;serif"/>
          <w:b/>
          <w:sz w:val="20"/>
        </w:rPr>
        <w:t>RESULTS OF OPERATIONS</w:t>
      </w:r>
    </w:p>
    <w:p>
      <w:pPr>
        <w:pStyle w:val="TextBody"/>
        <w:spacing w:before="200" w:after="0"/>
        <w:jc w:val="both"/>
        <w:rPr>
          <w:rFonts w:ascii="Times New Roman" w:hAnsi="Times New Roman"/>
          <w:sz w:val="20"/>
        </w:rPr>
      </w:pPr>
      <w:r>
        <w:rPr>
          <w:rFonts w:ascii="Times New Roman;serif" w:hAnsi="Times New Roman;serif"/>
          <w:b w:val="false"/>
          <w:sz w:val="20"/>
        </w:rPr>
        <w:t xml:space="preserve">The Company’s business and future prospects are evaluated by Richard L. Gelfond, its Chief Executive Officer (“CEO”), using a variety of factors and financial and operational metrics including: (i) IMAX box office performance and the securing of new IMAX films and other events to be exhibited across the IMAX network; (ii) the signing, installation, and financial performance of IMAX System arrangements, particularly those involving laser-based projection systems; (iii) the success of the Company’s investments in business evolution and brand extensions, including the integration and performance of SSIMWAVE, the distribution of live events to the IMAX network and IMAX Enhanced, (iv) revenues and gross margins earned by the Company’s segments, as discussed below; (v) consolidated earnings (loss) from operations, as adjusted for unusual items; (vi) the continuing ability to invest in and improve the Company’s technology to enhance the differentiation of </w:t>
      </w:r>
      <w:r>
        <w:rPr>
          <w:rFonts w:ascii="Times New Roman;serif" w:hAnsi="Times New Roman;serif"/>
          <w:b w:val="false"/>
          <w:i/>
          <w:sz w:val="20"/>
        </w:rPr>
        <w:t xml:space="preserve">The </w:t>
      </w:r>
      <w:r>
        <w:rPr>
          <w:rFonts w:ascii="Times New Roman;serif" w:hAnsi="Times New Roman;serif"/>
          <w:b w:val="false"/>
          <w:sz w:val="20"/>
        </w:rPr>
        <w:t xml:space="preserve">IMAX </w:t>
      </w:r>
      <w:r>
        <w:rPr>
          <w:rFonts w:ascii="Times New Roman;serif" w:hAnsi="Times New Roman;serif"/>
          <w:b w:val="false"/>
          <w:i/>
          <w:sz w:val="20"/>
        </w:rPr>
        <w:t>Experience</w:t>
      </w:r>
      <w:r>
        <w:rPr>
          <w:rFonts w:ascii="Times New Roman" w:hAnsi="Times New Roman"/>
          <w:sz w:val="20"/>
        </w:rPr>
        <w:t xml:space="preserve"> </w:t>
      </w:r>
      <w:r>
        <w:rPr>
          <w:rFonts w:ascii="Times New Roman;serif" w:hAnsi="Times New Roman;serif"/>
          <w:b w:val="false"/>
          <w:sz w:val="20"/>
        </w:rPr>
        <w:t xml:space="preserve">versus other out-of-home experiences; (vii) the overall execution, reliability, and consumer acceptance of </w:t>
      </w:r>
      <w:r>
        <w:rPr>
          <w:rFonts w:ascii="Times New Roman;serif" w:hAnsi="Times New Roman;serif"/>
          <w:b w:val="false"/>
          <w:i/>
          <w:sz w:val="20"/>
        </w:rPr>
        <w:t xml:space="preserve">The </w:t>
      </w:r>
      <w:r>
        <w:rPr>
          <w:rFonts w:ascii="Times New Roman;serif" w:hAnsi="Times New Roman;serif"/>
          <w:b w:val="false"/>
          <w:sz w:val="20"/>
        </w:rPr>
        <w:t xml:space="preserve">IMAX </w:t>
      </w:r>
      <w:r>
        <w:rPr>
          <w:rFonts w:ascii="Times New Roman;serif" w:hAnsi="Times New Roman;serif"/>
          <w:b w:val="false"/>
          <w:i/>
          <w:sz w:val="20"/>
        </w:rPr>
        <w:t>Experience</w:t>
      </w:r>
      <w:r>
        <w:rPr>
          <w:rFonts w:ascii="Times New Roman;serif" w:hAnsi="Times New Roman;serif"/>
          <w:b w:val="false"/>
          <w:sz w:val="20"/>
        </w:rPr>
        <w:t>; and (viii) short- and long-term cash flow projections.</w:t>
      </w:r>
    </w:p>
    <w:p>
      <w:pPr>
        <w:pStyle w:val="TextBody"/>
        <w:spacing w:before="200" w:after="0"/>
        <w:jc w:val="both"/>
        <w:rPr>
          <w:rFonts w:ascii="Times New Roman" w:hAnsi="Times New Roman"/>
          <w:sz w:val="20"/>
        </w:rPr>
      </w:pPr>
      <w:r>
        <w:rPr>
          <w:rFonts w:ascii="Times New Roman;serif" w:hAnsi="Times New Roman;serif"/>
          <w:b w:val="false"/>
          <w:sz w:val="20"/>
        </w:rPr>
        <w:t>The CEO is the Company’s CODM, as such term is defined under United States Generally Accepted Accounting Principles (“U.S. GAAP”). The CODM assesses segment performance based on segment revenues and gross margins. Selling, general and administrative expenses, research and development costs, the amortization of intangible assets, provision for (reversal of) current expected credit losses, certain write-downs, interest income, interest expense, and income tax (expense) benefit are not allocated to the Company’s segments.</w:t>
      </w:r>
      <w:r>
        <w:rPr>
          <w:rFonts w:ascii="Times New Roman" w:hAnsi="Times New Roman"/>
          <w:sz w:val="20"/>
        </w:rPr>
        <w:t xml:space="preserve"> </w:t>
      </w:r>
    </w:p>
    <w:p>
      <w:pPr>
        <w:pStyle w:val="TextBody"/>
        <w:spacing w:before="200" w:after="0"/>
        <w:jc w:val="both"/>
        <w:rPr>
          <w:rFonts w:ascii="Times New Roman;serif" w:hAnsi="Times New Roman;serif"/>
          <w:b w:val="false"/>
          <w:sz w:val="20"/>
        </w:rPr>
      </w:pPr>
      <w:r>
        <w:rPr>
          <w:rFonts w:ascii="Times New Roman;serif" w:hAnsi="Times New Roman;serif"/>
          <w:b w:val="false"/>
          <w:sz w:val="20"/>
        </w:rPr>
        <w:t>The Company has two reportable segments: (i) Content Solutions, which principally includes content enhancement and distribution services, previously included within the IMAX DMR, Film Distribution and Film Post-Production segments, and (ii) Technology Products and Services, which principally includes the sale, lease, and maintenance of IMAX Systems, previously included within the JRSA, IMAX Systems, IMAX Maintenance, and Other Theater Business segments. The Company’s activities that do not meet the criteria to be considered a reportable segment are reported within All Other. Prior period comparatives have been revised to conform with the current period presentation. (See Note 13 of Notes to Condensed Consolidated Financial Statements in Part I, Item 1.)</w:t>
      </w:r>
    </w:p>
    <w:p>
      <w:pPr>
        <w:pStyle w:val="TextBody"/>
        <w:spacing w:before="200" w:after="0"/>
        <w:jc w:val="both"/>
        <w:rPr>
          <w:rFonts w:ascii="Times New Roman;serif" w:hAnsi="Times New Roman;serif"/>
          <w:b/>
          <w:sz w:val="20"/>
        </w:rPr>
      </w:pPr>
      <w:r>
        <w:rPr>
          <w:rFonts w:ascii="Times New Roman;serif" w:hAnsi="Times New Roman;serif"/>
          <w:b/>
          <w:sz w:val="20"/>
        </w:rPr>
        <w:t>Results of Operations for the Three Months Ended March 31, 2023 and 2022</w:t>
      </w:r>
    </w:p>
    <w:p>
      <w:pPr>
        <w:pStyle w:val="TextBody"/>
        <w:spacing w:before="200" w:after="0"/>
        <w:jc w:val="both"/>
        <w:rPr>
          <w:rFonts w:ascii="Times New Roman;serif" w:hAnsi="Times New Roman;serif"/>
          <w:b/>
          <w:i/>
          <w:sz w:val="20"/>
        </w:rPr>
      </w:pPr>
      <w:r>
        <w:rPr>
          <w:rFonts w:ascii="Times New Roman;serif" w:hAnsi="Times New Roman;serif"/>
          <w:b/>
          <w:i/>
          <w:sz w:val="20"/>
        </w:rPr>
        <w:t>Net Income (Loss) and Adjusted Net Income (Loss) Attributable to Common Shareholders</w:t>
      </w:r>
    </w:p>
    <w:p>
      <w:pPr>
        <w:pStyle w:val="TextBody"/>
        <w:spacing w:before="200" w:after="200"/>
        <w:jc w:val="both"/>
        <w:rPr>
          <w:rFonts w:ascii="Times New Roman" w:hAnsi="Times New Roman"/>
          <w:sz w:val="20"/>
        </w:rPr>
      </w:pPr>
      <w:r>
        <w:rPr>
          <w:rFonts w:ascii="Times New Roman;serif" w:hAnsi="Times New Roman;serif"/>
          <w:b w:val="false"/>
          <w:sz w:val="20"/>
        </w:rPr>
        <w:t>The following table presents the Company’s net income (loss) attributable to common shareholders and the associated per diluted share amounts, as well as adjusted net income (loss) attributable to common shareholders</w:t>
      </w:r>
      <w:r>
        <w:rPr>
          <w:rFonts w:ascii="Times New Roman;serif" w:hAnsi="Times New Roman;serif"/>
          <w:b w:val="false"/>
          <w:sz w:val="13"/>
        </w:rPr>
        <w:t>(1)</w:t>
      </w:r>
      <w:r>
        <w:rPr>
          <w:rFonts w:ascii="Times New Roman" w:hAnsi="Times New Roman"/>
          <w:sz w:val="20"/>
        </w:rPr>
        <w:t xml:space="preserve"> </w:t>
      </w:r>
      <w:r>
        <w:rPr>
          <w:rFonts w:ascii="Times New Roman;serif" w:hAnsi="Times New Roman;serif"/>
          <w:b w:val="false"/>
          <w:sz w:val="20"/>
        </w:rPr>
        <w:t>and adjusted net income (loss) attributable to common shareholders per diluted share</w:t>
      </w:r>
      <w:r>
        <w:rPr>
          <w:rFonts w:ascii="Times New Roman;serif" w:hAnsi="Times New Roman;serif"/>
          <w:b w:val="false"/>
          <w:sz w:val="13"/>
        </w:rPr>
        <w:t>(1)</w:t>
      </w:r>
      <w:r>
        <w:rPr>
          <w:rFonts w:ascii="Times New Roman" w:hAnsi="Times New Roman"/>
          <w:sz w:val="20"/>
        </w:rPr>
        <w:t xml:space="preserve"> </w:t>
      </w:r>
      <w:r>
        <w:rPr>
          <w:rFonts w:ascii="Times New Roman;serif" w:hAnsi="Times New Roman;serif"/>
          <w:b w:val="false"/>
          <w:sz w:val="20"/>
        </w:rPr>
        <w:t>for the three months ended March 31, 2023 and 2022:</w:t>
      </w:r>
    </w:p>
    <w:tbl>
      <w:tblPr>
        <w:tblW w:w="10205" w:type="dxa"/>
        <w:jc w:val="left"/>
        <w:tblInd w:w="0" w:type="dxa"/>
        <w:tblCellMar>
          <w:top w:w="28" w:type="dxa"/>
          <w:left w:w="28" w:type="dxa"/>
          <w:bottom w:w="28" w:type="dxa"/>
          <w:right w:w="28" w:type="dxa"/>
        </w:tblCellMar>
      </w:tblPr>
      <w:tblGrid>
        <w:gridCol w:w="5026"/>
        <w:gridCol w:w="146"/>
        <w:gridCol w:w="246"/>
        <w:gridCol w:w="668"/>
        <w:gridCol w:w="146"/>
        <w:gridCol w:w="146"/>
        <w:gridCol w:w="146"/>
        <w:gridCol w:w="252"/>
        <w:gridCol w:w="557"/>
        <w:gridCol w:w="146"/>
        <w:gridCol w:w="146"/>
        <w:gridCol w:w="146"/>
        <w:gridCol w:w="211"/>
        <w:gridCol w:w="736"/>
        <w:gridCol w:w="166"/>
        <w:gridCol w:w="146"/>
        <w:gridCol w:w="146"/>
        <w:gridCol w:w="233"/>
        <w:gridCol w:w="582"/>
        <w:gridCol w:w="214"/>
      </w:tblGrid>
      <w:tr>
        <w:trPr/>
        <w:tc>
          <w:tcPr>
            <w:tcW w:w="502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46" w:type="dxa"/>
            <w:tcBorders/>
            <w:shd w:fill="auto" w:val="clear"/>
            <w:vAlign w:val="center"/>
          </w:tcPr>
          <w:p>
            <w:pPr>
              <w:pStyle w:val="TableContents"/>
              <w:spacing w:before="0" w:after="283"/>
              <w:rPr>
                <w:sz w:val="4"/>
                <w:szCs w:val="4"/>
              </w:rPr>
            </w:pPr>
            <w:r>
              <w:rPr>
                <w:sz w:val="4"/>
                <w:szCs w:val="4"/>
              </w:rPr>
            </w:r>
          </w:p>
        </w:tc>
        <w:tc>
          <w:tcPr>
            <w:tcW w:w="668"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52" w:type="dxa"/>
            <w:tcBorders/>
            <w:shd w:fill="auto" w:val="clear"/>
            <w:vAlign w:val="center"/>
          </w:tcPr>
          <w:p>
            <w:pPr>
              <w:pStyle w:val="TableContents"/>
              <w:spacing w:before="0" w:after="283"/>
              <w:rPr>
                <w:sz w:val="4"/>
                <w:szCs w:val="4"/>
              </w:rPr>
            </w:pPr>
            <w:r>
              <w:rPr>
                <w:sz w:val="4"/>
                <w:szCs w:val="4"/>
              </w:rPr>
            </w:r>
          </w:p>
        </w:tc>
        <w:tc>
          <w:tcPr>
            <w:tcW w:w="557"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36" w:type="dxa"/>
            <w:tcBorders/>
            <w:shd w:fill="auto" w:val="clear"/>
            <w:vAlign w:val="center"/>
          </w:tcPr>
          <w:p>
            <w:pPr>
              <w:pStyle w:val="TableContents"/>
              <w:spacing w:before="0" w:after="283"/>
              <w:rPr>
                <w:sz w:val="4"/>
                <w:szCs w:val="4"/>
              </w:rPr>
            </w:pPr>
            <w:r>
              <w:rPr>
                <w:sz w:val="4"/>
                <w:szCs w:val="4"/>
              </w:rPr>
            </w:r>
          </w:p>
        </w:tc>
        <w:tc>
          <w:tcPr>
            <w:tcW w:w="16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33" w:type="dxa"/>
            <w:tcBorders/>
            <w:shd w:fill="auto" w:val="clear"/>
            <w:vAlign w:val="center"/>
          </w:tcPr>
          <w:p>
            <w:pPr>
              <w:pStyle w:val="TableContents"/>
              <w:spacing w:before="0" w:after="283"/>
              <w:rPr>
                <w:sz w:val="4"/>
                <w:szCs w:val="4"/>
              </w:rPr>
            </w:pPr>
            <w:r>
              <w:rPr>
                <w:sz w:val="4"/>
                <w:szCs w:val="4"/>
              </w:rPr>
            </w:r>
          </w:p>
        </w:tc>
        <w:tc>
          <w:tcPr>
            <w:tcW w:w="582" w:type="dxa"/>
            <w:tcBorders/>
            <w:shd w:fill="auto" w:val="clear"/>
            <w:vAlign w:val="center"/>
          </w:tcPr>
          <w:p>
            <w:pPr>
              <w:pStyle w:val="TableContents"/>
              <w:spacing w:before="0" w:after="283"/>
              <w:rPr>
                <w:sz w:val="4"/>
                <w:szCs w:val="4"/>
              </w:rPr>
            </w:pPr>
            <w:r>
              <w:rPr>
                <w:sz w:val="4"/>
                <w:szCs w:val="4"/>
              </w:rPr>
            </w:r>
          </w:p>
        </w:tc>
        <w:tc>
          <w:tcPr>
            <w:tcW w:w="214" w:type="dxa"/>
            <w:tcBorders/>
            <w:shd w:fill="auto" w:val="clear"/>
            <w:vAlign w:val="center"/>
          </w:tcPr>
          <w:p>
            <w:pPr>
              <w:pStyle w:val="TableContents"/>
              <w:spacing w:before="0" w:after="283"/>
              <w:rPr>
                <w:sz w:val="4"/>
                <w:szCs w:val="4"/>
              </w:rPr>
            </w:pPr>
            <w:r>
              <w:rPr>
                <w:sz w:val="4"/>
                <w:szCs w:val="4"/>
              </w:rPr>
            </w:r>
          </w:p>
        </w:tc>
      </w:tr>
      <w:tr>
        <w:trPr/>
        <w:tc>
          <w:tcPr>
            <w:tcW w:w="502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4819" w:type="dxa"/>
            <w:gridSpan w:val="17"/>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Three Months Ended March 31,</w:t>
            </w:r>
          </w:p>
        </w:tc>
        <w:tc>
          <w:tcPr>
            <w:tcW w:w="214"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502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61" w:type="dxa"/>
            <w:gridSpan w:val="7"/>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2023</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2220" w:type="dxa"/>
            <w:gridSpan w:val="7"/>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2022</w:t>
            </w:r>
          </w:p>
        </w:tc>
        <w:tc>
          <w:tcPr>
            <w:tcW w:w="214"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5026" w:type="dxa"/>
            <w:tcBorders/>
            <w:shd w:fill="auto" w:val="clear"/>
            <w:vAlign w:val="center"/>
          </w:tcPr>
          <w:p>
            <w:pPr>
              <w:pStyle w:val="TableContents"/>
              <w:spacing w:before="0" w:after="0"/>
              <w:ind w:left="0" w:right="0" w:hanging="0"/>
              <w:jc w:val="left"/>
              <w:rPr>
                <w:rFonts w:ascii="Times New Roman;serif" w:hAnsi="Times New Roman;serif"/>
                <w:b w:val="false"/>
                <w:i/>
                <w:sz w:val="16"/>
              </w:rPr>
            </w:pPr>
            <w:r>
              <w:rPr>
                <w:rFonts w:ascii="Times New Roman;serif" w:hAnsi="Times New Roman;serif"/>
                <w:b w:val="false"/>
                <w:i/>
                <w:sz w:val="16"/>
              </w:rPr>
              <w:t>(In thousands of U.S. Dollars, except per diluted share amounts)</w:t>
            </w:r>
          </w:p>
        </w:tc>
        <w:tc>
          <w:tcPr>
            <w:tcW w:w="146" w:type="dxa"/>
            <w:tcBorders/>
            <w:shd w:fill="auto" w:val="clear"/>
            <w:vAlign w:val="center"/>
          </w:tcPr>
          <w:p>
            <w:pPr>
              <w:pStyle w:val="TableContents"/>
              <w:spacing w:before="0" w:after="0"/>
              <w:ind w:left="0" w:right="0" w:hanging="0"/>
              <w:jc w:val="left"/>
              <w:rPr/>
            </w:pPr>
            <w:r>
              <w:rPr/>
              <w:t> </w:t>
            </w:r>
          </w:p>
        </w:tc>
        <w:tc>
          <w:tcPr>
            <w:tcW w:w="914"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Net Income</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809"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Per Share</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947"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Net Loss</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815"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Per Share</w:t>
            </w:r>
          </w:p>
        </w:tc>
        <w:tc>
          <w:tcPr>
            <w:tcW w:w="214"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502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Net income (loss) attributable to common shareholders</w:t>
            </w:r>
          </w:p>
        </w:tc>
        <w:tc>
          <w:tcPr>
            <w:tcW w:w="146" w:type="dxa"/>
            <w:tcBorders/>
            <w:shd w:fill="auto" w:val="clear"/>
            <w:vAlign w:val="center"/>
          </w:tcPr>
          <w:p>
            <w:pPr>
              <w:pStyle w:val="TableContents"/>
              <w:spacing w:before="0" w:after="0"/>
              <w:ind w:left="0" w:right="0" w:hanging="0"/>
              <w:jc w:val="right"/>
              <w:rPr/>
            </w:pPr>
            <w:r>
              <w:rPr/>
              <w:t> </w:t>
            </w:r>
          </w:p>
        </w:tc>
        <w:tc>
          <w:tcPr>
            <w:tcW w:w="2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68"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2,454</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252"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557"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0.04</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21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3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(13,609</w:t>
            </w:r>
          </w:p>
        </w:tc>
        <w:tc>
          <w:tcPr>
            <w:tcW w:w="16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233"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582"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(0.23</w:t>
            </w:r>
          </w:p>
        </w:tc>
        <w:tc>
          <w:tcPr>
            <w:tcW w:w="214"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5026" w:type="dxa"/>
            <w:tcBorders/>
            <w:shd w:fill="auto" w:val="clear"/>
            <w:vAlign w:val="center"/>
          </w:tcPr>
          <w:p>
            <w:pPr>
              <w:pStyle w:val="TableContents"/>
              <w:spacing w:before="0" w:after="0"/>
              <w:ind w:left="0" w:right="0" w:hanging="0"/>
              <w:jc w:val="left"/>
              <w:rPr>
                <w:rFonts w:ascii="Times New Roman" w:hAnsi="Times New Roman"/>
                <w:sz w:val="20"/>
              </w:rPr>
            </w:pPr>
            <w:r>
              <w:rPr>
                <w:rFonts w:ascii="Times New Roman;serif" w:hAnsi="Times New Roman;serif"/>
                <w:b w:val="false"/>
                <w:sz w:val="20"/>
              </w:rPr>
              <w:t>Adjusted net income (loss) attributable to common shareholders</w:t>
            </w:r>
            <w:r>
              <w:rPr>
                <w:rFonts w:ascii="Times New Roman;serif" w:hAnsi="Times New Roman;serif"/>
                <w:b w:val="false"/>
                <w:sz w:val="13"/>
              </w:rPr>
              <w:t>(1)</w:t>
            </w:r>
          </w:p>
        </w:tc>
        <w:tc>
          <w:tcPr>
            <w:tcW w:w="146" w:type="dxa"/>
            <w:tcBorders/>
            <w:shd w:fill="auto" w:val="clear"/>
            <w:vAlign w:val="center"/>
          </w:tcPr>
          <w:p>
            <w:pPr>
              <w:pStyle w:val="TableContents"/>
              <w:spacing w:before="0" w:after="0"/>
              <w:ind w:left="0" w:right="0" w:hanging="0"/>
              <w:jc w:val="left"/>
              <w:rPr/>
            </w:pPr>
            <w:r>
              <w:rPr/>
              <w:t> </w:t>
            </w:r>
          </w:p>
        </w:tc>
        <w:tc>
          <w:tcPr>
            <w:tcW w:w="2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68"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9,025</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252"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557"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0.16</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21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3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(8,244</w:t>
            </w:r>
          </w:p>
        </w:tc>
        <w:tc>
          <w:tcPr>
            <w:tcW w:w="16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233"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582"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(0.14</w:t>
            </w:r>
          </w:p>
        </w:tc>
        <w:tc>
          <w:tcPr>
            <w:tcW w:w="214"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bl>
    <w:p>
      <w:pPr>
        <w:pStyle w:val="TextBody"/>
        <w:pBdr>
          <w:bottom w:val="single" w:sz="4" w:space="1" w:color="000000"/>
        </w:pBdr>
        <w:spacing w:before="0" w:after="0"/>
        <w:jc w:val="left"/>
        <w:rPr/>
      </w:pPr>
      <w:r>
        <w:rPr/>
        <w:t> </w:t>
      </w:r>
    </w:p>
    <w:p>
      <w:pPr>
        <w:pStyle w:val="TextBody"/>
        <w:spacing w:before="40" w:after="0"/>
        <w:jc w:val="both"/>
        <w:rPr>
          <w:rFonts w:ascii="Times New Roman;serif" w:hAnsi="Times New Roman;serif"/>
          <w:b w:val="false"/>
          <w:sz w:val="20"/>
        </w:rPr>
      </w:pPr>
      <w:r>
        <w:rPr>
          <w:rFonts w:ascii="Times New Roman;serif" w:hAnsi="Times New Roman;serif"/>
          <w:b w:val="false"/>
          <w:sz w:val="20"/>
        </w:rPr>
        <w:t>(1) See “Non-GAAP Financial Measures” for a description of this non-GAAP financial measure and a reconciliation to the most comparable GAAP amount.</w:t>
      </w:r>
    </w:p>
    <w:p>
      <w:pPr>
        <w:pStyle w:val="TextBody"/>
        <w:spacing w:before="240" w:after="0"/>
        <w:jc w:val="center"/>
        <w:rPr>
          <w:rFonts w:ascii="Times New Roman;serif" w:hAnsi="Times New Roman;serif"/>
          <w:b w:val="false"/>
          <w:sz w:val="20"/>
        </w:rPr>
      </w:pPr>
      <w:r>
        <w:rPr>
          <w:rFonts w:ascii="Times New Roman;serif" w:hAnsi="Times New Roman;serif"/>
          <w:b w:val="false"/>
          <w:sz w:val="20"/>
        </w:rPr>
        <w:t>53</w:t>
      </w:r>
    </w:p>
    <w:p>
      <w:pPr>
        <w:pStyle w:val="HorizontalLine"/>
        <w:rPr/>
      </w:pPr>
      <w:r>
        <w:rPr/>
      </w:r>
    </w:p>
    <w:p>
      <w:pPr>
        <w:pStyle w:val="TextBody"/>
        <w:spacing w:before="0" w:after="0"/>
        <w:jc w:val="left"/>
        <w:rPr/>
      </w:pPr>
      <w:r>
        <w:rPr/>
        <w:t> </w:t>
      </w:r>
    </w:p>
    <w:p>
      <w:pPr>
        <w:pStyle w:val="TextBody"/>
        <w:spacing w:before="200" w:after="0"/>
        <w:jc w:val="both"/>
        <w:rPr>
          <w:rFonts w:ascii="Times New Roman;serif" w:hAnsi="Times New Roman;serif"/>
          <w:b/>
          <w:i/>
          <w:sz w:val="20"/>
        </w:rPr>
      </w:pPr>
      <w:r>
        <w:rPr>
          <w:rFonts w:ascii="Times New Roman;serif" w:hAnsi="Times New Roman;serif"/>
          <w:b/>
          <w:i/>
          <w:sz w:val="20"/>
        </w:rPr>
        <w:t>Revenues and Gross Margin</w:t>
      </w:r>
    </w:p>
    <w:p>
      <w:pPr>
        <w:pStyle w:val="TextBody"/>
        <w:spacing w:before="200" w:after="0"/>
        <w:jc w:val="both"/>
        <w:rPr>
          <w:rFonts w:ascii="Times New Roman" w:hAnsi="Times New Roman"/>
          <w:sz w:val="20"/>
        </w:rPr>
      </w:pPr>
      <w:r>
        <w:rPr>
          <w:rFonts w:ascii="Times New Roman;serif" w:hAnsi="Times New Roman;serif"/>
          <w:b w:val="false"/>
          <w:sz w:val="20"/>
        </w:rPr>
        <w:t xml:space="preserve">During the three months ended March 31, 2023, the Company’s revenues and gross margin increased by $26.9 million, or 45%, and $18.3 million, or 58%, respectively, when compared to same period in 2022 principally due to the strength of IMAX GBO performance through the distribution of films such as </w:t>
      </w:r>
      <w:r>
        <w:rPr>
          <w:rFonts w:ascii="Times New Roman;serif" w:hAnsi="Times New Roman;serif"/>
          <w:b w:val="false"/>
          <w:i/>
          <w:sz w:val="20"/>
        </w:rPr>
        <w:t xml:space="preserve">Avatar: The Way of Water, Wandering Earth 2, Ant-Man and the Wasp: Quantumania, </w:t>
      </w:r>
      <w:r>
        <w:rPr>
          <w:rFonts w:ascii="Times New Roman;serif" w:hAnsi="Times New Roman;serif"/>
          <w:b w:val="false"/>
          <w:sz w:val="20"/>
        </w:rPr>
        <w:t xml:space="preserve">and </w:t>
      </w:r>
      <w:r>
        <w:rPr>
          <w:rFonts w:ascii="Times New Roman;serif" w:hAnsi="Times New Roman;serif"/>
          <w:b w:val="false"/>
          <w:i/>
          <w:sz w:val="20"/>
        </w:rPr>
        <w:t>Creed III.</w:t>
      </w:r>
    </w:p>
    <w:p>
      <w:pPr>
        <w:pStyle w:val="TextBody"/>
        <w:spacing w:before="200" w:after="200"/>
        <w:jc w:val="both"/>
        <w:rPr>
          <w:rFonts w:ascii="Times New Roman;serif" w:hAnsi="Times New Roman;serif"/>
          <w:b w:val="false"/>
          <w:sz w:val="20"/>
        </w:rPr>
      </w:pPr>
      <w:r>
        <w:rPr>
          <w:rFonts w:ascii="Times New Roman;serif" w:hAnsi="Times New Roman;serif"/>
          <w:b w:val="false"/>
          <w:sz w:val="20"/>
        </w:rPr>
        <w:t>The following table presents the Company’s revenue, gross margin and gross margin percentage by reportable segment for the three months ended March 31, 2023 and 2022:</w:t>
      </w:r>
    </w:p>
    <w:tbl>
      <w:tblPr>
        <w:tblW w:w="9152" w:type="dxa"/>
        <w:jc w:val="left"/>
        <w:tblInd w:w="0" w:type="dxa"/>
        <w:tblCellMar>
          <w:top w:w="28" w:type="dxa"/>
          <w:left w:w="28" w:type="dxa"/>
          <w:bottom w:w="28" w:type="dxa"/>
          <w:right w:w="28" w:type="dxa"/>
        </w:tblCellMar>
      </w:tblPr>
      <w:tblGrid>
        <w:gridCol w:w="2926"/>
        <w:gridCol w:w="146"/>
        <w:gridCol w:w="211"/>
        <w:gridCol w:w="676"/>
        <w:gridCol w:w="146"/>
        <w:gridCol w:w="146"/>
        <w:gridCol w:w="211"/>
        <w:gridCol w:w="676"/>
        <w:gridCol w:w="146"/>
        <w:gridCol w:w="146"/>
        <w:gridCol w:w="211"/>
        <w:gridCol w:w="676"/>
        <w:gridCol w:w="146"/>
        <w:gridCol w:w="146"/>
        <w:gridCol w:w="211"/>
        <w:gridCol w:w="676"/>
        <w:gridCol w:w="146"/>
        <w:gridCol w:w="146"/>
        <w:gridCol w:w="485"/>
        <w:gridCol w:w="147"/>
        <w:gridCol w:w="732"/>
      </w:tblGrid>
      <w:tr>
        <w:trPr/>
        <w:tc>
          <w:tcPr>
            <w:tcW w:w="292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67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67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67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67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485" w:type="dxa"/>
            <w:tcBorders/>
            <w:shd w:fill="auto" w:val="clear"/>
            <w:vAlign w:val="center"/>
          </w:tcPr>
          <w:p>
            <w:pPr>
              <w:pStyle w:val="TableContents"/>
              <w:spacing w:before="0" w:after="283"/>
              <w:rPr>
                <w:sz w:val="4"/>
                <w:szCs w:val="4"/>
              </w:rPr>
            </w:pPr>
            <w:r>
              <w:rPr>
                <w:sz w:val="4"/>
                <w:szCs w:val="4"/>
              </w:rPr>
            </w:r>
          </w:p>
        </w:tc>
        <w:tc>
          <w:tcPr>
            <w:tcW w:w="147" w:type="dxa"/>
            <w:tcBorders/>
            <w:shd w:fill="auto" w:val="clear"/>
            <w:vAlign w:val="center"/>
          </w:tcPr>
          <w:p>
            <w:pPr>
              <w:pStyle w:val="TableContents"/>
              <w:spacing w:before="0" w:after="283"/>
              <w:rPr>
                <w:sz w:val="4"/>
                <w:szCs w:val="4"/>
              </w:rPr>
            </w:pPr>
            <w:r>
              <w:rPr>
                <w:sz w:val="4"/>
                <w:szCs w:val="4"/>
              </w:rPr>
            </w:r>
          </w:p>
        </w:tc>
        <w:tc>
          <w:tcPr>
            <w:tcW w:w="732" w:type="dxa"/>
            <w:tcBorders/>
            <w:shd w:fill="auto" w:val="clear"/>
            <w:vAlign w:val="center"/>
          </w:tcPr>
          <w:p>
            <w:pPr>
              <w:pStyle w:val="TableContents"/>
              <w:spacing w:before="0" w:after="283"/>
              <w:rPr>
                <w:sz w:val="4"/>
                <w:szCs w:val="4"/>
              </w:rPr>
            </w:pPr>
            <w:r>
              <w:rPr>
                <w:sz w:val="4"/>
                <w:szCs w:val="4"/>
              </w:rPr>
            </w:r>
          </w:p>
        </w:tc>
      </w:tr>
      <w:tr>
        <w:trPr/>
        <w:tc>
          <w:tcPr>
            <w:tcW w:w="292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066" w:type="dxa"/>
            <w:gridSpan w:val="6"/>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Revenue</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066" w:type="dxa"/>
            <w:gridSpan w:val="6"/>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Gross Margin</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364" w:type="dxa"/>
            <w:gridSpan w:val="3"/>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Gross Margin %</w:t>
            </w:r>
          </w:p>
        </w:tc>
      </w:tr>
      <w:tr>
        <w:trPr/>
        <w:tc>
          <w:tcPr>
            <w:tcW w:w="2926" w:type="dxa"/>
            <w:tcBorders/>
            <w:shd w:fill="auto" w:val="clear"/>
            <w:vAlign w:val="center"/>
          </w:tcPr>
          <w:p>
            <w:pPr>
              <w:pStyle w:val="TableContents"/>
              <w:spacing w:before="0" w:after="0"/>
              <w:ind w:left="0" w:right="0" w:hanging="0"/>
              <w:jc w:val="left"/>
              <w:rPr>
                <w:rFonts w:ascii="Times New Roman;serif" w:hAnsi="Times New Roman;serif"/>
                <w:b w:val="false"/>
                <w:i/>
                <w:sz w:val="16"/>
              </w:rPr>
            </w:pPr>
            <w:r>
              <w:rPr>
                <w:rFonts w:ascii="Times New Roman;serif" w:hAnsi="Times New Roman;serif"/>
                <w:b w:val="false"/>
                <w:i/>
                <w:sz w:val="16"/>
              </w:rPr>
              <w:t>(In thousands of U.S. Dollars)</w:t>
            </w:r>
          </w:p>
        </w:tc>
        <w:tc>
          <w:tcPr>
            <w:tcW w:w="146" w:type="dxa"/>
            <w:tcBorders/>
            <w:shd w:fill="auto" w:val="clear"/>
            <w:vAlign w:val="center"/>
          </w:tcPr>
          <w:p>
            <w:pPr>
              <w:pStyle w:val="TableContents"/>
              <w:spacing w:before="0" w:after="0"/>
              <w:ind w:left="0" w:right="0" w:hanging="0"/>
              <w:jc w:val="left"/>
              <w:rPr/>
            </w:pPr>
            <w:r>
              <w:rPr/>
              <w:t> </w:t>
            </w:r>
          </w:p>
        </w:tc>
        <w:tc>
          <w:tcPr>
            <w:tcW w:w="887"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2023</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887"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2022</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887"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2023</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887"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2022</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485"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2023</w:t>
            </w:r>
          </w:p>
        </w:tc>
        <w:tc>
          <w:tcPr>
            <w:tcW w:w="147"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732"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2022</w:t>
            </w:r>
          </w:p>
        </w:tc>
      </w:tr>
      <w:tr>
        <w:trPr/>
        <w:tc>
          <w:tcPr>
            <w:tcW w:w="292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Content Solutions</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7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32,101</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21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7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20,988</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21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7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17,995</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21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7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12,625</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485"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56%</w:t>
            </w:r>
          </w:p>
        </w:tc>
        <w:tc>
          <w:tcPr>
            <w:tcW w:w="147" w:type="dxa"/>
            <w:tcBorders/>
            <w:shd w:fill="auto" w:val="clear"/>
            <w:vAlign w:val="center"/>
          </w:tcPr>
          <w:p>
            <w:pPr>
              <w:pStyle w:val="TableContents"/>
              <w:spacing w:before="0" w:after="0"/>
              <w:ind w:left="0" w:right="0" w:hanging="0"/>
              <w:jc w:val="right"/>
              <w:rPr/>
            </w:pPr>
            <w:r>
              <w:rPr/>
              <w:t> </w:t>
            </w:r>
          </w:p>
        </w:tc>
        <w:tc>
          <w:tcPr>
            <w:tcW w:w="732"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60%</w:t>
            </w:r>
          </w:p>
        </w:tc>
      </w:tr>
      <w:tr>
        <w:trPr/>
        <w:tc>
          <w:tcPr>
            <w:tcW w:w="292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Technology Products and Services</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67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51,667</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67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37,863</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67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29,891</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67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18,416</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485"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58%</w:t>
            </w:r>
          </w:p>
        </w:tc>
        <w:tc>
          <w:tcPr>
            <w:tcW w:w="147" w:type="dxa"/>
            <w:tcBorders/>
            <w:shd w:fill="auto" w:val="clear"/>
            <w:vAlign w:val="center"/>
          </w:tcPr>
          <w:p>
            <w:pPr>
              <w:pStyle w:val="TableContents"/>
              <w:spacing w:before="0" w:after="0"/>
              <w:ind w:left="0" w:right="0" w:hanging="0"/>
              <w:jc w:val="right"/>
              <w:rPr/>
            </w:pPr>
            <w:r>
              <w:rPr/>
              <w:t> </w:t>
            </w:r>
          </w:p>
        </w:tc>
        <w:tc>
          <w:tcPr>
            <w:tcW w:w="732" w:type="dxa"/>
            <w:tcBorders/>
            <w:shd w:fill="auto" w:val="clear"/>
            <w:vAlign w:val="center"/>
          </w:tcPr>
          <w:p>
            <w:pPr>
              <w:pStyle w:val="TableContents"/>
              <w:spacing w:before="0" w:after="0"/>
              <w:ind w:left="0" w:right="0" w:firstLine="200"/>
              <w:jc w:val="right"/>
              <w:rPr>
                <w:rFonts w:ascii="Times New Roman;serif" w:hAnsi="Times New Roman;serif"/>
                <w:b w:val="false"/>
                <w:sz w:val="20"/>
              </w:rPr>
            </w:pPr>
            <w:r>
              <w:rPr>
                <w:rFonts w:ascii="Times New Roman;serif" w:hAnsi="Times New Roman;serif"/>
                <w:b w:val="false"/>
                <w:sz w:val="20"/>
              </w:rPr>
              <w:t>49%</w:t>
            </w:r>
          </w:p>
        </w:tc>
      </w:tr>
      <w:tr>
        <w:trPr/>
        <w:tc>
          <w:tcPr>
            <w:tcW w:w="2926" w:type="dxa"/>
            <w:tcBorders/>
            <w:shd w:fill="auto" w:val="clear"/>
            <w:vAlign w:val="center"/>
          </w:tcPr>
          <w:p>
            <w:pPr>
              <w:pStyle w:val="TableContents"/>
              <w:spacing w:before="0" w:after="0"/>
              <w:ind w:left="200" w:right="0" w:hanging="0"/>
              <w:jc w:val="left"/>
              <w:rPr>
                <w:rFonts w:ascii="Times New Roman;serif" w:hAnsi="Times New Roman;serif"/>
                <w:b w:val="false"/>
                <w:sz w:val="20"/>
              </w:rPr>
            </w:pPr>
            <w:r>
              <w:rPr>
                <w:rFonts w:ascii="Times New Roman;serif" w:hAnsi="Times New Roman;serif"/>
                <w:b w:val="false"/>
                <w:sz w:val="20"/>
              </w:rPr>
              <w:t>Sub-total for reportable segments</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top w:val="single" w:sz="4" w:space="0" w:color="000000"/>
              <w:bottom w:val="single" w:sz="4" w:space="0" w:color="000000"/>
            </w:tcBorders>
            <w:shd w:fill="auto" w:val="clear"/>
            <w:tcMar>
              <w:left w:w="0" w:type="dxa"/>
              <w:right w:w="0" w:type="dxa"/>
            </w:tcMar>
            <w:vAlign w:val="center"/>
          </w:tcPr>
          <w:p>
            <w:pPr>
              <w:pStyle w:val="TableContents"/>
              <w:spacing w:before="0" w:after="0"/>
              <w:ind w:left="0" w:right="0" w:hanging="0"/>
              <w:jc w:val="left"/>
              <w:rPr/>
            </w:pPr>
            <w:r>
              <w:rPr/>
              <w:t> </w:t>
            </w:r>
          </w:p>
        </w:tc>
        <w:tc>
          <w:tcPr>
            <w:tcW w:w="676" w:type="dxa"/>
            <w:tcBorders>
              <w:top w:val="single" w:sz="4" w:space="0" w:color="000000"/>
              <w:bottom w:val="single" w:sz="4" w:space="0" w:color="000000"/>
            </w:tcBorders>
            <w:shd w:fill="auto" w:val="clear"/>
            <w:tcMar>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83,768</w:t>
            </w:r>
          </w:p>
        </w:tc>
        <w:tc>
          <w:tcPr>
            <w:tcW w:w="146" w:type="dxa"/>
            <w:tcBorders>
              <w:top w:val="single" w:sz="4" w:space="0" w:color="000000"/>
              <w:bottom w:val="single" w:sz="4" w:space="0" w:color="000000"/>
            </w:tcBorders>
            <w:shd w:fill="auto" w:val="clear"/>
            <w:tcMar>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211" w:type="dxa"/>
            <w:tcBorders>
              <w:top w:val="single" w:sz="4" w:space="0" w:color="000000"/>
              <w:bottom w:val="single" w:sz="4" w:space="0" w:color="000000"/>
            </w:tcBorders>
            <w:shd w:fill="auto" w:val="clear"/>
            <w:tcMar>
              <w:left w:w="0" w:type="dxa"/>
              <w:right w:w="0" w:type="dxa"/>
            </w:tcMar>
            <w:vAlign w:val="center"/>
          </w:tcPr>
          <w:p>
            <w:pPr>
              <w:pStyle w:val="TableContents"/>
              <w:spacing w:before="0" w:after="0"/>
              <w:ind w:left="0" w:right="0" w:hanging="0"/>
              <w:jc w:val="left"/>
              <w:rPr/>
            </w:pPr>
            <w:r>
              <w:rPr/>
              <w:t> </w:t>
            </w:r>
          </w:p>
        </w:tc>
        <w:tc>
          <w:tcPr>
            <w:tcW w:w="676" w:type="dxa"/>
            <w:tcBorders>
              <w:top w:val="single" w:sz="4" w:space="0" w:color="000000"/>
              <w:bottom w:val="single" w:sz="4" w:space="0" w:color="000000"/>
            </w:tcBorders>
            <w:shd w:fill="auto" w:val="clear"/>
            <w:tcMar>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58,851</w:t>
            </w:r>
          </w:p>
        </w:tc>
        <w:tc>
          <w:tcPr>
            <w:tcW w:w="146" w:type="dxa"/>
            <w:tcBorders>
              <w:top w:val="single" w:sz="4" w:space="0" w:color="000000"/>
              <w:bottom w:val="single" w:sz="4" w:space="0" w:color="000000"/>
            </w:tcBorders>
            <w:shd w:fill="auto" w:val="clear"/>
            <w:tcMar>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211" w:type="dxa"/>
            <w:tcBorders>
              <w:top w:val="single" w:sz="4" w:space="0" w:color="000000"/>
              <w:bottom w:val="single" w:sz="4" w:space="0" w:color="000000"/>
            </w:tcBorders>
            <w:shd w:fill="auto" w:val="clear"/>
            <w:tcMar>
              <w:left w:w="0" w:type="dxa"/>
              <w:right w:w="0" w:type="dxa"/>
            </w:tcMar>
            <w:vAlign w:val="center"/>
          </w:tcPr>
          <w:p>
            <w:pPr>
              <w:pStyle w:val="TableContents"/>
              <w:spacing w:before="0" w:after="0"/>
              <w:ind w:left="0" w:right="0" w:hanging="0"/>
              <w:jc w:val="left"/>
              <w:rPr/>
            </w:pPr>
            <w:r>
              <w:rPr/>
              <w:t> </w:t>
            </w:r>
          </w:p>
        </w:tc>
        <w:tc>
          <w:tcPr>
            <w:tcW w:w="676" w:type="dxa"/>
            <w:tcBorders>
              <w:top w:val="single" w:sz="4" w:space="0" w:color="000000"/>
              <w:bottom w:val="single" w:sz="4" w:space="0" w:color="000000"/>
            </w:tcBorders>
            <w:shd w:fill="auto" w:val="clear"/>
            <w:tcMar>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47,886</w:t>
            </w:r>
          </w:p>
        </w:tc>
        <w:tc>
          <w:tcPr>
            <w:tcW w:w="146" w:type="dxa"/>
            <w:tcBorders>
              <w:top w:val="single" w:sz="4" w:space="0" w:color="000000"/>
              <w:bottom w:val="single" w:sz="4" w:space="0" w:color="000000"/>
            </w:tcBorders>
            <w:shd w:fill="auto" w:val="clear"/>
            <w:tcMar>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211" w:type="dxa"/>
            <w:tcBorders>
              <w:top w:val="single" w:sz="4" w:space="0" w:color="000000"/>
              <w:bottom w:val="single" w:sz="4" w:space="0" w:color="000000"/>
            </w:tcBorders>
            <w:shd w:fill="auto" w:val="clear"/>
            <w:tcMar>
              <w:left w:w="0" w:type="dxa"/>
              <w:right w:w="0" w:type="dxa"/>
            </w:tcMar>
            <w:vAlign w:val="center"/>
          </w:tcPr>
          <w:p>
            <w:pPr>
              <w:pStyle w:val="TableContents"/>
              <w:spacing w:before="0" w:after="0"/>
              <w:ind w:left="0" w:right="0" w:hanging="0"/>
              <w:jc w:val="left"/>
              <w:rPr/>
            </w:pPr>
            <w:r>
              <w:rPr/>
              <w:t> </w:t>
            </w:r>
          </w:p>
        </w:tc>
        <w:tc>
          <w:tcPr>
            <w:tcW w:w="676" w:type="dxa"/>
            <w:tcBorders>
              <w:top w:val="single" w:sz="4" w:space="0" w:color="000000"/>
              <w:bottom w:val="single" w:sz="4" w:space="0" w:color="000000"/>
            </w:tcBorders>
            <w:shd w:fill="auto" w:val="clear"/>
            <w:tcMar>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31,041</w:t>
            </w:r>
          </w:p>
        </w:tc>
        <w:tc>
          <w:tcPr>
            <w:tcW w:w="146" w:type="dxa"/>
            <w:tcBorders>
              <w:top w:val="single" w:sz="4" w:space="0" w:color="000000"/>
              <w:bottom w:val="single" w:sz="4" w:space="0" w:color="000000"/>
            </w:tcBorders>
            <w:shd w:fill="auto" w:val="clear"/>
            <w:tcMar>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485" w:type="dxa"/>
            <w:tcBorders>
              <w:top w:val="single" w:sz="4" w:space="0" w:color="000000"/>
              <w:bottom w:val="single" w:sz="4" w:space="0" w:color="000000"/>
            </w:tcBorders>
            <w:shd w:fill="auto" w:val="clear"/>
            <w:tcMar>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57%</w:t>
            </w:r>
          </w:p>
        </w:tc>
        <w:tc>
          <w:tcPr>
            <w:tcW w:w="147" w:type="dxa"/>
            <w:tcBorders>
              <w:top w:val="single" w:sz="4" w:space="0" w:color="000000"/>
              <w:bottom w:val="single" w:sz="4" w:space="0" w:color="000000"/>
            </w:tcBorders>
            <w:shd w:fill="auto" w:val="clear"/>
            <w:tcMar>
              <w:left w:w="0" w:type="dxa"/>
              <w:right w:w="0" w:type="dxa"/>
            </w:tcMar>
            <w:vAlign w:val="center"/>
          </w:tcPr>
          <w:p>
            <w:pPr>
              <w:pStyle w:val="TableContents"/>
              <w:spacing w:before="0" w:after="0"/>
              <w:ind w:left="0" w:right="0" w:hanging="0"/>
              <w:jc w:val="right"/>
              <w:rPr/>
            </w:pPr>
            <w:r>
              <w:rPr/>
              <w:t> </w:t>
            </w:r>
          </w:p>
        </w:tc>
        <w:tc>
          <w:tcPr>
            <w:tcW w:w="732" w:type="dxa"/>
            <w:tcBorders>
              <w:top w:val="single" w:sz="4" w:space="0" w:color="000000"/>
              <w:bottom w:val="single" w:sz="4" w:space="0" w:color="000000"/>
            </w:tcBorders>
            <w:shd w:fill="auto" w:val="clear"/>
            <w:tcMar>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53%</w:t>
            </w:r>
          </w:p>
        </w:tc>
      </w:tr>
      <w:tr>
        <w:trPr/>
        <w:tc>
          <w:tcPr>
            <w:tcW w:w="2926" w:type="dxa"/>
            <w:tcBorders/>
            <w:shd w:fill="auto" w:val="clear"/>
            <w:vAlign w:val="center"/>
          </w:tcPr>
          <w:p>
            <w:pPr>
              <w:pStyle w:val="TableContents"/>
              <w:spacing w:before="0" w:after="0"/>
              <w:ind w:left="0" w:right="0" w:hanging="0"/>
              <w:jc w:val="left"/>
              <w:rPr>
                <w:rFonts w:ascii="Times New Roman" w:hAnsi="Times New Roman"/>
                <w:sz w:val="20"/>
              </w:rPr>
            </w:pPr>
            <w:r>
              <w:rPr>
                <w:rFonts w:ascii="Times New Roman;serif" w:hAnsi="Times New Roman;serif"/>
                <w:b w:val="false"/>
                <w:sz w:val="20"/>
              </w:rPr>
              <w:t>All Other</w:t>
            </w:r>
            <w:r>
              <w:rPr>
                <w:rFonts w:ascii="Times New Roman;serif" w:hAnsi="Times New Roman;serif"/>
                <w:b w:val="false"/>
                <w:sz w:val="13"/>
              </w:rPr>
              <w:t>(1)</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67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3,178</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67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1,185</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67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2,165</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67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730</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485"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68%</w:t>
            </w:r>
          </w:p>
        </w:tc>
        <w:tc>
          <w:tcPr>
            <w:tcW w:w="147"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pPr>
            <w:r>
              <w:rPr/>
              <w:t> </w:t>
            </w:r>
          </w:p>
        </w:tc>
        <w:tc>
          <w:tcPr>
            <w:tcW w:w="732"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62%</w:t>
            </w:r>
          </w:p>
        </w:tc>
      </w:tr>
      <w:tr>
        <w:trPr/>
        <w:tc>
          <w:tcPr>
            <w:tcW w:w="292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Total</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7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86,946</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21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7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60,036</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21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7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50,051</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21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7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31,771</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485"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58%</w:t>
            </w:r>
          </w:p>
        </w:tc>
        <w:tc>
          <w:tcPr>
            <w:tcW w:w="147"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pPr>
            <w:r>
              <w:rPr/>
              <w:t> </w:t>
            </w:r>
          </w:p>
        </w:tc>
        <w:tc>
          <w:tcPr>
            <w:tcW w:w="732"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53%</w:t>
            </w:r>
          </w:p>
        </w:tc>
      </w:tr>
    </w:tbl>
    <w:p>
      <w:pPr>
        <w:pStyle w:val="TextBody"/>
        <w:pBdr>
          <w:bottom w:val="single" w:sz="4" w:space="1" w:color="000000"/>
        </w:pBdr>
        <w:spacing w:before="0" w:after="0"/>
        <w:jc w:val="left"/>
        <w:rPr/>
      </w:pPr>
      <w:r>
        <w:rPr/>
        <w:t> </w:t>
      </w:r>
    </w:p>
    <w:p>
      <w:pPr>
        <w:pStyle w:val="TextBody"/>
        <w:spacing w:before="200" w:after="0"/>
        <w:jc w:val="both"/>
        <w:rPr>
          <w:rFonts w:ascii="Times New Roman" w:hAnsi="Times New Roman"/>
          <w:b w:val="false"/>
          <w:sz w:val="20"/>
        </w:rPr>
      </w:pPr>
      <w:r>
        <w:rPr>
          <w:rFonts w:ascii="Times New Roman" w:hAnsi="Times New Roman"/>
          <w:b w:val="false"/>
          <w:sz w:val="20"/>
        </w:rPr>
        <w:t>(1)</w:t>
      </w:r>
    </w:p>
    <w:p>
      <w:pPr>
        <w:pStyle w:val="TextBody"/>
        <w:spacing w:before="200" w:after="283"/>
        <w:jc w:val="both"/>
        <w:rPr>
          <w:rFonts w:ascii="Times New Roman;serif" w:hAnsi="Times New Roman;serif"/>
          <w:b w:val="false"/>
          <w:sz w:val="20"/>
        </w:rPr>
      </w:pPr>
      <w:r>
        <w:rPr>
          <w:rFonts w:ascii="Times New Roman;serif" w:hAnsi="Times New Roman;serif"/>
          <w:b w:val="false"/>
          <w:sz w:val="20"/>
        </w:rPr>
        <w:t>All Other includes the results from IMAX Enhanced, SSIMWAVE, and other ancillary activities.</w:t>
      </w:r>
    </w:p>
    <w:p>
      <w:pPr>
        <w:pStyle w:val="TextBody"/>
        <w:spacing w:before="200" w:after="0"/>
        <w:jc w:val="both"/>
        <w:rPr>
          <w:rFonts w:ascii="Times New Roman;serif" w:hAnsi="Times New Roman;serif"/>
          <w:b/>
          <w:i/>
          <w:sz w:val="20"/>
        </w:rPr>
      </w:pPr>
      <w:r>
        <w:rPr>
          <w:rFonts w:ascii="Times New Roman;serif" w:hAnsi="Times New Roman;serif"/>
          <w:b/>
          <w:i/>
          <w:sz w:val="20"/>
        </w:rPr>
        <w:t>Content Solutions</w:t>
      </w:r>
    </w:p>
    <w:p>
      <w:pPr>
        <w:pStyle w:val="TextBody"/>
        <w:spacing w:before="200" w:after="0"/>
        <w:jc w:val="both"/>
        <w:rPr>
          <w:rFonts w:ascii="Times New Roman;serif" w:hAnsi="Times New Roman;serif"/>
          <w:b w:val="false"/>
          <w:sz w:val="20"/>
        </w:rPr>
      </w:pPr>
      <w:r>
        <w:rPr>
          <w:rFonts w:ascii="Times New Roman;serif" w:hAnsi="Times New Roman;serif"/>
          <w:b w:val="false"/>
          <w:sz w:val="20"/>
        </w:rPr>
        <w:t>Content Solutions segment results are influenced by the level of commercial success and box office performance of the films and other content released to the IMAX network, as well as other factors including the timing of the releases, the length of play across the IMAX network, the box office share take rates under the Company’s film remastering and distribution arrangements, the level of marketing spend associated with the releases in the year and the fluctuations in the value of foreign currencies versus the U.S. Dollar.</w:t>
      </w:r>
    </w:p>
    <w:p>
      <w:pPr>
        <w:pStyle w:val="TextBody"/>
        <w:spacing w:before="200" w:after="0"/>
        <w:jc w:val="both"/>
        <w:rPr>
          <w:rFonts w:ascii="Times New Roman" w:hAnsi="Times New Roman"/>
          <w:sz w:val="20"/>
        </w:rPr>
      </w:pPr>
      <w:r>
        <w:rPr>
          <w:rFonts w:ascii="Times New Roman;serif" w:hAnsi="Times New Roman;serif"/>
          <w:b w:val="false"/>
          <w:sz w:val="20"/>
        </w:rPr>
        <w:t xml:space="preserve">For the three months ended March 31, 2023, Content Solutions segment revenues and gross margin increased by $11.1 million, or 53%, and $5.4 million, or 43%, respectively, when compared to the same period in 2022 principally due to the strong performance of the films distributed through the IMAX network. In the first quarter of 2023, box office generated by IMAX films totaled $273.4 million, leading to the Company's best-ever first quarter box office performance, a $100.2 million, or 58% increase versus the prior year comparative period of $173.2 million. In the first quarter of 2023, box office was generated by the exhibition of 22 films (15 new films, 6 carryovers and 1 re-release) including </w:t>
      </w:r>
      <w:r>
        <w:rPr>
          <w:rFonts w:ascii="Times New Roman;serif" w:hAnsi="Times New Roman;serif"/>
          <w:b w:val="false"/>
          <w:i/>
          <w:sz w:val="20"/>
        </w:rPr>
        <w:t>Avatar: The Way of Water</w:t>
      </w:r>
      <w:r>
        <w:rPr>
          <w:rFonts w:ascii="Times New Roman;serif" w:hAnsi="Times New Roman;serif"/>
          <w:b w:val="false"/>
          <w:sz w:val="20"/>
        </w:rPr>
        <w:t xml:space="preserve">, which generated box office of $109.1 million, and other content. In addition, in the first quarter of 2023, local language films exhibited across the Company’s global IMAX network generated over $80 million in box office representing 30% of the Company’s total box office. The growth in local language box office was driven primarily by a record IMAX Chinese New Year of $61.3 million for the full 26-day Chinese New Year holiday, a growth of 72% over the prior year, as well as growth in Rest of World box office. Leading local language titles distributed across the IMAX network in the first quarter of 2023 included the Chinese film </w:t>
      </w:r>
      <w:r>
        <w:rPr>
          <w:rFonts w:ascii="Times New Roman;serif" w:hAnsi="Times New Roman;serif"/>
          <w:b w:val="false"/>
          <w:i/>
          <w:sz w:val="20"/>
        </w:rPr>
        <w:t>Wandering Earth 2,</w:t>
      </w:r>
      <w:r>
        <w:rPr>
          <w:rFonts w:ascii="Times New Roman" w:hAnsi="Times New Roman"/>
          <w:sz w:val="20"/>
        </w:rPr>
        <w:t xml:space="preserve"> </w:t>
      </w:r>
      <w:r>
        <w:rPr>
          <w:rFonts w:ascii="Times New Roman;serif" w:hAnsi="Times New Roman;serif"/>
          <w:b w:val="false"/>
          <w:sz w:val="20"/>
        </w:rPr>
        <w:t xml:space="preserve">which generated $48.8 million in box office, the Japanese anime film </w:t>
      </w:r>
      <w:r>
        <w:rPr>
          <w:rFonts w:ascii="Times New Roman;serif" w:hAnsi="Times New Roman;serif"/>
          <w:b w:val="false"/>
          <w:i/>
          <w:sz w:val="20"/>
        </w:rPr>
        <w:t xml:space="preserve">Suzume, </w:t>
      </w:r>
      <w:r>
        <w:rPr>
          <w:rFonts w:ascii="Times New Roman;serif" w:hAnsi="Times New Roman;serif"/>
          <w:b w:val="false"/>
          <w:sz w:val="20"/>
        </w:rPr>
        <w:t xml:space="preserve">which generated $6.7 million in box office, and the Indian film </w:t>
      </w:r>
      <w:r>
        <w:rPr>
          <w:rFonts w:ascii="Times New Roman;serif" w:hAnsi="Times New Roman;serif"/>
          <w:b w:val="false"/>
          <w:i/>
          <w:sz w:val="20"/>
        </w:rPr>
        <w:t>Pathaan,</w:t>
      </w:r>
      <w:r>
        <w:rPr>
          <w:rFonts w:ascii="Times New Roman" w:hAnsi="Times New Roman"/>
          <w:sz w:val="20"/>
        </w:rPr>
        <w:t xml:space="preserve"> </w:t>
      </w:r>
      <w:r>
        <w:rPr>
          <w:rFonts w:ascii="Times New Roman;serif" w:hAnsi="Times New Roman;serif"/>
          <w:b w:val="false"/>
          <w:sz w:val="20"/>
        </w:rPr>
        <w:t>which generated $3.6 million in box office.</w:t>
      </w:r>
      <w:r>
        <w:rPr>
          <w:rFonts w:ascii="Times New Roman" w:hAnsi="Times New Roman"/>
          <w:sz w:val="20"/>
        </w:rPr>
        <w:t xml:space="preserve"> </w:t>
      </w:r>
      <w:r>
        <w:rPr>
          <w:rFonts w:ascii="Times New Roman;serif" w:hAnsi="Times New Roman;serif"/>
          <w:b w:val="false"/>
          <w:sz w:val="20"/>
        </w:rPr>
        <w:t>In the first quarter of 2022, box office was generated by the exhibition of 23 films (13 new films and 10 carryovers) and other content. Despite accounting for approximately 1% of all domestic screens and less than 1% of all screens globally, the IMAX network had a domestic market share of 4.6% and a global market share of 3.5% for the three months ended March 31, 2023. Furthermore, the share of industry box office that IMAX Systems captured in 2022 increased by 50% domestically and 33% internationally from 2019.</w:t>
      </w:r>
      <w:r>
        <w:rPr>
          <w:rFonts w:ascii="Times New Roman" w:hAnsi="Times New Roman"/>
          <w:sz w:val="20"/>
        </w:rPr>
        <w:t xml:space="preserve"> </w:t>
      </w:r>
    </w:p>
    <w:p>
      <w:pPr>
        <w:pStyle w:val="TextBody"/>
        <w:spacing w:before="200" w:after="0"/>
        <w:jc w:val="both"/>
        <w:rPr>
          <w:rFonts w:ascii="Times New Roman" w:hAnsi="Times New Roman"/>
          <w:sz w:val="20"/>
        </w:rPr>
      </w:pPr>
      <w:r>
        <w:rPr>
          <w:rFonts w:ascii="Times New Roman;serif" w:hAnsi="Times New Roman;serif"/>
          <w:b w:val="false"/>
          <w:sz w:val="20"/>
        </w:rPr>
        <w:t xml:space="preserve">In addition to the level of revenues, Content Solutions segment gross margin is also influenced by the costs associated with the films and other content exhibited in the period, and can vary from period-to-period, especially with respect to marketing expenses for films and the costs incurred to produce, market and distribute live events and documentary content during the period. For the three months ended March 31, 2023, marketing expenses for films were $6.4 million, as compared to $2.3 million during the same period in 2022, primarily driven by marketing costs for </w:t>
      </w:r>
      <w:r>
        <w:rPr>
          <w:rFonts w:ascii="Times New Roman;serif" w:hAnsi="Times New Roman;serif"/>
          <w:b w:val="false"/>
          <w:i/>
          <w:sz w:val="20"/>
        </w:rPr>
        <w:t>Avatar: The Way of Water</w:t>
      </w:r>
      <w:r>
        <w:rPr>
          <w:rFonts w:ascii="Times New Roman;serif" w:hAnsi="Times New Roman;serif"/>
          <w:b w:val="false"/>
          <w:sz w:val="20"/>
        </w:rPr>
        <w:t>. The costs incurred to operate the IMAX connected network, including infrastructure costs, depreciation expense and network connection fees were $1.6 million (2022 — $0.4 million), an increase over the prior year comparative period of $1.2 million resulting from the growth of the IMAX connected network to 258 systems (2022 — 68 systems).</w:t>
      </w:r>
    </w:p>
    <w:p>
      <w:pPr>
        <w:pStyle w:val="TextBody"/>
        <w:spacing w:before="240" w:after="0"/>
        <w:jc w:val="center"/>
        <w:rPr>
          <w:rFonts w:ascii="Times New Roman;serif" w:hAnsi="Times New Roman;serif"/>
          <w:b w:val="false"/>
          <w:sz w:val="20"/>
        </w:rPr>
      </w:pPr>
      <w:r>
        <w:rPr>
          <w:rFonts w:ascii="Times New Roman;serif" w:hAnsi="Times New Roman;serif"/>
          <w:b w:val="false"/>
          <w:sz w:val="20"/>
        </w:rPr>
        <w:t>54</w:t>
      </w:r>
    </w:p>
    <w:p>
      <w:pPr>
        <w:pStyle w:val="HorizontalLine"/>
        <w:rPr/>
      </w:pPr>
      <w:r>
        <w:rPr/>
      </w:r>
    </w:p>
    <w:p>
      <w:pPr>
        <w:pStyle w:val="TextBody"/>
        <w:spacing w:before="0" w:after="0"/>
        <w:jc w:val="left"/>
        <w:rPr/>
      </w:pPr>
      <w:r>
        <w:rPr/>
        <w:t> </w:t>
      </w:r>
    </w:p>
    <w:p>
      <w:pPr>
        <w:pStyle w:val="TextBody"/>
        <w:spacing w:before="200" w:after="0"/>
        <w:jc w:val="both"/>
        <w:rPr>
          <w:rFonts w:ascii="Times New Roman;serif" w:hAnsi="Times New Roman;serif"/>
          <w:b/>
          <w:i/>
          <w:sz w:val="20"/>
        </w:rPr>
      </w:pPr>
      <w:r>
        <w:rPr>
          <w:rFonts w:ascii="Times New Roman;serif" w:hAnsi="Times New Roman;serif"/>
          <w:b/>
          <w:i/>
          <w:sz w:val="20"/>
        </w:rPr>
        <w:t>Technology Products and Services</w:t>
      </w:r>
    </w:p>
    <w:p>
      <w:pPr>
        <w:pStyle w:val="TextBody"/>
        <w:spacing w:before="200" w:after="0"/>
        <w:jc w:val="both"/>
        <w:rPr>
          <w:rFonts w:ascii="Times New Roman;serif" w:hAnsi="Times New Roman;serif"/>
          <w:b w:val="false"/>
          <w:sz w:val="20"/>
        </w:rPr>
      </w:pPr>
      <w:r>
        <w:rPr>
          <w:rFonts w:ascii="Times New Roman;serif" w:hAnsi="Times New Roman;serif"/>
          <w:b w:val="false"/>
          <w:sz w:val="20"/>
        </w:rPr>
        <w:t>The primary drivers of Technology Products and Services segment results are the number of IMAX Systems installed in a period, the costs associated with each installation, lease payments tied to the box office performance of the films released to the IMAX network, as well as the associated maintenance contracts that accompany each installation. The average revenue and gross margin per IMAX System under sale and sales-type lease arrangements varies depending upon the number of IMAX System commitments with a single respective exhibitor, an exhibitor’s location, the type of system sold and various other factors. The installation of IMAX Systems in newly built theaters or multiplexes, which make up a large portion of the Company’s system backlog, depends primarily on the timing of the construction of those projects, which is not under the Company’s control.</w:t>
      </w:r>
    </w:p>
    <w:p>
      <w:pPr>
        <w:pStyle w:val="TextBody"/>
        <w:spacing w:before="200" w:after="0"/>
        <w:jc w:val="both"/>
        <w:rPr>
          <w:rFonts w:ascii="Times New Roman;serif" w:hAnsi="Times New Roman;serif"/>
          <w:b w:val="false"/>
          <w:sz w:val="20"/>
        </w:rPr>
      </w:pPr>
      <w:r>
        <w:rPr>
          <w:rFonts w:ascii="Times New Roman;serif" w:hAnsi="Times New Roman;serif"/>
          <w:b w:val="false"/>
          <w:sz w:val="20"/>
        </w:rPr>
        <w:t>For the three months ended March 31, 2023, Technology Products and Services segment revenue and gross margin increased by $13.8 million, or 36%, and $11.5 million, or 62%, respectively, when compared to the same period in the prior year. Box office from joint revenue sharing arrangements increased $48.9 million in the first quarter of 2023 when compared to the prior year comparative period, from $92.8 million to $141.7 million. The box office performance increase of 53% over the prior period resulted in an increase of $7.4 million in rental revenues. Also contributing to the higher level of revenue was an increase of $5.5 million in revenue from the renewal of existing IMAX system arrangements and an increase of $1.5 million in revenue from after-market sales of IMAX 3D glasses when compared to the same period in the prior year. The Technology Products and Services segment revenue increase is partially offset by a decrease of $1.5 million in maintenance revenues primarily due to temporary relief to select exhibitor customers by waving or reducing maintenance fees related to periods when theaters were closed or operating with reduced capacities as a result of public health restrictions related to the COVID-19 pandemic.</w:t>
      </w:r>
    </w:p>
    <w:p>
      <w:pPr>
        <w:pStyle w:val="TextBody"/>
        <w:spacing w:before="200" w:after="0"/>
        <w:jc w:val="both"/>
        <w:rPr>
          <w:rFonts w:ascii="Times New Roman;serif" w:hAnsi="Times New Roman;serif"/>
          <w:b w:val="false"/>
          <w:sz w:val="20"/>
        </w:rPr>
      </w:pPr>
      <w:r>
        <w:rPr>
          <w:rFonts w:ascii="Times New Roman;serif" w:hAnsi="Times New Roman;serif"/>
          <w:b w:val="false"/>
          <w:sz w:val="20"/>
        </w:rPr>
        <w:t>The Technology Products and Services segment gross margin increase during the three months ended March 31, 2023 is primarily due to the renewal of certain existing IMAX Systems which extended the agreement term, as well as higher rental revenues from the Company's joint revenue sharing arrangements, driven by the stronger box office performance which led to incremental profit flow-through during the quarter.</w:t>
      </w:r>
    </w:p>
    <w:p>
      <w:pPr>
        <w:pStyle w:val="TextBody"/>
        <w:spacing w:before="200" w:after="0"/>
        <w:jc w:val="both"/>
        <w:rPr>
          <w:rFonts w:ascii="Times New Roman" w:hAnsi="Times New Roman"/>
          <w:sz w:val="20"/>
        </w:rPr>
      </w:pPr>
      <w:r>
        <w:rPr>
          <w:rFonts w:ascii="Times New Roman;serif" w:hAnsi="Times New Roman;serif"/>
          <w:b w:val="false"/>
          <w:sz w:val="20"/>
        </w:rPr>
        <w:t>The following table provides information about IMAX Systems installed and recognized, under sales, sales-type leases and hybrid joint revenue sharing arrangements, during the three months ended March 31, 2023 and 2022:</w:t>
      </w:r>
      <w:r>
        <w:rPr>
          <w:rFonts w:ascii="Times New Roman" w:hAnsi="Times New Roman"/>
          <w:sz w:val="20"/>
        </w:rPr>
        <w:t xml:space="preserve"> </w:t>
      </w:r>
    </w:p>
    <w:p>
      <w:pPr>
        <w:pStyle w:val="TextBody"/>
        <w:spacing w:before="0" w:after="0"/>
        <w:jc w:val="both"/>
        <w:rPr/>
      </w:pPr>
      <w:r>
        <w:rPr/>
        <w:t> </w:t>
      </w:r>
    </w:p>
    <w:tbl>
      <w:tblPr>
        <w:tblW w:w="8783" w:type="dxa"/>
        <w:jc w:val="left"/>
        <w:tblInd w:w="0" w:type="dxa"/>
        <w:tblCellMar>
          <w:top w:w="28" w:type="dxa"/>
          <w:left w:w="28" w:type="dxa"/>
          <w:bottom w:w="28" w:type="dxa"/>
          <w:right w:w="28" w:type="dxa"/>
        </w:tblCellMar>
      </w:tblPr>
      <w:tblGrid>
        <w:gridCol w:w="4036"/>
        <w:gridCol w:w="146"/>
        <w:gridCol w:w="262"/>
        <w:gridCol w:w="623"/>
        <w:gridCol w:w="146"/>
        <w:gridCol w:w="146"/>
        <w:gridCol w:w="211"/>
        <w:gridCol w:w="571"/>
        <w:gridCol w:w="146"/>
        <w:gridCol w:w="146"/>
        <w:gridCol w:w="361"/>
        <w:gridCol w:w="524"/>
        <w:gridCol w:w="146"/>
        <w:gridCol w:w="146"/>
        <w:gridCol w:w="211"/>
        <w:gridCol w:w="571"/>
        <w:gridCol w:w="391"/>
      </w:tblGrid>
      <w:tr>
        <w:trPr/>
        <w:tc>
          <w:tcPr>
            <w:tcW w:w="403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62" w:type="dxa"/>
            <w:tcBorders/>
            <w:shd w:fill="auto" w:val="clear"/>
            <w:vAlign w:val="center"/>
          </w:tcPr>
          <w:p>
            <w:pPr>
              <w:pStyle w:val="TableContents"/>
              <w:spacing w:before="0" w:after="283"/>
              <w:rPr>
                <w:sz w:val="4"/>
                <w:szCs w:val="4"/>
              </w:rPr>
            </w:pPr>
            <w:r>
              <w:rPr>
                <w:sz w:val="4"/>
                <w:szCs w:val="4"/>
              </w:rPr>
            </w:r>
          </w:p>
        </w:tc>
        <w:tc>
          <w:tcPr>
            <w:tcW w:w="623"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571"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361" w:type="dxa"/>
            <w:tcBorders/>
            <w:shd w:fill="auto" w:val="clear"/>
            <w:vAlign w:val="center"/>
          </w:tcPr>
          <w:p>
            <w:pPr>
              <w:pStyle w:val="TableContents"/>
              <w:spacing w:before="0" w:after="283"/>
              <w:rPr>
                <w:sz w:val="4"/>
                <w:szCs w:val="4"/>
              </w:rPr>
            </w:pPr>
            <w:r>
              <w:rPr>
                <w:sz w:val="4"/>
                <w:szCs w:val="4"/>
              </w:rPr>
            </w:r>
          </w:p>
        </w:tc>
        <w:tc>
          <w:tcPr>
            <w:tcW w:w="524"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571" w:type="dxa"/>
            <w:tcBorders/>
            <w:shd w:fill="auto" w:val="clear"/>
            <w:vAlign w:val="center"/>
          </w:tcPr>
          <w:p>
            <w:pPr>
              <w:pStyle w:val="TableContents"/>
              <w:spacing w:before="0" w:after="283"/>
              <w:rPr>
                <w:sz w:val="4"/>
                <w:szCs w:val="4"/>
              </w:rPr>
            </w:pPr>
            <w:r>
              <w:rPr>
                <w:sz w:val="4"/>
                <w:szCs w:val="4"/>
              </w:rPr>
            </w:r>
          </w:p>
        </w:tc>
        <w:tc>
          <w:tcPr>
            <w:tcW w:w="391" w:type="dxa"/>
            <w:tcBorders/>
            <w:shd w:fill="auto" w:val="clear"/>
            <w:vAlign w:val="center"/>
          </w:tcPr>
          <w:p>
            <w:pPr>
              <w:pStyle w:val="TableContents"/>
              <w:spacing w:before="0" w:after="283"/>
              <w:rPr>
                <w:sz w:val="4"/>
                <w:szCs w:val="4"/>
              </w:rPr>
            </w:pPr>
            <w:r>
              <w:rPr>
                <w:sz w:val="4"/>
                <w:szCs w:val="4"/>
              </w:rPr>
            </w:r>
          </w:p>
        </w:tc>
      </w:tr>
      <w:tr>
        <w:trPr/>
        <w:tc>
          <w:tcPr>
            <w:tcW w:w="4036"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4210" w:type="dxa"/>
            <w:gridSpan w:val="14"/>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For the Three Months Ended March 31,</w:t>
            </w:r>
          </w:p>
        </w:tc>
        <w:tc>
          <w:tcPr>
            <w:tcW w:w="3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4036"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959" w:type="dxa"/>
            <w:gridSpan w:val="6"/>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2023</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959" w:type="dxa"/>
            <w:gridSpan w:val="6"/>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2022</w:t>
            </w:r>
          </w:p>
        </w:tc>
        <w:tc>
          <w:tcPr>
            <w:tcW w:w="3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4036" w:type="dxa"/>
            <w:tcBorders/>
            <w:shd w:fill="auto" w:val="clear"/>
            <w:vAlign w:val="center"/>
          </w:tcPr>
          <w:p>
            <w:pPr>
              <w:pStyle w:val="TableContents"/>
              <w:spacing w:before="0" w:after="0"/>
              <w:ind w:left="0" w:right="0" w:hanging="0"/>
              <w:jc w:val="left"/>
              <w:rPr>
                <w:rFonts w:ascii="Times New Roman;serif" w:hAnsi="Times New Roman;serif"/>
                <w:b w:val="false"/>
                <w:i/>
                <w:sz w:val="16"/>
              </w:rPr>
            </w:pPr>
            <w:r>
              <w:rPr>
                <w:rFonts w:ascii="Times New Roman;serif" w:hAnsi="Times New Roman;serif"/>
                <w:b w:val="false"/>
                <w:i/>
                <w:sz w:val="16"/>
              </w:rPr>
              <w:t>(In thousands of U.S. Dollars, except number of systems)</w:t>
            </w:r>
          </w:p>
        </w:tc>
        <w:tc>
          <w:tcPr>
            <w:tcW w:w="146" w:type="dxa"/>
            <w:tcBorders/>
            <w:shd w:fill="auto" w:val="clear"/>
            <w:vAlign w:val="center"/>
          </w:tcPr>
          <w:p>
            <w:pPr>
              <w:pStyle w:val="TableContents"/>
              <w:spacing w:before="0" w:after="0"/>
              <w:ind w:left="0" w:right="0" w:hanging="0"/>
              <w:jc w:val="left"/>
              <w:rPr/>
            </w:pPr>
            <w:r>
              <w:rPr/>
              <w:t> </w:t>
            </w:r>
          </w:p>
        </w:tc>
        <w:tc>
          <w:tcPr>
            <w:tcW w:w="885"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Number of</w:t>
              <w:br/>
              <w:t>Systems</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782"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Revenue</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885"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Number of</w:t>
              <w:br/>
              <w:t>Systems</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782"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Revenue</w:t>
            </w:r>
          </w:p>
        </w:tc>
        <w:tc>
          <w:tcPr>
            <w:tcW w:w="3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403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New IMAX Systems:</w:t>
            </w:r>
          </w:p>
        </w:tc>
        <w:tc>
          <w:tcPr>
            <w:tcW w:w="146" w:type="dxa"/>
            <w:tcBorders/>
            <w:shd w:fill="auto" w:val="clear"/>
            <w:vAlign w:val="center"/>
          </w:tcPr>
          <w:p>
            <w:pPr>
              <w:pStyle w:val="TableContents"/>
              <w:spacing w:before="0" w:after="0"/>
              <w:ind w:left="0" w:right="0" w:hanging="0"/>
              <w:jc w:val="left"/>
              <w:rPr/>
            </w:pPr>
            <w:r>
              <w:rPr/>
              <w:t> </w:t>
            </w:r>
          </w:p>
        </w:tc>
        <w:tc>
          <w:tcPr>
            <w:tcW w:w="885" w:type="dxa"/>
            <w:gridSpan w:val="2"/>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782" w:type="dxa"/>
            <w:gridSpan w:val="2"/>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885" w:type="dxa"/>
            <w:gridSpan w:val="2"/>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782" w:type="dxa"/>
            <w:gridSpan w:val="2"/>
            <w:tcBorders/>
            <w:shd w:fill="auto" w:val="clear"/>
            <w:vAlign w:val="center"/>
          </w:tcPr>
          <w:p>
            <w:pPr>
              <w:pStyle w:val="TableContents"/>
              <w:spacing w:before="0" w:after="0"/>
              <w:ind w:left="0" w:right="0" w:hanging="0"/>
              <w:jc w:val="right"/>
              <w:rPr/>
            </w:pPr>
            <w:r>
              <w:rPr/>
              <w:t> </w:t>
            </w:r>
          </w:p>
        </w:tc>
        <w:tc>
          <w:tcPr>
            <w:tcW w:w="391" w:type="dxa"/>
            <w:tcBorders/>
            <w:shd w:fill="auto" w:val="clear"/>
            <w:vAlign w:val="center"/>
          </w:tcPr>
          <w:p>
            <w:pPr>
              <w:pStyle w:val="TableContents"/>
              <w:spacing w:before="0" w:after="0"/>
              <w:ind w:left="0" w:right="0" w:firstLine="200"/>
              <w:jc w:val="right"/>
              <w:rPr/>
            </w:pPr>
            <w:r>
              <w:rPr/>
              <w:t> </w:t>
            </w:r>
          </w:p>
        </w:tc>
      </w:tr>
      <w:tr>
        <w:trPr/>
        <w:tc>
          <w:tcPr>
            <w:tcW w:w="4036" w:type="dxa"/>
            <w:tcBorders/>
            <w:shd w:fill="auto" w:val="clear"/>
            <w:vAlign w:val="center"/>
          </w:tcPr>
          <w:p>
            <w:pPr>
              <w:pStyle w:val="TableContents"/>
              <w:spacing w:before="0" w:after="0"/>
              <w:ind w:left="200" w:right="0" w:hanging="0"/>
              <w:jc w:val="left"/>
              <w:rPr>
                <w:rFonts w:ascii="Times New Roman" w:hAnsi="Times New Roman"/>
                <w:sz w:val="20"/>
              </w:rPr>
            </w:pPr>
            <w:r>
              <w:rPr>
                <w:rFonts w:ascii="Times New Roman;serif" w:hAnsi="Times New Roman;serif"/>
                <w:b w:val="false"/>
                <w:sz w:val="20"/>
              </w:rPr>
              <w:t>Sale and sales-type lease arrangements</w:t>
            </w:r>
            <w:r>
              <w:rPr>
                <w:rFonts w:ascii="Times New Roman;serif" w:hAnsi="Times New Roman;serif"/>
                <w:b w:val="false"/>
                <w:sz w:val="13"/>
              </w:rPr>
              <w:t>(1)</w:t>
            </w:r>
          </w:p>
        </w:tc>
        <w:tc>
          <w:tcPr>
            <w:tcW w:w="146" w:type="dxa"/>
            <w:tcBorders/>
            <w:shd w:fill="auto" w:val="clear"/>
            <w:vAlign w:val="center"/>
          </w:tcPr>
          <w:p>
            <w:pPr>
              <w:pStyle w:val="TableContents"/>
              <w:spacing w:before="0" w:after="0"/>
              <w:ind w:left="0" w:right="0" w:hanging="0"/>
              <w:jc w:val="left"/>
              <w:rPr/>
            </w:pPr>
            <w:r>
              <w:rPr/>
              <w:t> </w:t>
            </w:r>
          </w:p>
        </w:tc>
        <w:tc>
          <w:tcPr>
            <w:tcW w:w="262" w:type="dxa"/>
            <w:tcBorders/>
            <w:shd w:fill="auto" w:val="clear"/>
            <w:vAlign w:val="center"/>
          </w:tcPr>
          <w:p>
            <w:pPr>
              <w:pStyle w:val="TableContents"/>
              <w:spacing w:before="0" w:after="0"/>
              <w:ind w:left="0" w:right="0" w:hanging="0"/>
              <w:jc w:val="left"/>
              <w:rPr/>
            </w:pPr>
            <w:r>
              <w:rPr/>
              <w:t> </w:t>
            </w:r>
          </w:p>
        </w:tc>
        <w:tc>
          <w:tcPr>
            <w:tcW w:w="623"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7</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57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6,627</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361" w:type="dxa"/>
            <w:tcBorders/>
            <w:shd w:fill="auto" w:val="clear"/>
            <w:vAlign w:val="center"/>
          </w:tcPr>
          <w:p>
            <w:pPr>
              <w:pStyle w:val="TableContents"/>
              <w:spacing w:before="0" w:after="0"/>
              <w:ind w:left="0" w:right="0" w:hanging="0"/>
              <w:jc w:val="left"/>
              <w:rPr/>
            </w:pPr>
            <w:r>
              <w:rPr/>
              <w:t> </w:t>
            </w:r>
          </w:p>
        </w:tc>
        <w:tc>
          <w:tcPr>
            <w:tcW w:w="524"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4</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57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4,747</w:t>
            </w:r>
          </w:p>
        </w:tc>
        <w:tc>
          <w:tcPr>
            <w:tcW w:w="391" w:type="dxa"/>
            <w:tcBorders/>
            <w:shd w:fill="auto" w:val="clear"/>
            <w:vAlign w:val="center"/>
          </w:tcPr>
          <w:p>
            <w:pPr>
              <w:pStyle w:val="TableContents"/>
              <w:spacing w:before="0" w:after="0"/>
              <w:ind w:left="0" w:right="0" w:firstLine="200"/>
              <w:jc w:val="left"/>
              <w:rPr/>
            </w:pPr>
            <w:r>
              <w:rPr/>
              <w:t> </w:t>
            </w:r>
          </w:p>
        </w:tc>
      </w:tr>
      <w:tr>
        <w:trPr/>
        <w:tc>
          <w:tcPr>
            <w:tcW w:w="4036" w:type="dxa"/>
            <w:tcBorders/>
            <w:shd w:fill="auto" w:val="clear"/>
            <w:vAlign w:val="center"/>
          </w:tcPr>
          <w:p>
            <w:pPr>
              <w:pStyle w:val="TableContents"/>
              <w:spacing w:before="0" w:after="0"/>
              <w:ind w:left="200" w:right="0" w:hanging="0"/>
              <w:jc w:val="left"/>
              <w:rPr>
                <w:rFonts w:ascii="Times New Roman;serif" w:hAnsi="Times New Roman;serif"/>
                <w:b w:val="false"/>
                <w:sz w:val="20"/>
              </w:rPr>
            </w:pPr>
            <w:r>
              <w:rPr>
                <w:rFonts w:ascii="Times New Roman;serif" w:hAnsi="Times New Roman;serif"/>
                <w:b w:val="false"/>
                <w:sz w:val="20"/>
              </w:rPr>
              <w:t>JRSA — hybrid</w:t>
            </w:r>
          </w:p>
        </w:tc>
        <w:tc>
          <w:tcPr>
            <w:tcW w:w="146" w:type="dxa"/>
            <w:tcBorders/>
            <w:shd w:fill="auto" w:val="clear"/>
            <w:vAlign w:val="center"/>
          </w:tcPr>
          <w:p>
            <w:pPr>
              <w:pStyle w:val="TableContents"/>
              <w:spacing w:before="0" w:after="0"/>
              <w:ind w:left="0" w:right="0" w:hanging="0"/>
              <w:jc w:val="left"/>
              <w:rPr/>
            </w:pPr>
            <w:r>
              <w:rPr/>
              <w:t> </w:t>
            </w:r>
          </w:p>
        </w:tc>
        <w:tc>
          <w:tcPr>
            <w:tcW w:w="262"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623"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pPr>
            <w:r>
              <w:rPr/>
              <w:t>—</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57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pPr>
            <w:r>
              <w:rPr/>
              <w:t>—</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36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524"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57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1,014</w:t>
            </w:r>
          </w:p>
        </w:tc>
        <w:tc>
          <w:tcPr>
            <w:tcW w:w="3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firstLine="200"/>
              <w:jc w:val="left"/>
              <w:rPr/>
            </w:pPr>
            <w:r>
              <w:rPr/>
              <w:t> </w:t>
            </w:r>
          </w:p>
        </w:tc>
      </w:tr>
      <w:tr>
        <w:trPr/>
        <w:tc>
          <w:tcPr>
            <w:tcW w:w="4036" w:type="dxa"/>
            <w:tcBorders/>
            <w:shd w:fill="auto" w:val="clear"/>
            <w:vAlign w:val="center"/>
          </w:tcPr>
          <w:p>
            <w:pPr>
              <w:pStyle w:val="TableContents"/>
              <w:spacing w:before="0" w:after="0"/>
              <w:ind w:left="200" w:right="0" w:hanging="0"/>
              <w:jc w:val="left"/>
              <w:rPr>
                <w:rFonts w:ascii="Times New Roman;serif" w:hAnsi="Times New Roman;serif"/>
                <w:b w:val="false"/>
                <w:sz w:val="20"/>
              </w:rPr>
            </w:pPr>
            <w:r>
              <w:rPr>
                <w:rFonts w:ascii="Times New Roman;serif" w:hAnsi="Times New Roman;serif"/>
                <w:b w:val="false"/>
                <w:sz w:val="20"/>
              </w:rPr>
              <w:t>Total new IMAX Systems</w:t>
            </w:r>
          </w:p>
        </w:tc>
        <w:tc>
          <w:tcPr>
            <w:tcW w:w="146" w:type="dxa"/>
            <w:tcBorders/>
            <w:shd w:fill="auto" w:val="clear"/>
            <w:vAlign w:val="center"/>
          </w:tcPr>
          <w:p>
            <w:pPr>
              <w:pStyle w:val="TableContents"/>
              <w:spacing w:before="0" w:after="0"/>
              <w:ind w:left="0" w:right="0" w:hanging="0"/>
              <w:jc w:val="left"/>
              <w:rPr/>
            </w:pPr>
            <w:r>
              <w:rPr/>
              <w:t> </w:t>
            </w:r>
          </w:p>
        </w:tc>
        <w:tc>
          <w:tcPr>
            <w:tcW w:w="262"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623"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7</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57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6,627</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36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524"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6</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57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5,761</w:t>
            </w:r>
          </w:p>
        </w:tc>
        <w:tc>
          <w:tcPr>
            <w:tcW w:w="3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r>
        <w:trPr/>
        <w:tc>
          <w:tcPr>
            <w:tcW w:w="4036" w:type="dxa"/>
            <w:tcBorders/>
            <w:shd w:fill="auto" w:val="clear"/>
            <w:vAlign w:val="center"/>
          </w:tcPr>
          <w:p>
            <w:pPr>
              <w:pStyle w:val="TableContents"/>
              <w:spacing w:before="0" w:after="283"/>
              <w:ind w:left="0" w:right="0" w:hanging="0"/>
              <w:rPr>
                <w:sz w:val="4"/>
                <w:szCs w:val="4"/>
              </w:rPr>
            </w:pPr>
            <w:r>
              <w:rPr>
                <w:sz w:val="4"/>
                <w:szCs w:val="4"/>
              </w:rPr>
            </w:r>
          </w:p>
        </w:tc>
        <w:tc>
          <w:tcPr>
            <w:tcW w:w="146" w:type="dxa"/>
            <w:tcBorders/>
            <w:shd w:fill="auto" w:val="clear"/>
            <w:vAlign w:val="center"/>
          </w:tcPr>
          <w:p>
            <w:pPr>
              <w:pStyle w:val="TableContents"/>
              <w:spacing w:before="0" w:after="0"/>
              <w:ind w:left="0" w:right="0" w:hanging="0"/>
              <w:jc w:val="left"/>
              <w:rPr/>
            </w:pPr>
            <w:r>
              <w:rPr/>
              <w:t> </w:t>
            </w:r>
          </w:p>
        </w:tc>
        <w:tc>
          <w:tcPr>
            <w:tcW w:w="885" w:type="dxa"/>
            <w:gridSpan w:val="2"/>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782" w:type="dxa"/>
            <w:gridSpan w:val="2"/>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885" w:type="dxa"/>
            <w:gridSpan w:val="2"/>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782" w:type="dxa"/>
            <w:gridSpan w:val="2"/>
            <w:tcBorders/>
            <w:shd w:fill="auto" w:val="clear"/>
            <w:vAlign w:val="center"/>
          </w:tcPr>
          <w:p>
            <w:pPr>
              <w:pStyle w:val="TableContents"/>
              <w:spacing w:before="0" w:after="0"/>
              <w:ind w:left="0" w:right="0" w:hanging="0"/>
              <w:jc w:val="right"/>
              <w:rPr/>
            </w:pPr>
            <w:r>
              <w:rPr/>
              <w:t> </w:t>
            </w:r>
          </w:p>
        </w:tc>
        <w:tc>
          <w:tcPr>
            <w:tcW w:w="391" w:type="dxa"/>
            <w:tcBorders/>
            <w:shd w:fill="auto" w:val="clear"/>
            <w:vAlign w:val="center"/>
          </w:tcPr>
          <w:p>
            <w:pPr>
              <w:pStyle w:val="TableContents"/>
              <w:spacing w:before="0" w:after="0"/>
              <w:ind w:left="0" w:right="0" w:hanging="0"/>
              <w:jc w:val="right"/>
              <w:rPr/>
            </w:pPr>
            <w:r>
              <w:rPr/>
              <w:t> </w:t>
            </w:r>
          </w:p>
        </w:tc>
      </w:tr>
      <w:tr>
        <w:trPr/>
        <w:tc>
          <w:tcPr>
            <w:tcW w:w="403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IMAX System upgrades:</w:t>
            </w:r>
          </w:p>
        </w:tc>
        <w:tc>
          <w:tcPr>
            <w:tcW w:w="146" w:type="dxa"/>
            <w:tcBorders/>
            <w:shd w:fill="auto" w:val="clear"/>
            <w:vAlign w:val="center"/>
          </w:tcPr>
          <w:p>
            <w:pPr>
              <w:pStyle w:val="TableContents"/>
              <w:spacing w:before="0" w:after="0"/>
              <w:ind w:left="0" w:right="0" w:hanging="0"/>
              <w:jc w:val="left"/>
              <w:rPr/>
            </w:pPr>
            <w:r>
              <w:rPr/>
              <w:t> </w:t>
            </w:r>
          </w:p>
        </w:tc>
        <w:tc>
          <w:tcPr>
            <w:tcW w:w="885" w:type="dxa"/>
            <w:gridSpan w:val="2"/>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782" w:type="dxa"/>
            <w:gridSpan w:val="2"/>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885" w:type="dxa"/>
            <w:gridSpan w:val="2"/>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782" w:type="dxa"/>
            <w:gridSpan w:val="2"/>
            <w:tcBorders/>
            <w:shd w:fill="auto" w:val="clear"/>
            <w:vAlign w:val="center"/>
          </w:tcPr>
          <w:p>
            <w:pPr>
              <w:pStyle w:val="TableContents"/>
              <w:spacing w:before="0" w:after="0"/>
              <w:ind w:left="0" w:right="0" w:hanging="0"/>
              <w:jc w:val="right"/>
              <w:rPr/>
            </w:pPr>
            <w:r>
              <w:rPr/>
              <w:t> </w:t>
            </w:r>
          </w:p>
        </w:tc>
        <w:tc>
          <w:tcPr>
            <w:tcW w:w="391" w:type="dxa"/>
            <w:tcBorders/>
            <w:shd w:fill="auto" w:val="clear"/>
            <w:vAlign w:val="center"/>
          </w:tcPr>
          <w:p>
            <w:pPr>
              <w:pStyle w:val="TableContents"/>
              <w:spacing w:before="0" w:after="0"/>
              <w:ind w:left="0" w:right="0" w:firstLine="200"/>
              <w:jc w:val="right"/>
              <w:rPr/>
            </w:pPr>
            <w:r>
              <w:rPr/>
              <w:t> </w:t>
            </w:r>
          </w:p>
        </w:tc>
      </w:tr>
      <w:tr>
        <w:trPr/>
        <w:tc>
          <w:tcPr>
            <w:tcW w:w="4036" w:type="dxa"/>
            <w:tcBorders/>
            <w:shd w:fill="auto" w:val="clear"/>
            <w:vAlign w:val="center"/>
          </w:tcPr>
          <w:p>
            <w:pPr>
              <w:pStyle w:val="TableContents"/>
              <w:spacing w:before="0" w:after="0"/>
              <w:ind w:left="200" w:right="0" w:hanging="0"/>
              <w:jc w:val="left"/>
              <w:rPr>
                <w:rFonts w:ascii="Times New Roman" w:hAnsi="Times New Roman"/>
                <w:sz w:val="20"/>
              </w:rPr>
            </w:pPr>
            <w:r>
              <w:rPr>
                <w:rFonts w:ascii="Times New Roman;serif" w:hAnsi="Times New Roman;serif"/>
                <w:b w:val="false"/>
                <w:sz w:val="20"/>
              </w:rPr>
              <w:t>Sale and sales-type lease arrangements</w:t>
            </w:r>
            <w:r>
              <w:rPr>
                <w:rFonts w:ascii="Times New Roman;serif" w:hAnsi="Times New Roman;serif"/>
                <w:b w:val="false"/>
                <w:sz w:val="13"/>
              </w:rPr>
              <w:t>(1)</w:t>
            </w:r>
          </w:p>
        </w:tc>
        <w:tc>
          <w:tcPr>
            <w:tcW w:w="146" w:type="dxa"/>
            <w:tcBorders/>
            <w:shd w:fill="auto" w:val="clear"/>
            <w:vAlign w:val="center"/>
          </w:tcPr>
          <w:p>
            <w:pPr>
              <w:pStyle w:val="TableContents"/>
              <w:spacing w:before="0" w:after="0"/>
              <w:ind w:left="0" w:right="0" w:hanging="0"/>
              <w:jc w:val="left"/>
              <w:rPr/>
            </w:pPr>
            <w:r>
              <w:rPr/>
              <w:t> </w:t>
            </w:r>
          </w:p>
        </w:tc>
        <w:tc>
          <w:tcPr>
            <w:tcW w:w="262"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623"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57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1,339</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36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524"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57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1,673</w:t>
            </w:r>
          </w:p>
        </w:tc>
        <w:tc>
          <w:tcPr>
            <w:tcW w:w="3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firstLine="200"/>
              <w:jc w:val="left"/>
              <w:rPr/>
            </w:pPr>
            <w:r>
              <w:rPr/>
              <w:t> </w:t>
            </w:r>
          </w:p>
        </w:tc>
      </w:tr>
      <w:tr>
        <w:trPr/>
        <w:tc>
          <w:tcPr>
            <w:tcW w:w="4036" w:type="dxa"/>
            <w:tcBorders/>
            <w:shd w:fill="auto" w:val="clear"/>
            <w:vAlign w:val="center"/>
          </w:tcPr>
          <w:p>
            <w:pPr>
              <w:pStyle w:val="TableContents"/>
              <w:spacing w:before="0" w:after="0"/>
              <w:ind w:left="200" w:right="0" w:hanging="0"/>
              <w:jc w:val="left"/>
              <w:rPr>
                <w:rFonts w:ascii="Times New Roman;serif" w:hAnsi="Times New Roman;serif"/>
                <w:b w:val="false"/>
                <w:sz w:val="20"/>
              </w:rPr>
            </w:pPr>
            <w:r>
              <w:rPr>
                <w:rFonts w:ascii="Times New Roman;serif" w:hAnsi="Times New Roman;serif"/>
                <w:b w:val="false"/>
                <w:sz w:val="20"/>
              </w:rPr>
              <w:t>Total upgraded IMAX Systems</w:t>
            </w:r>
          </w:p>
        </w:tc>
        <w:tc>
          <w:tcPr>
            <w:tcW w:w="146" w:type="dxa"/>
            <w:tcBorders/>
            <w:shd w:fill="auto" w:val="clear"/>
            <w:vAlign w:val="center"/>
          </w:tcPr>
          <w:p>
            <w:pPr>
              <w:pStyle w:val="TableContents"/>
              <w:spacing w:before="0" w:after="0"/>
              <w:ind w:left="0" w:right="0" w:hanging="0"/>
              <w:jc w:val="left"/>
              <w:rPr/>
            </w:pPr>
            <w:r>
              <w:rPr/>
              <w:t> </w:t>
            </w:r>
          </w:p>
        </w:tc>
        <w:tc>
          <w:tcPr>
            <w:tcW w:w="262"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623"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57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1,339</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36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524"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57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1,673</w:t>
            </w:r>
          </w:p>
        </w:tc>
        <w:tc>
          <w:tcPr>
            <w:tcW w:w="3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r>
        <w:trPr/>
        <w:tc>
          <w:tcPr>
            <w:tcW w:w="403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Total</w:t>
            </w:r>
          </w:p>
        </w:tc>
        <w:tc>
          <w:tcPr>
            <w:tcW w:w="146" w:type="dxa"/>
            <w:tcBorders/>
            <w:shd w:fill="auto" w:val="clear"/>
            <w:vAlign w:val="center"/>
          </w:tcPr>
          <w:p>
            <w:pPr>
              <w:pStyle w:val="TableContents"/>
              <w:spacing w:before="0" w:after="0"/>
              <w:ind w:left="0" w:right="0" w:hanging="0"/>
              <w:jc w:val="left"/>
              <w:rPr/>
            </w:pPr>
            <w:r>
              <w:rPr/>
              <w:t> </w:t>
            </w:r>
          </w:p>
        </w:tc>
        <w:tc>
          <w:tcPr>
            <w:tcW w:w="262"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623"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8</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21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57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7,965</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36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524"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7</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21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57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7,434</w:t>
            </w:r>
          </w:p>
        </w:tc>
        <w:tc>
          <w:tcPr>
            <w:tcW w:w="39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bl>
    <w:p>
      <w:pPr>
        <w:pStyle w:val="TextBody"/>
        <w:pBdr>
          <w:bottom w:val="single" w:sz="4" w:space="1" w:color="000000"/>
        </w:pBdr>
        <w:spacing w:before="0" w:after="0"/>
        <w:jc w:val="left"/>
        <w:rPr/>
      </w:pPr>
      <w:r>
        <w:rPr/>
        <w:t> </w:t>
      </w:r>
    </w:p>
    <w:p>
      <w:pPr>
        <w:pStyle w:val="TextBody"/>
        <w:spacing w:before="200" w:after="0"/>
        <w:jc w:val="both"/>
        <w:rPr>
          <w:rFonts w:ascii="Times New Roman" w:hAnsi="Times New Roman"/>
          <w:b w:val="false"/>
          <w:sz w:val="20"/>
        </w:rPr>
      </w:pPr>
      <w:r>
        <w:rPr>
          <w:rFonts w:ascii="Times New Roman" w:hAnsi="Times New Roman"/>
          <w:b w:val="false"/>
          <w:sz w:val="20"/>
        </w:rPr>
        <w:t>(1)</w:t>
      </w:r>
    </w:p>
    <w:p>
      <w:pPr>
        <w:pStyle w:val="TextBody"/>
        <w:spacing w:before="200" w:after="283"/>
        <w:jc w:val="both"/>
        <w:rPr>
          <w:rFonts w:ascii="Times New Roman;serif" w:hAnsi="Times New Roman;serif"/>
          <w:b w:val="false"/>
          <w:sz w:val="20"/>
        </w:rPr>
      </w:pPr>
      <w:r>
        <w:rPr>
          <w:rFonts w:ascii="Times New Roman;serif" w:hAnsi="Times New Roman;serif"/>
          <w:b w:val="false"/>
          <w:sz w:val="20"/>
        </w:rPr>
        <w:t>The arrangement for the sale of an IMAX System includes fixed upfront and ongoing consideration, including indexed annual minimum payment increases over the term of the arrangement, as well as an estimate of the contingent fees that may become due if certain annual minimum box office receipt thresholds are exceeded.</w:t>
      </w:r>
    </w:p>
    <w:p>
      <w:pPr>
        <w:pStyle w:val="TextBody"/>
        <w:spacing w:before="200" w:after="0"/>
        <w:jc w:val="both"/>
        <w:rPr>
          <w:rFonts w:ascii="Times New Roman;serif" w:hAnsi="Times New Roman;serif"/>
          <w:b/>
          <w:i/>
          <w:sz w:val="20"/>
        </w:rPr>
      </w:pPr>
      <w:r>
        <w:rPr>
          <w:rFonts w:ascii="Times New Roman;serif" w:hAnsi="Times New Roman;serif"/>
          <w:b/>
          <w:i/>
          <w:sz w:val="20"/>
        </w:rPr>
        <w:t>All Other</w:t>
      </w:r>
    </w:p>
    <w:p>
      <w:pPr>
        <w:pStyle w:val="TextBody"/>
        <w:spacing w:before="200" w:after="0"/>
        <w:jc w:val="both"/>
        <w:rPr>
          <w:rFonts w:ascii="Times New Roman;serif" w:hAnsi="Times New Roman;serif"/>
          <w:b w:val="false"/>
          <w:sz w:val="20"/>
        </w:rPr>
      </w:pPr>
      <w:r>
        <w:rPr>
          <w:rFonts w:ascii="Times New Roman;serif" w:hAnsi="Times New Roman;serif"/>
          <w:b w:val="false"/>
          <w:sz w:val="20"/>
        </w:rPr>
        <w:t>For the three months ended March 31, 2023, All Other revenue and gross margin increased by $2.0 million, or 168%, and $1.4 million, or 197%, respectively, when compared to the same period in 2022 principally due to the inclusion of revenues earned by SSIMWAVE's operations which were not in the prior year comparative period as the acquisition was completed in late September 2022, as well as growth in IMAX Enhanced initiatives resulting in an increase in revenues of $0.7 million over the same period in 2022.</w:t>
      </w:r>
    </w:p>
    <w:p>
      <w:pPr>
        <w:pStyle w:val="TextBody"/>
        <w:spacing w:before="240" w:after="0"/>
        <w:jc w:val="center"/>
        <w:rPr>
          <w:rFonts w:ascii="Times New Roman;serif" w:hAnsi="Times New Roman;serif"/>
          <w:b w:val="false"/>
          <w:sz w:val="20"/>
        </w:rPr>
      </w:pPr>
      <w:r>
        <w:rPr>
          <w:rFonts w:ascii="Times New Roman;serif" w:hAnsi="Times New Roman;serif"/>
          <w:b w:val="false"/>
          <w:sz w:val="20"/>
        </w:rPr>
        <w:t>55</w:t>
      </w:r>
    </w:p>
    <w:p>
      <w:pPr>
        <w:pStyle w:val="HorizontalLine"/>
        <w:rPr/>
      </w:pPr>
      <w:r>
        <w:rPr/>
      </w:r>
    </w:p>
    <w:p>
      <w:pPr>
        <w:pStyle w:val="TextBody"/>
        <w:spacing w:before="0" w:after="0"/>
        <w:jc w:val="left"/>
        <w:rPr/>
      </w:pPr>
      <w:r>
        <w:rPr/>
        <w:t> </w:t>
      </w:r>
    </w:p>
    <w:p>
      <w:pPr>
        <w:pStyle w:val="TextBody"/>
        <w:spacing w:before="200" w:after="0"/>
        <w:jc w:val="both"/>
        <w:rPr>
          <w:rFonts w:ascii="Times New Roman" w:hAnsi="Times New Roman"/>
          <w:sz w:val="20"/>
        </w:rPr>
      </w:pPr>
      <w:r>
        <w:rPr>
          <w:rFonts w:ascii="Times New Roman;serif" w:hAnsi="Times New Roman;serif"/>
          <w:b/>
          <w:i/>
          <w:sz w:val="20"/>
        </w:rPr>
        <w:t>Selling, General and Administrative Expenses</w:t>
      </w:r>
      <w:r>
        <w:rPr>
          <w:rFonts w:ascii="Times New Roman" w:hAnsi="Times New Roman"/>
          <w:sz w:val="20"/>
        </w:rPr>
        <w:t xml:space="preserve"> </w:t>
      </w:r>
    </w:p>
    <w:p>
      <w:pPr>
        <w:pStyle w:val="TextBody"/>
        <w:spacing w:before="200" w:after="200"/>
        <w:jc w:val="both"/>
        <w:rPr>
          <w:rFonts w:ascii="Times New Roman" w:hAnsi="Times New Roman"/>
          <w:sz w:val="20"/>
        </w:rPr>
      </w:pPr>
      <w:r>
        <w:rPr>
          <w:rFonts w:ascii="Times New Roman;serif" w:hAnsi="Times New Roman;serif"/>
          <w:b w:val="false"/>
          <w:sz w:val="20"/>
        </w:rPr>
        <w:t>The following table presents information about the Company’s Selling, General and Administrative Expenses for the three months ended March 31, 2023 and 2022:</w:t>
      </w:r>
      <w:r>
        <w:rPr>
          <w:rFonts w:ascii="Times New Roman" w:hAnsi="Times New Roman"/>
          <w:sz w:val="20"/>
        </w:rPr>
        <w:t xml:space="preserve"> </w:t>
      </w:r>
    </w:p>
    <w:tbl>
      <w:tblPr>
        <w:tblW w:w="10205" w:type="dxa"/>
        <w:jc w:val="left"/>
        <w:tblInd w:w="0" w:type="dxa"/>
        <w:tblCellMar>
          <w:top w:w="28" w:type="dxa"/>
          <w:left w:w="28" w:type="dxa"/>
          <w:bottom w:w="28" w:type="dxa"/>
          <w:right w:w="28" w:type="dxa"/>
        </w:tblCellMar>
      </w:tblPr>
      <w:tblGrid>
        <w:gridCol w:w="6098"/>
        <w:gridCol w:w="146"/>
        <w:gridCol w:w="211"/>
        <w:gridCol w:w="676"/>
        <w:gridCol w:w="146"/>
        <w:gridCol w:w="146"/>
        <w:gridCol w:w="211"/>
        <w:gridCol w:w="676"/>
        <w:gridCol w:w="146"/>
        <w:gridCol w:w="146"/>
        <w:gridCol w:w="211"/>
        <w:gridCol w:w="571"/>
        <w:gridCol w:w="166"/>
        <w:gridCol w:w="146"/>
        <w:gridCol w:w="509"/>
      </w:tblGrid>
      <w:tr>
        <w:trPr/>
        <w:tc>
          <w:tcPr>
            <w:tcW w:w="6098"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67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67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571" w:type="dxa"/>
            <w:tcBorders/>
            <w:shd w:fill="auto" w:val="clear"/>
            <w:vAlign w:val="center"/>
          </w:tcPr>
          <w:p>
            <w:pPr>
              <w:pStyle w:val="TableContents"/>
              <w:spacing w:before="0" w:after="283"/>
              <w:rPr>
                <w:sz w:val="4"/>
                <w:szCs w:val="4"/>
              </w:rPr>
            </w:pPr>
            <w:r>
              <w:rPr>
                <w:sz w:val="4"/>
                <w:szCs w:val="4"/>
              </w:rPr>
            </w:r>
          </w:p>
        </w:tc>
        <w:tc>
          <w:tcPr>
            <w:tcW w:w="16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509" w:type="dxa"/>
            <w:tcBorders/>
            <w:shd w:fill="auto" w:val="clear"/>
            <w:vAlign w:val="center"/>
          </w:tcPr>
          <w:p>
            <w:pPr>
              <w:pStyle w:val="TableContents"/>
              <w:spacing w:before="0" w:after="283"/>
              <w:rPr>
                <w:sz w:val="4"/>
                <w:szCs w:val="4"/>
              </w:rPr>
            </w:pPr>
            <w:r>
              <w:rPr>
                <w:sz w:val="4"/>
                <w:szCs w:val="4"/>
              </w:rPr>
            </w:r>
          </w:p>
        </w:tc>
      </w:tr>
      <w:tr>
        <w:trPr/>
        <w:tc>
          <w:tcPr>
            <w:tcW w:w="6098"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066" w:type="dxa"/>
            <w:gridSpan w:val="6"/>
            <w:tcBorders/>
            <w:shd w:fill="auto" w:val="cle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Three Months Ended</w:t>
            </w:r>
          </w:p>
        </w:tc>
        <w:tc>
          <w:tcPr>
            <w:tcW w:w="146"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1603" w:type="dxa"/>
            <w:gridSpan w:val="5"/>
            <w:tcBorders/>
            <w:shd w:fill="auto" w:val="clear"/>
            <w:vAlign w:val="center"/>
          </w:tcPr>
          <w:p>
            <w:pPr>
              <w:pStyle w:val="TableContents"/>
              <w:spacing w:before="0" w:after="0"/>
              <w:ind w:left="0" w:right="0" w:hanging="0"/>
              <w:jc w:val="center"/>
              <w:rPr/>
            </w:pPr>
            <w:r>
              <w:rPr/>
              <w:t> </w:t>
            </w:r>
          </w:p>
        </w:tc>
      </w:tr>
      <w:tr>
        <w:trPr/>
        <w:tc>
          <w:tcPr>
            <w:tcW w:w="6098"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066" w:type="dxa"/>
            <w:gridSpan w:val="6"/>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March 31,</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603" w:type="dxa"/>
            <w:gridSpan w:val="5"/>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Variance</w:t>
            </w:r>
          </w:p>
        </w:tc>
      </w:tr>
      <w:tr>
        <w:trPr/>
        <w:tc>
          <w:tcPr>
            <w:tcW w:w="6098" w:type="dxa"/>
            <w:tcBorders/>
            <w:shd w:fill="auto" w:val="clear"/>
            <w:vAlign w:val="center"/>
          </w:tcPr>
          <w:p>
            <w:pPr>
              <w:pStyle w:val="TableContents"/>
              <w:spacing w:before="0" w:after="0"/>
              <w:ind w:left="0" w:right="0" w:hanging="0"/>
              <w:jc w:val="left"/>
              <w:rPr>
                <w:rFonts w:ascii="Times New Roman;serif" w:hAnsi="Times New Roman;serif"/>
                <w:b w:val="false"/>
                <w:i/>
                <w:sz w:val="16"/>
              </w:rPr>
            </w:pPr>
            <w:r>
              <w:rPr>
                <w:rFonts w:ascii="Times New Roman;serif" w:hAnsi="Times New Roman;serif"/>
                <w:b w:val="false"/>
                <w:i/>
                <w:sz w:val="16"/>
              </w:rPr>
              <w:t>(In thousands of U.S. Dollars)</w:t>
            </w:r>
          </w:p>
        </w:tc>
        <w:tc>
          <w:tcPr>
            <w:tcW w:w="146" w:type="dxa"/>
            <w:tcBorders/>
            <w:shd w:fill="auto" w:val="clear"/>
            <w:vAlign w:val="center"/>
          </w:tcPr>
          <w:p>
            <w:pPr>
              <w:pStyle w:val="TableContents"/>
              <w:spacing w:before="0" w:after="0"/>
              <w:ind w:left="0" w:right="0" w:hanging="0"/>
              <w:jc w:val="left"/>
              <w:rPr/>
            </w:pPr>
            <w:r>
              <w:rPr/>
              <w:t> </w:t>
            </w:r>
          </w:p>
        </w:tc>
        <w:tc>
          <w:tcPr>
            <w:tcW w:w="887"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2023</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887"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2022</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782"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509"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w:t>
            </w:r>
          </w:p>
        </w:tc>
      </w:tr>
      <w:tr>
        <w:trPr/>
        <w:tc>
          <w:tcPr>
            <w:tcW w:w="6098"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Total selling, general and administrative expenses</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7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34,148</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7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30,181</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57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3,967</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509"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13%</w:t>
            </w:r>
          </w:p>
        </w:tc>
      </w:tr>
      <w:tr>
        <w:trPr/>
        <w:tc>
          <w:tcPr>
            <w:tcW w:w="6098" w:type="dxa"/>
            <w:tcBorders/>
            <w:shd w:fill="auto" w:val="clear"/>
            <w:vAlign w:val="center"/>
          </w:tcPr>
          <w:p>
            <w:pPr>
              <w:pStyle w:val="TableContents"/>
              <w:spacing w:before="0" w:after="0"/>
              <w:ind w:left="0" w:right="0" w:hanging="0"/>
              <w:jc w:val="left"/>
              <w:rPr>
                <w:rFonts w:ascii="Times New Roman" w:hAnsi="Times New Roman"/>
                <w:sz w:val="20"/>
              </w:rPr>
            </w:pPr>
            <w:r>
              <w:rPr>
                <w:rFonts w:ascii="Times New Roman;serif" w:hAnsi="Times New Roman;serif"/>
                <w:b w:val="false"/>
                <w:sz w:val="20"/>
              </w:rPr>
              <w:t>Less: Share-based compensation</w:t>
            </w:r>
            <w:r>
              <w:rPr>
                <w:rFonts w:ascii="Times New Roman;serif" w:hAnsi="Times New Roman;serif"/>
                <w:b w:val="false"/>
                <w:sz w:val="13"/>
              </w:rPr>
              <w:t>(1)</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67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5,196</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67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5,726</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57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(530</w:t>
            </w:r>
          </w:p>
        </w:tc>
        <w:tc>
          <w:tcPr>
            <w:tcW w:w="16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shd w:fill="auto" w:val="clear"/>
            <w:vAlign w:val="center"/>
          </w:tcPr>
          <w:p>
            <w:pPr>
              <w:pStyle w:val="TableContents"/>
              <w:spacing w:before="0" w:after="0"/>
              <w:ind w:left="0" w:right="0" w:hanging="0"/>
              <w:jc w:val="left"/>
              <w:rPr/>
            </w:pPr>
            <w:r>
              <w:rPr/>
              <w:t> </w:t>
            </w:r>
          </w:p>
        </w:tc>
        <w:tc>
          <w:tcPr>
            <w:tcW w:w="509"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(9%)</w:t>
            </w:r>
          </w:p>
        </w:tc>
      </w:tr>
      <w:tr>
        <w:trPr/>
        <w:tc>
          <w:tcPr>
            <w:tcW w:w="6098"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Total selling, general and administrative expenses, excluding share-based compensation</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top w:val="single" w:sz="4" w:space="0" w:color="000000"/>
              <w:bottom w:val="double" w:sz="6" w:space="0" w:color="000000"/>
            </w:tcBorders>
            <w:shd w:fill="auto" w:val="clear"/>
            <w:tcMar>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76" w:type="dxa"/>
            <w:tcBorders>
              <w:top w:val="single" w:sz="4" w:space="0" w:color="000000"/>
              <w:bottom w:val="double" w:sz="6" w:space="0" w:color="000000"/>
            </w:tcBorders>
            <w:shd w:fill="auto" w:val="clear"/>
            <w:tcMar>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28,952</w:t>
            </w:r>
          </w:p>
        </w:tc>
        <w:tc>
          <w:tcPr>
            <w:tcW w:w="146" w:type="dxa"/>
            <w:tcBorders>
              <w:top w:val="single" w:sz="4" w:space="0" w:color="000000"/>
              <w:bottom w:val="double" w:sz="6" w:space="0" w:color="000000"/>
            </w:tcBorders>
            <w:shd w:fill="auto" w:val="clear"/>
            <w:tcMar>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top w:val="single" w:sz="4" w:space="0" w:color="000000"/>
              <w:bottom w:val="double" w:sz="6" w:space="0" w:color="000000"/>
            </w:tcBorders>
            <w:shd w:fill="auto" w:val="clear"/>
            <w:tcMar>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76" w:type="dxa"/>
            <w:tcBorders>
              <w:top w:val="single" w:sz="4" w:space="0" w:color="000000"/>
              <w:bottom w:val="double" w:sz="6" w:space="0" w:color="000000"/>
            </w:tcBorders>
            <w:shd w:fill="auto" w:val="clear"/>
            <w:tcMar>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24,455</w:t>
            </w:r>
          </w:p>
        </w:tc>
        <w:tc>
          <w:tcPr>
            <w:tcW w:w="146" w:type="dxa"/>
            <w:tcBorders>
              <w:top w:val="single" w:sz="4" w:space="0" w:color="000000"/>
              <w:bottom w:val="double" w:sz="6" w:space="0" w:color="000000"/>
            </w:tcBorders>
            <w:shd w:fill="auto" w:val="clear"/>
            <w:tcMar>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top w:val="single" w:sz="4" w:space="0" w:color="000000"/>
              <w:bottom w:val="double" w:sz="6" w:space="0" w:color="000000"/>
            </w:tcBorders>
            <w:shd w:fill="auto" w:val="clear"/>
            <w:tcMar>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571" w:type="dxa"/>
            <w:tcBorders>
              <w:top w:val="single" w:sz="4" w:space="0" w:color="000000"/>
              <w:bottom w:val="double" w:sz="6" w:space="0" w:color="000000"/>
            </w:tcBorders>
            <w:shd w:fill="auto" w:val="clear"/>
            <w:tcMar>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4,497</w:t>
            </w:r>
          </w:p>
        </w:tc>
        <w:tc>
          <w:tcPr>
            <w:tcW w:w="166" w:type="dxa"/>
            <w:tcBorders>
              <w:top w:val="single" w:sz="4" w:space="0" w:color="000000"/>
              <w:bottom w:val="double" w:sz="6" w:space="0" w:color="000000"/>
            </w:tcBorders>
            <w:shd w:fill="auto" w:val="clear"/>
            <w:tcMar>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509" w:type="dxa"/>
            <w:tcBorders>
              <w:top w:val="single" w:sz="4" w:space="0" w:color="000000"/>
              <w:bottom w:val="double" w:sz="6" w:space="0" w:color="000000"/>
            </w:tcBorders>
            <w:shd w:fill="auto" w:val="clear"/>
            <w:tcMar>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18%</w:t>
            </w:r>
          </w:p>
        </w:tc>
      </w:tr>
    </w:tbl>
    <w:p>
      <w:pPr>
        <w:pStyle w:val="TextBody"/>
        <w:pBdr>
          <w:bottom w:val="single" w:sz="4" w:space="1" w:color="000000"/>
        </w:pBdr>
        <w:spacing w:before="0" w:after="0"/>
        <w:jc w:val="left"/>
        <w:rPr/>
      </w:pPr>
      <w:r>
        <w:rPr/>
        <w:t> </w:t>
      </w:r>
    </w:p>
    <w:p>
      <w:pPr>
        <w:pStyle w:val="TextBody"/>
        <w:spacing w:before="120" w:after="0"/>
        <w:jc w:val="both"/>
        <w:rPr>
          <w:rFonts w:ascii="Times New Roman" w:hAnsi="Times New Roman"/>
          <w:b w:val="false"/>
          <w:sz w:val="20"/>
        </w:rPr>
      </w:pPr>
      <w:r>
        <w:rPr>
          <w:rFonts w:ascii="Times New Roman" w:hAnsi="Times New Roman"/>
          <w:b w:val="false"/>
          <w:sz w:val="20"/>
        </w:rPr>
        <w:t>(1)</w:t>
      </w:r>
    </w:p>
    <w:p>
      <w:pPr>
        <w:pStyle w:val="TextBody"/>
        <w:spacing w:before="120" w:after="283"/>
        <w:jc w:val="both"/>
        <w:rPr>
          <w:rFonts w:ascii="Times New Roman;serif" w:hAnsi="Times New Roman;serif"/>
          <w:b w:val="false"/>
          <w:sz w:val="20"/>
        </w:rPr>
      </w:pPr>
      <w:r>
        <w:rPr>
          <w:rFonts w:ascii="Times New Roman;serif" w:hAnsi="Times New Roman;serif"/>
          <w:b w:val="false"/>
          <w:sz w:val="20"/>
        </w:rPr>
        <w:t>A portion of share-based compensation expense is recognized within Costs and Expenses Applicable to Revenues, Research and Development, and Executive Transition Costs. (See Note 11(a) of Notes to Condensed Consolidated Financial Statements in Part I, Item 1.)</w:t>
      </w:r>
    </w:p>
    <w:p>
      <w:pPr>
        <w:pStyle w:val="TextBody"/>
        <w:spacing w:before="200" w:after="0"/>
        <w:jc w:val="both"/>
        <w:rPr>
          <w:rFonts w:ascii="Times New Roman;serif" w:hAnsi="Times New Roman;serif"/>
          <w:b w:val="false"/>
          <w:sz w:val="20"/>
        </w:rPr>
      </w:pPr>
      <w:r>
        <w:rPr>
          <w:rFonts w:ascii="Times New Roman;serif" w:hAnsi="Times New Roman;serif"/>
          <w:b w:val="false"/>
          <w:sz w:val="20"/>
        </w:rPr>
        <w:t>The increase in Selling, General and Administrative Expenses reflects the Company’s normalized level of business activity in the current period, primarily the result of higher workforce costs of $1.8 million reflecting a full staff complement and the resumption of travel as compared to the prior year period, as well as from the inclusion of SSIMWAVE which was not in the prior year comparative period as the acquisition was completed in late September 2022.</w:t>
      </w:r>
    </w:p>
    <w:p>
      <w:pPr>
        <w:pStyle w:val="TextBody"/>
        <w:spacing w:before="200" w:after="0"/>
        <w:jc w:val="both"/>
        <w:rPr>
          <w:rFonts w:ascii="Times New Roman" w:hAnsi="Times New Roman"/>
          <w:sz w:val="20"/>
        </w:rPr>
      </w:pPr>
      <w:r>
        <w:rPr>
          <w:rFonts w:ascii="Times New Roman;serif" w:hAnsi="Times New Roman;serif"/>
          <w:b w:val="false"/>
          <w:sz w:val="20"/>
        </w:rPr>
        <w:t>As a percentage of revenue, Selling, General and Administrative Expenses excluding share-based compensation was 33% versus 41% in the three months ended March 31, 2022, an improvement over the prior year period which reflected cost discipline efforts and the strong operating leverage in the business.</w:t>
        <w:br/>
      </w:r>
      <w:r>
        <w:rPr>
          <w:rFonts w:ascii="Times New Roman" w:hAnsi="Times New Roman"/>
          <w:sz w:val="20"/>
        </w:rPr>
        <w:t> </w:t>
      </w:r>
    </w:p>
    <w:p>
      <w:pPr>
        <w:pStyle w:val="TextBody"/>
        <w:spacing w:before="200" w:after="0"/>
        <w:jc w:val="both"/>
        <w:rPr>
          <w:rFonts w:ascii="Times New Roman;serif" w:hAnsi="Times New Roman;serif"/>
          <w:b/>
          <w:i/>
          <w:sz w:val="20"/>
        </w:rPr>
      </w:pPr>
      <w:r>
        <w:rPr>
          <w:rFonts w:ascii="Times New Roman;serif" w:hAnsi="Times New Roman;serif"/>
          <w:b/>
          <w:i/>
          <w:sz w:val="20"/>
        </w:rPr>
        <w:t>Research and Development</w:t>
      </w:r>
    </w:p>
    <w:p>
      <w:pPr>
        <w:pStyle w:val="TextBody"/>
        <w:spacing w:before="200" w:after="0"/>
        <w:jc w:val="both"/>
        <w:rPr>
          <w:rFonts w:ascii="Times New Roman;serif" w:hAnsi="Times New Roman;serif"/>
          <w:b w:val="false"/>
          <w:sz w:val="20"/>
        </w:rPr>
      </w:pPr>
      <w:r>
        <w:rPr>
          <w:rFonts w:ascii="Times New Roman;serif" w:hAnsi="Times New Roman;serif"/>
          <w:b w:val="false"/>
          <w:sz w:val="20"/>
        </w:rPr>
        <w:t>A significant portion of the Company’s recent research and development efforts have been focused on its laser-based projection systems, which the Company believes present greater brightness and clarity, higher contrast, a wider color gamut and deeper blacks, consume less power and last longer than other digital projection technologies, and are capable of illuminating the largest screens in the IMAX network. To a lesser extent, the Company’s recent research and development efforts have also focused on image enhancement technology, developing technologies and systems to help bring additional interactivity to its global IMAX network. With the acquisition of SSIMWAVE, there is ongoing research and development in perceptual metrics including novel measurement and optimization techniques. Teams from IMAX and SSIMWAVE are working to expand existing and/or develop new technologies which are expected to further enhance video quality, delivery, and creation across devices.</w:t>
      </w:r>
    </w:p>
    <w:p>
      <w:pPr>
        <w:pStyle w:val="TextBody"/>
        <w:spacing w:before="200" w:after="0"/>
        <w:jc w:val="both"/>
        <w:rPr>
          <w:rFonts w:ascii="Times New Roman" w:hAnsi="Times New Roman"/>
          <w:sz w:val="20"/>
        </w:rPr>
      </w:pPr>
      <w:r>
        <w:rPr>
          <w:rFonts w:ascii="Times New Roman;serif" w:hAnsi="Times New Roman;serif"/>
          <w:b w:val="false"/>
          <w:sz w:val="20"/>
        </w:rPr>
        <w:t>For the three months ended March 31, 2023, Research and Development expenses increased by $0.7 million, or 55%, when compared to the same period in the prior year, which primarily reflects the increased efforts specifically related to SSIMWAVE technologies.</w:t>
      </w:r>
      <w:r>
        <w:rPr>
          <w:rFonts w:ascii="Times New Roman" w:hAnsi="Times New Roman"/>
          <w:sz w:val="20"/>
        </w:rPr>
        <w:t xml:space="preserve"> </w:t>
      </w:r>
    </w:p>
    <w:p>
      <w:pPr>
        <w:pStyle w:val="TextBody"/>
        <w:spacing w:before="200" w:after="0"/>
        <w:jc w:val="both"/>
        <w:rPr>
          <w:rFonts w:ascii="Times New Roman" w:hAnsi="Times New Roman"/>
          <w:sz w:val="20"/>
        </w:rPr>
      </w:pPr>
      <w:r>
        <w:rPr>
          <w:rFonts w:ascii="Times New Roman;serif" w:hAnsi="Times New Roman;serif"/>
          <w:b w:val="false"/>
          <w:sz w:val="20"/>
        </w:rPr>
        <w:t>The Company intends to continue research and development to further evolve its end-to-end technology. This includes bringing connectivity to the Company’s global network and experimenting with live and interactive events worldwide; developing new IMAX film cameras and certifying additional digital cameras; further improving its proprietary film remastering and distribution process for the delivery of content for both theatrical (including local language content) and home entertainment; and further improving the reliability of its projectors, as well as enhancing the Company’s image and sound quality.</w:t>
      </w:r>
      <w:r>
        <w:rPr>
          <w:rFonts w:ascii="Times New Roman" w:hAnsi="Times New Roman"/>
          <w:sz w:val="20"/>
        </w:rPr>
        <w:t xml:space="preserve"> </w:t>
      </w:r>
    </w:p>
    <w:p>
      <w:pPr>
        <w:pStyle w:val="TextBody"/>
        <w:spacing w:before="200" w:after="0"/>
        <w:jc w:val="both"/>
        <w:rPr>
          <w:rFonts w:ascii="Times New Roman;serif" w:hAnsi="Times New Roman;serif"/>
          <w:b/>
          <w:i/>
          <w:sz w:val="20"/>
        </w:rPr>
      </w:pPr>
      <w:r>
        <w:rPr>
          <w:rFonts w:ascii="Times New Roman;serif" w:hAnsi="Times New Roman;serif"/>
          <w:b/>
          <w:i/>
          <w:sz w:val="20"/>
        </w:rPr>
        <w:t>Credit Loss Expense, Net</w:t>
      </w:r>
    </w:p>
    <w:p>
      <w:pPr>
        <w:pStyle w:val="TextBody"/>
        <w:spacing w:before="200" w:after="0"/>
        <w:jc w:val="both"/>
        <w:rPr>
          <w:rFonts w:ascii="Times New Roman" w:hAnsi="Times New Roman"/>
          <w:sz w:val="20"/>
        </w:rPr>
      </w:pPr>
      <w:r>
        <w:rPr>
          <w:rFonts w:ascii="Times New Roman;serif" w:hAnsi="Times New Roman;serif"/>
          <w:b w:val="false"/>
          <w:sz w:val="20"/>
        </w:rPr>
        <w:t>For the three months ended March 31, 2023, the Company recorded current expected credit losses of $0.2 million, as compared to credit losses of $7.2 million recognized in the prior year. The prior period expense was principally due to reserves established against substantially all of the Company's receivables in Russia due to uncertainties associated with the ongoing Russia-Ukraine conflict and resulting sanctions, partially offset by the reversal of provisions associated with the COVID-19 pandemic as the outlook for the theatrical exhibition industry in Domestic and Rest of World markets improved.</w:t>
      </w:r>
      <w:r>
        <w:rPr>
          <w:rFonts w:ascii="Times New Roman" w:hAnsi="Times New Roman"/>
          <w:sz w:val="20"/>
        </w:rPr>
        <w:t xml:space="preserve"> </w:t>
      </w:r>
    </w:p>
    <w:p>
      <w:pPr>
        <w:pStyle w:val="TextBody"/>
        <w:spacing w:before="240" w:after="0"/>
        <w:jc w:val="center"/>
        <w:rPr>
          <w:rFonts w:ascii="Times New Roman;serif" w:hAnsi="Times New Roman;serif"/>
          <w:b w:val="false"/>
          <w:sz w:val="20"/>
        </w:rPr>
      </w:pPr>
      <w:r>
        <w:rPr>
          <w:rFonts w:ascii="Times New Roman;serif" w:hAnsi="Times New Roman;serif"/>
          <w:b w:val="false"/>
          <w:sz w:val="20"/>
        </w:rPr>
        <w:t>56</w:t>
      </w:r>
    </w:p>
    <w:p>
      <w:pPr>
        <w:pStyle w:val="HorizontalLine"/>
        <w:rPr/>
      </w:pPr>
      <w:r>
        <w:rPr/>
      </w:r>
    </w:p>
    <w:p>
      <w:pPr>
        <w:pStyle w:val="TextBody"/>
        <w:spacing w:before="0" w:after="0"/>
        <w:jc w:val="left"/>
        <w:rPr/>
      </w:pPr>
      <w:r>
        <w:rPr/>
        <w:t> </w:t>
      </w:r>
    </w:p>
    <w:p>
      <w:pPr>
        <w:pStyle w:val="TextBody"/>
        <w:spacing w:before="200" w:after="0"/>
        <w:jc w:val="both"/>
        <w:rPr>
          <w:rFonts w:ascii="Times New Roman;serif" w:hAnsi="Times New Roman;serif"/>
          <w:b w:val="false"/>
          <w:sz w:val="20"/>
        </w:rPr>
      </w:pPr>
      <w:r>
        <w:rPr>
          <w:rFonts w:ascii="Times New Roman;serif" w:hAnsi="Times New Roman;serif"/>
          <w:b w:val="false"/>
          <w:sz w:val="20"/>
        </w:rPr>
        <w:t>Management’s judgments regarding expected credit losses are based on the facts available to management at the time that the Condensed Consolidated Financial Statements are prepared and involve estimates about the future. As a result, the Company’s judgments and associated estimates of credit losses may ultimately prove, with the benefit of hindsight, to be incorrect. (See Note 3 of Notes to Condensed Consolidated Financial Statements in Part I, Item 1.)</w:t>
      </w:r>
    </w:p>
    <w:p>
      <w:pPr>
        <w:pStyle w:val="TextBody"/>
        <w:spacing w:before="200" w:after="0"/>
        <w:jc w:val="both"/>
        <w:rPr>
          <w:rFonts w:ascii="Times New Roman;serif" w:hAnsi="Times New Roman;serif"/>
          <w:b/>
          <w:i/>
          <w:sz w:val="20"/>
        </w:rPr>
      </w:pPr>
      <w:r>
        <w:rPr>
          <w:rFonts w:ascii="Times New Roman;serif" w:hAnsi="Times New Roman;serif"/>
          <w:b/>
          <w:i/>
          <w:sz w:val="20"/>
        </w:rPr>
        <w:t>Interest Expense</w:t>
      </w:r>
    </w:p>
    <w:p>
      <w:pPr>
        <w:pStyle w:val="TextBody"/>
        <w:spacing w:before="200" w:after="0"/>
        <w:jc w:val="both"/>
        <w:rPr>
          <w:rFonts w:ascii="Times New Roman;serif" w:hAnsi="Times New Roman;serif"/>
          <w:b w:val="false"/>
          <w:sz w:val="20"/>
        </w:rPr>
      </w:pPr>
      <w:r>
        <w:rPr>
          <w:rFonts w:ascii="Times New Roman;serif" w:hAnsi="Times New Roman;serif"/>
          <w:b w:val="false"/>
          <w:sz w:val="20"/>
        </w:rPr>
        <w:t>For the three months ended March 31, 2023, interest expense was $1.8 million, representing an increase of $0.1 million, or 4% when compared to interest expense of $1.7 million during the same period of the prior year.</w:t>
      </w:r>
    </w:p>
    <w:p>
      <w:pPr>
        <w:pStyle w:val="TextBody"/>
        <w:spacing w:before="200" w:after="0"/>
        <w:jc w:val="both"/>
        <w:rPr>
          <w:rFonts w:ascii="Times New Roman" w:hAnsi="Times New Roman"/>
          <w:sz w:val="20"/>
        </w:rPr>
      </w:pPr>
      <w:r>
        <w:rPr>
          <w:rFonts w:ascii="Times New Roman;serif" w:hAnsi="Times New Roman;serif"/>
          <w:b/>
          <w:i/>
          <w:sz w:val="20"/>
        </w:rPr>
        <w:t>Income Taxes</w:t>
      </w:r>
      <w:r>
        <w:rPr>
          <w:rFonts w:ascii="Times New Roman" w:hAnsi="Times New Roman"/>
          <w:sz w:val="20"/>
        </w:rPr>
        <w:t xml:space="preserve"> </w:t>
      </w:r>
    </w:p>
    <w:p>
      <w:pPr>
        <w:pStyle w:val="TextBody"/>
        <w:spacing w:before="240" w:after="0"/>
        <w:jc w:val="both"/>
        <w:rPr>
          <w:rFonts w:ascii="Times New Roman;serif" w:hAnsi="Times New Roman;serif"/>
          <w:b w:val="false"/>
          <w:sz w:val="20"/>
        </w:rPr>
      </w:pPr>
      <w:r>
        <w:rPr>
          <w:rFonts w:ascii="Times New Roman;serif" w:hAnsi="Times New Roman;serif"/>
          <w:b w:val="false"/>
          <w:sz w:val="20"/>
        </w:rPr>
        <w:t>For the three months ended March 31, 2023, the Company recorded income tax expense of $4.9 million (2022 — $2.6 million). The Company’s effective tax rate for the three months ended March 31, 2023 of 48.8% differs from the Canadian statutory tax rate of 26.5% primarily due to the fact that the Company recorded an additional $1.6 million valuation allowance against deferred tax assets in jurisdictions where management cannot determine that the tax benefits will be realizable based on available evidence. Accordingly, the tax benefit associated with the current period losses in these jurisdictions is not ultimately reflected in the Company’s Condensed Consolidated Statements of Operations. (See Note 10 of Notes to Condensed Consolidated Financial Statements in Part I, Item 1.)</w:t>
      </w:r>
    </w:p>
    <w:p>
      <w:pPr>
        <w:pStyle w:val="TextBody"/>
        <w:spacing w:before="200" w:after="0"/>
        <w:jc w:val="both"/>
        <w:rPr>
          <w:rFonts w:ascii="Times New Roman;serif" w:hAnsi="Times New Roman;serif"/>
          <w:b/>
          <w:i/>
          <w:sz w:val="20"/>
        </w:rPr>
      </w:pPr>
      <w:r>
        <w:rPr>
          <w:rFonts w:ascii="Times New Roman;serif" w:hAnsi="Times New Roman;serif"/>
          <w:b/>
          <w:i/>
          <w:sz w:val="20"/>
        </w:rPr>
        <w:t>Non-Controlling Interests</w:t>
      </w:r>
    </w:p>
    <w:p>
      <w:pPr>
        <w:pStyle w:val="TextBody"/>
        <w:spacing w:before="200" w:after="0"/>
        <w:jc w:val="both"/>
        <w:rPr>
          <w:rFonts w:ascii="Times New Roman;serif" w:hAnsi="Times New Roman;serif"/>
          <w:b w:val="false"/>
          <w:sz w:val="20"/>
        </w:rPr>
      </w:pPr>
      <w:r>
        <w:rPr>
          <w:rFonts w:ascii="Times New Roman;serif" w:hAnsi="Times New Roman;serif"/>
          <w:b w:val="false"/>
          <w:sz w:val="20"/>
        </w:rPr>
        <w:t>The Company’s Condensed Consolidated Financial Statements primarily include the non-controlling interest in the net income or loss of IMAX China, as well as the impact of non-controlling interests in the activity of its Original Film Fund subsidiary. For the three months ended March 31, 2023, the net income attributable to non-controlling interests of the Company’s subsidiaries was $2.7 million, an increase of $1.0 million, or 61%, when compared to the same period of the prior year. The increase can be primarily attributed to IMAX China's box office success in the first quarter of 2023 following the Chinese government relaxing its dynamic zero-COVID policies and easing capacity restrictions at the end of 2022.</w:t>
      </w:r>
    </w:p>
    <w:p>
      <w:pPr>
        <w:pStyle w:val="TextBody"/>
        <w:spacing w:before="0" w:after="0"/>
        <w:jc w:val="center"/>
        <w:rPr/>
      </w:pPr>
      <w:r>
        <w:rPr/>
        <w:t> </w:t>
      </w:r>
    </w:p>
    <w:p>
      <w:pPr>
        <w:pStyle w:val="TextBody"/>
        <w:spacing w:before="240" w:after="0"/>
        <w:jc w:val="center"/>
        <w:rPr>
          <w:rFonts w:ascii="Times New Roman;serif" w:hAnsi="Times New Roman;serif"/>
          <w:b w:val="false"/>
          <w:sz w:val="20"/>
        </w:rPr>
      </w:pPr>
      <w:r>
        <w:rPr>
          <w:rFonts w:ascii="Times New Roman;serif" w:hAnsi="Times New Roman;serif"/>
          <w:b w:val="false"/>
          <w:sz w:val="20"/>
        </w:rPr>
        <w:t>57</w:t>
      </w:r>
    </w:p>
    <w:p>
      <w:pPr>
        <w:pStyle w:val="HorizontalLine"/>
        <w:rPr/>
      </w:pPr>
      <w:r>
        <w:rPr/>
      </w:r>
    </w:p>
    <w:p>
      <w:pPr>
        <w:pStyle w:val="TextBody"/>
        <w:spacing w:before="0" w:after="0"/>
        <w:jc w:val="left"/>
        <w:rPr/>
      </w:pPr>
      <w:r>
        <w:rPr/>
        <w:t> </w:t>
      </w:r>
    </w:p>
    <w:p>
      <w:pPr>
        <w:pStyle w:val="TextBody"/>
        <w:spacing w:before="200" w:after="0"/>
        <w:jc w:val="both"/>
        <w:rPr>
          <w:rFonts w:ascii="Times New Roman;serif" w:hAnsi="Times New Roman;serif"/>
          <w:b/>
          <w:sz w:val="20"/>
        </w:rPr>
      </w:pPr>
      <w:r>
        <w:rPr>
          <w:rFonts w:ascii="Times New Roman;serif" w:hAnsi="Times New Roman;serif"/>
          <w:b/>
          <w:sz w:val="20"/>
        </w:rPr>
        <w:t>CASH FLOWS FOR THE THREE MONTHS ENDED MARCH 31, 2023 AND 2022</w:t>
      </w:r>
    </w:p>
    <w:p>
      <w:pPr>
        <w:pStyle w:val="TextBody"/>
        <w:spacing w:before="200" w:after="0"/>
        <w:jc w:val="both"/>
        <w:rPr>
          <w:rFonts w:ascii="Times New Roman;serif" w:hAnsi="Times New Roman;serif"/>
          <w:b w:val="false"/>
          <w:i/>
          <w:sz w:val="20"/>
        </w:rPr>
      </w:pPr>
      <w:r>
        <w:rPr>
          <w:rFonts w:ascii="Times New Roman;serif" w:hAnsi="Times New Roman;serif"/>
          <w:b w:val="false"/>
          <w:i/>
          <w:sz w:val="20"/>
        </w:rPr>
        <w:t>Operating Activities</w:t>
      </w:r>
    </w:p>
    <w:p>
      <w:pPr>
        <w:pStyle w:val="TextBody"/>
        <w:spacing w:before="200" w:after="0"/>
        <w:jc w:val="both"/>
        <w:rPr>
          <w:rFonts w:ascii="Times New Roman;serif" w:hAnsi="Times New Roman;serif"/>
          <w:b w:val="false"/>
          <w:sz w:val="20"/>
        </w:rPr>
      </w:pPr>
      <w:r>
        <w:rPr>
          <w:rFonts w:ascii="Times New Roman;serif" w:hAnsi="Times New Roman;serif"/>
          <w:b w:val="false"/>
          <w:sz w:val="20"/>
        </w:rPr>
        <w:t>The net cash used in or provided by the Company’s operating activities is affected by a number of factors, including: (i) the level of cash collections from customers in respect of existing IMAX System sale and lease agreements, (ii) the amount of upfront payments collected in respect of IMAX System sale and lease agreements in backlog, (iii) the box-office performance of films distributed by the Company and/or released to IMAX locations, (iv) the level of inventory purchases, and (v) the level of the Company’s operating expenses, including expenses for research and development and new business initiatives.</w:t>
      </w:r>
    </w:p>
    <w:p>
      <w:pPr>
        <w:pStyle w:val="TextBody"/>
        <w:spacing w:before="200" w:after="0"/>
        <w:jc w:val="both"/>
        <w:rPr>
          <w:rFonts w:ascii="Times New Roman" w:hAnsi="Times New Roman"/>
          <w:sz w:val="20"/>
        </w:rPr>
      </w:pPr>
      <w:r>
        <w:rPr>
          <w:rFonts w:ascii="Times New Roman;serif" w:hAnsi="Times New Roman;serif"/>
          <w:b w:val="false"/>
          <w:sz w:val="20"/>
        </w:rPr>
        <w:t>For the three months ended March 31, 2023, net cash provided by the Company’s operating activities totaled $21.2 million, as compared to net cash used in operating activities of $3.8 million in the same period of the prior year, an improvement of 675%.</w:t>
      </w:r>
      <w:r>
        <w:rPr>
          <w:rFonts w:ascii="Times New Roman" w:hAnsi="Times New Roman"/>
          <w:sz w:val="20"/>
        </w:rPr>
        <w:t xml:space="preserve"> </w:t>
      </w:r>
    </w:p>
    <w:p>
      <w:pPr>
        <w:pStyle w:val="TextBody"/>
        <w:spacing w:before="200" w:after="0"/>
        <w:jc w:val="both"/>
        <w:rPr>
          <w:rFonts w:ascii="Times New Roman;serif" w:hAnsi="Times New Roman;serif"/>
          <w:b w:val="false"/>
          <w:sz w:val="20"/>
        </w:rPr>
      </w:pPr>
      <w:r>
        <w:rPr>
          <w:rFonts w:ascii="Times New Roman;serif" w:hAnsi="Times New Roman;serif"/>
          <w:b w:val="false"/>
          <w:sz w:val="20"/>
        </w:rPr>
        <w:t>For the three months ended March 31, 2023, the net cash provided by the Company’s operating activities is principally due to cash collected from earnings in the period, as a result of revenue growth attributable to the record box office performance of the films distributed through the IMAX network, partially offset by $5.9 million in inventory purchases, and $3.9 million of expenditures incurred in connection with the development of Film Assets.</w:t>
      </w:r>
    </w:p>
    <w:p>
      <w:pPr>
        <w:pStyle w:val="TextBody"/>
        <w:spacing w:before="200" w:after="0"/>
        <w:jc w:val="both"/>
        <w:rPr>
          <w:rFonts w:ascii="Times New Roman;serif" w:hAnsi="Times New Roman;serif"/>
          <w:b w:val="false"/>
          <w:sz w:val="20"/>
        </w:rPr>
      </w:pPr>
      <w:r>
        <w:rPr>
          <w:rFonts w:ascii="Times New Roman;serif" w:hAnsi="Times New Roman;serif"/>
          <w:b w:val="false"/>
          <w:sz w:val="20"/>
        </w:rPr>
        <w:t>For the three months ended March 31, 2022, the net cash used in the Company’s operating activities was principally due to the settlement of Accrued and Other Liabilities and $5.1 million spent in connection with the development of Film Assets, partially offset by the Company’s cash earnings in the period.</w:t>
      </w:r>
    </w:p>
    <w:p>
      <w:pPr>
        <w:pStyle w:val="TextBody"/>
        <w:spacing w:before="200" w:after="0"/>
        <w:jc w:val="both"/>
        <w:rPr>
          <w:rFonts w:ascii="Times New Roman" w:hAnsi="Times New Roman"/>
          <w:sz w:val="20"/>
        </w:rPr>
      </w:pPr>
      <w:r>
        <w:rPr>
          <w:rFonts w:ascii="Times New Roman;serif" w:hAnsi="Times New Roman;serif"/>
          <w:b w:val="false"/>
          <w:i/>
          <w:sz w:val="20"/>
        </w:rPr>
        <w:t>Investing Activities</w:t>
      </w:r>
      <w:r>
        <w:rPr>
          <w:rFonts w:ascii="Times New Roman" w:hAnsi="Times New Roman"/>
          <w:sz w:val="20"/>
        </w:rPr>
        <w:t xml:space="preserve"> </w:t>
      </w:r>
    </w:p>
    <w:p>
      <w:pPr>
        <w:pStyle w:val="TextBody"/>
        <w:spacing w:before="200" w:after="0"/>
        <w:jc w:val="both"/>
        <w:rPr>
          <w:rFonts w:ascii="Times New Roman;serif" w:hAnsi="Times New Roman;serif"/>
          <w:b w:val="false"/>
          <w:sz w:val="20"/>
        </w:rPr>
      </w:pPr>
      <w:r>
        <w:rPr>
          <w:rFonts w:ascii="Times New Roman;serif" w:hAnsi="Times New Roman;serif"/>
          <w:b w:val="false"/>
          <w:sz w:val="20"/>
        </w:rPr>
        <w:t>For the three months ended March 31, 2023, net cash used in investing activities totaled $4.3 million, as compared to $10.6 million used in investing activities in the same period of the prior year. For the three months ended March 31, 2023, the net cash used in investing activities is primarily driven by $2.2 million invested in equipment to be used in the Company’s joint revenue sharing arrangements with exhibitor customers, $0.4 million in purchases of property, plant and equipment, and $1.8 million of intangible assets acquired, principally related to the purchase or continued development of internal use software.</w:t>
      </w:r>
    </w:p>
    <w:p>
      <w:pPr>
        <w:pStyle w:val="TextBody"/>
        <w:spacing w:before="200" w:after="0"/>
        <w:jc w:val="both"/>
        <w:rPr>
          <w:rFonts w:ascii="Times New Roman" w:hAnsi="Times New Roman"/>
          <w:sz w:val="20"/>
        </w:rPr>
      </w:pPr>
      <w:r>
        <w:rPr>
          <w:rFonts w:ascii="Times New Roman;serif" w:hAnsi="Times New Roman;serif"/>
          <w:b w:val="false"/>
          <w:sz w:val="20"/>
        </w:rPr>
        <w:t xml:space="preserve">For the three months ended March 31, 2022, the net cash used by investing activities was primarily driven by $4.6 million invested in equipment to be used in the Company’s joint revenue sharing arrangements with exhibitors, and $4.7 million invested by IMAX (Shanghai) Culture and Technology Co., Ltd, a wholly-owned subsidiary of IMAX China, in the movie </w:t>
      </w:r>
      <w:r>
        <w:rPr>
          <w:rFonts w:ascii="Times New Roman;serif" w:hAnsi="Times New Roman;serif"/>
          <w:b w:val="false"/>
          <w:i/>
          <w:sz w:val="20"/>
        </w:rPr>
        <w:t>Mozart from Space</w:t>
      </w:r>
      <w:r>
        <w:rPr>
          <w:rFonts w:ascii="Times New Roman;serif" w:hAnsi="Times New Roman;serif"/>
          <w:b w:val="false"/>
          <w:sz w:val="20"/>
        </w:rPr>
        <w:t>. (See Note 15 of Notes to Condensed Consolidated Financial Statements in Part I, Item 1.)</w:t>
      </w:r>
    </w:p>
    <w:p>
      <w:pPr>
        <w:pStyle w:val="TextBody"/>
        <w:spacing w:before="200" w:after="0"/>
        <w:jc w:val="both"/>
        <w:rPr>
          <w:rFonts w:ascii="Times New Roman;serif" w:hAnsi="Times New Roman;serif"/>
          <w:b w:val="false"/>
          <w:sz w:val="20"/>
        </w:rPr>
      </w:pPr>
      <w:r>
        <w:rPr>
          <w:rFonts w:ascii="Times New Roman;serif" w:hAnsi="Times New Roman;serif"/>
          <w:b w:val="false"/>
          <w:sz w:val="20"/>
        </w:rPr>
        <w:t>Based on management’s current operating plan for 2023, the Company expects to continue to use cash to deploy additional IMAX Systems under joint revenue sharing arrangements.</w:t>
      </w:r>
    </w:p>
    <w:p>
      <w:pPr>
        <w:pStyle w:val="TextBody"/>
        <w:spacing w:before="200" w:after="0"/>
        <w:jc w:val="both"/>
        <w:rPr>
          <w:rFonts w:ascii="Times New Roman" w:hAnsi="Times New Roman"/>
          <w:sz w:val="20"/>
        </w:rPr>
      </w:pPr>
      <w:r>
        <w:rPr>
          <w:rFonts w:ascii="Times New Roman;serif" w:hAnsi="Times New Roman;serif"/>
          <w:b w:val="false"/>
          <w:sz w:val="20"/>
        </w:rPr>
        <w:t>Capital expenditures, including the Company’s investment in joint revenue sharing arrangements, the purchase of property, plant and equipment, the acquisition of other intangible assets, and investments in films</w:t>
      </w:r>
      <w:r>
        <w:rPr>
          <w:rFonts w:ascii="Times New Roman;serif" w:hAnsi="Times New Roman;serif"/>
          <w:b w:val="false"/>
          <w:i/>
          <w:sz w:val="20"/>
        </w:rPr>
        <w:t>,</w:t>
      </w:r>
      <w:r>
        <w:rPr>
          <w:rFonts w:ascii="Times New Roman" w:hAnsi="Times New Roman"/>
          <w:sz w:val="20"/>
        </w:rPr>
        <w:t xml:space="preserve"> </w:t>
      </w:r>
      <w:r>
        <w:rPr>
          <w:rFonts w:ascii="Times New Roman;serif" w:hAnsi="Times New Roman;serif"/>
          <w:b w:val="false"/>
          <w:sz w:val="20"/>
        </w:rPr>
        <w:t>were $8.2 million for the three months ended March 31, 2023, as compared to $15.7 million for the three months ended March 31, 2022. The Company expects its investment in joint revenue sharing arrangements to be weighted toward the second half of the year which aligns with the historical seasonality of system installations.</w:t>
      </w:r>
    </w:p>
    <w:p>
      <w:pPr>
        <w:pStyle w:val="TextBody"/>
        <w:spacing w:before="200" w:after="0"/>
        <w:jc w:val="both"/>
        <w:rPr>
          <w:rFonts w:ascii="Times New Roman" w:hAnsi="Times New Roman"/>
          <w:sz w:val="20"/>
        </w:rPr>
      </w:pPr>
      <w:r>
        <w:rPr>
          <w:rFonts w:ascii="Times New Roman;serif" w:hAnsi="Times New Roman;serif"/>
          <w:b w:val="false"/>
          <w:i/>
          <w:sz w:val="20"/>
        </w:rPr>
        <w:t>Financing Activities</w:t>
      </w:r>
      <w:r>
        <w:rPr>
          <w:rFonts w:ascii="Times New Roman" w:hAnsi="Times New Roman"/>
          <w:sz w:val="20"/>
        </w:rPr>
        <w:t xml:space="preserve"> </w:t>
      </w:r>
    </w:p>
    <w:p>
      <w:pPr>
        <w:pStyle w:val="TextBody"/>
        <w:spacing w:before="200" w:after="0"/>
        <w:jc w:val="both"/>
        <w:rPr>
          <w:rFonts w:ascii="Times New Roman;serif" w:hAnsi="Times New Roman;serif"/>
          <w:b w:val="false"/>
          <w:sz w:val="20"/>
        </w:rPr>
      </w:pPr>
      <w:r>
        <w:rPr>
          <w:rFonts w:ascii="Times New Roman;serif" w:hAnsi="Times New Roman;serif"/>
          <w:b w:val="false"/>
          <w:sz w:val="20"/>
        </w:rPr>
        <w:t>For the three months ended March 31, 2023, net cash used in financing activities totaled $15.0 million, as compared to $13.0 million used in financing activities in the same period of the prior year. For the three months ended March 31, 2023, the net cash used in financing activities is principally due to $5.5 million in net repayments of revolving credit facility borrowings, $3.7 million used to repurchase common shares of the Company, and $6.2 million in taxes withheld and paid on vested employee stock awards.</w:t>
      </w:r>
    </w:p>
    <w:p>
      <w:pPr>
        <w:pStyle w:val="TextBody"/>
        <w:spacing w:before="200" w:after="0"/>
        <w:jc w:val="both"/>
        <w:rPr>
          <w:rFonts w:ascii="Times New Roman;serif" w:hAnsi="Times New Roman;serif"/>
          <w:b w:val="false"/>
          <w:sz w:val="20"/>
        </w:rPr>
      </w:pPr>
      <w:r>
        <w:rPr>
          <w:rFonts w:ascii="Times New Roman;serif" w:hAnsi="Times New Roman;serif"/>
          <w:b w:val="false"/>
          <w:sz w:val="20"/>
        </w:rPr>
        <w:t>For the three months ended March 31, 2022, net cash used in financing activities was principally due to the $8.1 million used to repurchase common shares, including $6.3 million in share repurchases for the Company and $1.8 million in share repurchases for IMAX China, $3.1 million in taxes withheld and paid on vested employee stock awards, and $1.8 million in fees paid in relation to the Sixth Amended and Restated Credit Agreement entered into by the Company during the first quarter of 2022. (See Note 6 of Notes to Condensed Consolidated Financial Statements in Part I, Item 1 for additional information on the Sixth Amended and Restated Credit Agreement.)</w:t>
      </w:r>
    </w:p>
    <w:p>
      <w:pPr>
        <w:pStyle w:val="TextBody"/>
        <w:spacing w:before="240" w:after="0"/>
        <w:jc w:val="center"/>
        <w:rPr>
          <w:rFonts w:ascii="Times New Roman;serif" w:hAnsi="Times New Roman;serif"/>
          <w:b w:val="false"/>
          <w:sz w:val="20"/>
        </w:rPr>
      </w:pPr>
      <w:r>
        <w:rPr>
          <w:rFonts w:ascii="Times New Roman;serif" w:hAnsi="Times New Roman;serif"/>
          <w:b w:val="false"/>
          <w:sz w:val="20"/>
        </w:rPr>
        <w:t>58</w:t>
      </w:r>
    </w:p>
    <w:p>
      <w:pPr>
        <w:pStyle w:val="HorizontalLine"/>
        <w:rPr/>
      </w:pPr>
      <w:r>
        <w:rPr/>
      </w:r>
    </w:p>
    <w:p>
      <w:pPr>
        <w:pStyle w:val="TextBody"/>
        <w:spacing w:before="0" w:after="0"/>
        <w:jc w:val="left"/>
        <w:rPr/>
      </w:pPr>
      <w:r>
        <w:rPr/>
        <w:t> </w:t>
      </w:r>
    </w:p>
    <w:p>
      <w:pPr>
        <w:pStyle w:val="TextBody"/>
        <w:spacing w:before="200" w:after="0"/>
        <w:jc w:val="both"/>
        <w:rPr>
          <w:rFonts w:ascii="Times New Roman" w:hAnsi="Times New Roman"/>
          <w:sz w:val="20"/>
        </w:rPr>
      </w:pPr>
      <w:r>
        <w:rPr>
          <w:rFonts w:ascii="Times New Roman;serif" w:hAnsi="Times New Roman;serif"/>
          <w:b/>
          <w:sz w:val="20"/>
        </w:rPr>
        <w:t>LIQUIDITY AND CAPITAL RESOURCES</w:t>
      </w:r>
      <w:r>
        <w:rPr>
          <w:rFonts w:ascii="Times New Roman" w:hAnsi="Times New Roman"/>
          <w:sz w:val="20"/>
        </w:rPr>
        <w:t xml:space="preserve"> </w:t>
      </w:r>
    </w:p>
    <w:p>
      <w:pPr>
        <w:pStyle w:val="TextBody"/>
        <w:spacing w:before="200" w:after="0"/>
        <w:jc w:val="both"/>
        <w:rPr>
          <w:rFonts w:ascii="Times New Roman" w:hAnsi="Times New Roman"/>
          <w:sz w:val="20"/>
        </w:rPr>
      </w:pPr>
      <w:r>
        <w:rPr>
          <w:rFonts w:ascii="Times New Roman;serif" w:hAnsi="Times New Roman;serif"/>
          <w:b w:val="false"/>
          <w:sz w:val="20"/>
        </w:rPr>
        <w:t>As of March 31, 2023, the Company's available liquidity was $423.4 million, including its balance of cash and cash equivalents of $99.2 million, $280.0 million in available borrowing capacity under the Credit Facility and $44.2 million in available borrowing capacity under IMAX China's revolving facilities.</w:t>
      </w:r>
      <w:r>
        <w:rPr>
          <w:rFonts w:ascii="Times New Roman" w:hAnsi="Times New Roman"/>
          <w:sz w:val="20"/>
        </w:rPr>
        <w:t xml:space="preserve"> </w:t>
      </w:r>
    </w:p>
    <w:p>
      <w:pPr>
        <w:pStyle w:val="TextBody"/>
        <w:spacing w:before="200" w:after="0"/>
        <w:jc w:val="both"/>
        <w:rPr>
          <w:rFonts w:ascii="Times New Roman;serif" w:hAnsi="Times New Roman;serif"/>
          <w:b w:val="false"/>
          <w:sz w:val="20"/>
        </w:rPr>
      </w:pPr>
      <w:r>
        <w:rPr>
          <w:rFonts w:ascii="Times New Roman;serif" w:hAnsi="Times New Roman;serif"/>
          <w:b w:val="false"/>
          <w:sz w:val="20"/>
        </w:rPr>
        <w:t>As of March 31, 2023, the Company’s principal sources of liquidity included: (i) its balances of cash and cash equivalents; (ii) the anticipated collection of trade accounts receivable, which includes amounts owed under joint revenue sharing arrangements and film remastering and distribution agreements with movie studios; (iii) the anticipated collection of financing receivables due in the next 12 months under sale and sales-type lease arrangements for systems currently in operation; and (iv) installment payments expected in the next 12 months under sale and sales-type lease arrangements in backlog. Under the terms of the Company’s typical sale and sales-type lease agreements, the Company receives substantial cash payments before it completes the performance of its contractual obligations.</w:t>
      </w:r>
    </w:p>
    <w:p>
      <w:pPr>
        <w:pStyle w:val="TextBody"/>
        <w:spacing w:before="200" w:after="0"/>
        <w:jc w:val="both"/>
        <w:rPr>
          <w:rFonts w:ascii="Times New Roman;serif" w:hAnsi="Times New Roman;serif"/>
          <w:b w:val="false"/>
          <w:sz w:val="20"/>
        </w:rPr>
      </w:pPr>
      <w:r>
        <w:rPr>
          <w:rFonts w:ascii="Times New Roman;serif" w:hAnsi="Times New Roman;serif"/>
          <w:b w:val="false"/>
          <w:sz w:val="20"/>
        </w:rPr>
        <w:t>In addition, as of March 31, 2023, the Company had $280.0 million in available borrowing capacity under its Sixth Amended and Restated Credit Agreement with Wells Fargo Bank, National Association (the “Credit Agreement”), $27.3 million in available borrowing capacity under the IMAX (Shanghai) Multimedia Technology Co., Ltd. (“IMAX Shanghai”) revolving credit facility with the Bank of China (the “Bank of China Facility”), and $16.9 million in available borrowing capacity under IMAX Shanghai’s revolving credit facility with HSBC Bank (China) Company Limited, Shanghai Branch (the “HSBC China Facility”). (See Note 6(a) of Notes to Condensed Consolidated Financial Statements in Part 1, Item 1 for a description of the material terms of the Credit Agreement, the Bank of China Facility, and the HSBC Facility.)</w:t>
      </w:r>
    </w:p>
    <w:p>
      <w:pPr>
        <w:pStyle w:val="TextBody"/>
        <w:spacing w:before="200" w:after="0"/>
        <w:jc w:val="both"/>
        <w:rPr>
          <w:rFonts w:ascii="Times New Roman" w:hAnsi="Times New Roman"/>
          <w:sz w:val="20"/>
        </w:rPr>
      </w:pPr>
      <w:r>
        <w:rPr>
          <w:rFonts w:ascii="Times New Roman;serif" w:hAnsi="Times New Roman;serif"/>
          <w:b w:val="false"/>
          <w:sz w:val="20"/>
        </w:rPr>
        <w:t>The Company’s $99.2 million balance of cash and cash equivalents as of March 31, 2023 (December 31, 2022 — $97.4 million) includes $83.6 million in cash held outside of Canada (December 31, 2022 — $79.7 million), of which $47.2 million was held in the People’s Republic of China (the “PRC”) (December 31, 2022 — $43.7 million). Management reassessed its strategy with respect to the most efficient means of deploying the Company’s capital resources globally and determined that historical earnings of certain foreign subsidiaries in excess of amounts required to sustain business operations would no longer be indefinitely reinvested. As of March 31, 2023, the Company’s Condensed Consolidated Balance Sheets include a deferred tax liability of $14.9 million for the applicable foreign withholding taxes associated with the remaining balance of unrepatriated historical earnings that will not be indefinitely reinvested outside of Canada. These taxes will become payable upon the repatriation of any such earnings.</w:t>
      </w:r>
      <w:r>
        <w:rPr>
          <w:rFonts w:ascii="Times New Roman" w:hAnsi="Times New Roman"/>
          <w:sz w:val="20"/>
        </w:rPr>
        <w:t xml:space="preserve"> </w:t>
      </w:r>
    </w:p>
    <w:p>
      <w:pPr>
        <w:pStyle w:val="TextBody"/>
        <w:spacing w:before="200" w:after="0"/>
        <w:jc w:val="both"/>
        <w:rPr>
          <w:rFonts w:ascii="Times New Roman;serif" w:hAnsi="Times New Roman;serif"/>
          <w:b w:val="false"/>
          <w:sz w:val="20"/>
        </w:rPr>
      </w:pPr>
      <w:r>
        <w:rPr>
          <w:rFonts w:ascii="Times New Roman;serif" w:hAnsi="Times New Roman;serif"/>
          <w:b w:val="false"/>
          <w:sz w:val="20"/>
        </w:rPr>
        <w:t>The Company forecasts its future cash flow and short-term liquidity requirements on an ongoing basis. These forecasts are based on estimates and may be materially impacted by factors that are outside of the Company’s control (including the factors described in “Risk Factors” in Part I, Item 1A of the Company’s 2022 Form 10-K. As a result, there is no guarantee that these forecasts will come to fruition and that the Company will be able to fund its operations through cash flows from operations. In particular, the Company’s operating cash flows and cash balances will be adversely impacted if management’s projections of future signings and installations of IMAX Systems and box office performance of IMAX content are not realized.</w:t>
      </w:r>
    </w:p>
    <w:p>
      <w:pPr>
        <w:pStyle w:val="TextBody"/>
        <w:spacing w:before="200" w:after="0"/>
        <w:jc w:val="both"/>
        <w:rPr>
          <w:rFonts w:ascii="Times New Roman" w:hAnsi="Times New Roman"/>
          <w:sz w:val="20"/>
        </w:rPr>
      </w:pPr>
      <w:r>
        <w:rPr>
          <w:rFonts w:ascii="Times New Roman;serif" w:hAnsi="Times New Roman;serif"/>
          <w:b w:val="false"/>
          <w:sz w:val="20"/>
        </w:rPr>
        <w:t xml:space="preserve">For the three months ended March 31, 2023, box office generated by films exhibited in the IMAX network totaled $273.4 million, leading to the Company’s best-ever first quarter box office performance, a $100.2 million, or 58% increase versus the prior year comparative period of $173.2 million. In the first quarter of 2023, box office was generated by the exhibition of 22 films (15 new films, 6 carryovers and 1 re-release) including </w:t>
      </w:r>
      <w:r>
        <w:rPr>
          <w:rFonts w:ascii="Times New Roman;serif" w:hAnsi="Times New Roman;serif"/>
          <w:b w:val="false"/>
          <w:i/>
          <w:sz w:val="20"/>
        </w:rPr>
        <w:t>Avatar: The Way of Water</w:t>
      </w:r>
      <w:r>
        <w:rPr>
          <w:rFonts w:ascii="Times New Roman;serif" w:hAnsi="Times New Roman;serif"/>
          <w:b w:val="false"/>
          <w:sz w:val="20"/>
        </w:rPr>
        <w:t>, which generated box office of $109.1 million, and other content. In addition, in the first quarter of 2023, local language films exhibited across the Company’s global IMAX network generated over $80 million in box office representing 30% of the Company’s total box office. The growth in local language box office was driven primarily by a record IMAX Chinese New Year of $61.3 million for the full 26-day Chinese New Year holiday, a growth of 72% over the prior year, as well as growth in Rest of World box office. Despite accounting for approximately 1% of all domestic screens and less than 1% of all screens globally, the IMAX network had a domestic market share of 4.6% and a global market share of 3.5% for the three months ended March 31, 2023.</w:t>
      </w:r>
      <w:r>
        <w:rPr>
          <w:rFonts w:ascii="Times New Roman" w:hAnsi="Times New Roman"/>
          <w:sz w:val="20"/>
        </w:rPr>
        <w:t xml:space="preserve"> </w:t>
      </w:r>
      <w:r>
        <w:rPr>
          <w:rFonts w:ascii="Times New Roman;serif" w:hAnsi="Times New Roman;serif"/>
          <w:b w:val="false"/>
          <w:sz w:val="20"/>
        </w:rPr>
        <w:t>Management is encouraged by the return of the prevalence of exclusive theatrical windows and the strong pipeline of Hollywood and local language movies scheduled to be released for theatrical exhibition throughout the remainder of 2023 and the visibility into 2024.</w:t>
      </w:r>
    </w:p>
    <w:p>
      <w:pPr>
        <w:pStyle w:val="TextBody"/>
        <w:spacing w:before="200" w:after="0"/>
        <w:jc w:val="both"/>
        <w:rPr>
          <w:rFonts w:ascii="Times New Roman" w:hAnsi="Times New Roman"/>
          <w:sz w:val="20"/>
        </w:rPr>
      </w:pPr>
      <w:r>
        <w:rPr>
          <w:rFonts w:ascii="Times New Roman;serif" w:hAnsi="Times New Roman;serif"/>
          <w:b w:val="false"/>
          <w:sz w:val="20"/>
        </w:rPr>
        <w:t>Based on the Company’s current cash balances and operating cash flows, management expects to have sufficient capital and liquidity to fund its anticipated operating needs and capital requirements during the next twelve-month period following the date of this report.</w:t>
      </w:r>
      <w:r>
        <w:rPr>
          <w:rFonts w:ascii="Times New Roman" w:hAnsi="Times New Roman"/>
          <w:sz w:val="20"/>
        </w:rPr>
        <w:t xml:space="preserve"> </w:t>
      </w:r>
    </w:p>
    <w:p>
      <w:pPr>
        <w:pStyle w:val="TextBody"/>
        <w:spacing w:before="240" w:after="0"/>
        <w:jc w:val="center"/>
        <w:rPr>
          <w:rFonts w:ascii="Times New Roman;serif" w:hAnsi="Times New Roman;serif"/>
          <w:b w:val="false"/>
          <w:sz w:val="20"/>
        </w:rPr>
      </w:pPr>
      <w:r>
        <w:rPr>
          <w:rFonts w:ascii="Times New Roman;serif" w:hAnsi="Times New Roman;serif"/>
          <w:b w:val="false"/>
          <w:sz w:val="20"/>
        </w:rPr>
        <w:t>59</w:t>
      </w:r>
    </w:p>
    <w:p>
      <w:pPr>
        <w:pStyle w:val="HorizontalLine"/>
        <w:rPr/>
      </w:pPr>
      <w:r>
        <w:rPr/>
      </w:r>
    </w:p>
    <w:p>
      <w:pPr>
        <w:pStyle w:val="TextBody"/>
        <w:spacing w:before="0" w:after="0"/>
        <w:jc w:val="left"/>
        <w:rPr/>
      </w:pPr>
      <w:r>
        <w:rPr/>
        <w:t> </w:t>
      </w:r>
    </w:p>
    <w:p>
      <w:pPr>
        <w:pStyle w:val="TextBody"/>
        <w:spacing w:before="200" w:after="0"/>
        <w:jc w:val="both"/>
        <w:rPr>
          <w:rFonts w:ascii="Times New Roman;serif" w:hAnsi="Times New Roman;serif"/>
          <w:b/>
          <w:sz w:val="20"/>
        </w:rPr>
      </w:pPr>
      <w:r>
        <w:rPr>
          <w:rFonts w:ascii="Times New Roman;serif" w:hAnsi="Times New Roman;serif"/>
          <w:b/>
          <w:sz w:val="20"/>
        </w:rPr>
        <w:t>CONTRACTUAL OBLIGATIONS</w:t>
      </w:r>
    </w:p>
    <w:p>
      <w:pPr>
        <w:pStyle w:val="TextBody"/>
        <w:spacing w:before="200" w:after="200"/>
        <w:jc w:val="both"/>
        <w:rPr>
          <w:rFonts w:ascii="Times New Roman;serif" w:hAnsi="Times New Roman;serif"/>
          <w:b w:val="false"/>
          <w:sz w:val="20"/>
        </w:rPr>
      </w:pPr>
      <w:r>
        <w:rPr>
          <w:rFonts w:ascii="Times New Roman;serif" w:hAnsi="Times New Roman;serif"/>
          <w:b w:val="false"/>
          <w:sz w:val="20"/>
        </w:rPr>
        <w:t>Payments to be made by the Company under contractual obligations as of March 31, 2023 are as follows:</w:t>
      </w:r>
    </w:p>
    <w:tbl>
      <w:tblPr>
        <w:tblW w:w="10205" w:type="dxa"/>
        <w:jc w:val="left"/>
        <w:tblInd w:w="0" w:type="dxa"/>
        <w:tblCellMar>
          <w:top w:w="28" w:type="dxa"/>
          <w:left w:w="28" w:type="dxa"/>
          <w:bottom w:w="28" w:type="dxa"/>
          <w:right w:w="28" w:type="dxa"/>
        </w:tblCellMar>
      </w:tblPr>
      <w:tblGrid>
        <w:gridCol w:w="3312"/>
        <w:gridCol w:w="146"/>
        <w:gridCol w:w="211"/>
        <w:gridCol w:w="781"/>
        <w:gridCol w:w="146"/>
        <w:gridCol w:w="146"/>
        <w:gridCol w:w="370"/>
        <w:gridCol w:w="1188"/>
        <w:gridCol w:w="146"/>
        <w:gridCol w:w="146"/>
        <w:gridCol w:w="227"/>
        <w:gridCol w:w="730"/>
        <w:gridCol w:w="146"/>
        <w:gridCol w:w="146"/>
        <w:gridCol w:w="211"/>
        <w:gridCol w:w="781"/>
        <w:gridCol w:w="146"/>
        <w:gridCol w:w="146"/>
        <w:gridCol w:w="239"/>
        <w:gridCol w:w="647"/>
        <w:gridCol w:w="194"/>
      </w:tblGrid>
      <w:tr>
        <w:trPr/>
        <w:tc>
          <w:tcPr>
            <w:tcW w:w="3312"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81"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370" w:type="dxa"/>
            <w:tcBorders/>
            <w:shd w:fill="auto" w:val="clear"/>
            <w:vAlign w:val="center"/>
          </w:tcPr>
          <w:p>
            <w:pPr>
              <w:pStyle w:val="TableContents"/>
              <w:spacing w:before="0" w:after="283"/>
              <w:rPr>
                <w:sz w:val="4"/>
                <w:szCs w:val="4"/>
              </w:rPr>
            </w:pPr>
            <w:r>
              <w:rPr>
                <w:sz w:val="4"/>
                <w:szCs w:val="4"/>
              </w:rPr>
            </w:r>
          </w:p>
        </w:tc>
        <w:tc>
          <w:tcPr>
            <w:tcW w:w="1188"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27" w:type="dxa"/>
            <w:tcBorders/>
            <w:shd w:fill="auto" w:val="clear"/>
            <w:vAlign w:val="center"/>
          </w:tcPr>
          <w:p>
            <w:pPr>
              <w:pStyle w:val="TableContents"/>
              <w:spacing w:before="0" w:after="283"/>
              <w:rPr>
                <w:sz w:val="4"/>
                <w:szCs w:val="4"/>
              </w:rPr>
            </w:pPr>
            <w:r>
              <w:rPr>
                <w:sz w:val="4"/>
                <w:szCs w:val="4"/>
              </w:rPr>
            </w:r>
          </w:p>
        </w:tc>
        <w:tc>
          <w:tcPr>
            <w:tcW w:w="730"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81"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39" w:type="dxa"/>
            <w:tcBorders/>
            <w:shd w:fill="auto" w:val="clear"/>
            <w:vAlign w:val="center"/>
          </w:tcPr>
          <w:p>
            <w:pPr>
              <w:pStyle w:val="TableContents"/>
              <w:spacing w:before="0" w:after="283"/>
              <w:rPr>
                <w:sz w:val="4"/>
                <w:szCs w:val="4"/>
              </w:rPr>
            </w:pPr>
            <w:r>
              <w:rPr>
                <w:sz w:val="4"/>
                <w:szCs w:val="4"/>
              </w:rPr>
            </w:r>
          </w:p>
        </w:tc>
        <w:tc>
          <w:tcPr>
            <w:tcW w:w="647" w:type="dxa"/>
            <w:tcBorders/>
            <w:shd w:fill="auto" w:val="clear"/>
            <w:vAlign w:val="center"/>
          </w:tcPr>
          <w:p>
            <w:pPr>
              <w:pStyle w:val="TableContents"/>
              <w:spacing w:before="0" w:after="283"/>
              <w:rPr>
                <w:sz w:val="4"/>
                <w:szCs w:val="4"/>
              </w:rPr>
            </w:pPr>
            <w:r>
              <w:rPr>
                <w:sz w:val="4"/>
                <w:szCs w:val="4"/>
              </w:rPr>
            </w:r>
          </w:p>
        </w:tc>
        <w:tc>
          <w:tcPr>
            <w:tcW w:w="194" w:type="dxa"/>
            <w:tcBorders/>
            <w:shd w:fill="auto" w:val="clear"/>
            <w:vAlign w:val="center"/>
          </w:tcPr>
          <w:p>
            <w:pPr>
              <w:pStyle w:val="TableContents"/>
              <w:spacing w:before="0" w:after="283"/>
              <w:rPr>
                <w:sz w:val="4"/>
                <w:szCs w:val="4"/>
              </w:rPr>
            </w:pPr>
            <w:r>
              <w:rPr>
                <w:sz w:val="4"/>
                <w:szCs w:val="4"/>
              </w:rPr>
            </w:r>
          </w:p>
        </w:tc>
      </w:tr>
      <w:tr>
        <w:trPr/>
        <w:tc>
          <w:tcPr>
            <w:tcW w:w="3312"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6553" w:type="dxa"/>
            <w:gridSpan w:val="18"/>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Payments Due by Period</w:t>
            </w:r>
          </w:p>
        </w:tc>
        <w:tc>
          <w:tcPr>
            <w:tcW w:w="194"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3312" w:type="dxa"/>
            <w:tcBorders/>
            <w:shd w:fill="auto" w:val="clear"/>
            <w:vAlign w:val="center"/>
          </w:tcPr>
          <w:p>
            <w:pPr>
              <w:pStyle w:val="TableContents"/>
              <w:spacing w:before="0" w:after="0"/>
              <w:ind w:left="0" w:right="0" w:hanging="0"/>
              <w:jc w:val="left"/>
              <w:rPr>
                <w:rFonts w:ascii="Times New Roman;serif" w:hAnsi="Times New Roman;serif"/>
                <w:b w:val="false"/>
                <w:i/>
                <w:sz w:val="16"/>
              </w:rPr>
            </w:pPr>
            <w:r>
              <w:rPr>
                <w:rFonts w:ascii="Times New Roman;serif" w:hAnsi="Times New Roman;serif"/>
                <w:b w:val="false"/>
                <w:i/>
                <w:sz w:val="16"/>
              </w:rPr>
              <w:t>(In thousands of U.S. Dollars)</w:t>
            </w:r>
          </w:p>
        </w:tc>
        <w:tc>
          <w:tcPr>
            <w:tcW w:w="146" w:type="dxa"/>
            <w:tcBorders/>
            <w:shd w:fill="auto" w:val="clear"/>
            <w:vAlign w:val="center"/>
          </w:tcPr>
          <w:p>
            <w:pPr>
              <w:pStyle w:val="TableContents"/>
              <w:spacing w:before="0" w:after="0"/>
              <w:ind w:left="0" w:right="0" w:hanging="0"/>
              <w:jc w:val="left"/>
              <w:rPr/>
            </w:pPr>
            <w:r>
              <w:rPr/>
              <w:t> </w:t>
            </w:r>
          </w:p>
        </w:tc>
        <w:tc>
          <w:tcPr>
            <w:tcW w:w="992"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 xml:space="preserve">Total </w:t>
              <w:br/>
              <w:t>Obligation</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558"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Less Than One Year</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957"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1 to 3 years</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992"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3 to 5 years</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886"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Thereafter</w:t>
            </w:r>
          </w:p>
        </w:tc>
        <w:tc>
          <w:tcPr>
            <w:tcW w:w="194"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3312" w:type="dxa"/>
            <w:tcBorders/>
            <w:shd w:fill="auto" w:val="clear"/>
            <w:vAlign w:val="center"/>
          </w:tcPr>
          <w:p>
            <w:pPr>
              <w:pStyle w:val="TableContents"/>
              <w:spacing w:before="0" w:after="0"/>
              <w:ind w:left="0" w:right="0" w:hanging="0"/>
              <w:jc w:val="left"/>
              <w:rPr>
                <w:rFonts w:ascii="Times New Roman" w:hAnsi="Times New Roman"/>
                <w:sz w:val="20"/>
              </w:rPr>
            </w:pPr>
            <w:r>
              <w:rPr>
                <w:rFonts w:ascii="Times New Roman;serif" w:hAnsi="Times New Roman;serif"/>
                <w:b w:val="false"/>
                <w:sz w:val="20"/>
              </w:rPr>
              <w:t>Purchase obligations</w:t>
            </w:r>
            <w:r>
              <w:rPr>
                <w:rFonts w:ascii="Times New Roman;serif" w:hAnsi="Times New Roman;serif"/>
                <w:b w:val="false"/>
                <w:sz w:val="13"/>
              </w:rPr>
              <w:t>(1)</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8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39,534</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370"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188"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36,231</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227"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30"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2,668</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21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8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391</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239"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47"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244</w:t>
            </w:r>
          </w:p>
        </w:tc>
        <w:tc>
          <w:tcPr>
            <w:tcW w:w="194" w:type="dxa"/>
            <w:tcBorders/>
            <w:shd w:fill="auto" w:val="clear"/>
            <w:vAlign w:val="center"/>
          </w:tcPr>
          <w:p>
            <w:pPr>
              <w:pStyle w:val="TableContents"/>
              <w:spacing w:before="0" w:after="0"/>
              <w:ind w:left="0" w:right="0" w:hanging="0"/>
              <w:jc w:val="left"/>
              <w:rPr/>
            </w:pPr>
            <w:r>
              <w:rPr/>
              <w:t> </w:t>
            </w:r>
          </w:p>
        </w:tc>
      </w:tr>
      <w:tr>
        <w:trPr/>
        <w:tc>
          <w:tcPr>
            <w:tcW w:w="3312" w:type="dxa"/>
            <w:tcBorders/>
            <w:shd w:fill="auto" w:val="clear"/>
            <w:vAlign w:val="center"/>
          </w:tcPr>
          <w:p>
            <w:pPr>
              <w:pStyle w:val="TableContents"/>
              <w:spacing w:before="0" w:after="0"/>
              <w:ind w:left="0" w:right="0" w:hanging="0"/>
              <w:jc w:val="left"/>
              <w:rPr>
                <w:rFonts w:ascii="Times New Roman" w:hAnsi="Times New Roman"/>
                <w:sz w:val="20"/>
              </w:rPr>
            </w:pPr>
            <w:r>
              <w:rPr>
                <w:rFonts w:ascii="Times New Roman;serif" w:hAnsi="Times New Roman;serif"/>
                <w:b w:val="false"/>
                <w:sz w:val="20"/>
              </w:rPr>
              <w:t>Pension obligations</w:t>
            </w:r>
            <w:r>
              <w:rPr>
                <w:rFonts w:ascii="Times New Roman;serif" w:hAnsi="Times New Roman;serif"/>
                <w:b w:val="false"/>
                <w:sz w:val="13"/>
              </w:rPr>
              <w:t>(2)</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78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20,298</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370" w:type="dxa"/>
            <w:tcBorders/>
            <w:shd w:fill="auto" w:val="clear"/>
            <w:vAlign w:val="center"/>
          </w:tcPr>
          <w:p>
            <w:pPr>
              <w:pStyle w:val="TableContents"/>
              <w:spacing w:before="0" w:after="0"/>
              <w:ind w:left="0" w:right="0" w:hanging="0"/>
              <w:jc w:val="left"/>
              <w:rPr/>
            </w:pPr>
            <w:r>
              <w:rPr/>
              <w:t> </w:t>
            </w:r>
          </w:p>
        </w:tc>
        <w:tc>
          <w:tcPr>
            <w:tcW w:w="1188"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227" w:type="dxa"/>
            <w:tcBorders/>
            <w:shd w:fill="auto" w:val="clear"/>
            <w:vAlign w:val="center"/>
          </w:tcPr>
          <w:p>
            <w:pPr>
              <w:pStyle w:val="TableContents"/>
              <w:spacing w:before="0" w:after="0"/>
              <w:ind w:left="0" w:right="0" w:hanging="0"/>
              <w:jc w:val="left"/>
              <w:rPr/>
            </w:pPr>
            <w:r>
              <w:rPr/>
              <w:t> </w:t>
            </w:r>
          </w:p>
        </w:tc>
        <w:tc>
          <w:tcPr>
            <w:tcW w:w="730"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78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20,298</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239" w:type="dxa"/>
            <w:tcBorders/>
            <w:shd w:fill="auto" w:val="clear"/>
            <w:vAlign w:val="center"/>
          </w:tcPr>
          <w:p>
            <w:pPr>
              <w:pStyle w:val="TableContents"/>
              <w:spacing w:before="0" w:after="0"/>
              <w:ind w:left="0" w:right="0" w:hanging="0"/>
              <w:jc w:val="left"/>
              <w:rPr/>
            </w:pPr>
            <w:r>
              <w:rPr/>
              <w:t> </w:t>
            </w:r>
          </w:p>
        </w:tc>
        <w:tc>
          <w:tcPr>
            <w:tcW w:w="647" w:type="dxa"/>
            <w:tcBorders/>
            <w:shd w:fill="auto" w:val="clear"/>
            <w:vAlign w:val="center"/>
          </w:tcPr>
          <w:p>
            <w:pPr>
              <w:pStyle w:val="TableContents"/>
              <w:spacing w:before="0" w:after="0"/>
              <w:ind w:left="0" w:right="0" w:hanging="0"/>
              <w:jc w:val="right"/>
              <w:rPr/>
            </w:pPr>
            <w:r>
              <w:rPr/>
              <w:t>—</w:t>
            </w:r>
          </w:p>
        </w:tc>
        <w:tc>
          <w:tcPr>
            <w:tcW w:w="194" w:type="dxa"/>
            <w:tcBorders/>
            <w:shd w:fill="auto" w:val="clear"/>
            <w:vAlign w:val="center"/>
          </w:tcPr>
          <w:p>
            <w:pPr>
              <w:pStyle w:val="TableContents"/>
              <w:spacing w:before="0" w:after="0"/>
              <w:ind w:left="0" w:right="0" w:hanging="0"/>
              <w:jc w:val="left"/>
              <w:rPr/>
            </w:pPr>
            <w:r>
              <w:rPr/>
              <w:t> </w:t>
            </w:r>
          </w:p>
        </w:tc>
      </w:tr>
      <w:tr>
        <w:trPr/>
        <w:tc>
          <w:tcPr>
            <w:tcW w:w="3312" w:type="dxa"/>
            <w:tcBorders/>
            <w:shd w:fill="auto" w:val="clear"/>
            <w:vAlign w:val="center"/>
          </w:tcPr>
          <w:p>
            <w:pPr>
              <w:pStyle w:val="TableContents"/>
              <w:spacing w:before="0" w:after="0"/>
              <w:ind w:left="0" w:right="0" w:hanging="0"/>
              <w:jc w:val="left"/>
              <w:rPr>
                <w:rFonts w:ascii="Times New Roman" w:hAnsi="Times New Roman"/>
                <w:sz w:val="20"/>
              </w:rPr>
            </w:pPr>
            <w:r>
              <w:rPr>
                <w:rFonts w:ascii="Times New Roman;serif" w:hAnsi="Times New Roman;serif"/>
                <w:b w:val="false"/>
                <w:sz w:val="20"/>
              </w:rPr>
              <w:t>Operating lease obligations</w:t>
            </w:r>
            <w:r>
              <w:rPr>
                <w:rFonts w:ascii="Times New Roman;serif" w:hAnsi="Times New Roman;serif"/>
                <w:b w:val="false"/>
                <w:sz w:val="13"/>
              </w:rPr>
              <w:t>(3)</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78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16,969</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370" w:type="dxa"/>
            <w:tcBorders/>
            <w:shd w:fill="auto" w:val="clear"/>
            <w:vAlign w:val="center"/>
          </w:tcPr>
          <w:p>
            <w:pPr>
              <w:pStyle w:val="TableContents"/>
              <w:spacing w:before="0" w:after="0"/>
              <w:ind w:left="0" w:right="0" w:hanging="0"/>
              <w:jc w:val="left"/>
              <w:rPr/>
            </w:pPr>
            <w:r>
              <w:rPr/>
              <w:t> </w:t>
            </w:r>
          </w:p>
        </w:tc>
        <w:tc>
          <w:tcPr>
            <w:tcW w:w="1188"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3,669</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227" w:type="dxa"/>
            <w:tcBorders/>
            <w:shd w:fill="auto" w:val="clear"/>
            <w:vAlign w:val="center"/>
          </w:tcPr>
          <w:p>
            <w:pPr>
              <w:pStyle w:val="TableContents"/>
              <w:spacing w:before="0" w:after="0"/>
              <w:ind w:left="0" w:right="0" w:hanging="0"/>
              <w:jc w:val="left"/>
              <w:rPr/>
            </w:pPr>
            <w:r>
              <w:rPr/>
              <w:t> </w:t>
            </w:r>
          </w:p>
        </w:tc>
        <w:tc>
          <w:tcPr>
            <w:tcW w:w="730"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5,551</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78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4,127</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239" w:type="dxa"/>
            <w:tcBorders/>
            <w:shd w:fill="auto" w:val="clear"/>
            <w:vAlign w:val="center"/>
          </w:tcPr>
          <w:p>
            <w:pPr>
              <w:pStyle w:val="TableContents"/>
              <w:spacing w:before="0" w:after="0"/>
              <w:ind w:left="0" w:right="0" w:hanging="0"/>
              <w:jc w:val="left"/>
              <w:rPr/>
            </w:pPr>
            <w:r>
              <w:rPr/>
              <w:t> </w:t>
            </w:r>
          </w:p>
        </w:tc>
        <w:tc>
          <w:tcPr>
            <w:tcW w:w="647"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3,622</w:t>
            </w:r>
          </w:p>
        </w:tc>
        <w:tc>
          <w:tcPr>
            <w:tcW w:w="194" w:type="dxa"/>
            <w:tcBorders/>
            <w:shd w:fill="auto" w:val="clear"/>
            <w:vAlign w:val="center"/>
          </w:tcPr>
          <w:p>
            <w:pPr>
              <w:pStyle w:val="TableContents"/>
              <w:spacing w:before="0" w:after="0"/>
              <w:ind w:left="0" w:right="0" w:hanging="0"/>
              <w:jc w:val="left"/>
              <w:rPr/>
            </w:pPr>
            <w:r>
              <w:rPr/>
              <w:t> </w:t>
            </w:r>
          </w:p>
        </w:tc>
      </w:tr>
      <w:tr>
        <w:trPr/>
        <w:tc>
          <w:tcPr>
            <w:tcW w:w="3312"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Finance lease obligations</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78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1,016</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370" w:type="dxa"/>
            <w:tcBorders/>
            <w:shd w:fill="auto" w:val="clear"/>
            <w:vAlign w:val="center"/>
          </w:tcPr>
          <w:p>
            <w:pPr>
              <w:pStyle w:val="TableContents"/>
              <w:spacing w:before="0" w:after="0"/>
              <w:ind w:left="0" w:right="0" w:hanging="0"/>
              <w:jc w:val="left"/>
              <w:rPr/>
            </w:pPr>
            <w:r>
              <w:rPr/>
              <w:t> </w:t>
            </w:r>
          </w:p>
        </w:tc>
        <w:tc>
          <w:tcPr>
            <w:tcW w:w="1188"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508</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227" w:type="dxa"/>
            <w:tcBorders/>
            <w:shd w:fill="auto" w:val="clear"/>
            <w:vAlign w:val="center"/>
          </w:tcPr>
          <w:p>
            <w:pPr>
              <w:pStyle w:val="TableContents"/>
              <w:spacing w:before="0" w:after="0"/>
              <w:ind w:left="0" w:right="0" w:hanging="0"/>
              <w:jc w:val="left"/>
              <w:rPr/>
            </w:pPr>
            <w:r>
              <w:rPr/>
              <w:t> </w:t>
            </w:r>
          </w:p>
        </w:tc>
        <w:tc>
          <w:tcPr>
            <w:tcW w:w="730"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508</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781"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239" w:type="dxa"/>
            <w:tcBorders/>
            <w:shd w:fill="auto" w:val="clear"/>
            <w:vAlign w:val="center"/>
          </w:tcPr>
          <w:p>
            <w:pPr>
              <w:pStyle w:val="TableContents"/>
              <w:spacing w:before="0" w:after="0"/>
              <w:ind w:left="0" w:right="0" w:hanging="0"/>
              <w:jc w:val="left"/>
              <w:rPr/>
            </w:pPr>
            <w:r>
              <w:rPr/>
              <w:t> </w:t>
            </w:r>
          </w:p>
        </w:tc>
        <w:tc>
          <w:tcPr>
            <w:tcW w:w="647" w:type="dxa"/>
            <w:tcBorders/>
            <w:shd w:fill="auto" w:val="clear"/>
            <w:vAlign w:val="center"/>
          </w:tcPr>
          <w:p>
            <w:pPr>
              <w:pStyle w:val="TableContents"/>
              <w:spacing w:before="0" w:after="0"/>
              <w:ind w:left="0" w:right="0" w:hanging="0"/>
              <w:jc w:val="right"/>
              <w:rPr/>
            </w:pPr>
            <w:r>
              <w:rPr/>
              <w:t>—</w:t>
            </w:r>
          </w:p>
        </w:tc>
        <w:tc>
          <w:tcPr>
            <w:tcW w:w="194" w:type="dxa"/>
            <w:tcBorders/>
            <w:shd w:fill="auto" w:val="clear"/>
            <w:vAlign w:val="center"/>
          </w:tcPr>
          <w:p>
            <w:pPr>
              <w:pStyle w:val="TableContents"/>
              <w:spacing w:before="0" w:after="0"/>
              <w:ind w:left="0" w:right="0" w:hanging="0"/>
              <w:jc w:val="left"/>
              <w:rPr/>
            </w:pPr>
            <w:r>
              <w:rPr/>
              <w:t> </w:t>
            </w:r>
          </w:p>
        </w:tc>
      </w:tr>
      <w:tr>
        <w:trPr/>
        <w:tc>
          <w:tcPr>
            <w:tcW w:w="3312"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Wells Fargo Facility</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78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20,000</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370" w:type="dxa"/>
            <w:tcBorders/>
            <w:shd w:fill="auto" w:val="clear"/>
            <w:vAlign w:val="center"/>
          </w:tcPr>
          <w:p>
            <w:pPr>
              <w:pStyle w:val="TableContents"/>
              <w:spacing w:before="0" w:after="0"/>
              <w:ind w:left="0" w:right="0" w:hanging="0"/>
              <w:jc w:val="left"/>
              <w:rPr/>
            </w:pPr>
            <w:r>
              <w:rPr/>
              <w:t> </w:t>
            </w:r>
          </w:p>
        </w:tc>
        <w:tc>
          <w:tcPr>
            <w:tcW w:w="1188"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227" w:type="dxa"/>
            <w:tcBorders/>
            <w:shd w:fill="auto" w:val="clear"/>
            <w:vAlign w:val="center"/>
          </w:tcPr>
          <w:p>
            <w:pPr>
              <w:pStyle w:val="TableContents"/>
              <w:spacing w:before="0" w:after="0"/>
              <w:ind w:left="0" w:right="0" w:hanging="0"/>
              <w:jc w:val="left"/>
              <w:rPr/>
            </w:pPr>
            <w:r>
              <w:rPr/>
              <w:t> </w:t>
            </w:r>
          </w:p>
        </w:tc>
        <w:tc>
          <w:tcPr>
            <w:tcW w:w="730"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78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20,000</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239" w:type="dxa"/>
            <w:tcBorders/>
            <w:shd w:fill="auto" w:val="clear"/>
            <w:vAlign w:val="center"/>
          </w:tcPr>
          <w:p>
            <w:pPr>
              <w:pStyle w:val="TableContents"/>
              <w:spacing w:before="0" w:after="0"/>
              <w:ind w:left="0" w:right="0" w:hanging="0"/>
              <w:jc w:val="left"/>
              <w:rPr/>
            </w:pPr>
            <w:r>
              <w:rPr/>
              <w:t> </w:t>
            </w:r>
          </w:p>
        </w:tc>
        <w:tc>
          <w:tcPr>
            <w:tcW w:w="647" w:type="dxa"/>
            <w:tcBorders/>
            <w:shd w:fill="auto" w:val="clear"/>
            <w:vAlign w:val="center"/>
          </w:tcPr>
          <w:p>
            <w:pPr>
              <w:pStyle w:val="TableContents"/>
              <w:spacing w:before="0" w:after="0"/>
              <w:ind w:left="0" w:right="0" w:hanging="0"/>
              <w:jc w:val="right"/>
              <w:rPr/>
            </w:pPr>
            <w:r>
              <w:rPr/>
              <w:t>—</w:t>
            </w:r>
          </w:p>
        </w:tc>
        <w:tc>
          <w:tcPr>
            <w:tcW w:w="194" w:type="dxa"/>
            <w:tcBorders/>
            <w:shd w:fill="auto" w:val="clear"/>
            <w:vAlign w:val="center"/>
          </w:tcPr>
          <w:p>
            <w:pPr>
              <w:pStyle w:val="TableContents"/>
              <w:spacing w:before="0" w:after="0"/>
              <w:ind w:left="0" w:right="0" w:hanging="0"/>
              <w:jc w:val="left"/>
              <w:rPr/>
            </w:pPr>
            <w:r>
              <w:rPr/>
              <w:t> </w:t>
            </w:r>
          </w:p>
        </w:tc>
      </w:tr>
      <w:tr>
        <w:trPr/>
        <w:tc>
          <w:tcPr>
            <w:tcW w:w="3312"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HSBC Facility</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78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12,165</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370" w:type="dxa"/>
            <w:tcBorders/>
            <w:shd w:fill="auto" w:val="clear"/>
            <w:vAlign w:val="center"/>
          </w:tcPr>
          <w:p>
            <w:pPr>
              <w:pStyle w:val="TableContents"/>
              <w:spacing w:before="0" w:after="0"/>
              <w:ind w:left="0" w:right="0" w:hanging="0"/>
              <w:jc w:val="left"/>
              <w:rPr/>
            </w:pPr>
            <w:r>
              <w:rPr/>
              <w:t> </w:t>
            </w:r>
          </w:p>
        </w:tc>
        <w:tc>
          <w:tcPr>
            <w:tcW w:w="1188"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12,165</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227" w:type="dxa"/>
            <w:tcBorders/>
            <w:shd w:fill="auto" w:val="clear"/>
            <w:vAlign w:val="center"/>
          </w:tcPr>
          <w:p>
            <w:pPr>
              <w:pStyle w:val="TableContents"/>
              <w:spacing w:before="0" w:after="0"/>
              <w:ind w:left="0" w:right="0" w:hanging="0"/>
              <w:jc w:val="left"/>
              <w:rPr/>
            </w:pPr>
            <w:r>
              <w:rPr/>
              <w:t> </w:t>
            </w:r>
          </w:p>
        </w:tc>
        <w:tc>
          <w:tcPr>
            <w:tcW w:w="730"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781"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239" w:type="dxa"/>
            <w:tcBorders/>
            <w:shd w:fill="auto" w:val="clear"/>
            <w:vAlign w:val="center"/>
          </w:tcPr>
          <w:p>
            <w:pPr>
              <w:pStyle w:val="TableContents"/>
              <w:spacing w:before="0" w:after="0"/>
              <w:ind w:left="0" w:right="0" w:hanging="0"/>
              <w:jc w:val="left"/>
              <w:rPr/>
            </w:pPr>
            <w:r>
              <w:rPr/>
              <w:t> </w:t>
            </w:r>
          </w:p>
        </w:tc>
        <w:tc>
          <w:tcPr>
            <w:tcW w:w="647" w:type="dxa"/>
            <w:tcBorders/>
            <w:shd w:fill="auto" w:val="clear"/>
            <w:vAlign w:val="center"/>
          </w:tcPr>
          <w:p>
            <w:pPr>
              <w:pStyle w:val="TableContents"/>
              <w:spacing w:before="0" w:after="0"/>
              <w:ind w:left="0" w:right="0" w:hanging="0"/>
              <w:jc w:val="right"/>
              <w:rPr/>
            </w:pPr>
            <w:r>
              <w:rPr/>
              <w:t>—</w:t>
            </w:r>
          </w:p>
        </w:tc>
        <w:tc>
          <w:tcPr>
            <w:tcW w:w="194" w:type="dxa"/>
            <w:tcBorders/>
            <w:shd w:fill="auto" w:val="clear"/>
            <w:vAlign w:val="center"/>
          </w:tcPr>
          <w:p>
            <w:pPr>
              <w:pStyle w:val="TableContents"/>
              <w:spacing w:before="0" w:after="0"/>
              <w:ind w:left="0" w:right="0" w:hanging="0"/>
              <w:jc w:val="left"/>
              <w:rPr/>
            </w:pPr>
            <w:r>
              <w:rPr/>
              <w:t> </w:t>
            </w:r>
          </w:p>
        </w:tc>
      </w:tr>
      <w:tr>
        <w:trPr/>
        <w:tc>
          <w:tcPr>
            <w:tcW w:w="3312"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Bank of China Facility</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78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379</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370" w:type="dxa"/>
            <w:tcBorders/>
            <w:shd w:fill="auto" w:val="clear"/>
            <w:vAlign w:val="center"/>
          </w:tcPr>
          <w:p>
            <w:pPr>
              <w:pStyle w:val="TableContents"/>
              <w:spacing w:before="0" w:after="0"/>
              <w:ind w:left="0" w:right="0" w:hanging="0"/>
              <w:jc w:val="left"/>
              <w:rPr/>
            </w:pPr>
            <w:r>
              <w:rPr/>
              <w:t> </w:t>
            </w:r>
          </w:p>
        </w:tc>
        <w:tc>
          <w:tcPr>
            <w:tcW w:w="1188"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379</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227" w:type="dxa"/>
            <w:tcBorders/>
            <w:shd w:fill="auto" w:val="clear"/>
            <w:vAlign w:val="center"/>
          </w:tcPr>
          <w:p>
            <w:pPr>
              <w:pStyle w:val="TableContents"/>
              <w:spacing w:before="0" w:after="0"/>
              <w:ind w:left="0" w:right="0" w:hanging="0"/>
              <w:jc w:val="left"/>
              <w:rPr/>
            </w:pPr>
            <w:r>
              <w:rPr/>
              <w:t> </w:t>
            </w:r>
          </w:p>
        </w:tc>
        <w:tc>
          <w:tcPr>
            <w:tcW w:w="730"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781"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239" w:type="dxa"/>
            <w:tcBorders/>
            <w:shd w:fill="auto" w:val="clear"/>
            <w:vAlign w:val="center"/>
          </w:tcPr>
          <w:p>
            <w:pPr>
              <w:pStyle w:val="TableContents"/>
              <w:spacing w:before="0" w:after="0"/>
              <w:ind w:left="0" w:right="0" w:hanging="0"/>
              <w:jc w:val="left"/>
              <w:rPr/>
            </w:pPr>
            <w:r>
              <w:rPr/>
              <w:t> </w:t>
            </w:r>
          </w:p>
        </w:tc>
        <w:tc>
          <w:tcPr>
            <w:tcW w:w="647" w:type="dxa"/>
            <w:tcBorders/>
            <w:shd w:fill="auto" w:val="clear"/>
            <w:vAlign w:val="center"/>
          </w:tcPr>
          <w:p>
            <w:pPr>
              <w:pStyle w:val="TableContents"/>
              <w:spacing w:before="0" w:after="0"/>
              <w:ind w:left="0" w:right="0" w:hanging="0"/>
              <w:jc w:val="right"/>
              <w:rPr/>
            </w:pPr>
            <w:r>
              <w:rPr/>
              <w:t>—</w:t>
            </w:r>
          </w:p>
        </w:tc>
        <w:tc>
          <w:tcPr>
            <w:tcW w:w="194" w:type="dxa"/>
            <w:tcBorders/>
            <w:shd w:fill="auto" w:val="clear"/>
            <w:vAlign w:val="center"/>
          </w:tcPr>
          <w:p>
            <w:pPr>
              <w:pStyle w:val="TableContents"/>
              <w:spacing w:before="0" w:after="0"/>
              <w:ind w:left="0" w:right="0" w:hanging="0"/>
              <w:jc w:val="left"/>
              <w:rPr/>
            </w:pPr>
            <w:r>
              <w:rPr/>
              <w:t> </w:t>
            </w:r>
          </w:p>
        </w:tc>
      </w:tr>
      <w:tr>
        <w:trPr/>
        <w:tc>
          <w:tcPr>
            <w:tcW w:w="3312" w:type="dxa"/>
            <w:tcBorders/>
            <w:shd w:fill="auto" w:val="clear"/>
            <w:vAlign w:val="center"/>
          </w:tcPr>
          <w:p>
            <w:pPr>
              <w:pStyle w:val="TableContents"/>
              <w:spacing w:before="0" w:after="0"/>
              <w:ind w:left="0" w:right="0" w:hanging="0"/>
              <w:jc w:val="left"/>
              <w:rPr>
                <w:rFonts w:ascii="Times New Roman" w:hAnsi="Times New Roman"/>
                <w:sz w:val="20"/>
              </w:rPr>
            </w:pPr>
            <w:r>
              <w:rPr>
                <w:rFonts w:ascii="Times New Roman;serif" w:hAnsi="Times New Roman;serif"/>
                <w:b w:val="false"/>
                <w:sz w:val="20"/>
              </w:rPr>
              <w:t>Federal Economic Development Loan</w:t>
            </w:r>
            <w:r>
              <w:rPr>
                <w:rFonts w:ascii="Times New Roman;serif" w:hAnsi="Times New Roman;serif"/>
                <w:b w:val="false"/>
                <w:sz w:val="13"/>
              </w:rPr>
              <w:t>(4)</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78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3,128</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370" w:type="dxa"/>
            <w:tcBorders/>
            <w:shd w:fill="auto" w:val="clear"/>
            <w:vAlign w:val="center"/>
          </w:tcPr>
          <w:p>
            <w:pPr>
              <w:pStyle w:val="TableContents"/>
              <w:spacing w:before="0" w:after="0"/>
              <w:ind w:left="0" w:right="0" w:hanging="0"/>
              <w:jc w:val="left"/>
              <w:rPr/>
            </w:pPr>
            <w:r>
              <w:rPr/>
              <w:t> </w:t>
            </w:r>
          </w:p>
        </w:tc>
        <w:tc>
          <w:tcPr>
            <w:tcW w:w="1188"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156</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227" w:type="dxa"/>
            <w:tcBorders/>
            <w:shd w:fill="auto" w:val="clear"/>
            <w:vAlign w:val="center"/>
          </w:tcPr>
          <w:p>
            <w:pPr>
              <w:pStyle w:val="TableContents"/>
              <w:spacing w:before="0" w:after="0"/>
              <w:ind w:left="0" w:right="0" w:hanging="0"/>
              <w:jc w:val="left"/>
              <w:rPr/>
            </w:pPr>
            <w:r>
              <w:rPr/>
              <w:t> </w:t>
            </w:r>
          </w:p>
        </w:tc>
        <w:tc>
          <w:tcPr>
            <w:tcW w:w="730"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1,251</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78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1,251</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239" w:type="dxa"/>
            <w:tcBorders/>
            <w:shd w:fill="auto" w:val="clear"/>
            <w:vAlign w:val="center"/>
          </w:tcPr>
          <w:p>
            <w:pPr>
              <w:pStyle w:val="TableContents"/>
              <w:spacing w:before="0" w:after="0"/>
              <w:ind w:left="0" w:right="0" w:hanging="0"/>
              <w:jc w:val="left"/>
              <w:rPr/>
            </w:pPr>
            <w:r>
              <w:rPr/>
              <w:t> </w:t>
            </w:r>
          </w:p>
        </w:tc>
        <w:tc>
          <w:tcPr>
            <w:tcW w:w="647"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470</w:t>
            </w:r>
          </w:p>
        </w:tc>
        <w:tc>
          <w:tcPr>
            <w:tcW w:w="194" w:type="dxa"/>
            <w:tcBorders/>
            <w:shd w:fill="auto" w:val="clear"/>
            <w:vAlign w:val="center"/>
          </w:tcPr>
          <w:p>
            <w:pPr>
              <w:pStyle w:val="TableContents"/>
              <w:spacing w:before="0" w:after="0"/>
              <w:ind w:left="0" w:right="0" w:hanging="0"/>
              <w:jc w:val="left"/>
              <w:rPr/>
            </w:pPr>
            <w:r>
              <w:rPr/>
              <w:t> </w:t>
            </w:r>
          </w:p>
        </w:tc>
      </w:tr>
      <w:tr>
        <w:trPr/>
        <w:tc>
          <w:tcPr>
            <w:tcW w:w="3312" w:type="dxa"/>
            <w:tcBorders/>
            <w:shd w:fill="auto" w:val="clear"/>
            <w:vAlign w:val="center"/>
          </w:tcPr>
          <w:p>
            <w:pPr>
              <w:pStyle w:val="TableContents"/>
              <w:spacing w:before="0" w:after="0"/>
              <w:ind w:left="0" w:right="0" w:hanging="0"/>
              <w:jc w:val="left"/>
              <w:rPr>
                <w:rFonts w:ascii="Times New Roman" w:hAnsi="Times New Roman"/>
                <w:sz w:val="20"/>
              </w:rPr>
            </w:pPr>
            <w:r>
              <w:rPr>
                <w:rFonts w:ascii="Times New Roman;serif" w:hAnsi="Times New Roman;serif"/>
                <w:b w:val="false"/>
                <w:sz w:val="20"/>
              </w:rPr>
              <w:t>Convertible Notes</w:t>
            </w:r>
            <w:r>
              <w:rPr>
                <w:rFonts w:ascii="Times New Roman;serif" w:hAnsi="Times New Roman;serif"/>
                <w:b w:val="false"/>
                <w:sz w:val="13"/>
              </w:rPr>
              <w:t>(5)</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78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234,025</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370" w:type="dxa"/>
            <w:tcBorders/>
            <w:shd w:fill="auto" w:val="clear"/>
            <w:vAlign w:val="center"/>
          </w:tcPr>
          <w:p>
            <w:pPr>
              <w:pStyle w:val="TableContents"/>
              <w:spacing w:before="0" w:after="0"/>
              <w:ind w:left="0" w:right="0" w:hanging="0"/>
              <w:jc w:val="left"/>
              <w:rPr/>
            </w:pPr>
            <w:r>
              <w:rPr/>
              <w:t> </w:t>
            </w:r>
          </w:p>
        </w:tc>
        <w:tc>
          <w:tcPr>
            <w:tcW w:w="1188"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1,150</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227" w:type="dxa"/>
            <w:tcBorders/>
            <w:shd w:fill="auto" w:val="clear"/>
            <w:vAlign w:val="center"/>
          </w:tcPr>
          <w:p>
            <w:pPr>
              <w:pStyle w:val="TableContents"/>
              <w:spacing w:before="0" w:after="0"/>
              <w:ind w:left="0" w:right="0" w:hanging="0"/>
              <w:jc w:val="left"/>
              <w:rPr/>
            </w:pPr>
            <w:r>
              <w:rPr/>
              <w:t> </w:t>
            </w:r>
          </w:p>
        </w:tc>
        <w:tc>
          <w:tcPr>
            <w:tcW w:w="730"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2,300</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78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230,575</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239" w:type="dxa"/>
            <w:tcBorders/>
            <w:shd w:fill="auto" w:val="clear"/>
            <w:vAlign w:val="center"/>
          </w:tcPr>
          <w:p>
            <w:pPr>
              <w:pStyle w:val="TableContents"/>
              <w:spacing w:before="0" w:after="0"/>
              <w:ind w:left="0" w:right="0" w:hanging="0"/>
              <w:jc w:val="left"/>
              <w:rPr/>
            </w:pPr>
            <w:r>
              <w:rPr/>
              <w:t> </w:t>
            </w:r>
          </w:p>
        </w:tc>
        <w:tc>
          <w:tcPr>
            <w:tcW w:w="647" w:type="dxa"/>
            <w:tcBorders/>
            <w:shd w:fill="auto" w:val="clear"/>
            <w:vAlign w:val="center"/>
          </w:tcPr>
          <w:p>
            <w:pPr>
              <w:pStyle w:val="TableContents"/>
              <w:spacing w:before="0" w:after="0"/>
              <w:ind w:left="0" w:right="0" w:hanging="0"/>
              <w:jc w:val="right"/>
              <w:rPr/>
            </w:pPr>
            <w:r>
              <w:rPr/>
              <w:t>—</w:t>
            </w:r>
          </w:p>
        </w:tc>
        <w:tc>
          <w:tcPr>
            <w:tcW w:w="194" w:type="dxa"/>
            <w:tcBorders/>
            <w:shd w:fill="auto" w:val="clear"/>
            <w:vAlign w:val="center"/>
          </w:tcPr>
          <w:p>
            <w:pPr>
              <w:pStyle w:val="TableContents"/>
              <w:spacing w:before="0" w:after="0"/>
              <w:ind w:left="0" w:right="0" w:hanging="0"/>
              <w:jc w:val="left"/>
              <w:rPr/>
            </w:pPr>
            <w:r>
              <w:rPr/>
              <w:t> </w:t>
            </w:r>
          </w:p>
        </w:tc>
      </w:tr>
      <w:tr>
        <w:trPr/>
        <w:tc>
          <w:tcPr>
            <w:tcW w:w="3312"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Postretirement benefits obligations</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78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2,480</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pPr>
            <w:r>
              <w:rPr/>
              <w:t> </w:t>
            </w:r>
          </w:p>
        </w:tc>
        <w:tc>
          <w:tcPr>
            <w:tcW w:w="370"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188"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104</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pPr>
            <w:r>
              <w:rPr/>
              <w:t> </w:t>
            </w:r>
          </w:p>
        </w:tc>
        <w:tc>
          <w:tcPr>
            <w:tcW w:w="227"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730"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210</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78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220</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pPr>
            <w:r>
              <w:rPr/>
              <w:t> </w:t>
            </w:r>
          </w:p>
        </w:tc>
        <w:tc>
          <w:tcPr>
            <w:tcW w:w="239"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647"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1,946</w:t>
            </w:r>
          </w:p>
        </w:tc>
        <w:tc>
          <w:tcPr>
            <w:tcW w:w="194"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r>
        <w:trPr/>
        <w:tc>
          <w:tcPr>
            <w:tcW w:w="3312"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8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349,994</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pPr>
            <w:r>
              <w:rPr/>
              <w:t> </w:t>
            </w:r>
          </w:p>
        </w:tc>
        <w:tc>
          <w:tcPr>
            <w:tcW w:w="370"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188"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54,362</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pPr>
            <w:r>
              <w:rPr/>
              <w:t> </w:t>
            </w:r>
          </w:p>
        </w:tc>
        <w:tc>
          <w:tcPr>
            <w:tcW w:w="227"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30"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12,488</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pPr>
            <w:r>
              <w:rPr/>
              <w:t> </w:t>
            </w:r>
          </w:p>
        </w:tc>
        <w:tc>
          <w:tcPr>
            <w:tcW w:w="21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8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276,862</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pPr>
            <w:r>
              <w:rPr/>
              <w:t> </w:t>
            </w:r>
          </w:p>
        </w:tc>
        <w:tc>
          <w:tcPr>
            <w:tcW w:w="239"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47"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6,282</w:t>
            </w:r>
          </w:p>
        </w:tc>
        <w:tc>
          <w:tcPr>
            <w:tcW w:w="194"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bl>
    <w:p>
      <w:pPr>
        <w:pStyle w:val="TextBody"/>
        <w:pBdr>
          <w:bottom w:val="single" w:sz="4" w:space="1" w:color="000000"/>
        </w:pBdr>
        <w:spacing w:before="0" w:after="0"/>
        <w:jc w:val="left"/>
        <w:rPr/>
      </w:pPr>
      <w:r>
        <w:rPr/>
        <w:t> </w:t>
      </w:r>
    </w:p>
    <w:p>
      <w:pPr>
        <w:pStyle w:val="TextBody"/>
        <w:spacing w:before="200" w:after="0"/>
        <w:jc w:val="both"/>
        <w:rPr>
          <w:rFonts w:ascii="Times New Roman" w:hAnsi="Times New Roman"/>
          <w:b w:val="false"/>
          <w:sz w:val="20"/>
        </w:rPr>
      </w:pPr>
      <w:r>
        <w:rPr>
          <w:rFonts w:ascii="Times New Roman" w:hAnsi="Times New Roman"/>
          <w:b w:val="false"/>
          <w:sz w:val="20"/>
        </w:rPr>
        <w:t>(1)</w:t>
      </w:r>
    </w:p>
    <w:p>
      <w:pPr>
        <w:pStyle w:val="TextBody"/>
        <w:spacing w:before="200" w:after="0"/>
        <w:jc w:val="both"/>
        <w:rPr>
          <w:rFonts w:ascii="Times New Roman;serif" w:hAnsi="Times New Roman;serif"/>
          <w:b w:val="false"/>
          <w:sz w:val="20"/>
        </w:rPr>
      </w:pPr>
      <w:r>
        <w:rPr>
          <w:rFonts w:ascii="Times New Roman;serif" w:hAnsi="Times New Roman;serif"/>
          <w:b w:val="false"/>
          <w:sz w:val="20"/>
        </w:rPr>
        <w:t>Represents total payments to be made under binding commitments with suppliers and outstanding payments to be made for supplies ordered, but yet to be invoiced.</w:t>
      </w:r>
    </w:p>
    <w:p>
      <w:pPr>
        <w:pStyle w:val="TextBody"/>
        <w:spacing w:before="200" w:after="0"/>
        <w:jc w:val="both"/>
        <w:rPr>
          <w:rFonts w:ascii="Times New Roman" w:hAnsi="Times New Roman"/>
          <w:b w:val="false"/>
          <w:sz w:val="20"/>
        </w:rPr>
      </w:pPr>
      <w:r>
        <w:rPr>
          <w:rFonts w:ascii="Times New Roman" w:hAnsi="Times New Roman"/>
          <w:b w:val="false"/>
          <w:sz w:val="20"/>
        </w:rPr>
        <w:t>(2)</w:t>
      </w:r>
    </w:p>
    <w:p>
      <w:pPr>
        <w:pStyle w:val="TextBody"/>
        <w:spacing w:before="200" w:after="0"/>
        <w:jc w:val="both"/>
        <w:rPr>
          <w:rFonts w:ascii="Times New Roman;serif" w:hAnsi="Times New Roman;serif"/>
          <w:b w:val="false"/>
          <w:sz w:val="20"/>
        </w:rPr>
      </w:pPr>
      <w:r>
        <w:rPr>
          <w:rFonts w:ascii="Times New Roman;serif" w:hAnsi="Times New Roman;serif"/>
          <w:b w:val="false"/>
          <w:sz w:val="20"/>
        </w:rPr>
        <w:t>The Company has an unfunded defined benefit pension plan, the Supplemental Executive Retirement Plan (the “SERP”), covering its CEO, Mr. Richard L. Gelfond. The SERP has a fixed benefit payable of $20.3 million. The table above assumes that Mr. Gelfond will receive a lump sum payment of $20.3 million six months after retirement at the end of the term of his current employment agreement, which expires on December 31, 2025, in accordance with the terms of the SERP, although Mr. Gelfond has not informed the Company that he intends to retire at that time. (See Note 14 of Notes to Condensed Consolidated Financial Statements in Part I, Item 1.)</w:t>
      </w:r>
    </w:p>
    <w:p>
      <w:pPr>
        <w:pStyle w:val="TextBody"/>
        <w:spacing w:before="200" w:after="0"/>
        <w:jc w:val="both"/>
        <w:rPr>
          <w:rFonts w:ascii="Times New Roman" w:hAnsi="Times New Roman"/>
          <w:b w:val="false"/>
          <w:sz w:val="20"/>
        </w:rPr>
      </w:pPr>
      <w:r>
        <w:rPr>
          <w:rFonts w:ascii="Times New Roman" w:hAnsi="Times New Roman"/>
          <w:b w:val="false"/>
          <w:sz w:val="20"/>
        </w:rPr>
        <w:t>(3)</w:t>
      </w:r>
    </w:p>
    <w:p>
      <w:pPr>
        <w:pStyle w:val="TextBody"/>
        <w:spacing w:before="200" w:after="0"/>
        <w:jc w:val="both"/>
        <w:rPr>
          <w:rFonts w:ascii="Times New Roman;serif" w:hAnsi="Times New Roman;serif"/>
          <w:b w:val="false"/>
          <w:sz w:val="20"/>
        </w:rPr>
      </w:pPr>
      <w:r>
        <w:rPr>
          <w:rFonts w:ascii="Times New Roman;serif" w:hAnsi="Times New Roman;serif"/>
          <w:b w:val="false"/>
          <w:sz w:val="20"/>
        </w:rPr>
        <w:t>Represents total minimum annual rental payments due under the Company’s operating leases.</w:t>
      </w:r>
    </w:p>
    <w:p>
      <w:pPr>
        <w:pStyle w:val="TextBody"/>
        <w:spacing w:before="200" w:after="0"/>
        <w:jc w:val="both"/>
        <w:rPr>
          <w:rFonts w:ascii="Times New Roman" w:hAnsi="Times New Roman"/>
          <w:b w:val="false"/>
          <w:sz w:val="20"/>
        </w:rPr>
      </w:pPr>
      <w:r>
        <w:rPr>
          <w:rFonts w:ascii="Times New Roman" w:hAnsi="Times New Roman"/>
          <w:b w:val="false"/>
          <w:sz w:val="20"/>
        </w:rPr>
        <w:t>(4)</w:t>
      </w:r>
    </w:p>
    <w:p>
      <w:pPr>
        <w:pStyle w:val="TextBody"/>
        <w:spacing w:before="200" w:after="0"/>
        <w:jc w:val="both"/>
        <w:rPr>
          <w:rFonts w:ascii="Times New Roman;serif" w:hAnsi="Times New Roman;serif"/>
          <w:b w:val="false"/>
          <w:sz w:val="20"/>
        </w:rPr>
      </w:pPr>
      <w:r>
        <w:rPr>
          <w:rFonts w:ascii="Times New Roman;serif" w:hAnsi="Times New Roman;serif"/>
          <w:b w:val="false"/>
          <w:sz w:val="20"/>
        </w:rPr>
        <w:t>The Federal Economic Development Loan will be repayable over 60 months, with repayments estimated to begin in January 2024. (See Note 6(b) of Notes to Condensed Consolidated Financial Statements in Part I, Item 1.)</w:t>
      </w:r>
    </w:p>
    <w:p>
      <w:pPr>
        <w:pStyle w:val="TextBody"/>
        <w:spacing w:before="200" w:after="0"/>
        <w:jc w:val="both"/>
        <w:rPr>
          <w:rFonts w:ascii="Times New Roman" w:hAnsi="Times New Roman"/>
          <w:b w:val="false"/>
          <w:sz w:val="20"/>
        </w:rPr>
      </w:pPr>
      <w:r>
        <w:rPr>
          <w:rFonts w:ascii="Times New Roman" w:hAnsi="Times New Roman"/>
          <w:b w:val="false"/>
          <w:sz w:val="20"/>
        </w:rPr>
        <w:t>(5)</w:t>
      </w:r>
    </w:p>
    <w:p>
      <w:pPr>
        <w:pStyle w:val="TextBody"/>
        <w:spacing w:before="200" w:after="283"/>
        <w:jc w:val="both"/>
        <w:rPr>
          <w:rFonts w:ascii="Times New Roman;serif" w:hAnsi="Times New Roman;serif"/>
          <w:b w:val="false"/>
          <w:sz w:val="20"/>
        </w:rPr>
      </w:pPr>
      <w:r>
        <w:rPr>
          <w:rFonts w:ascii="Times New Roman;serif" w:hAnsi="Times New Roman;serif"/>
          <w:b w:val="false"/>
          <w:sz w:val="20"/>
        </w:rPr>
        <w:t>The Convertible Notes bear interest at a rate of 0.500% per annum on the principal of $230.0 million, payable semi-annually in arrears on April 1 and October 1 of each year. The Convertible Notes will mature on April 1, 2026, unless earlier repurchased, redeemed or converted. (See Note 6(b) of Notes to Condensed Consolidated Financial Statements in Part I, Item 1.)</w:t>
      </w:r>
    </w:p>
    <w:p>
      <w:pPr>
        <w:pStyle w:val="TextBody"/>
        <w:spacing w:before="200" w:after="240"/>
        <w:jc w:val="both"/>
        <w:rPr>
          <w:rFonts w:ascii="Times New Roman;serif" w:hAnsi="Times New Roman;serif"/>
          <w:b/>
          <w:sz w:val="20"/>
        </w:rPr>
      </w:pPr>
      <w:r>
        <w:rPr>
          <w:rFonts w:ascii="Times New Roman;serif" w:hAnsi="Times New Roman;serif"/>
          <w:b/>
          <w:sz w:val="20"/>
        </w:rPr>
        <w:t>OFF-BALANCE SHEET ARRANGEMENTS</w:t>
      </w:r>
    </w:p>
    <w:p>
      <w:pPr>
        <w:pStyle w:val="TextBody"/>
        <w:spacing w:before="200" w:after="200"/>
        <w:jc w:val="both"/>
        <w:rPr>
          <w:rFonts w:ascii="Times New Roman;serif" w:hAnsi="Times New Roman;serif"/>
          <w:b w:val="false"/>
          <w:sz w:val="20"/>
        </w:rPr>
      </w:pPr>
      <w:r>
        <w:rPr>
          <w:rFonts w:ascii="Times New Roman;serif" w:hAnsi="Times New Roman;serif"/>
          <w:b w:val="false"/>
          <w:sz w:val="20"/>
        </w:rPr>
        <w:t>There are currently no off-balance sheet arrangements that have or are reasonably likely to have a current or future material effect on the Company’s financial condition.</w:t>
      </w:r>
    </w:p>
    <w:p>
      <w:pPr>
        <w:pStyle w:val="TextBody"/>
        <w:spacing w:before="240" w:after="0"/>
        <w:jc w:val="center"/>
        <w:rPr>
          <w:rFonts w:ascii="Times New Roman;serif" w:hAnsi="Times New Roman;serif"/>
          <w:b w:val="false"/>
          <w:sz w:val="20"/>
        </w:rPr>
      </w:pPr>
      <w:r>
        <w:rPr>
          <w:rFonts w:ascii="Times New Roman;serif" w:hAnsi="Times New Roman;serif"/>
          <w:b w:val="false"/>
          <w:sz w:val="20"/>
        </w:rPr>
        <w:t>60</w:t>
      </w:r>
    </w:p>
    <w:p>
      <w:pPr>
        <w:pStyle w:val="HorizontalLine"/>
        <w:rPr/>
      </w:pPr>
      <w:r>
        <w:rPr/>
      </w:r>
    </w:p>
    <w:p>
      <w:pPr>
        <w:pStyle w:val="TextBody"/>
        <w:spacing w:before="0" w:after="0"/>
        <w:jc w:val="left"/>
        <w:rPr/>
      </w:pPr>
      <w:r>
        <w:rPr/>
        <w:t> </w:t>
      </w:r>
    </w:p>
    <w:p>
      <w:pPr>
        <w:pStyle w:val="TextBody"/>
        <w:spacing w:before="0" w:after="0"/>
        <w:jc w:val="both"/>
        <w:rPr>
          <w:rFonts w:ascii="Times New Roman;serif" w:hAnsi="Times New Roman;serif"/>
          <w:b/>
          <w:sz w:val="20"/>
        </w:rPr>
      </w:pPr>
      <w:r>
        <w:rPr>
          <w:rFonts w:ascii="Times New Roman;serif" w:hAnsi="Times New Roman;serif"/>
          <w:b/>
          <w:sz w:val="20"/>
        </w:rPr>
        <w:t>CRITICAL ACCOUNTING ESTIMATES</w:t>
      </w:r>
    </w:p>
    <w:p>
      <w:pPr>
        <w:pStyle w:val="TextBody"/>
        <w:spacing w:before="200" w:after="200"/>
        <w:jc w:val="both"/>
        <w:rPr>
          <w:rFonts w:ascii="Times New Roman;serif" w:hAnsi="Times New Roman;serif"/>
          <w:b w:val="false"/>
          <w:sz w:val="20"/>
        </w:rPr>
      </w:pPr>
      <w:r>
        <w:rPr>
          <w:rFonts w:ascii="Times New Roman;serif" w:hAnsi="Times New Roman;serif"/>
          <w:b w:val="false"/>
          <w:sz w:val="20"/>
        </w:rPr>
        <w:t>The preparation of financial statements and related disclosures in accordance with U.S. GAAP requires management to make judgments, assumptions, and estimates that affect the amounts reported in the Company’s Condensed Consolidated Financial Statements and accompanying notes. Management’s judgments, assumptions, and estimates are based on historical experience, future expectations, and other factors that are believed to be reasonable as of the date of the Company’s Condensed Consolidated Financial Statements. Actual results may ultimately differ from the Company’s original estimates, as future events and circumstances sometimes do not develop as expected, and the differences may be material. For more information on the Company’s critical accounting estimates refer to the section entitled “Critical Accounting Estimates” in Item 7 “Management’s Discussion and Analysis of Financial Condition and Results of Operations” of the 2022 Form 10-K.</w:t>
      </w:r>
    </w:p>
    <w:p>
      <w:pPr>
        <w:pStyle w:val="TextBody"/>
        <w:spacing w:before="200" w:after="240"/>
        <w:jc w:val="both"/>
        <w:rPr>
          <w:rFonts w:ascii="Times New Roman;serif" w:hAnsi="Times New Roman;serif"/>
          <w:b/>
          <w:sz w:val="20"/>
        </w:rPr>
      </w:pPr>
      <w:r>
        <w:rPr>
          <w:rFonts w:ascii="Times New Roman;serif" w:hAnsi="Times New Roman;serif"/>
          <w:b/>
          <w:sz w:val="20"/>
        </w:rPr>
        <w:t>RECENTLY ISSUED ACCOUNTING STANDARDS</w:t>
      </w:r>
    </w:p>
    <w:p>
      <w:pPr>
        <w:pStyle w:val="TextBody"/>
        <w:spacing w:before="200" w:after="0"/>
        <w:jc w:val="both"/>
        <w:rPr>
          <w:rFonts w:ascii="Times New Roman;serif" w:hAnsi="Times New Roman;serif"/>
          <w:b w:val="false"/>
          <w:sz w:val="20"/>
        </w:rPr>
      </w:pPr>
      <w:r>
        <w:rPr>
          <w:rFonts w:ascii="Times New Roman;serif" w:hAnsi="Times New Roman;serif"/>
          <w:b w:val="false"/>
          <w:sz w:val="20"/>
        </w:rPr>
        <w:t>See Note 2 of Notes to Condensed Consolidated Financial Statements in Part I, Item 1 for a discussion of recently issued accounting standards and their impact on the Company’s Condensed Consolidated Financial Statements.</w:t>
      </w:r>
    </w:p>
    <w:p>
      <w:pPr>
        <w:pStyle w:val="TextBody"/>
        <w:spacing w:before="240" w:after="0"/>
        <w:jc w:val="both"/>
        <w:rPr>
          <w:rFonts w:ascii="Times New Roman;serif" w:hAnsi="Times New Roman;serif"/>
          <w:b/>
          <w:sz w:val="20"/>
        </w:rPr>
      </w:pPr>
      <w:r>
        <w:rPr>
          <w:rFonts w:ascii="Times New Roman;serif" w:hAnsi="Times New Roman;serif"/>
          <w:b/>
          <w:sz w:val="20"/>
        </w:rPr>
        <w:t>NON-GAAP FINANCIAL MEASURES</w:t>
      </w:r>
    </w:p>
    <w:p>
      <w:pPr>
        <w:pStyle w:val="TextBody"/>
        <w:spacing w:before="200" w:after="0"/>
        <w:jc w:val="both"/>
        <w:rPr>
          <w:rFonts w:ascii="Times New Roman" w:hAnsi="Times New Roman"/>
          <w:sz w:val="20"/>
        </w:rPr>
      </w:pPr>
      <w:r>
        <w:rPr>
          <w:rFonts w:ascii="Times New Roman;serif" w:hAnsi="Times New Roman;serif"/>
          <w:b w:val="false"/>
          <w:sz w:val="20"/>
        </w:rPr>
        <w:t>GAAP refers to generally accepted accounting principles in the United States of America. In this report, the Company presents financial measures in accordance with GAAP and also on a non-GAAP basis under the SEC regulations. Specifically, the Company presents the following non-GAAP financial measures as supplemental measures of its performance:</w:t>
      </w:r>
      <w:r>
        <w:rPr>
          <w:rFonts w:ascii="Times New Roman" w:hAnsi="Times New Roman"/>
          <w:sz w:val="20"/>
        </w:rPr>
        <w:t xml:space="preserve"> </w:t>
      </w:r>
    </w:p>
    <w:p>
      <w:pPr>
        <w:pStyle w:val="TextBody"/>
        <w:spacing w:before="0" w:after="0"/>
        <w:jc w:val="both"/>
        <w:rPr/>
      </w:pPr>
      <w:r>
        <w:rPr/>
        <w:t> </w:t>
      </w:r>
    </w:p>
    <w:p>
      <w:pPr>
        <w:pStyle w:val="TextBody"/>
        <w:spacing w:before="0" w:after="0"/>
        <w:jc w:val="both"/>
        <w:rPr/>
      </w:pPr>
      <w:r>
        <w:rPr/>
        <w:t>•</w:t>
      </w:r>
    </w:p>
    <w:p>
      <w:pPr>
        <w:pStyle w:val="TextBody"/>
        <w:jc w:val="both"/>
        <w:rPr>
          <w:rFonts w:ascii="Times New Roman;serif" w:hAnsi="Times New Roman;serif"/>
          <w:b w:val="false"/>
          <w:sz w:val="20"/>
        </w:rPr>
      </w:pPr>
      <w:r>
        <w:rPr>
          <w:rFonts w:ascii="Times New Roman;serif" w:hAnsi="Times New Roman;serif"/>
          <w:b w:val="false"/>
          <w:sz w:val="20"/>
        </w:rPr>
        <w:t xml:space="preserve">Adjusted net income or loss attributable to common shareholders; </w:t>
      </w:r>
    </w:p>
    <w:p>
      <w:pPr>
        <w:pStyle w:val="TextBody"/>
        <w:spacing w:before="0" w:after="0"/>
        <w:jc w:val="left"/>
        <w:rPr/>
      </w:pPr>
      <w:r>
        <w:rPr/>
        <w:t> </w:t>
      </w:r>
    </w:p>
    <w:p>
      <w:pPr>
        <w:pStyle w:val="TextBody"/>
        <w:spacing w:before="0" w:after="0"/>
        <w:jc w:val="both"/>
        <w:rPr/>
      </w:pPr>
      <w:r>
        <w:rPr/>
        <w:t>•</w:t>
      </w:r>
    </w:p>
    <w:p>
      <w:pPr>
        <w:pStyle w:val="TextBody"/>
        <w:jc w:val="both"/>
        <w:rPr>
          <w:rFonts w:ascii="Times New Roman;serif" w:hAnsi="Times New Roman;serif"/>
          <w:b w:val="false"/>
          <w:sz w:val="20"/>
        </w:rPr>
      </w:pPr>
      <w:r>
        <w:rPr>
          <w:rFonts w:ascii="Times New Roman;serif" w:hAnsi="Times New Roman;serif"/>
          <w:b w:val="false"/>
          <w:sz w:val="20"/>
        </w:rPr>
        <w:t>Adjusted net income or loss attributable to common shareholders per basic and diluted share;</w:t>
      </w:r>
    </w:p>
    <w:p>
      <w:pPr>
        <w:pStyle w:val="TextBody"/>
        <w:spacing w:before="0" w:after="0"/>
        <w:jc w:val="both"/>
        <w:rPr/>
      </w:pPr>
      <w:r>
        <w:rPr/>
        <w:t> </w:t>
      </w:r>
    </w:p>
    <w:p>
      <w:pPr>
        <w:pStyle w:val="TextBody"/>
        <w:spacing w:before="0" w:after="0"/>
        <w:jc w:val="both"/>
        <w:rPr/>
      </w:pPr>
      <w:r>
        <w:rPr/>
        <w:t>•</w:t>
      </w:r>
    </w:p>
    <w:p>
      <w:pPr>
        <w:pStyle w:val="TextBody"/>
        <w:jc w:val="both"/>
        <w:rPr>
          <w:rFonts w:ascii="Times New Roman;serif" w:hAnsi="Times New Roman;serif"/>
          <w:b w:val="false"/>
          <w:sz w:val="20"/>
        </w:rPr>
      </w:pPr>
      <w:r>
        <w:rPr>
          <w:rFonts w:ascii="Times New Roman;serif" w:hAnsi="Times New Roman;serif"/>
          <w:b w:val="false"/>
          <w:sz w:val="20"/>
        </w:rPr>
        <w:t xml:space="preserve">EBITDA; and </w:t>
      </w:r>
    </w:p>
    <w:p>
      <w:pPr>
        <w:pStyle w:val="TextBody"/>
        <w:spacing w:before="0" w:after="0"/>
        <w:jc w:val="left"/>
        <w:rPr/>
      </w:pPr>
      <w:r>
        <w:rPr/>
        <w:t> </w:t>
      </w:r>
    </w:p>
    <w:p>
      <w:pPr>
        <w:pStyle w:val="TextBody"/>
        <w:spacing w:before="0" w:after="0"/>
        <w:jc w:val="both"/>
        <w:rPr/>
      </w:pPr>
      <w:r>
        <w:rPr/>
        <w:t>•</w:t>
      </w:r>
    </w:p>
    <w:p>
      <w:pPr>
        <w:pStyle w:val="TextBody"/>
        <w:jc w:val="both"/>
        <w:rPr>
          <w:rFonts w:ascii="Times New Roman;serif" w:hAnsi="Times New Roman;serif"/>
          <w:b w:val="false"/>
          <w:sz w:val="20"/>
        </w:rPr>
      </w:pPr>
      <w:r>
        <w:rPr>
          <w:rFonts w:ascii="Times New Roman;serif" w:hAnsi="Times New Roman;serif"/>
          <w:b w:val="false"/>
          <w:sz w:val="20"/>
        </w:rPr>
        <w:t>Adjusted EBITDA per Credit Facility.</w:t>
      </w:r>
    </w:p>
    <w:p>
      <w:pPr>
        <w:pStyle w:val="TextBody"/>
        <w:spacing w:before="200" w:after="160"/>
        <w:jc w:val="both"/>
        <w:rPr>
          <w:rFonts w:ascii="Times New Roman" w:hAnsi="Times New Roman"/>
          <w:sz w:val="20"/>
        </w:rPr>
      </w:pPr>
      <w:r>
        <w:rPr>
          <w:rFonts w:ascii="Times New Roman;serif" w:hAnsi="Times New Roman;serif"/>
          <w:b w:val="false"/>
          <w:sz w:val="20"/>
        </w:rPr>
        <w:t>Adjusted net income or loss attributable to common shareholders and adjusted net income or loss attributable to common shareholders per basic and diluted share exclude, where applicable: (i) share-based compensation; (ii) COVID-19 government relief benefits; (iii) realized and unrealized investment gains or losses; (iv) acquisition-related expenses; and (v) executive transition costs, as well as the related tax impact of these adjustments.</w:t>
      </w:r>
      <w:r>
        <w:rPr>
          <w:rFonts w:ascii="Times New Roman" w:hAnsi="Times New Roman"/>
          <w:sz w:val="20"/>
        </w:rPr>
        <w:t xml:space="preserve"> </w:t>
      </w:r>
    </w:p>
    <w:p>
      <w:pPr>
        <w:pStyle w:val="TextBody"/>
        <w:spacing w:before="200" w:after="160"/>
        <w:jc w:val="both"/>
        <w:rPr>
          <w:rFonts w:ascii="Times New Roman" w:hAnsi="Times New Roman"/>
          <w:sz w:val="20"/>
        </w:rPr>
      </w:pPr>
      <w:r>
        <w:rPr>
          <w:rFonts w:ascii="Times New Roman;serif" w:hAnsi="Times New Roman;serif"/>
          <w:b w:val="false"/>
          <w:sz w:val="20"/>
        </w:rPr>
        <w:t>The Company believes that these non-GAAP financial measures are important supplemental measures that allow management and users of the Company’s financial statements to view operating trends and analyze controllable operating performance on a comparable basis between periods without the after-tax impact of share-based compensation and certain unusual items included in net income or loss attributable to common shareholders. Although share-based compensation is an important aspect of the Company’s employee and executive compensation packages, it is a non-cash expense and is excluded from certain internal business performance measures.</w:t>
      </w:r>
      <w:r>
        <w:rPr>
          <w:rFonts w:ascii="Times New Roman" w:hAnsi="Times New Roman"/>
          <w:sz w:val="20"/>
        </w:rPr>
        <w:t xml:space="preserve"> </w:t>
      </w:r>
    </w:p>
    <w:p>
      <w:pPr>
        <w:pStyle w:val="TextBody"/>
        <w:spacing w:before="240" w:after="0"/>
        <w:jc w:val="center"/>
        <w:rPr>
          <w:rFonts w:ascii="Times New Roman;serif" w:hAnsi="Times New Roman;serif"/>
          <w:b w:val="false"/>
          <w:sz w:val="20"/>
        </w:rPr>
      </w:pPr>
      <w:r>
        <w:rPr>
          <w:rFonts w:ascii="Times New Roman;serif" w:hAnsi="Times New Roman;serif"/>
          <w:b w:val="false"/>
          <w:sz w:val="20"/>
        </w:rPr>
        <w:t>61</w:t>
      </w:r>
    </w:p>
    <w:p>
      <w:pPr>
        <w:pStyle w:val="HorizontalLine"/>
        <w:rPr/>
      </w:pPr>
      <w:r>
        <w:rPr/>
      </w:r>
    </w:p>
    <w:p>
      <w:pPr>
        <w:pStyle w:val="TextBody"/>
        <w:spacing w:before="0" w:after="0"/>
        <w:jc w:val="left"/>
        <w:rPr/>
      </w:pPr>
      <w:r>
        <w:rPr/>
        <w:t> </w:t>
      </w:r>
    </w:p>
    <w:p>
      <w:pPr>
        <w:pStyle w:val="TextBody"/>
        <w:spacing w:before="200" w:after="200"/>
        <w:jc w:val="both"/>
        <w:rPr>
          <w:rFonts w:ascii="Times New Roman;serif" w:hAnsi="Times New Roman;serif"/>
          <w:b w:val="false"/>
          <w:sz w:val="20"/>
        </w:rPr>
      </w:pPr>
      <w:r>
        <w:rPr>
          <w:rFonts w:ascii="Times New Roman;serif" w:hAnsi="Times New Roman;serif"/>
          <w:b w:val="false"/>
          <w:sz w:val="20"/>
        </w:rPr>
        <w:t>Reconciliations of net income (loss) attributable to common shareholders and the associated per share amounts to adjusted net income (loss) attributable to common shareholders and adjusted net income (loss) attributable to common shareholders per diluted share are presented in the tables below.</w:t>
      </w:r>
    </w:p>
    <w:tbl>
      <w:tblPr>
        <w:tblW w:w="10108" w:type="dxa"/>
        <w:jc w:val="left"/>
        <w:tblInd w:w="0" w:type="dxa"/>
        <w:tblCellMar>
          <w:top w:w="28" w:type="dxa"/>
          <w:left w:w="28" w:type="dxa"/>
          <w:bottom w:w="28" w:type="dxa"/>
          <w:right w:w="28" w:type="dxa"/>
        </w:tblCellMar>
      </w:tblPr>
      <w:tblGrid>
        <w:gridCol w:w="4546"/>
        <w:gridCol w:w="146"/>
        <w:gridCol w:w="251"/>
        <w:gridCol w:w="679"/>
        <w:gridCol w:w="166"/>
        <w:gridCol w:w="146"/>
        <w:gridCol w:w="146"/>
        <w:gridCol w:w="211"/>
        <w:gridCol w:w="676"/>
        <w:gridCol w:w="166"/>
        <w:gridCol w:w="146"/>
        <w:gridCol w:w="146"/>
        <w:gridCol w:w="211"/>
        <w:gridCol w:w="736"/>
        <w:gridCol w:w="166"/>
        <w:gridCol w:w="146"/>
        <w:gridCol w:w="146"/>
        <w:gridCol w:w="211"/>
        <w:gridCol w:w="676"/>
        <w:gridCol w:w="391"/>
      </w:tblGrid>
      <w:tr>
        <w:trPr/>
        <w:tc>
          <w:tcPr>
            <w:tcW w:w="45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51" w:type="dxa"/>
            <w:tcBorders/>
            <w:shd w:fill="auto" w:val="clear"/>
            <w:vAlign w:val="center"/>
          </w:tcPr>
          <w:p>
            <w:pPr>
              <w:pStyle w:val="TableContents"/>
              <w:spacing w:before="0" w:after="283"/>
              <w:rPr>
                <w:sz w:val="4"/>
                <w:szCs w:val="4"/>
              </w:rPr>
            </w:pPr>
            <w:r>
              <w:rPr>
                <w:sz w:val="4"/>
                <w:szCs w:val="4"/>
              </w:rPr>
            </w:r>
          </w:p>
        </w:tc>
        <w:tc>
          <w:tcPr>
            <w:tcW w:w="679" w:type="dxa"/>
            <w:tcBorders/>
            <w:shd w:fill="auto" w:val="clear"/>
            <w:vAlign w:val="center"/>
          </w:tcPr>
          <w:p>
            <w:pPr>
              <w:pStyle w:val="TableContents"/>
              <w:spacing w:before="0" w:after="283"/>
              <w:rPr>
                <w:sz w:val="4"/>
                <w:szCs w:val="4"/>
              </w:rPr>
            </w:pPr>
            <w:r>
              <w:rPr>
                <w:sz w:val="4"/>
                <w:szCs w:val="4"/>
              </w:rPr>
            </w:r>
          </w:p>
        </w:tc>
        <w:tc>
          <w:tcPr>
            <w:tcW w:w="16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676" w:type="dxa"/>
            <w:tcBorders/>
            <w:shd w:fill="auto" w:val="clear"/>
            <w:vAlign w:val="center"/>
          </w:tcPr>
          <w:p>
            <w:pPr>
              <w:pStyle w:val="TableContents"/>
              <w:spacing w:before="0" w:after="283"/>
              <w:rPr>
                <w:sz w:val="4"/>
                <w:szCs w:val="4"/>
              </w:rPr>
            </w:pPr>
            <w:r>
              <w:rPr>
                <w:sz w:val="4"/>
                <w:szCs w:val="4"/>
              </w:rPr>
            </w:r>
          </w:p>
        </w:tc>
        <w:tc>
          <w:tcPr>
            <w:tcW w:w="16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36" w:type="dxa"/>
            <w:tcBorders/>
            <w:shd w:fill="auto" w:val="clear"/>
            <w:vAlign w:val="center"/>
          </w:tcPr>
          <w:p>
            <w:pPr>
              <w:pStyle w:val="TableContents"/>
              <w:spacing w:before="0" w:after="283"/>
              <w:rPr>
                <w:sz w:val="4"/>
                <w:szCs w:val="4"/>
              </w:rPr>
            </w:pPr>
            <w:r>
              <w:rPr>
                <w:sz w:val="4"/>
                <w:szCs w:val="4"/>
              </w:rPr>
            </w:r>
          </w:p>
        </w:tc>
        <w:tc>
          <w:tcPr>
            <w:tcW w:w="16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676" w:type="dxa"/>
            <w:tcBorders/>
            <w:shd w:fill="auto" w:val="clear"/>
            <w:vAlign w:val="center"/>
          </w:tcPr>
          <w:p>
            <w:pPr>
              <w:pStyle w:val="TableContents"/>
              <w:spacing w:before="0" w:after="283"/>
              <w:rPr>
                <w:sz w:val="4"/>
                <w:szCs w:val="4"/>
              </w:rPr>
            </w:pPr>
            <w:r>
              <w:rPr>
                <w:sz w:val="4"/>
                <w:szCs w:val="4"/>
              </w:rPr>
            </w:r>
          </w:p>
        </w:tc>
        <w:tc>
          <w:tcPr>
            <w:tcW w:w="391" w:type="dxa"/>
            <w:tcBorders/>
            <w:shd w:fill="auto" w:val="clear"/>
            <w:vAlign w:val="center"/>
          </w:tcPr>
          <w:p>
            <w:pPr>
              <w:pStyle w:val="TableContents"/>
              <w:spacing w:before="0" w:after="283"/>
              <w:rPr>
                <w:sz w:val="4"/>
                <w:szCs w:val="4"/>
              </w:rPr>
            </w:pPr>
            <w:r>
              <w:rPr>
                <w:sz w:val="4"/>
                <w:szCs w:val="4"/>
              </w:rPr>
            </w:r>
          </w:p>
        </w:tc>
      </w:tr>
      <w:tr>
        <w:trPr/>
        <w:tc>
          <w:tcPr>
            <w:tcW w:w="45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5025" w:type="dxa"/>
            <w:gridSpan w:val="17"/>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Three Months Ended March 31,</w:t>
            </w:r>
          </w:p>
        </w:tc>
        <w:tc>
          <w:tcPr>
            <w:tcW w:w="3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45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275" w:type="dxa"/>
            <w:gridSpan w:val="7"/>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2023</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2292" w:type="dxa"/>
            <w:gridSpan w:val="7"/>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2022</w:t>
            </w:r>
          </w:p>
        </w:tc>
        <w:tc>
          <w:tcPr>
            <w:tcW w:w="3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4546" w:type="dxa"/>
            <w:tcBorders/>
            <w:shd w:fill="auto" w:val="clear"/>
            <w:vAlign w:val="center"/>
          </w:tcPr>
          <w:p>
            <w:pPr>
              <w:pStyle w:val="TableContents"/>
              <w:spacing w:before="0" w:after="0"/>
              <w:ind w:left="0" w:right="0" w:hanging="0"/>
              <w:jc w:val="left"/>
              <w:rPr>
                <w:rFonts w:ascii="Times New Roman;serif" w:hAnsi="Times New Roman;serif"/>
                <w:b w:val="false"/>
                <w:i/>
                <w:sz w:val="16"/>
              </w:rPr>
            </w:pPr>
            <w:r>
              <w:rPr>
                <w:rFonts w:ascii="Times New Roman;serif" w:hAnsi="Times New Roman;serif"/>
                <w:b w:val="false"/>
                <w:i/>
                <w:sz w:val="16"/>
              </w:rPr>
              <w:t>(In thousands of U.S. Dollars, except per share amounts)</w:t>
            </w:r>
          </w:p>
        </w:tc>
        <w:tc>
          <w:tcPr>
            <w:tcW w:w="146" w:type="dxa"/>
            <w:tcBorders/>
            <w:shd w:fill="auto" w:val="clear"/>
            <w:vAlign w:val="center"/>
          </w:tcPr>
          <w:p>
            <w:pPr>
              <w:pStyle w:val="TableContents"/>
              <w:spacing w:before="0" w:after="0"/>
              <w:ind w:left="0" w:right="0" w:hanging="0"/>
              <w:jc w:val="left"/>
              <w:rPr/>
            </w:pPr>
            <w:r>
              <w:rPr/>
              <w:t> </w:t>
            </w:r>
          </w:p>
        </w:tc>
        <w:tc>
          <w:tcPr>
            <w:tcW w:w="930"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Net Income</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887"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Per Share</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947"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Net Loss</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887"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Per Share</w:t>
            </w:r>
          </w:p>
        </w:tc>
        <w:tc>
          <w:tcPr>
            <w:tcW w:w="3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454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Net income (loss) attributable to common shareholders</w:t>
            </w:r>
          </w:p>
        </w:tc>
        <w:tc>
          <w:tcPr>
            <w:tcW w:w="146" w:type="dxa"/>
            <w:tcBorders/>
            <w:shd w:fill="auto" w:val="clear"/>
            <w:vAlign w:val="center"/>
          </w:tcPr>
          <w:p>
            <w:pPr>
              <w:pStyle w:val="TableContents"/>
              <w:spacing w:before="0" w:after="0"/>
              <w:ind w:left="0" w:right="0" w:hanging="0"/>
              <w:jc w:val="right"/>
              <w:rPr/>
            </w:pPr>
            <w:r>
              <w:rPr/>
              <w:t> </w:t>
            </w:r>
          </w:p>
        </w:tc>
        <w:tc>
          <w:tcPr>
            <w:tcW w:w="25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79"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2,454</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21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7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0.04</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21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3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(13,609</w:t>
            </w:r>
          </w:p>
        </w:tc>
        <w:tc>
          <w:tcPr>
            <w:tcW w:w="16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21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7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(0.23</w:t>
            </w:r>
          </w:p>
        </w:tc>
        <w:tc>
          <w:tcPr>
            <w:tcW w:w="39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4546" w:type="dxa"/>
            <w:tcBorders/>
            <w:shd w:fill="auto" w:val="clear"/>
            <w:vAlign w:val="center"/>
          </w:tcPr>
          <w:p>
            <w:pPr>
              <w:pStyle w:val="TableContents"/>
              <w:spacing w:before="0" w:after="0"/>
              <w:ind w:left="0" w:right="0" w:hanging="0"/>
              <w:jc w:val="left"/>
              <w:rPr>
                <w:rFonts w:ascii="Times New Roman" w:hAnsi="Times New Roman"/>
                <w:sz w:val="20"/>
              </w:rPr>
            </w:pPr>
            <w:r>
              <w:rPr>
                <w:rFonts w:ascii="Times New Roman;serif" w:hAnsi="Times New Roman;serif"/>
                <w:b w:val="false"/>
                <w:sz w:val="20"/>
              </w:rPr>
              <w:t>Adjustments</w:t>
            </w:r>
            <w:r>
              <w:rPr>
                <w:rFonts w:ascii="Times New Roman;serif" w:hAnsi="Times New Roman;serif"/>
                <w:b w:val="false"/>
                <w:sz w:val="13"/>
              </w:rPr>
              <w:t>(1)</w:t>
            </w:r>
            <w:r>
              <w:rPr>
                <w:rFonts w:ascii="Times New Roman;serif" w:hAnsi="Times New Roman;serif"/>
                <w:b w:val="false"/>
                <w:sz w:val="20"/>
              </w:rPr>
              <w:t>:</w:t>
            </w:r>
          </w:p>
        </w:tc>
        <w:tc>
          <w:tcPr>
            <w:tcW w:w="146" w:type="dxa"/>
            <w:tcBorders/>
            <w:shd w:fill="auto" w:val="clear"/>
            <w:vAlign w:val="center"/>
          </w:tcPr>
          <w:p>
            <w:pPr>
              <w:pStyle w:val="TableContents"/>
              <w:spacing w:before="0" w:after="0"/>
              <w:ind w:left="0" w:right="0" w:hanging="0"/>
              <w:jc w:val="right"/>
              <w:rPr/>
            </w:pPr>
            <w:r>
              <w:rPr/>
              <w:t> </w:t>
            </w:r>
          </w:p>
        </w:tc>
        <w:tc>
          <w:tcPr>
            <w:tcW w:w="930" w:type="dxa"/>
            <w:gridSpan w:val="2"/>
            <w:tcBorders/>
            <w:shd w:fill="auto" w:val="clear"/>
            <w:vAlign w:val="center"/>
          </w:tcPr>
          <w:p>
            <w:pPr>
              <w:pStyle w:val="TableContents"/>
              <w:spacing w:before="0" w:after="0"/>
              <w:ind w:left="0" w:right="0" w:hanging="0"/>
              <w:jc w:val="right"/>
              <w:rPr/>
            </w:pPr>
            <w:r>
              <w:rPr/>
              <w:t> </w:t>
            </w:r>
          </w:p>
        </w:tc>
        <w:tc>
          <w:tcPr>
            <w:tcW w:w="16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887" w:type="dxa"/>
            <w:gridSpan w:val="2"/>
            <w:tcBorders/>
            <w:shd w:fill="auto" w:val="clear"/>
            <w:vAlign w:val="center"/>
          </w:tcPr>
          <w:p>
            <w:pPr>
              <w:pStyle w:val="TableContents"/>
              <w:spacing w:before="0" w:after="0"/>
              <w:ind w:left="0" w:right="0" w:hanging="0"/>
              <w:jc w:val="right"/>
              <w:rPr/>
            </w:pPr>
            <w:r>
              <w:rPr/>
              <w:t> </w:t>
            </w:r>
          </w:p>
        </w:tc>
        <w:tc>
          <w:tcPr>
            <w:tcW w:w="16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947" w:type="dxa"/>
            <w:gridSpan w:val="2"/>
            <w:tcBorders/>
            <w:shd w:fill="auto" w:val="clear"/>
            <w:vAlign w:val="center"/>
          </w:tcPr>
          <w:p>
            <w:pPr>
              <w:pStyle w:val="TableContents"/>
              <w:spacing w:before="0" w:after="0"/>
              <w:ind w:left="0" w:right="0" w:hanging="0"/>
              <w:jc w:val="right"/>
              <w:rPr/>
            </w:pPr>
            <w:r>
              <w:rPr/>
              <w:t> </w:t>
            </w:r>
          </w:p>
        </w:tc>
        <w:tc>
          <w:tcPr>
            <w:tcW w:w="16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887" w:type="dxa"/>
            <w:gridSpan w:val="2"/>
            <w:tcBorders/>
            <w:shd w:fill="auto" w:val="clear"/>
            <w:vAlign w:val="center"/>
          </w:tcPr>
          <w:p>
            <w:pPr>
              <w:pStyle w:val="TableContents"/>
              <w:spacing w:before="0" w:after="0"/>
              <w:ind w:left="0" w:right="0" w:hanging="0"/>
              <w:jc w:val="right"/>
              <w:rPr/>
            </w:pPr>
            <w:r>
              <w:rPr/>
              <w:t> </w:t>
            </w:r>
          </w:p>
        </w:tc>
        <w:tc>
          <w:tcPr>
            <w:tcW w:w="391" w:type="dxa"/>
            <w:tcBorders/>
            <w:shd w:fill="auto" w:val="clear"/>
            <w:vAlign w:val="center"/>
          </w:tcPr>
          <w:p>
            <w:pPr>
              <w:pStyle w:val="TableContents"/>
              <w:spacing w:before="0" w:after="0"/>
              <w:ind w:left="0" w:right="0" w:firstLine="200"/>
              <w:jc w:val="right"/>
              <w:rPr/>
            </w:pPr>
            <w:r>
              <w:rPr/>
              <w:t> </w:t>
            </w:r>
          </w:p>
        </w:tc>
      </w:tr>
      <w:tr>
        <w:trPr/>
        <w:tc>
          <w:tcPr>
            <w:tcW w:w="4546" w:type="dxa"/>
            <w:tcBorders/>
            <w:shd w:fill="auto" w:val="clear"/>
            <w:vAlign w:val="center"/>
          </w:tcPr>
          <w:p>
            <w:pPr>
              <w:pStyle w:val="TableContents"/>
              <w:spacing w:before="0" w:after="0"/>
              <w:ind w:left="200" w:right="0" w:hanging="0"/>
              <w:jc w:val="left"/>
              <w:rPr>
                <w:rFonts w:ascii="Times New Roman;serif" w:hAnsi="Times New Roman;serif"/>
                <w:b w:val="false"/>
                <w:sz w:val="20"/>
              </w:rPr>
            </w:pPr>
            <w:r>
              <w:rPr>
                <w:rFonts w:ascii="Times New Roman;serif" w:hAnsi="Times New Roman;serif"/>
                <w:b w:val="false"/>
                <w:sz w:val="20"/>
              </w:rPr>
              <w:t>Share-based compensation</w:t>
            </w:r>
          </w:p>
        </w:tc>
        <w:tc>
          <w:tcPr>
            <w:tcW w:w="146" w:type="dxa"/>
            <w:tcBorders/>
            <w:shd w:fill="auto" w:val="clear"/>
            <w:vAlign w:val="center"/>
          </w:tcPr>
          <w:p>
            <w:pPr>
              <w:pStyle w:val="TableContents"/>
              <w:spacing w:before="0" w:after="0"/>
              <w:ind w:left="0" w:right="0" w:hanging="0"/>
              <w:jc w:val="right"/>
              <w:rPr/>
            </w:pPr>
            <w:r>
              <w:rPr/>
              <w:t> </w:t>
            </w:r>
          </w:p>
        </w:tc>
        <w:tc>
          <w:tcPr>
            <w:tcW w:w="251" w:type="dxa"/>
            <w:tcBorders/>
            <w:shd w:fill="auto" w:val="clear"/>
            <w:vAlign w:val="center"/>
          </w:tcPr>
          <w:p>
            <w:pPr>
              <w:pStyle w:val="TableContents"/>
              <w:spacing w:before="0" w:after="0"/>
              <w:ind w:left="0" w:right="0" w:hanging="0"/>
              <w:jc w:val="left"/>
              <w:rPr/>
            </w:pPr>
            <w:r>
              <w:rPr/>
              <w:t> </w:t>
            </w:r>
          </w:p>
        </w:tc>
        <w:tc>
          <w:tcPr>
            <w:tcW w:w="679"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5,536</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67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0.10</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73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5,959</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67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0.10</w:t>
            </w:r>
          </w:p>
        </w:tc>
        <w:tc>
          <w:tcPr>
            <w:tcW w:w="391" w:type="dxa"/>
            <w:tcBorders/>
            <w:shd w:fill="auto" w:val="clear"/>
            <w:vAlign w:val="center"/>
          </w:tcPr>
          <w:p>
            <w:pPr>
              <w:pStyle w:val="TableContents"/>
              <w:spacing w:before="0" w:after="0"/>
              <w:ind w:left="0" w:right="0" w:firstLine="200"/>
              <w:jc w:val="left"/>
              <w:rPr/>
            </w:pPr>
            <w:r>
              <w:rPr/>
              <w:t> </w:t>
            </w:r>
          </w:p>
        </w:tc>
      </w:tr>
      <w:tr>
        <w:trPr/>
        <w:tc>
          <w:tcPr>
            <w:tcW w:w="4546" w:type="dxa"/>
            <w:tcBorders/>
            <w:shd w:fill="auto" w:val="clear"/>
            <w:vAlign w:val="center"/>
          </w:tcPr>
          <w:p>
            <w:pPr>
              <w:pStyle w:val="TableContents"/>
              <w:spacing w:before="0" w:after="0"/>
              <w:ind w:left="200" w:right="0" w:hanging="0"/>
              <w:jc w:val="left"/>
              <w:rPr>
                <w:rFonts w:ascii="Times New Roman;serif" w:hAnsi="Times New Roman;serif"/>
                <w:b w:val="false"/>
                <w:sz w:val="20"/>
              </w:rPr>
            </w:pPr>
            <w:r>
              <w:rPr>
                <w:rFonts w:ascii="Times New Roman;serif" w:hAnsi="Times New Roman;serif"/>
                <w:b w:val="false"/>
                <w:sz w:val="20"/>
              </w:rPr>
              <w:t>COVID-19 government relief benefits, net</w:t>
            </w:r>
          </w:p>
        </w:tc>
        <w:tc>
          <w:tcPr>
            <w:tcW w:w="146" w:type="dxa"/>
            <w:tcBorders/>
            <w:shd w:fill="auto" w:val="clear"/>
            <w:vAlign w:val="center"/>
          </w:tcPr>
          <w:p>
            <w:pPr>
              <w:pStyle w:val="TableContents"/>
              <w:spacing w:before="0" w:after="0"/>
              <w:ind w:left="0" w:right="0" w:hanging="0"/>
              <w:jc w:val="right"/>
              <w:rPr/>
            </w:pPr>
            <w:r>
              <w:rPr/>
              <w:t> </w:t>
            </w:r>
          </w:p>
        </w:tc>
        <w:tc>
          <w:tcPr>
            <w:tcW w:w="251" w:type="dxa"/>
            <w:tcBorders/>
            <w:shd w:fill="auto" w:val="clear"/>
            <w:vAlign w:val="center"/>
          </w:tcPr>
          <w:p>
            <w:pPr>
              <w:pStyle w:val="TableContents"/>
              <w:spacing w:before="0" w:after="0"/>
              <w:ind w:left="0" w:right="0" w:hanging="0"/>
              <w:jc w:val="left"/>
              <w:rPr/>
            </w:pPr>
            <w:r>
              <w:rPr/>
              <w:t> </w:t>
            </w:r>
          </w:p>
        </w:tc>
        <w:tc>
          <w:tcPr>
            <w:tcW w:w="679" w:type="dxa"/>
            <w:tcBorders/>
            <w:shd w:fill="auto" w:val="clear"/>
            <w:vAlign w:val="center"/>
          </w:tcPr>
          <w:p>
            <w:pPr>
              <w:pStyle w:val="TableContents"/>
              <w:spacing w:before="0" w:after="0"/>
              <w:ind w:left="0" w:right="0" w:hanging="0"/>
              <w:jc w:val="right"/>
              <w:rPr/>
            </w:pPr>
            <w:r>
              <w:rPr/>
              <w:t>—</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676" w:type="dxa"/>
            <w:tcBorders/>
            <w:shd w:fill="auto" w:val="clear"/>
            <w:vAlign w:val="center"/>
          </w:tcPr>
          <w:p>
            <w:pPr>
              <w:pStyle w:val="TableContents"/>
              <w:spacing w:before="0" w:after="0"/>
              <w:ind w:left="0" w:right="0" w:hanging="0"/>
              <w:jc w:val="right"/>
              <w:rPr/>
            </w:pPr>
            <w:r>
              <w:rPr/>
              <w:t>—</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73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(193</w:t>
            </w:r>
          </w:p>
        </w:tc>
        <w:tc>
          <w:tcPr>
            <w:tcW w:w="16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676" w:type="dxa"/>
            <w:tcBorders/>
            <w:shd w:fill="auto" w:val="clear"/>
            <w:vAlign w:val="center"/>
          </w:tcPr>
          <w:p>
            <w:pPr>
              <w:pStyle w:val="TableContents"/>
              <w:spacing w:before="0" w:after="0"/>
              <w:ind w:left="0" w:right="0" w:hanging="0"/>
              <w:jc w:val="right"/>
              <w:rPr/>
            </w:pPr>
            <w:r>
              <w:rPr/>
              <w:t>—</w:t>
            </w:r>
          </w:p>
        </w:tc>
        <w:tc>
          <w:tcPr>
            <w:tcW w:w="391" w:type="dxa"/>
            <w:tcBorders/>
            <w:shd w:fill="auto" w:val="clear"/>
            <w:vAlign w:val="center"/>
          </w:tcPr>
          <w:p>
            <w:pPr>
              <w:pStyle w:val="TableContents"/>
              <w:spacing w:before="0" w:after="0"/>
              <w:ind w:left="0" w:right="0" w:firstLine="200"/>
              <w:jc w:val="left"/>
              <w:rPr/>
            </w:pPr>
            <w:r>
              <w:rPr/>
              <w:t> </w:t>
            </w:r>
          </w:p>
        </w:tc>
      </w:tr>
      <w:tr>
        <w:trPr/>
        <w:tc>
          <w:tcPr>
            <w:tcW w:w="4546" w:type="dxa"/>
            <w:tcBorders/>
            <w:shd w:fill="auto" w:val="clear"/>
            <w:vAlign w:val="center"/>
          </w:tcPr>
          <w:p>
            <w:pPr>
              <w:pStyle w:val="TableContents"/>
              <w:spacing w:before="0" w:after="0"/>
              <w:ind w:left="200" w:right="0" w:hanging="0"/>
              <w:jc w:val="left"/>
              <w:rPr>
                <w:rFonts w:ascii="Times New Roman;serif" w:hAnsi="Times New Roman;serif"/>
                <w:b w:val="false"/>
                <w:sz w:val="20"/>
              </w:rPr>
            </w:pPr>
            <w:r>
              <w:rPr>
                <w:rFonts w:ascii="Times New Roman;serif" w:hAnsi="Times New Roman;serif"/>
                <w:b w:val="false"/>
                <w:sz w:val="20"/>
              </w:rPr>
              <w:t>Realized and unrealized investment gains</w:t>
            </w:r>
          </w:p>
        </w:tc>
        <w:tc>
          <w:tcPr>
            <w:tcW w:w="146" w:type="dxa"/>
            <w:tcBorders/>
            <w:shd w:fill="auto" w:val="clear"/>
            <w:vAlign w:val="center"/>
          </w:tcPr>
          <w:p>
            <w:pPr>
              <w:pStyle w:val="TableContents"/>
              <w:spacing w:before="0" w:after="0"/>
              <w:ind w:left="0" w:right="0" w:hanging="0"/>
              <w:jc w:val="right"/>
              <w:rPr/>
            </w:pPr>
            <w:r>
              <w:rPr/>
              <w:t> </w:t>
            </w:r>
          </w:p>
        </w:tc>
        <w:tc>
          <w:tcPr>
            <w:tcW w:w="251" w:type="dxa"/>
            <w:tcBorders/>
            <w:shd w:fill="auto" w:val="clear"/>
            <w:vAlign w:val="center"/>
          </w:tcPr>
          <w:p>
            <w:pPr>
              <w:pStyle w:val="TableContents"/>
              <w:spacing w:before="0" w:after="0"/>
              <w:ind w:left="0" w:right="0" w:hanging="0"/>
              <w:jc w:val="left"/>
              <w:rPr/>
            </w:pPr>
            <w:r>
              <w:rPr/>
              <w:t> </w:t>
            </w:r>
          </w:p>
        </w:tc>
        <w:tc>
          <w:tcPr>
            <w:tcW w:w="679"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(45</w:t>
            </w:r>
          </w:p>
        </w:tc>
        <w:tc>
          <w:tcPr>
            <w:tcW w:w="16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676" w:type="dxa"/>
            <w:tcBorders/>
            <w:shd w:fill="auto" w:val="clear"/>
            <w:vAlign w:val="center"/>
          </w:tcPr>
          <w:p>
            <w:pPr>
              <w:pStyle w:val="TableContents"/>
              <w:spacing w:before="0" w:after="0"/>
              <w:ind w:left="0" w:right="0" w:hanging="0"/>
              <w:jc w:val="right"/>
              <w:rPr/>
            </w:pPr>
            <w:r>
              <w:rPr/>
              <w:t>—</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73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(34</w:t>
            </w:r>
          </w:p>
        </w:tc>
        <w:tc>
          <w:tcPr>
            <w:tcW w:w="16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676" w:type="dxa"/>
            <w:tcBorders/>
            <w:shd w:fill="auto" w:val="clear"/>
            <w:vAlign w:val="center"/>
          </w:tcPr>
          <w:p>
            <w:pPr>
              <w:pStyle w:val="TableContents"/>
              <w:spacing w:before="0" w:after="0"/>
              <w:ind w:left="0" w:right="0" w:hanging="0"/>
              <w:jc w:val="right"/>
              <w:rPr/>
            </w:pPr>
            <w:r>
              <w:rPr/>
              <w:t>—</w:t>
            </w:r>
          </w:p>
        </w:tc>
        <w:tc>
          <w:tcPr>
            <w:tcW w:w="391" w:type="dxa"/>
            <w:tcBorders/>
            <w:shd w:fill="auto" w:val="clear"/>
            <w:vAlign w:val="center"/>
          </w:tcPr>
          <w:p>
            <w:pPr>
              <w:pStyle w:val="TableContents"/>
              <w:spacing w:before="0" w:after="0"/>
              <w:ind w:left="0" w:right="0" w:firstLine="200"/>
              <w:jc w:val="left"/>
              <w:rPr/>
            </w:pPr>
            <w:r>
              <w:rPr/>
              <w:t> </w:t>
            </w:r>
          </w:p>
        </w:tc>
      </w:tr>
      <w:tr>
        <w:trPr/>
        <w:tc>
          <w:tcPr>
            <w:tcW w:w="4546" w:type="dxa"/>
            <w:tcBorders/>
            <w:shd w:fill="auto" w:val="clear"/>
            <w:vAlign w:val="center"/>
          </w:tcPr>
          <w:p>
            <w:pPr>
              <w:pStyle w:val="TableContents"/>
              <w:spacing w:before="0" w:after="0"/>
              <w:ind w:left="200" w:right="0" w:hanging="0"/>
              <w:jc w:val="left"/>
              <w:rPr>
                <w:rFonts w:ascii="Times New Roman;serif" w:hAnsi="Times New Roman;serif"/>
                <w:b w:val="false"/>
                <w:sz w:val="20"/>
              </w:rPr>
            </w:pPr>
            <w:r>
              <w:rPr>
                <w:rFonts w:ascii="Times New Roman;serif" w:hAnsi="Times New Roman;serif"/>
                <w:b w:val="false"/>
                <w:sz w:val="20"/>
              </w:rPr>
              <w:t>Acquisition-related expenses</w:t>
            </w:r>
          </w:p>
        </w:tc>
        <w:tc>
          <w:tcPr>
            <w:tcW w:w="146" w:type="dxa"/>
            <w:tcBorders/>
            <w:shd w:fill="auto" w:val="clear"/>
            <w:vAlign w:val="center"/>
          </w:tcPr>
          <w:p>
            <w:pPr>
              <w:pStyle w:val="TableContents"/>
              <w:spacing w:before="0" w:after="0"/>
              <w:ind w:left="0" w:right="0" w:hanging="0"/>
              <w:jc w:val="right"/>
              <w:rPr/>
            </w:pPr>
            <w:r>
              <w:rPr/>
              <w:t> </w:t>
            </w:r>
          </w:p>
        </w:tc>
        <w:tc>
          <w:tcPr>
            <w:tcW w:w="251" w:type="dxa"/>
            <w:tcBorders/>
            <w:shd w:fill="auto" w:val="clear"/>
            <w:vAlign w:val="center"/>
          </w:tcPr>
          <w:p>
            <w:pPr>
              <w:pStyle w:val="TableContents"/>
              <w:spacing w:before="0" w:after="0"/>
              <w:ind w:left="0" w:right="0" w:hanging="0"/>
              <w:jc w:val="left"/>
              <w:rPr/>
            </w:pPr>
            <w:r>
              <w:rPr/>
              <w:t> </w:t>
            </w:r>
          </w:p>
        </w:tc>
        <w:tc>
          <w:tcPr>
            <w:tcW w:w="679"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156</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676" w:type="dxa"/>
            <w:tcBorders/>
            <w:shd w:fill="auto" w:val="clear"/>
            <w:vAlign w:val="center"/>
          </w:tcPr>
          <w:p>
            <w:pPr>
              <w:pStyle w:val="TableContents"/>
              <w:spacing w:before="0" w:after="0"/>
              <w:ind w:left="0" w:right="0" w:hanging="0"/>
              <w:jc w:val="right"/>
              <w:rPr/>
            </w:pPr>
            <w:r>
              <w:rPr/>
              <w:t>—</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736" w:type="dxa"/>
            <w:tcBorders/>
            <w:shd w:fill="auto" w:val="clear"/>
            <w:vAlign w:val="center"/>
          </w:tcPr>
          <w:p>
            <w:pPr>
              <w:pStyle w:val="TableContents"/>
              <w:spacing w:before="0" w:after="0"/>
              <w:ind w:left="0" w:right="0" w:hanging="0"/>
              <w:jc w:val="right"/>
              <w:rPr/>
            </w:pPr>
            <w:r>
              <w:rPr/>
              <w:t>—</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676" w:type="dxa"/>
            <w:tcBorders/>
            <w:shd w:fill="auto" w:val="clear"/>
            <w:vAlign w:val="center"/>
          </w:tcPr>
          <w:p>
            <w:pPr>
              <w:pStyle w:val="TableContents"/>
              <w:spacing w:before="0" w:after="0"/>
              <w:ind w:left="0" w:right="0" w:hanging="0"/>
              <w:jc w:val="right"/>
              <w:rPr/>
            </w:pPr>
            <w:r>
              <w:rPr/>
              <w:t>—</w:t>
            </w:r>
          </w:p>
        </w:tc>
        <w:tc>
          <w:tcPr>
            <w:tcW w:w="391" w:type="dxa"/>
            <w:tcBorders/>
            <w:shd w:fill="auto" w:val="clear"/>
            <w:vAlign w:val="center"/>
          </w:tcPr>
          <w:p>
            <w:pPr>
              <w:pStyle w:val="TableContents"/>
              <w:spacing w:before="0" w:after="0"/>
              <w:ind w:left="0" w:right="0" w:firstLine="200"/>
              <w:jc w:val="left"/>
              <w:rPr/>
            </w:pPr>
            <w:r>
              <w:rPr/>
              <w:t> </w:t>
            </w:r>
          </w:p>
        </w:tc>
      </w:tr>
      <w:tr>
        <w:trPr/>
        <w:tc>
          <w:tcPr>
            <w:tcW w:w="4546" w:type="dxa"/>
            <w:tcBorders/>
            <w:shd w:fill="auto" w:val="clear"/>
            <w:vAlign w:val="center"/>
          </w:tcPr>
          <w:p>
            <w:pPr>
              <w:pStyle w:val="TableContents"/>
              <w:spacing w:before="0" w:after="0"/>
              <w:ind w:left="200" w:right="0" w:hanging="0"/>
              <w:jc w:val="left"/>
              <w:rPr>
                <w:rFonts w:ascii="Times New Roman" w:hAnsi="Times New Roman"/>
                <w:sz w:val="20"/>
              </w:rPr>
            </w:pPr>
            <w:r>
              <w:rPr>
                <w:rFonts w:ascii="Times New Roman;serif" w:hAnsi="Times New Roman;serif"/>
                <w:b w:val="false"/>
                <w:sz w:val="20"/>
              </w:rPr>
              <w:t>Executive transition costs</w:t>
            </w:r>
            <w:r>
              <w:rPr>
                <w:rFonts w:ascii="Times New Roman;serif" w:hAnsi="Times New Roman;serif"/>
                <w:b w:val="false"/>
                <w:sz w:val="13"/>
              </w:rPr>
              <w:t>(2)</w:t>
            </w:r>
          </w:p>
        </w:tc>
        <w:tc>
          <w:tcPr>
            <w:tcW w:w="146" w:type="dxa"/>
            <w:tcBorders/>
            <w:shd w:fill="auto" w:val="clear"/>
            <w:vAlign w:val="center"/>
          </w:tcPr>
          <w:p>
            <w:pPr>
              <w:pStyle w:val="TableContents"/>
              <w:spacing w:before="0" w:after="0"/>
              <w:ind w:left="0" w:right="0" w:hanging="0"/>
              <w:jc w:val="right"/>
              <w:rPr/>
            </w:pPr>
            <w:r>
              <w:rPr/>
              <w:t> </w:t>
            </w:r>
          </w:p>
        </w:tc>
        <w:tc>
          <w:tcPr>
            <w:tcW w:w="251" w:type="dxa"/>
            <w:tcBorders/>
            <w:shd w:fill="auto" w:val="clear"/>
            <w:vAlign w:val="center"/>
          </w:tcPr>
          <w:p>
            <w:pPr>
              <w:pStyle w:val="TableContents"/>
              <w:spacing w:before="0" w:after="0"/>
              <w:ind w:left="0" w:right="0" w:hanging="0"/>
              <w:jc w:val="left"/>
              <w:rPr/>
            </w:pPr>
            <w:r>
              <w:rPr/>
              <w:t> </w:t>
            </w:r>
          </w:p>
        </w:tc>
        <w:tc>
          <w:tcPr>
            <w:tcW w:w="679"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1,353</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67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0.02</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736" w:type="dxa"/>
            <w:tcBorders/>
            <w:shd w:fill="auto" w:val="clear"/>
            <w:vAlign w:val="center"/>
          </w:tcPr>
          <w:p>
            <w:pPr>
              <w:pStyle w:val="TableContents"/>
              <w:spacing w:before="0" w:after="0"/>
              <w:ind w:left="0" w:right="0" w:hanging="0"/>
              <w:jc w:val="right"/>
              <w:rPr/>
            </w:pPr>
            <w:r>
              <w:rPr/>
              <w:t>—</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676" w:type="dxa"/>
            <w:tcBorders/>
            <w:shd w:fill="auto" w:val="clear"/>
            <w:vAlign w:val="center"/>
          </w:tcPr>
          <w:p>
            <w:pPr>
              <w:pStyle w:val="TableContents"/>
              <w:spacing w:before="0" w:after="0"/>
              <w:ind w:left="0" w:right="0" w:hanging="0"/>
              <w:jc w:val="right"/>
              <w:rPr/>
            </w:pPr>
            <w:r>
              <w:rPr/>
              <w:t>—</w:t>
            </w:r>
          </w:p>
        </w:tc>
        <w:tc>
          <w:tcPr>
            <w:tcW w:w="391" w:type="dxa"/>
            <w:tcBorders/>
            <w:shd w:fill="auto" w:val="clear"/>
            <w:vAlign w:val="center"/>
          </w:tcPr>
          <w:p>
            <w:pPr>
              <w:pStyle w:val="TableContents"/>
              <w:spacing w:before="0" w:after="0"/>
              <w:ind w:left="0" w:right="0" w:firstLine="200"/>
              <w:jc w:val="left"/>
              <w:rPr/>
            </w:pPr>
            <w:r>
              <w:rPr/>
              <w:t> </w:t>
            </w:r>
          </w:p>
        </w:tc>
      </w:tr>
      <w:tr>
        <w:trPr/>
        <w:tc>
          <w:tcPr>
            <w:tcW w:w="4546" w:type="dxa"/>
            <w:tcBorders/>
            <w:shd w:fill="auto" w:val="clear"/>
            <w:vAlign w:val="center"/>
          </w:tcPr>
          <w:p>
            <w:pPr>
              <w:pStyle w:val="TableContents"/>
              <w:spacing w:before="0" w:after="0"/>
              <w:ind w:left="200" w:right="0" w:hanging="0"/>
              <w:jc w:val="left"/>
              <w:rPr>
                <w:rFonts w:ascii="Times New Roman;serif" w:hAnsi="Times New Roman;serif"/>
                <w:b w:val="false"/>
                <w:sz w:val="20"/>
              </w:rPr>
            </w:pPr>
            <w:r>
              <w:rPr>
                <w:rFonts w:ascii="Times New Roman;serif" w:hAnsi="Times New Roman;serif"/>
                <w:b w:val="false"/>
                <w:sz w:val="20"/>
              </w:rPr>
              <w:t>Tax impact on items listed above</w:t>
            </w:r>
          </w:p>
        </w:tc>
        <w:tc>
          <w:tcPr>
            <w:tcW w:w="146" w:type="dxa"/>
            <w:tcBorders/>
            <w:shd w:fill="auto" w:val="clear"/>
            <w:vAlign w:val="center"/>
          </w:tcPr>
          <w:p>
            <w:pPr>
              <w:pStyle w:val="TableContents"/>
              <w:spacing w:before="0" w:after="0"/>
              <w:ind w:left="0" w:right="0" w:hanging="0"/>
              <w:jc w:val="right"/>
              <w:rPr/>
            </w:pPr>
            <w:r>
              <w:rPr/>
              <w:t> </w:t>
            </w:r>
          </w:p>
        </w:tc>
        <w:tc>
          <w:tcPr>
            <w:tcW w:w="251" w:type="dxa"/>
            <w:tcBorders/>
            <w:shd w:fill="auto" w:val="clear"/>
            <w:vAlign w:val="center"/>
          </w:tcPr>
          <w:p>
            <w:pPr>
              <w:pStyle w:val="TableContents"/>
              <w:spacing w:before="0" w:after="0"/>
              <w:ind w:left="0" w:right="0" w:hanging="0"/>
              <w:jc w:val="left"/>
              <w:rPr/>
            </w:pPr>
            <w:r>
              <w:rPr/>
              <w:t> </w:t>
            </w:r>
          </w:p>
        </w:tc>
        <w:tc>
          <w:tcPr>
            <w:tcW w:w="679"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(429</w:t>
            </w:r>
          </w:p>
        </w:tc>
        <w:tc>
          <w:tcPr>
            <w:tcW w:w="16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67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(0.01</w:t>
            </w:r>
          </w:p>
        </w:tc>
        <w:tc>
          <w:tcPr>
            <w:tcW w:w="16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73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(367</w:t>
            </w:r>
          </w:p>
        </w:tc>
        <w:tc>
          <w:tcPr>
            <w:tcW w:w="16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67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(0.01</w:t>
            </w:r>
          </w:p>
        </w:tc>
        <w:tc>
          <w:tcPr>
            <w:tcW w:w="39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4546" w:type="dxa"/>
            <w:tcBorders/>
            <w:shd w:fill="auto" w:val="clear"/>
            <w:vAlign w:val="center"/>
          </w:tcPr>
          <w:p>
            <w:pPr>
              <w:pStyle w:val="TableContents"/>
              <w:spacing w:before="0" w:after="0"/>
              <w:ind w:left="0" w:right="0" w:hanging="0"/>
              <w:jc w:val="left"/>
              <w:rPr>
                <w:rFonts w:ascii="Times New Roman" w:hAnsi="Times New Roman"/>
                <w:sz w:val="20"/>
              </w:rPr>
            </w:pPr>
            <w:r>
              <w:rPr>
                <w:rFonts w:ascii="Times New Roman;serif" w:hAnsi="Times New Roman;serif"/>
                <w:b w:val="false"/>
                <w:sz w:val="20"/>
              </w:rPr>
              <w:t>Adjusted net income (loss)</w:t>
            </w:r>
            <w:r>
              <w:rPr>
                <w:rFonts w:ascii="Times New Roman;serif" w:hAnsi="Times New Roman;serif"/>
                <w:b w:val="false"/>
                <w:sz w:val="13"/>
              </w:rPr>
              <w:t>(1)</w:t>
            </w:r>
          </w:p>
        </w:tc>
        <w:tc>
          <w:tcPr>
            <w:tcW w:w="146" w:type="dxa"/>
            <w:tcBorders/>
            <w:shd w:fill="auto" w:val="clear"/>
            <w:vAlign w:val="center"/>
          </w:tcPr>
          <w:p>
            <w:pPr>
              <w:pStyle w:val="TableContents"/>
              <w:spacing w:before="0" w:after="0"/>
              <w:ind w:left="0" w:right="0" w:hanging="0"/>
              <w:jc w:val="left"/>
              <w:rPr/>
            </w:pPr>
            <w:r>
              <w:rPr/>
              <w:t> </w:t>
            </w:r>
          </w:p>
        </w:tc>
        <w:tc>
          <w:tcPr>
            <w:tcW w:w="251" w:type="dxa"/>
            <w:tcBorders>
              <w:top w:val="single" w:sz="4" w:space="0" w:color="000000"/>
              <w:bottom w:val="double" w:sz="6" w:space="0" w:color="000000"/>
            </w:tcBorders>
            <w:shd w:fill="auto" w:val="clear"/>
            <w:tcMar>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79" w:type="dxa"/>
            <w:tcBorders>
              <w:top w:val="single" w:sz="4" w:space="0" w:color="000000"/>
              <w:bottom w:val="double" w:sz="6" w:space="0" w:color="000000"/>
            </w:tcBorders>
            <w:shd w:fill="auto" w:val="clear"/>
            <w:tcMar>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9,025</w:t>
            </w:r>
          </w:p>
        </w:tc>
        <w:tc>
          <w:tcPr>
            <w:tcW w:w="166" w:type="dxa"/>
            <w:tcBorders>
              <w:top w:val="single" w:sz="4" w:space="0" w:color="000000"/>
              <w:bottom w:val="double" w:sz="6" w:space="0" w:color="000000"/>
            </w:tcBorders>
            <w:shd w:fill="auto" w:val="clear"/>
            <w:tcMar>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211" w:type="dxa"/>
            <w:tcBorders>
              <w:top w:val="single" w:sz="4" w:space="0" w:color="000000"/>
              <w:bottom w:val="double" w:sz="6" w:space="0" w:color="000000"/>
            </w:tcBorders>
            <w:shd w:fill="auto" w:val="clear"/>
            <w:tcMar>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76" w:type="dxa"/>
            <w:tcBorders>
              <w:top w:val="single" w:sz="4" w:space="0" w:color="000000"/>
              <w:bottom w:val="double" w:sz="6" w:space="0" w:color="000000"/>
            </w:tcBorders>
            <w:shd w:fill="auto" w:val="clear"/>
            <w:tcMar>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0.16</w:t>
            </w:r>
          </w:p>
        </w:tc>
        <w:tc>
          <w:tcPr>
            <w:tcW w:w="166" w:type="dxa"/>
            <w:tcBorders>
              <w:top w:val="single" w:sz="4" w:space="0" w:color="000000"/>
              <w:bottom w:val="double" w:sz="6" w:space="0" w:color="000000"/>
            </w:tcBorders>
            <w:shd w:fill="auto" w:val="clear"/>
            <w:tcMar>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211" w:type="dxa"/>
            <w:tcBorders>
              <w:top w:val="single" w:sz="4" w:space="0" w:color="000000"/>
              <w:bottom w:val="double" w:sz="6" w:space="0" w:color="000000"/>
            </w:tcBorders>
            <w:shd w:fill="auto" w:val="clear"/>
            <w:tcMar>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36" w:type="dxa"/>
            <w:tcBorders>
              <w:top w:val="single" w:sz="4" w:space="0" w:color="000000"/>
              <w:bottom w:val="double" w:sz="6" w:space="0" w:color="000000"/>
            </w:tcBorders>
            <w:shd w:fill="auto" w:val="clear"/>
            <w:tcMar>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(8,244</w:t>
            </w:r>
          </w:p>
        </w:tc>
        <w:tc>
          <w:tcPr>
            <w:tcW w:w="166" w:type="dxa"/>
            <w:tcBorders>
              <w:top w:val="single" w:sz="4" w:space="0" w:color="000000"/>
              <w:bottom w:val="double" w:sz="6" w:space="0" w:color="000000"/>
            </w:tcBorders>
            <w:shd w:fill="auto" w:val="clear"/>
            <w:tcMar>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211" w:type="dxa"/>
            <w:tcBorders>
              <w:top w:val="single" w:sz="4" w:space="0" w:color="000000"/>
              <w:bottom w:val="double" w:sz="6" w:space="0" w:color="000000"/>
            </w:tcBorders>
            <w:shd w:fill="auto" w:val="clear"/>
            <w:tcMar>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76" w:type="dxa"/>
            <w:tcBorders>
              <w:top w:val="single" w:sz="4" w:space="0" w:color="000000"/>
              <w:bottom w:val="double" w:sz="6" w:space="0" w:color="000000"/>
            </w:tcBorders>
            <w:shd w:fill="auto" w:val="clear"/>
            <w:tcMar>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(0.14</w:t>
            </w:r>
          </w:p>
        </w:tc>
        <w:tc>
          <w:tcPr>
            <w:tcW w:w="391" w:type="dxa"/>
            <w:tcBorders>
              <w:top w:val="single" w:sz="4" w:space="0" w:color="000000"/>
              <w:bottom w:val="double" w:sz="6" w:space="0" w:color="000000"/>
            </w:tcBorders>
            <w:shd w:fill="auto" w:val="clear"/>
            <w:tcMar>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4546" w:type="dxa"/>
            <w:tcBorders/>
            <w:shd w:fill="auto" w:val="clear"/>
            <w:vAlign w:val="center"/>
          </w:tcPr>
          <w:p>
            <w:pPr>
              <w:pStyle w:val="TableContents"/>
              <w:spacing w:before="0" w:after="283"/>
              <w:ind w:left="0" w:right="0" w:hanging="0"/>
              <w:rPr>
                <w:sz w:val="4"/>
                <w:szCs w:val="4"/>
              </w:rPr>
            </w:pPr>
            <w:r>
              <w:rPr>
                <w:sz w:val="4"/>
                <w:szCs w:val="4"/>
              </w:rPr>
            </w:r>
          </w:p>
        </w:tc>
        <w:tc>
          <w:tcPr>
            <w:tcW w:w="146" w:type="dxa"/>
            <w:tcBorders/>
            <w:shd w:fill="auto" w:val="clear"/>
            <w:vAlign w:val="center"/>
          </w:tcPr>
          <w:p>
            <w:pPr>
              <w:pStyle w:val="TableContents"/>
              <w:spacing w:before="0" w:after="0"/>
              <w:ind w:left="0" w:right="0" w:hanging="0"/>
              <w:jc w:val="right"/>
              <w:rPr/>
            </w:pPr>
            <w:r>
              <w:rPr/>
              <w:t> </w:t>
            </w:r>
          </w:p>
        </w:tc>
        <w:tc>
          <w:tcPr>
            <w:tcW w:w="930" w:type="dxa"/>
            <w:gridSpan w:val="2"/>
            <w:tcBorders/>
            <w:shd w:fill="auto" w:val="clear"/>
            <w:vAlign w:val="center"/>
          </w:tcPr>
          <w:p>
            <w:pPr>
              <w:pStyle w:val="TableContents"/>
              <w:spacing w:before="0" w:after="0"/>
              <w:ind w:left="0" w:right="0" w:hanging="0"/>
              <w:jc w:val="right"/>
              <w:rPr/>
            </w:pPr>
            <w:r>
              <w:rPr/>
              <w:t> </w:t>
            </w:r>
          </w:p>
        </w:tc>
        <w:tc>
          <w:tcPr>
            <w:tcW w:w="16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887" w:type="dxa"/>
            <w:gridSpan w:val="2"/>
            <w:tcBorders/>
            <w:shd w:fill="auto" w:val="clear"/>
            <w:vAlign w:val="center"/>
          </w:tcPr>
          <w:p>
            <w:pPr>
              <w:pStyle w:val="TableContents"/>
              <w:spacing w:before="0" w:after="0"/>
              <w:ind w:left="0" w:right="0" w:hanging="0"/>
              <w:jc w:val="right"/>
              <w:rPr/>
            </w:pPr>
            <w:r>
              <w:rPr/>
              <w:t> </w:t>
            </w:r>
          </w:p>
        </w:tc>
        <w:tc>
          <w:tcPr>
            <w:tcW w:w="16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947" w:type="dxa"/>
            <w:gridSpan w:val="2"/>
            <w:tcBorders/>
            <w:shd w:fill="auto" w:val="clear"/>
            <w:vAlign w:val="center"/>
          </w:tcPr>
          <w:p>
            <w:pPr>
              <w:pStyle w:val="TableContents"/>
              <w:spacing w:before="0" w:after="0"/>
              <w:ind w:left="0" w:right="0" w:hanging="0"/>
              <w:jc w:val="right"/>
              <w:rPr/>
            </w:pPr>
            <w:r>
              <w:rPr/>
              <w:t> </w:t>
            </w:r>
          </w:p>
        </w:tc>
        <w:tc>
          <w:tcPr>
            <w:tcW w:w="16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887" w:type="dxa"/>
            <w:gridSpan w:val="2"/>
            <w:tcBorders/>
            <w:shd w:fill="auto" w:val="clear"/>
            <w:vAlign w:val="center"/>
          </w:tcPr>
          <w:p>
            <w:pPr>
              <w:pStyle w:val="TableContents"/>
              <w:spacing w:before="0" w:after="0"/>
              <w:ind w:left="0" w:right="0" w:hanging="0"/>
              <w:jc w:val="right"/>
              <w:rPr/>
            </w:pPr>
            <w:r>
              <w:rPr/>
              <w:t> </w:t>
            </w:r>
          </w:p>
        </w:tc>
        <w:tc>
          <w:tcPr>
            <w:tcW w:w="391" w:type="dxa"/>
            <w:tcBorders/>
            <w:shd w:fill="auto" w:val="clear"/>
            <w:vAlign w:val="center"/>
          </w:tcPr>
          <w:p>
            <w:pPr>
              <w:pStyle w:val="TableContents"/>
              <w:spacing w:before="0" w:after="0"/>
              <w:ind w:left="0" w:right="0" w:hanging="0"/>
              <w:jc w:val="right"/>
              <w:rPr/>
            </w:pPr>
            <w:r>
              <w:rPr/>
              <w:t> </w:t>
            </w:r>
          </w:p>
        </w:tc>
      </w:tr>
      <w:tr>
        <w:trPr/>
        <w:tc>
          <w:tcPr>
            <w:tcW w:w="454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Weighted average shares outstanding — basic</w:t>
            </w:r>
          </w:p>
        </w:tc>
        <w:tc>
          <w:tcPr>
            <w:tcW w:w="146" w:type="dxa"/>
            <w:tcBorders/>
            <w:shd w:fill="auto" w:val="clear"/>
            <w:vAlign w:val="center"/>
          </w:tcPr>
          <w:p>
            <w:pPr>
              <w:pStyle w:val="TableContents"/>
              <w:spacing w:before="0" w:after="0"/>
              <w:ind w:left="0" w:right="0" w:hanging="0"/>
              <w:jc w:val="right"/>
              <w:rPr/>
            </w:pPr>
            <w:r>
              <w:rPr/>
              <w:t> </w:t>
            </w:r>
          </w:p>
        </w:tc>
        <w:tc>
          <w:tcPr>
            <w:tcW w:w="930" w:type="dxa"/>
            <w:gridSpan w:val="2"/>
            <w:tcBorders/>
            <w:shd w:fill="auto" w:val="clear"/>
            <w:vAlign w:val="center"/>
          </w:tcPr>
          <w:p>
            <w:pPr>
              <w:pStyle w:val="TableContents"/>
              <w:spacing w:before="0" w:after="0"/>
              <w:ind w:left="0" w:right="0" w:hanging="0"/>
              <w:jc w:val="right"/>
              <w:rPr/>
            </w:pPr>
            <w:r>
              <w:rPr/>
              <w:t> </w:t>
            </w:r>
          </w:p>
        </w:tc>
        <w:tc>
          <w:tcPr>
            <w:tcW w:w="16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21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67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54,064</w:t>
            </w:r>
          </w:p>
        </w:tc>
        <w:tc>
          <w:tcPr>
            <w:tcW w:w="16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947" w:type="dxa"/>
            <w:gridSpan w:val="2"/>
            <w:tcBorders/>
            <w:shd w:fill="auto" w:val="clear"/>
            <w:vAlign w:val="center"/>
          </w:tcPr>
          <w:p>
            <w:pPr>
              <w:pStyle w:val="TableContents"/>
              <w:spacing w:before="0" w:after="0"/>
              <w:ind w:left="0" w:right="0" w:hanging="0"/>
              <w:jc w:val="right"/>
              <w:rPr/>
            </w:pPr>
            <w:r>
              <w:rPr/>
              <w:t> </w:t>
            </w:r>
          </w:p>
        </w:tc>
        <w:tc>
          <w:tcPr>
            <w:tcW w:w="16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21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67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58,574</w:t>
            </w:r>
          </w:p>
        </w:tc>
        <w:tc>
          <w:tcPr>
            <w:tcW w:w="39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r>
        <w:trPr/>
        <w:tc>
          <w:tcPr>
            <w:tcW w:w="454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Weighted average shares outstanding — diluted</w:t>
            </w:r>
          </w:p>
        </w:tc>
        <w:tc>
          <w:tcPr>
            <w:tcW w:w="146" w:type="dxa"/>
            <w:tcBorders/>
            <w:shd w:fill="auto" w:val="clear"/>
            <w:vAlign w:val="center"/>
          </w:tcPr>
          <w:p>
            <w:pPr>
              <w:pStyle w:val="TableContents"/>
              <w:spacing w:before="0" w:after="0"/>
              <w:ind w:left="0" w:right="0" w:hanging="0"/>
              <w:jc w:val="right"/>
              <w:rPr/>
            </w:pPr>
            <w:r>
              <w:rPr/>
              <w:t> </w:t>
            </w:r>
          </w:p>
        </w:tc>
        <w:tc>
          <w:tcPr>
            <w:tcW w:w="930" w:type="dxa"/>
            <w:gridSpan w:val="2"/>
            <w:tcBorders/>
            <w:shd w:fill="auto" w:val="clear"/>
            <w:vAlign w:val="center"/>
          </w:tcPr>
          <w:p>
            <w:pPr>
              <w:pStyle w:val="TableContents"/>
              <w:spacing w:before="0" w:after="0"/>
              <w:ind w:left="0" w:right="0" w:hanging="0"/>
              <w:jc w:val="right"/>
              <w:rPr/>
            </w:pPr>
            <w:r>
              <w:rPr/>
              <w:t> </w:t>
            </w:r>
          </w:p>
        </w:tc>
        <w:tc>
          <w:tcPr>
            <w:tcW w:w="16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21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67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54,991</w:t>
            </w:r>
          </w:p>
        </w:tc>
        <w:tc>
          <w:tcPr>
            <w:tcW w:w="16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947" w:type="dxa"/>
            <w:gridSpan w:val="2"/>
            <w:tcBorders/>
            <w:shd w:fill="auto" w:val="clear"/>
            <w:vAlign w:val="center"/>
          </w:tcPr>
          <w:p>
            <w:pPr>
              <w:pStyle w:val="TableContents"/>
              <w:spacing w:before="0" w:after="0"/>
              <w:ind w:left="0" w:right="0" w:hanging="0"/>
              <w:jc w:val="right"/>
              <w:rPr/>
            </w:pPr>
            <w:r>
              <w:rPr/>
              <w:t> </w:t>
            </w:r>
          </w:p>
        </w:tc>
        <w:tc>
          <w:tcPr>
            <w:tcW w:w="16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21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67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58,574</w:t>
            </w:r>
          </w:p>
        </w:tc>
        <w:tc>
          <w:tcPr>
            <w:tcW w:w="39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bl>
    <w:p>
      <w:pPr>
        <w:pStyle w:val="TextBody"/>
        <w:pBdr>
          <w:bottom w:val="single" w:sz="4" w:space="1" w:color="000000"/>
        </w:pBdr>
        <w:spacing w:before="0" w:after="0"/>
        <w:jc w:val="left"/>
        <w:rPr/>
      </w:pPr>
      <w:r>
        <w:rPr/>
        <w:t> </w:t>
      </w:r>
    </w:p>
    <w:p>
      <w:pPr>
        <w:pStyle w:val="TextBody"/>
        <w:spacing w:before="200" w:after="0"/>
        <w:jc w:val="both"/>
        <w:rPr>
          <w:rFonts w:ascii="Times New Roman" w:hAnsi="Times New Roman"/>
          <w:b w:val="false"/>
          <w:sz w:val="20"/>
        </w:rPr>
      </w:pPr>
      <w:r>
        <w:rPr>
          <w:rFonts w:ascii="Times New Roman" w:hAnsi="Times New Roman"/>
          <w:b w:val="false"/>
          <w:sz w:val="20"/>
        </w:rPr>
        <w:t>(1)</w:t>
      </w:r>
    </w:p>
    <w:p>
      <w:pPr>
        <w:pStyle w:val="TextBody"/>
        <w:spacing w:before="200" w:after="0"/>
        <w:jc w:val="both"/>
        <w:rPr>
          <w:rFonts w:ascii="Times New Roman;serif" w:hAnsi="Times New Roman;serif"/>
          <w:b w:val="false"/>
          <w:sz w:val="20"/>
        </w:rPr>
      </w:pPr>
      <w:r>
        <w:rPr>
          <w:rFonts w:ascii="Times New Roman;serif" w:hAnsi="Times New Roman;serif"/>
          <w:b w:val="false"/>
          <w:sz w:val="20"/>
        </w:rPr>
        <w:t>Reflects amounts attributable to common shareholders.</w:t>
      </w:r>
    </w:p>
    <w:p>
      <w:pPr>
        <w:pStyle w:val="TextBody"/>
        <w:spacing w:before="200" w:after="0"/>
        <w:jc w:val="both"/>
        <w:rPr>
          <w:rFonts w:ascii="Times New Roman" w:hAnsi="Times New Roman"/>
          <w:b w:val="false"/>
          <w:sz w:val="20"/>
        </w:rPr>
      </w:pPr>
      <w:r>
        <w:rPr>
          <w:rFonts w:ascii="Times New Roman" w:hAnsi="Times New Roman"/>
          <w:b w:val="false"/>
          <w:sz w:val="20"/>
        </w:rPr>
        <w:t>(2)</w:t>
      </w:r>
    </w:p>
    <w:p>
      <w:pPr>
        <w:pStyle w:val="TextBody"/>
        <w:spacing w:before="200" w:after="283"/>
        <w:jc w:val="both"/>
        <w:rPr>
          <w:rFonts w:ascii="Times New Roman;serif" w:hAnsi="Times New Roman;serif"/>
          <w:b w:val="false"/>
          <w:sz w:val="20"/>
        </w:rPr>
      </w:pPr>
      <w:r>
        <w:rPr>
          <w:rFonts w:ascii="Times New Roman;serif" w:hAnsi="Times New Roman;serif"/>
          <w:b w:val="false"/>
          <w:sz w:val="20"/>
        </w:rPr>
        <w:t>Reflects costs in connection with the departure of Megan Colligan, President, IMAX Entertainment and Executive Vice President of the Company. (See Note 16 of Notes to Condensed Consolidated Financial Statements in Part I, Item 1.)</w:t>
      </w:r>
    </w:p>
    <w:p>
      <w:pPr>
        <w:pStyle w:val="TextBody"/>
        <w:spacing w:before="200" w:after="0"/>
        <w:jc w:val="both"/>
        <w:rPr>
          <w:rFonts w:ascii="Times New Roman;serif" w:hAnsi="Times New Roman;serif"/>
          <w:b w:val="false"/>
          <w:sz w:val="20"/>
        </w:rPr>
      </w:pPr>
      <w:r>
        <w:rPr>
          <w:rFonts w:ascii="Times New Roman;serif" w:hAnsi="Times New Roman;serif"/>
          <w:b w:val="false"/>
          <w:sz w:val="20"/>
        </w:rPr>
        <w:t>In addition to the non-GAAP financial measures discussed above, management also uses “EBITDA,” as well as “Adjusted EBITDA per Credit Facility,” as defined in the Credit Agreement. As allowed by the Credit Agreement, Adjusted EBITDA per Credit Facility includes adjustments in addition to the exclusion of interest, taxes, depreciation and amortization. Accordingly, this non-GAAP financial measure is presented to allow a more comprehensive analysis of the Company’s operating performance and to provide additional information with respect to the Company’s compliance with its Credit Agreement requirements, when applicable. In addition, the Company believes that Adjusted EBITDA per Credit Facility presents relevant and useful information widely used by analysts, investors and other interested parties in the Company’s industry to evaluate, assess and benchmark the Company’s results.</w:t>
      </w:r>
    </w:p>
    <w:p>
      <w:pPr>
        <w:pStyle w:val="TextBody"/>
        <w:spacing w:before="200" w:after="0"/>
        <w:jc w:val="both"/>
        <w:rPr>
          <w:rFonts w:ascii="Times New Roman;serif" w:hAnsi="Times New Roman;serif"/>
          <w:b w:val="false"/>
          <w:sz w:val="20"/>
        </w:rPr>
      </w:pPr>
      <w:r>
        <w:rPr>
          <w:rFonts w:ascii="Times New Roman;serif" w:hAnsi="Times New Roman;serif"/>
          <w:b w:val="false"/>
          <w:sz w:val="20"/>
        </w:rPr>
        <w:t>EBITDA is defined as net income or loss excluding: (i) income tax expense or benefit; (ii) interest expense, net of interest income; (iii) depreciation and amortization, including film asset amortization; and (iv) amortization of deferred financing costs. Adjusted EBITDA per Credit Facility is defined as EBITDA excluding: (v) share-based and other non-cash compensation; (vi) realized and unrealized investment gains or losses; (vii) acquisition-related expenses; (viii) executive transition costs, and (ix) write-downs, net of recoveries, including asset impairments and credit loss expense.</w:t>
      </w:r>
    </w:p>
    <w:p>
      <w:pPr>
        <w:pStyle w:val="TextBody"/>
        <w:spacing w:before="240" w:after="0"/>
        <w:jc w:val="center"/>
        <w:rPr>
          <w:rFonts w:ascii="Times New Roman;serif" w:hAnsi="Times New Roman;serif"/>
          <w:b w:val="false"/>
          <w:sz w:val="20"/>
        </w:rPr>
      </w:pPr>
      <w:r>
        <w:rPr>
          <w:rFonts w:ascii="Times New Roman;serif" w:hAnsi="Times New Roman;serif"/>
          <w:b w:val="false"/>
          <w:sz w:val="20"/>
        </w:rPr>
        <w:t>62</w:t>
      </w:r>
    </w:p>
    <w:p>
      <w:pPr>
        <w:pStyle w:val="HorizontalLine"/>
        <w:rPr/>
      </w:pPr>
      <w:r>
        <w:rPr/>
      </w:r>
    </w:p>
    <w:p>
      <w:pPr>
        <w:pStyle w:val="TextBody"/>
        <w:spacing w:before="0" w:after="0"/>
        <w:jc w:val="left"/>
        <w:rPr/>
      </w:pPr>
      <w:r>
        <w:rPr/>
        <w:t> </w:t>
      </w:r>
    </w:p>
    <w:p>
      <w:pPr>
        <w:pStyle w:val="TextBody"/>
        <w:spacing w:before="200" w:after="200"/>
        <w:jc w:val="both"/>
        <w:rPr>
          <w:rFonts w:ascii="Times New Roman;serif" w:hAnsi="Times New Roman;serif"/>
          <w:b w:val="false"/>
          <w:sz w:val="20"/>
        </w:rPr>
      </w:pPr>
      <w:r>
        <w:rPr>
          <w:rFonts w:ascii="Times New Roman;serif" w:hAnsi="Times New Roman;serif"/>
          <w:b w:val="false"/>
          <w:sz w:val="20"/>
        </w:rPr>
        <w:t>Reconciliations of net income (loss) attributable to common shareholders, which is the most directly comparable GAAP measure, to EBITDA and Adjusted EBITDA per Credit Facility are presented in the tables below.</w:t>
      </w:r>
    </w:p>
    <w:tbl>
      <w:tblPr>
        <w:tblW w:w="10205" w:type="dxa"/>
        <w:jc w:val="left"/>
        <w:tblInd w:w="0" w:type="dxa"/>
        <w:tblCellMar>
          <w:top w:w="28" w:type="dxa"/>
          <w:left w:w="28" w:type="dxa"/>
          <w:bottom w:w="28" w:type="dxa"/>
          <w:right w:w="28" w:type="dxa"/>
        </w:tblCellMar>
      </w:tblPr>
      <w:tblGrid>
        <w:gridCol w:w="4275"/>
        <w:gridCol w:w="325"/>
        <w:gridCol w:w="225"/>
        <w:gridCol w:w="1048"/>
        <w:gridCol w:w="166"/>
        <w:gridCol w:w="146"/>
        <w:gridCol w:w="413"/>
        <w:gridCol w:w="285"/>
        <w:gridCol w:w="1014"/>
        <w:gridCol w:w="166"/>
        <w:gridCol w:w="146"/>
        <w:gridCol w:w="317"/>
        <w:gridCol w:w="215"/>
        <w:gridCol w:w="1001"/>
        <w:gridCol w:w="166"/>
        <w:gridCol w:w="297"/>
      </w:tblGrid>
      <w:tr>
        <w:trPr/>
        <w:tc>
          <w:tcPr>
            <w:tcW w:w="4275" w:type="dxa"/>
            <w:tcBorders/>
            <w:shd w:fill="auto" w:val="clear"/>
            <w:vAlign w:val="center"/>
          </w:tcPr>
          <w:p>
            <w:pPr>
              <w:pStyle w:val="TableContents"/>
              <w:spacing w:before="0" w:after="283"/>
              <w:rPr>
                <w:sz w:val="4"/>
                <w:szCs w:val="4"/>
              </w:rPr>
            </w:pPr>
            <w:r>
              <w:rPr>
                <w:sz w:val="4"/>
                <w:szCs w:val="4"/>
              </w:rPr>
            </w:r>
          </w:p>
        </w:tc>
        <w:tc>
          <w:tcPr>
            <w:tcW w:w="325" w:type="dxa"/>
            <w:tcBorders/>
            <w:shd w:fill="auto" w:val="clear"/>
            <w:vAlign w:val="center"/>
          </w:tcPr>
          <w:p>
            <w:pPr>
              <w:pStyle w:val="TableContents"/>
              <w:spacing w:before="0" w:after="283"/>
              <w:rPr>
                <w:sz w:val="4"/>
                <w:szCs w:val="4"/>
              </w:rPr>
            </w:pPr>
            <w:r>
              <w:rPr>
                <w:sz w:val="4"/>
                <w:szCs w:val="4"/>
              </w:rPr>
            </w:r>
          </w:p>
        </w:tc>
        <w:tc>
          <w:tcPr>
            <w:tcW w:w="225" w:type="dxa"/>
            <w:tcBorders/>
            <w:shd w:fill="auto" w:val="clear"/>
            <w:vAlign w:val="center"/>
          </w:tcPr>
          <w:p>
            <w:pPr>
              <w:pStyle w:val="TableContents"/>
              <w:spacing w:before="0" w:after="283"/>
              <w:rPr>
                <w:sz w:val="4"/>
                <w:szCs w:val="4"/>
              </w:rPr>
            </w:pPr>
            <w:r>
              <w:rPr>
                <w:sz w:val="4"/>
                <w:szCs w:val="4"/>
              </w:rPr>
            </w:r>
          </w:p>
        </w:tc>
        <w:tc>
          <w:tcPr>
            <w:tcW w:w="1048" w:type="dxa"/>
            <w:tcBorders/>
            <w:shd w:fill="auto" w:val="clear"/>
            <w:vAlign w:val="center"/>
          </w:tcPr>
          <w:p>
            <w:pPr>
              <w:pStyle w:val="TableContents"/>
              <w:spacing w:before="0" w:after="283"/>
              <w:rPr>
                <w:sz w:val="4"/>
                <w:szCs w:val="4"/>
              </w:rPr>
            </w:pPr>
            <w:r>
              <w:rPr>
                <w:sz w:val="4"/>
                <w:szCs w:val="4"/>
              </w:rPr>
            </w:r>
          </w:p>
        </w:tc>
        <w:tc>
          <w:tcPr>
            <w:tcW w:w="16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413" w:type="dxa"/>
            <w:tcBorders/>
            <w:shd w:fill="auto" w:val="clear"/>
            <w:vAlign w:val="center"/>
          </w:tcPr>
          <w:p>
            <w:pPr>
              <w:pStyle w:val="TableContents"/>
              <w:spacing w:before="0" w:after="283"/>
              <w:rPr>
                <w:sz w:val="4"/>
                <w:szCs w:val="4"/>
              </w:rPr>
            </w:pPr>
            <w:r>
              <w:rPr>
                <w:sz w:val="4"/>
                <w:szCs w:val="4"/>
              </w:rPr>
            </w:r>
          </w:p>
        </w:tc>
        <w:tc>
          <w:tcPr>
            <w:tcW w:w="285" w:type="dxa"/>
            <w:tcBorders/>
            <w:shd w:fill="auto" w:val="clear"/>
            <w:vAlign w:val="center"/>
          </w:tcPr>
          <w:p>
            <w:pPr>
              <w:pStyle w:val="TableContents"/>
              <w:spacing w:before="0" w:after="283"/>
              <w:rPr>
                <w:sz w:val="4"/>
                <w:szCs w:val="4"/>
              </w:rPr>
            </w:pPr>
            <w:r>
              <w:rPr>
                <w:sz w:val="4"/>
                <w:szCs w:val="4"/>
              </w:rPr>
            </w:r>
          </w:p>
        </w:tc>
        <w:tc>
          <w:tcPr>
            <w:tcW w:w="1014" w:type="dxa"/>
            <w:tcBorders/>
            <w:shd w:fill="auto" w:val="clear"/>
            <w:vAlign w:val="center"/>
          </w:tcPr>
          <w:p>
            <w:pPr>
              <w:pStyle w:val="TableContents"/>
              <w:spacing w:before="0" w:after="283"/>
              <w:rPr>
                <w:sz w:val="4"/>
                <w:szCs w:val="4"/>
              </w:rPr>
            </w:pPr>
            <w:r>
              <w:rPr>
                <w:sz w:val="4"/>
                <w:szCs w:val="4"/>
              </w:rPr>
            </w:r>
          </w:p>
        </w:tc>
        <w:tc>
          <w:tcPr>
            <w:tcW w:w="16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317" w:type="dxa"/>
            <w:tcBorders/>
            <w:shd w:fill="auto" w:val="clear"/>
            <w:vAlign w:val="center"/>
          </w:tcPr>
          <w:p>
            <w:pPr>
              <w:pStyle w:val="TableContents"/>
              <w:spacing w:before="0" w:after="283"/>
              <w:rPr>
                <w:sz w:val="4"/>
                <w:szCs w:val="4"/>
              </w:rPr>
            </w:pPr>
            <w:r>
              <w:rPr>
                <w:sz w:val="4"/>
                <w:szCs w:val="4"/>
              </w:rPr>
            </w:r>
          </w:p>
        </w:tc>
        <w:tc>
          <w:tcPr>
            <w:tcW w:w="215" w:type="dxa"/>
            <w:tcBorders/>
            <w:shd w:fill="auto" w:val="clear"/>
            <w:vAlign w:val="center"/>
          </w:tcPr>
          <w:p>
            <w:pPr>
              <w:pStyle w:val="TableContents"/>
              <w:spacing w:before="0" w:after="283"/>
              <w:rPr>
                <w:sz w:val="4"/>
                <w:szCs w:val="4"/>
              </w:rPr>
            </w:pPr>
            <w:r>
              <w:rPr>
                <w:sz w:val="4"/>
                <w:szCs w:val="4"/>
              </w:rPr>
            </w:r>
          </w:p>
        </w:tc>
        <w:tc>
          <w:tcPr>
            <w:tcW w:w="1001" w:type="dxa"/>
            <w:tcBorders/>
            <w:shd w:fill="auto" w:val="clear"/>
            <w:vAlign w:val="center"/>
          </w:tcPr>
          <w:p>
            <w:pPr>
              <w:pStyle w:val="TableContents"/>
              <w:spacing w:before="0" w:after="283"/>
              <w:rPr>
                <w:sz w:val="4"/>
                <w:szCs w:val="4"/>
              </w:rPr>
            </w:pPr>
            <w:r>
              <w:rPr>
                <w:sz w:val="4"/>
                <w:szCs w:val="4"/>
              </w:rPr>
            </w:r>
          </w:p>
        </w:tc>
        <w:tc>
          <w:tcPr>
            <w:tcW w:w="166" w:type="dxa"/>
            <w:tcBorders/>
            <w:shd w:fill="auto" w:val="clear"/>
            <w:vAlign w:val="center"/>
          </w:tcPr>
          <w:p>
            <w:pPr>
              <w:pStyle w:val="TableContents"/>
              <w:spacing w:before="0" w:after="283"/>
              <w:rPr>
                <w:sz w:val="4"/>
                <w:szCs w:val="4"/>
              </w:rPr>
            </w:pPr>
            <w:r>
              <w:rPr>
                <w:sz w:val="4"/>
                <w:szCs w:val="4"/>
              </w:rPr>
            </w:r>
          </w:p>
        </w:tc>
        <w:tc>
          <w:tcPr>
            <w:tcW w:w="297" w:type="dxa"/>
            <w:tcBorders/>
            <w:shd w:fill="auto" w:val="clear"/>
            <w:vAlign w:val="center"/>
          </w:tcPr>
          <w:p>
            <w:pPr>
              <w:pStyle w:val="TableContents"/>
              <w:spacing w:before="0" w:after="283"/>
              <w:rPr>
                <w:sz w:val="4"/>
                <w:szCs w:val="4"/>
              </w:rPr>
            </w:pPr>
            <w:r>
              <w:rPr>
                <w:sz w:val="4"/>
                <w:szCs w:val="4"/>
              </w:rPr>
            </w:r>
          </w:p>
        </w:tc>
      </w:tr>
      <w:tr>
        <w:trPr/>
        <w:tc>
          <w:tcPr>
            <w:tcW w:w="4275" w:type="dxa"/>
            <w:tcBorders/>
            <w:shd w:fill="auto" w:val="clear"/>
            <w:vAlign w:val="center"/>
          </w:tcPr>
          <w:p>
            <w:pPr>
              <w:pStyle w:val="TableContents"/>
              <w:spacing w:before="0" w:after="0"/>
              <w:ind w:left="0" w:right="0" w:hanging="0"/>
              <w:jc w:val="left"/>
              <w:rPr/>
            </w:pPr>
            <w:r>
              <w:rPr/>
              <w:t> </w:t>
            </w:r>
          </w:p>
        </w:tc>
        <w:tc>
          <w:tcPr>
            <w:tcW w:w="5467" w:type="dxa"/>
            <w:gridSpan w:val="13"/>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For the Three Months Ended March 31, 2023</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297" w:type="dxa"/>
            <w:tcBorders/>
            <w:shd w:fill="auto" w:val="clear"/>
            <w:vAlign w:val="center"/>
          </w:tcPr>
          <w:p>
            <w:pPr>
              <w:pStyle w:val="TableContents"/>
              <w:spacing w:before="0" w:after="0"/>
              <w:ind w:left="0" w:right="0" w:hanging="0"/>
              <w:jc w:val="left"/>
              <w:rPr/>
            </w:pPr>
            <w:r>
              <w:rPr/>
              <w:t> </w:t>
            </w:r>
          </w:p>
        </w:tc>
      </w:tr>
      <w:tr>
        <w:trPr/>
        <w:tc>
          <w:tcPr>
            <w:tcW w:w="4275" w:type="dxa"/>
            <w:tcBorders/>
            <w:shd w:fill="auto" w:val="clear"/>
            <w:vAlign w:val="center"/>
          </w:tcPr>
          <w:p>
            <w:pPr>
              <w:pStyle w:val="TableContents"/>
              <w:spacing w:before="0" w:after="0"/>
              <w:ind w:left="0" w:right="0" w:hanging="0"/>
              <w:jc w:val="left"/>
              <w:rPr/>
            </w:pPr>
            <w:r>
              <w:rPr/>
              <w:t> </w:t>
            </w:r>
          </w:p>
        </w:tc>
        <w:tc>
          <w:tcPr>
            <w:tcW w:w="1598" w:type="dxa"/>
            <w:gridSpan w:val="3"/>
            <w:tcBorders/>
            <w:shd w:fill="auto" w:val="cle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Attributable to</w:t>
            </w:r>
          </w:p>
        </w:tc>
        <w:tc>
          <w:tcPr>
            <w:tcW w:w="166"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712" w:type="dxa"/>
            <w:gridSpan w:val="3"/>
            <w:tcBorders/>
            <w:shd w:fill="auto" w:val="clear"/>
            <w:vAlign w:val="center"/>
          </w:tcPr>
          <w:p>
            <w:pPr>
              <w:pStyle w:val="TableContents"/>
              <w:spacing w:before="0" w:after="0"/>
              <w:ind w:left="0" w:right="0" w:hanging="0"/>
              <w:jc w:val="center"/>
              <w:rPr/>
            </w:pPr>
            <w:r>
              <w:rPr/>
              <w:t> </w:t>
            </w:r>
          </w:p>
        </w:tc>
        <w:tc>
          <w:tcPr>
            <w:tcW w:w="166"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533" w:type="dxa"/>
            <w:gridSpan w:val="3"/>
            <w:tcBorders/>
            <w:shd w:fill="auto" w:val="clear"/>
            <w:vAlign w:val="center"/>
          </w:tcPr>
          <w:p>
            <w:pPr>
              <w:pStyle w:val="TableContents"/>
              <w:spacing w:before="0" w:after="0"/>
              <w:ind w:left="0" w:right="0" w:hanging="0"/>
              <w:jc w:val="center"/>
              <w:rPr/>
            </w:pPr>
            <w:r>
              <w:rPr/>
              <w:t> </w:t>
            </w:r>
          </w:p>
        </w:tc>
        <w:tc>
          <w:tcPr>
            <w:tcW w:w="166" w:type="dxa"/>
            <w:tcBorders/>
            <w:shd w:fill="auto" w:val="clear"/>
            <w:vAlign w:val="center"/>
          </w:tcPr>
          <w:p>
            <w:pPr>
              <w:pStyle w:val="TableContents"/>
              <w:spacing w:before="0" w:after="0"/>
              <w:ind w:left="0" w:right="0" w:hanging="0"/>
              <w:jc w:val="center"/>
              <w:rPr/>
            </w:pPr>
            <w:r>
              <w:rPr/>
              <w:t> </w:t>
            </w:r>
          </w:p>
        </w:tc>
        <w:tc>
          <w:tcPr>
            <w:tcW w:w="297" w:type="dxa"/>
            <w:tcBorders/>
            <w:shd w:fill="auto" w:val="clear"/>
            <w:vAlign w:val="center"/>
          </w:tcPr>
          <w:p>
            <w:pPr>
              <w:pStyle w:val="TableContents"/>
              <w:spacing w:before="0" w:after="0"/>
              <w:ind w:left="0" w:right="0" w:hanging="0"/>
              <w:jc w:val="left"/>
              <w:rPr/>
            </w:pPr>
            <w:r>
              <w:rPr/>
              <w:t> </w:t>
            </w:r>
          </w:p>
        </w:tc>
      </w:tr>
      <w:tr>
        <w:trPr/>
        <w:tc>
          <w:tcPr>
            <w:tcW w:w="4275" w:type="dxa"/>
            <w:tcBorders/>
            <w:shd w:fill="auto" w:val="clear"/>
            <w:vAlign w:val="center"/>
          </w:tcPr>
          <w:p>
            <w:pPr>
              <w:pStyle w:val="TableContents"/>
              <w:spacing w:before="0" w:after="0"/>
              <w:ind w:left="0" w:right="0" w:hanging="0"/>
              <w:jc w:val="left"/>
              <w:rPr/>
            </w:pPr>
            <w:r>
              <w:rPr/>
              <w:t> </w:t>
            </w:r>
          </w:p>
        </w:tc>
        <w:tc>
          <w:tcPr>
            <w:tcW w:w="1598" w:type="dxa"/>
            <w:gridSpan w:val="3"/>
            <w:tcBorders/>
            <w:shd w:fill="auto" w:val="cle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Non-controlling</w:t>
            </w:r>
          </w:p>
        </w:tc>
        <w:tc>
          <w:tcPr>
            <w:tcW w:w="166"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712" w:type="dxa"/>
            <w:gridSpan w:val="3"/>
            <w:tcBorders/>
            <w:shd w:fill="auto" w:val="clear"/>
            <w:vAlign w:val="center"/>
          </w:tcPr>
          <w:p>
            <w:pPr>
              <w:pStyle w:val="TableContents"/>
              <w:spacing w:before="0" w:after="0"/>
              <w:ind w:left="0" w:right="0" w:hanging="0"/>
              <w:jc w:val="center"/>
              <w:rPr/>
            </w:pPr>
            <w:r>
              <w:rPr/>
              <w:t> </w:t>
            </w:r>
          </w:p>
        </w:tc>
        <w:tc>
          <w:tcPr>
            <w:tcW w:w="166"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317" w:type="dxa"/>
            <w:tcBorders/>
            <w:shd w:fill="auto" w:val="clear"/>
            <w:vAlign w:val="center"/>
          </w:tcPr>
          <w:p>
            <w:pPr>
              <w:pStyle w:val="TableContents"/>
              <w:spacing w:before="0" w:after="0"/>
              <w:ind w:left="0" w:right="0" w:hanging="0"/>
              <w:jc w:val="left"/>
              <w:rPr/>
            </w:pPr>
            <w:r>
              <w:rPr/>
              <w:t> </w:t>
            </w:r>
          </w:p>
        </w:tc>
        <w:tc>
          <w:tcPr>
            <w:tcW w:w="1216" w:type="dxa"/>
            <w:gridSpan w:val="2"/>
            <w:tcBorders/>
            <w:shd w:fill="auto" w:val="clear"/>
            <w:vAlign w:val="center"/>
          </w:tcPr>
          <w:p>
            <w:pPr>
              <w:pStyle w:val="TableContents"/>
              <w:spacing w:before="0" w:after="0"/>
              <w:ind w:left="0" w:right="0" w:hanging="0"/>
              <w:jc w:val="left"/>
              <w:rPr/>
            </w:pPr>
            <w:r>
              <w:rPr/>
              <w:t> </w:t>
            </w:r>
          </w:p>
        </w:tc>
        <w:tc>
          <w:tcPr>
            <w:tcW w:w="166" w:type="dxa"/>
            <w:tcBorders/>
            <w:shd w:fill="auto" w:val="clear"/>
            <w:vAlign w:val="center"/>
          </w:tcPr>
          <w:p>
            <w:pPr>
              <w:pStyle w:val="TableContents"/>
              <w:spacing w:before="0" w:after="0"/>
              <w:ind w:left="0" w:right="0" w:hanging="0"/>
              <w:jc w:val="left"/>
              <w:rPr/>
            </w:pPr>
            <w:r>
              <w:rPr/>
              <w:t> </w:t>
            </w:r>
          </w:p>
        </w:tc>
        <w:tc>
          <w:tcPr>
            <w:tcW w:w="297" w:type="dxa"/>
            <w:tcBorders/>
            <w:shd w:fill="auto" w:val="clear"/>
            <w:vAlign w:val="center"/>
          </w:tcPr>
          <w:p>
            <w:pPr>
              <w:pStyle w:val="TableContents"/>
              <w:spacing w:before="0" w:after="0"/>
              <w:ind w:left="0" w:right="0" w:hanging="0"/>
              <w:jc w:val="left"/>
              <w:rPr/>
            </w:pPr>
            <w:r>
              <w:rPr/>
              <w:t> </w:t>
            </w:r>
          </w:p>
        </w:tc>
      </w:tr>
      <w:tr>
        <w:trPr/>
        <w:tc>
          <w:tcPr>
            <w:tcW w:w="4275" w:type="dxa"/>
            <w:tcBorders/>
            <w:shd w:fill="auto" w:val="clear"/>
            <w:vAlign w:val="center"/>
          </w:tcPr>
          <w:p>
            <w:pPr>
              <w:pStyle w:val="TableContents"/>
              <w:spacing w:before="0" w:after="0"/>
              <w:ind w:left="0" w:right="0" w:hanging="0"/>
              <w:jc w:val="left"/>
              <w:rPr/>
            </w:pPr>
            <w:r>
              <w:rPr/>
              <w:t> </w:t>
            </w:r>
          </w:p>
        </w:tc>
        <w:tc>
          <w:tcPr>
            <w:tcW w:w="1598" w:type="dxa"/>
            <w:gridSpan w:val="3"/>
            <w:tcBorders/>
            <w:shd w:fill="auto" w:val="cle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Interests and</w:t>
            </w:r>
          </w:p>
        </w:tc>
        <w:tc>
          <w:tcPr>
            <w:tcW w:w="166"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712" w:type="dxa"/>
            <w:gridSpan w:val="3"/>
            <w:tcBorders/>
            <w:shd w:fill="auto" w:val="cle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Less: Attributable to</w:t>
            </w:r>
          </w:p>
        </w:tc>
        <w:tc>
          <w:tcPr>
            <w:tcW w:w="166"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533" w:type="dxa"/>
            <w:gridSpan w:val="3"/>
            <w:tcBorders/>
            <w:shd w:fill="auto" w:val="cle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Attributable to</w:t>
            </w:r>
          </w:p>
        </w:tc>
        <w:tc>
          <w:tcPr>
            <w:tcW w:w="166" w:type="dxa"/>
            <w:tcBorders/>
            <w:shd w:fill="auto" w:val="clear"/>
            <w:vAlign w:val="center"/>
          </w:tcPr>
          <w:p>
            <w:pPr>
              <w:pStyle w:val="TableContents"/>
              <w:spacing w:before="0" w:after="0"/>
              <w:ind w:left="0" w:right="0" w:hanging="0"/>
              <w:jc w:val="center"/>
              <w:rPr/>
            </w:pPr>
            <w:r>
              <w:rPr/>
              <w:t> </w:t>
            </w:r>
          </w:p>
        </w:tc>
        <w:tc>
          <w:tcPr>
            <w:tcW w:w="297" w:type="dxa"/>
            <w:tcBorders/>
            <w:shd w:fill="auto" w:val="clear"/>
            <w:vAlign w:val="center"/>
          </w:tcPr>
          <w:p>
            <w:pPr>
              <w:pStyle w:val="TableContents"/>
              <w:spacing w:before="0" w:after="0"/>
              <w:ind w:left="0" w:right="0" w:hanging="0"/>
              <w:jc w:val="left"/>
              <w:rPr/>
            </w:pPr>
            <w:r>
              <w:rPr/>
              <w:t> </w:t>
            </w:r>
          </w:p>
        </w:tc>
      </w:tr>
      <w:tr>
        <w:trPr/>
        <w:tc>
          <w:tcPr>
            <w:tcW w:w="4275" w:type="dxa"/>
            <w:tcBorders/>
            <w:shd w:fill="auto" w:val="clear"/>
            <w:vAlign w:val="center"/>
          </w:tcPr>
          <w:p>
            <w:pPr>
              <w:pStyle w:val="TableContents"/>
              <w:spacing w:before="0" w:after="0"/>
              <w:ind w:left="0" w:right="0" w:hanging="0"/>
              <w:jc w:val="left"/>
              <w:rPr>
                <w:rFonts w:ascii="Times New Roman;serif" w:hAnsi="Times New Roman;serif"/>
                <w:b w:val="false"/>
                <w:i/>
                <w:sz w:val="16"/>
              </w:rPr>
            </w:pPr>
            <w:r>
              <w:rPr>
                <w:rFonts w:ascii="Times New Roman;serif" w:hAnsi="Times New Roman;serif"/>
                <w:b w:val="false"/>
                <w:i/>
                <w:sz w:val="16"/>
              </w:rPr>
              <w:t>(In thousands of U.S. Dollars)</w:t>
            </w:r>
          </w:p>
        </w:tc>
        <w:tc>
          <w:tcPr>
            <w:tcW w:w="1598" w:type="dxa"/>
            <w:gridSpan w:val="3"/>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Common Shareholders</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712" w:type="dxa"/>
            <w:gridSpan w:val="3"/>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Non-controlling Interests</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533" w:type="dxa"/>
            <w:gridSpan w:val="3"/>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Common Shareholders</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297" w:type="dxa"/>
            <w:tcBorders/>
            <w:shd w:fill="auto" w:val="clear"/>
            <w:vAlign w:val="center"/>
          </w:tcPr>
          <w:p>
            <w:pPr>
              <w:pStyle w:val="TableContents"/>
              <w:spacing w:before="0" w:after="0"/>
              <w:ind w:left="0" w:right="0" w:hanging="0"/>
              <w:jc w:val="left"/>
              <w:rPr/>
            </w:pPr>
            <w:r>
              <w:rPr/>
              <w:t> </w:t>
            </w:r>
          </w:p>
        </w:tc>
      </w:tr>
      <w:tr>
        <w:trPr/>
        <w:tc>
          <w:tcPr>
            <w:tcW w:w="4275"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Reported net income</w:t>
            </w:r>
          </w:p>
        </w:tc>
        <w:tc>
          <w:tcPr>
            <w:tcW w:w="325"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225" w:type="dxa"/>
            <w:tcBorders/>
            <w:shd w:fill="auto" w:val="clear"/>
            <w:vAlign w:val="center"/>
          </w:tcPr>
          <w:p>
            <w:pPr>
              <w:pStyle w:val="TableContents"/>
              <w:spacing w:before="0" w:after="0"/>
              <w:ind w:left="0" w:right="0" w:hanging="0"/>
              <w:jc w:val="left"/>
              <w:rPr/>
            </w:pPr>
            <w:r>
              <w:rPr/>
              <w:t> </w:t>
            </w:r>
          </w:p>
        </w:tc>
        <w:tc>
          <w:tcPr>
            <w:tcW w:w="1048"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5,123</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413"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285" w:type="dxa"/>
            <w:tcBorders/>
            <w:shd w:fill="auto" w:val="clear"/>
            <w:vAlign w:val="center"/>
          </w:tcPr>
          <w:p>
            <w:pPr>
              <w:pStyle w:val="TableContents"/>
              <w:spacing w:before="0" w:after="0"/>
              <w:ind w:left="0" w:right="0" w:hanging="0"/>
              <w:jc w:val="left"/>
              <w:rPr/>
            </w:pPr>
            <w:r>
              <w:rPr/>
              <w:t> </w:t>
            </w:r>
          </w:p>
        </w:tc>
        <w:tc>
          <w:tcPr>
            <w:tcW w:w="1014"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2,669</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317"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215" w:type="dxa"/>
            <w:tcBorders/>
            <w:shd w:fill="auto" w:val="clear"/>
            <w:vAlign w:val="center"/>
          </w:tcPr>
          <w:p>
            <w:pPr>
              <w:pStyle w:val="TableContents"/>
              <w:spacing w:before="0" w:after="0"/>
              <w:ind w:left="0" w:right="0" w:hanging="0"/>
              <w:jc w:val="left"/>
              <w:rPr/>
            </w:pPr>
            <w:r>
              <w:rPr/>
              <w:t> </w:t>
            </w:r>
          </w:p>
        </w:tc>
        <w:tc>
          <w:tcPr>
            <w:tcW w:w="100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2,454</w:t>
            </w:r>
          </w:p>
        </w:tc>
        <w:tc>
          <w:tcPr>
            <w:tcW w:w="166" w:type="dxa"/>
            <w:tcBorders/>
            <w:shd w:fill="auto" w:val="clear"/>
            <w:vAlign w:val="center"/>
          </w:tcPr>
          <w:p>
            <w:pPr>
              <w:pStyle w:val="TableContents"/>
              <w:spacing w:before="0" w:after="0"/>
              <w:ind w:left="0" w:right="0" w:hanging="0"/>
              <w:jc w:val="left"/>
              <w:rPr/>
            </w:pPr>
            <w:r>
              <w:rPr/>
              <w:t> </w:t>
            </w:r>
          </w:p>
        </w:tc>
        <w:tc>
          <w:tcPr>
            <w:tcW w:w="297" w:type="dxa"/>
            <w:tcBorders/>
            <w:shd w:fill="auto" w:val="clear"/>
            <w:vAlign w:val="center"/>
          </w:tcPr>
          <w:p>
            <w:pPr>
              <w:pStyle w:val="TableContents"/>
              <w:spacing w:before="0" w:after="0"/>
              <w:ind w:left="0" w:right="0" w:hanging="0"/>
              <w:jc w:val="left"/>
              <w:rPr/>
            </w:pPr>
            <w:r>
              <w:rPr/>
              <w:t> </w:t>
            </w:r>
          </w:p>
        </w:tc>
      </w:tr>
      <w:tr>
        <w:trPr/>
        <w:tc>
          <w:tcPr>
            <w:tcW w:w="4275"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Add (subtract):</w:t>
            </w:r>
          </w:p>
        </w:tc>
        <w:tc>
          <w:tcPr>
            <w:tcW w:w="325" w:type="dxa"/>
            <w:tcBorders/>
            <w:shd w:fill="auto" w:val="clear"/>
            <w:vAlign w:val="center"/>
          </w:tcPr>
          <w:p>
            <w:pPr>
              <w:pStyle w:val="TableContents"/>
              <w:spacing w:before="0" w:after="0"/>
              <w:ind w:left="0" w:right="0" w:hanging="0"/>
              <w:jc w:val="left"/>
              <w:rPr/>
            </w:pPr>
            <w:r>
              <w:rPr/>
              <w:t> </w:t>
            </w:r>
          </w:p>
        </w:tc>
        <w:tc>
          <w:tcPr>
            <w:tcW w:w="1273" w:type="dxa"/>
            <w:gridSpan w:val="2"/>
            <w:tcBorders/>
            <w:shd w:fill="auto" w:val="clear"/>
            <w:vAlign w:val="center"/>
          </w:tcPr>
          <w:p>
            <w:pPr>
              <w:pStyle w:val="TableContents"/>
              <w:spacing w:before="0" w:after="0"/>
              <w:ind w:left="0" w:right="0" w:hanging="0"/>
              <w:jc w:val="left"/>
              <w:rPr/>
            </w:pPr>
            <w:r>
              <w:rPr/>
              <w:t> </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413" w:type="dxa"/>
            <w:tcBorders/>
            <w:shd w:fill="auto" w:val="clear"/>
            <w:vAlign w:val="center"/>
          </w:tcPr>
          <w:p>
            <w:pPr>
              <w:pStyle w:val="TableContents"/>
              <w:spacing w:before="0" w:after="0"/>
              <w:ind w:left="0" w:right="0" w:hanging="0"/>
              <w:jc w:val="left"/>
              <w:rPr/>
            </w:pPr>
            <w:r>
              <w:rPr/>
              <w:t> </w:t>
            </w:r>
          </w:p>
        </w:tc>
        <w:tc>
          <w:tcPr>
            <w:tcW w:w="1299" w:type="dxa"/>
            <w:gridSpan w:val="2"/>
            <w:tcBorders/>
            <w:shd w:fill="auto" w:val="clear"/>
            <w:vAlign w:val="center"/>
          </w:tcPr>
          <w:p>
            <w:pPr>
              <w:pStyle w:val="TableContents"/>
              <w:spacing w:before="0" w:after="0"/>
              <w:ind w:left="0" w:right="0" w:hanging="0"/>
              <w:jc w:val="left"/>
              <w:rPr/>
            </w:pPr>
            <w:r>
              <w:rPr/>
              <w:t> </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317" w:type="dxa"/>
            <w:tcBorders/>
            <w:shd w:fill="auto" w:val="clear"/>
            <w:vAlign w:val="center"/>
          </w:tcPr>
          <w:p>
            <w:pPr>
              <w:pStyle w:val="TableContents"/>
              <w:spacing w:before="0" w:after="0"/>
              <w:ind w:left="0" w:right="0" w:hanging="0"/>
              <w:jc w:val="left"/>
              <w:rPr/>
            </w:pPr>
            <w:r>
              <w:rPr/>
              <w:t> </w:t>
            </w:r>
          </w:p>
        </w:tc>
        <w:tc>
          <w:tcPr>
            <w:tcW w:w="1216" w:type="dxa"/>
            <w:gridSpan w:val="2"/>
            <w:tcBorders/>
            <w:shd w:fill="auto" w:val="clear"/>
            <w:vAlign w:val="center"/>
          </w:tcPr>
          <w:p>
            <w:pPr>
              <w:pStyle w:val="TableContents"/>
              <w:spacing w:before="0" w:after="0"/>
              <w:ind w:left="0" w:right="0" w:hanging="0"/>
              <w:jc w:val="left"/>
              <w:rPr/>
            </w:pPr>
            <w:r>
              <w:rPr/>
              <w:t> </w:t>
            </w:r>
          </w:p>
        </w:tc>
        <w:tc>
          <w:tcPr>
            <w:tcW w:w="166" w:type="dxa"/>
            <w:tcBorders/>
            <w:shd w:fill="auto" w:val="clear"/>
            <w:vAlign w:val="center"/>
          </w:tcPr>
          <w:p>
            <w:pPr>
              <w:pStyle w:val="TableContents"/>
              <w:spacing w:before="0" w:after="0"/>
              <w:ind w:left="0" w:right="0" w:hanging="0"/>
              <w:jc w:val="left"/>
              <w:rPr/>
            </w:pPr>
            <w:r>
              <w:rPr/>
              <w:t> </w:t>
            </w:r>
          </w:p>
        </w:tc>
        <w:tc>
          <w:tcPr>
            <w:tcW w:w="297" w:type="dxa"/>
            <w:tcBorders/>
            <w:shd w:fill="auto" w:val="clear"/>
            <w:vAlign w:val="center"/>
          </w:tcPr>
          <w:p>
            <w:pPr>
              <w:pStyle w:val="TableContents"/>
              <w:spacing w:before="0" w:after="0"/>
              <w:ind w:left="0" w:right="0" w:firstLine="100"/>
              <w:jc w:val="left"/>
              <w:rPr/>
            </w:pPr>
            <w:r>
              <w:rPr/>
              <w:t> </w:t>
            </w:r>
          </w:p>
        </w:tc>
      </w:tr>
      <w:tr>
        <w:trPr/>
        <w:tc>
          <w:tcPr>
            <w:tcW w:w="4275" w:type="dxa"/>
            <w:tcBorders/>
            <w:shd w:fill="auto" w:val="clear"/>
            <w:vAlign w:val="center"/>
          </w:tcPr>
          <w:p>
            <w:pPr>
              <w:pStyle w:val="TableContents"/>
              <w:spacing w:before="0" w:after="0"/>
              <w:ind w:left="100" w:right="0" w:hanging="0"/>
              <w:jc w:val="left"/>
              <w:rPr>
                <w:rFonts w:ascii="Times New Roman;serif" w:hAnsi="Times New Roman;serif"/>
                <w:b w:val="false"/>
                <w:sz w:val="20"/>
              </w:rPr>
            </w:pPr>
            <w:r>
              <w:rPr>
                <w:rFonts w:ascii="Times New Roman;serif" w:hAnsi="Times New Roman;serif"/>
                <w:b w:val="false"/>
                <w:sz w:val="20"/>
              </w:rPr>
              <w:t>Income tax expense</w:t>
            </w:r>
          </w:p>
        </w:tc>
        <w:tc>
          <w:tcPr>
            <w:tcW w:w="325" w:type="dxa"/>
            <w:tcBorders/>
            <w:shd w:fill="auto" w:val="clear"/>
            <w:vAlign w:val="center"/>
          </w:tcPr>
          <w:p>
            <w:pPr>
              <w:pStyle w:val="TableContents"/>
              <w:spacing w:before="0" w:after="0"/>
              <w:ind w:left="0" w:right="0" w:hanging="0"/>
              <w:jc w:val="left"/>
              <w:rPr/>
            </w:pPr>
            <w:r>
              <w:rPr/>
              <w:t> </w:t>
            </w:r>
          </w:p>
        </w:tc>
        <w:tc>
          <w:tcPr>
            <w:tcW w:w="225" w:type="dxa"/>
            <w:tcBorders/>
            <w:shd w:fill="auto" w:val="clear"/>
            <w:vAlign w:val="center"/>
          </w:tcPr>
          <w:p>
            <w:pPr>
              <w:pStyle w:val="TableContents"/>
              <w:spacing w:before="0" w:after="0"/>
              <w:ind w:left="0" w:right="0" w:hanging="0"/>
              <w:jc w:val="left"/>
              <w:rPr/>
            </w:pPr>
            <w:r>
              <w:rPr/>
              <w:t> </w:t>
            </w:r>
          </w:p>
        </w:tc>
        <w:tc>
          <w:tcPr>
            <w:tcW w:w="1048"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4,885</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413" w:type="dxa"/>
            <w:tcBorders/>
            <w:shd w:fill="auto" w:val="clear"/>
            <w:vAlign w:val="center"/>
          </w:tcPr>
          <w:p>
            <w:pPr>
              <w:pStyle w:val="TableContents"/>
              <w:spacing w:before="0" w:after="0"/>
              <w:ind w:left="0" w:right="0" w:hanging="0"/>
              <w:jc w:val="left"/>
              <w:rPr/>
            </w:pPr>
            <w:r>
              <w:rPr/>
              <w:t> </w:t>
            </w:r>
          </w:p>
        </w:tc>
        <w:tc>
          <w:tcPr>
            <w:tcW w:w="285" w:type="dxa"/>
            <w:tcBorders/>
            <w:shd w:fill="auto" w:val="clear"/>
            <w:vAlign w:val="center"/>
          </w:tcPr>
          <w:p>
            <w:pPr>
              <w:pStyle w:val="TableContents"/>
              <w:spacing w:before="0" w:after="0"/>
              <w:ind w:left="0" w:right="0" w:hanging="0"/>
              <w:jc w:val="left"/>
              <w:rPr/>
            </w:pPr>
            <w:r>
              <w:rPr/>
              <w:t> </w:t>
            </w:r>
          </w:p>
        </w:tc>
        <w:tc>
          <w:tcPr>
            <w:tcW w:w="1014"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793</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317" w:type="dxa"/>
            <w:tcBorders/>
            <w:shd w:fill="auto" w:val="clear"/>
            <w:vAlign w:val="center"/>
          </w:tcPr>
          <w:p>
            <w:pPr>
              <w:pStyle w:val="TableContents"/>
              <w:spacing w:before="0" w:after="0"/>
              <w:ind w:left="0" w:right="0" w:hanging="0"/>
              <w:jc w:val="left"/>
              <w:rPr/>
            </w:pPr>
            <w:r>
              <w:rPr/>
              <w:t> </w:t>
            </w:r>
          </w:p>
        </w:tc>
        <w:tc>
          <w:tcPr>
            <w:tcW w:w="215" w:type="dxa"/>
            <w:tcBorders/>
            <w:shd w:fill="auto" w:val="clear"/>
            <w:vAlign w:val="center"/>
          </w:tcPr>
          <w:p>
            <w:pPr>
              <w:pStyle w:val="TableContents"/>
              <w:spacing w:before="0" w:after="0"/>
              <w:ind w:left="0" w:right="0" w:hanging="0"/>
              <w:jc w:val="left"/>
              <w:rPr/>
            </w:pPr>
            <w:r>
              <w:rPr/>
              <w:t> </w:t>
            </w:r>
          </w:p>
        </w:tc>
        <w:tc>
          <w:tcPr>
            <w:tcW w:w="100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4,092</w:t>
            </w:r>
          </w:p>
        </w:tc>
        <w:tc>
          <w:tcPr>
            <w:tcW w:w="166" w:type="dxa"/>
            <w:tcBorders/>
            <w:shd w:fill="auto" w:val="clear"/>
            <w:vAlign w:val="center"/>
          </w:tcPr>
          <w:p>
            <w:pPr>
              <w:pStyle w:val="TableContents"/>
              <w:spacing w:before="0" w:after="0"/>
              <w:ind w:left="0" w:right="0" w:hanging="0"/>
              <w:jc w:val="left"/>
              <w:rPr/>
            </w:pPr>
            <w:r>
              <w:rPr/>
              <w:t> </w:t>
            </w:r>
          </w:p>
        </w:tc>
        <w:tc>
          <w:tcPr>
            <w:tcW w:w="297" w:type="dxa"/>
            <w:tcBorders/>
            <w:shd w:fill="auto" w:val="clear"/>
            <w:vAlign w:val="center"/>
          </w:tcPr>
          <w:p>
            <w:pPr>
              <w:pStyle w:val="TableContents"/>
              <w:spacing w:before="0" w:after="0"/>
              <w:ind w:left="0" w:right="0" w:firstLine="100"/>
              <w:jc w:val="left"/>
              <w:rPr/>
            </w:pPr>
            <w:r>
              <w:rPr/>
              <w:t> </w:t>
            </w:r>
          </w:p>
        </w:tc>
      </w:tr>
      <w:tr>
        <w:trPr/>
        <w:tc>
          <w:tcPr>
            <w:tcW w:w="4275" w:type="dxa"/>
            <w:tcBorders/>
            <w:shd w:fill="auto" w:val="clear"/>
            <w:vAlign w:val="center"/>
          </w:tcPr>
          <w:p>
            <w:pPr>
              <w:pStyle w:val="TableContents"/>
              <w:spacing w:before="0" w:after="0"/>
              <w:ind w:left="100" w:right="0" w:hanging="0"/>
              <w:jc w:val="left"/>
              <w:rPr>
                <w:rFonts w:ascii="Times New Roman;serif" w:hAnsi="Times New Roman;serif"/>
                <w:b w:val="false"/>
                <w:sz w:val="20"/>
              </w:rPr>
            </w:pPr>
            <w:r>
              <w:rPr>
                <w:rFonts w:ascii="Times New Roman;serif" w:hAnsi="Times New Roman;serif"/>
                <w:b w:val="false"/>
                <w:sz w:val="20"/>
              </w:rPr>
              <w:t>Interest expense, net of interest income</w:t>
            </w:r>
          </w:p>
        </w:tc>
        <w:tc>
          <w:tcPr>
            <w:tcW w:w="325" w:type="dxa"/>
            <w:tcBorders/>
            <w:shd w:fill="auto" w:val="clear"/>
            <w:vAlign w:val="center"/>
          </w:tcPr>
          <w:p>
            <w:pPr>
              <w:pStyle w:val="TableContents"/>
              <w:spacing w:before="0" w:after="0"/>
              <w:ind w:left="0" w:right="0" w:hanging="0"/>
              <w:jc w:val="left"/>
              <w:rPr/>
            </w:pPr>
            <w:r>
              <w:rPr/>
              <w:t> </w:t>
            </w:r>
          </w:p>
        </w:tc>
        <w:tc>
          <w:tcPr>
            <w:tcW w:w="225" w:type="dxa"/>
            <w:tcBorders/>
            <w:shd w:fill="auto" w:val="clear"/>
            <w:vAlign w:val="center"/>
          </w:tcPr>
          <w:p>
            <w:pPr>
              <w:pStyle w:val="TableContents"/>
              <w:spacing w:before="0" w:after="0"/>
              <w:ind w:left="0" w:right="0" w:hanging="0"/>
              <w:jc w:val="left"/>
              <w:rPr/>
            </w:pPr>
            <w:r>
              <w:rPr/>
              <w:t> </w:t>
            </w:r>
          </w:p>
        </w:tc>
        <w:tc>
          <w:tcPr>
            <w:tcW w:w="1048"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735</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413" w:type="dxa"/>
            <w:tcBorders/>
            <w:shd w:fill="auto" w:val="clear"/>
            <w:vAlign w:val="center"/>
          </w:tcPr>
          <w:p>
            <w:pPr>
              <w:pStyle w:val="TableContents"/>
              <w:spacing w:before="0" w:after="0"/>
              <w:ind w:left="0" w:right="0" w:hanging="0"/>
              <w:jc w:val="left"/>
              <w:rPr/>
            </w:pPr>
            <w:r>
              <w:rPr/>
              <w:t> </w:t>
            </w:r>
          </w:p>
        </w:tc>
        <w:tc>
          <w:tcPr>
            <w:tcW w:w="285" w:type="dxa"/>
            <w:tcBorders/>
            <w:shd w:fill="auto" w:val="clear"/>
            <w:vAlign w:val="center"/>
          </w:tcPr>
          <w:p>
            <w:pPr>
              <w:pStyle w:val="TableContents"/>
              <w:spacing w:before="0" w:after="0"/>
              <w:ind w:left="0" w:right="0" w:hanging="0"/>
              <w:jc w:val="left"/>
              <w:rPr/>
            </w:pPr>
            <w:r>
              <w:rPr/>
              <w:t> </w:t>
            </w:r>
          </w:p>
        </w:tc>
        <w:tc>
          <w:tcPr>
            <w:tcW w:w="1014"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(11</w:t>
            </w:r>
          </w:p>
        </w:tc>
        <w:tc>
          <w:tcPr>
            <w:tcW w:w="16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shd w:fill="auto" w:val="clear"/>
            <w:vAlign w:val="center"/>
          </w:tcPr>
          <w:p>
            <w:pPr>
              <w:pStyle w:val="TableContents"/>
              <w:spacing w:before="0" w:after="0"/>
              <w:ind w:left="0" w:right="0" w:hanging="0"/>
              <w:jc w:val="left"/>
              <w:rPr/>
            </w:pPr>
            <w:r>
              <w:rPr/>
              <w:t> </w:t>
            </w:r>
          </w:p>
        </w:tc>
        <w:tc>
          <w:tcPr>
            <w:tcW w:w="317" w:type="dxa"/>
            <w:tcBorders/>
            <w:shd w:fill="auto" w:val="clear"/>
            <w:vAlign w:val="center"/>
          </w:tcPr>
          <w:p>
            <w:pPr>
              <w:pStyle w:val="TableContents"/>
              <w:spacing w:before="0" w:after="0"/>
              <w:ind w:left="0" w:right="0" w:hanging="0"/>
              <w:jc w:val="left"/>
              <w:rPr/>
            </w:pPr>
            <w:r>
              <w:rPr/>
              <w:t> </w:t>
            </w:r>
          </w:p>
        </w:tc>
        <w:tc>
          <w:tcPr>
            <w:tcW w:w="215" w:type="dxa"/>
            <w:tcBorders/>
            <w:shd w:fill="auto" w:val="clear"/>
            <w:vAlign w:val="center"/>
          </w:tcPr>
          <w:p>
            <w:pPr>
              <w:pStyle w:val="TableContents"/>
              <w:spacing w:before="0" w:after="0"/>
              <w:ind w:left="0" w:right="0" w:hanging="0"/>
              <w:jc w:val="left"/>
              <w:rPr/>
            </w:pPr>
            <w:r>
              <w:rPr/>
              <w:t> </w:t>
            </w:r>
          </w:p>
        </w:tc>
        <w:tc>
          <w:tcPr>
            <w:tcW w:w="100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746</w:t>
            </w:r>
          </w:p>
        </w:tc>
        <w:tc>
          <w:tcPr>
            <w:tcW w:w="166" w:type="dxa"/>
            <w:tcBorders/>
            <w:shd w:fill="auto" w:val="clear"/>
            <w:vAlign w:val="center"/>
          </w:tcPr>
          <w:p>
            <w:pPr>
              <w:pStyle w:val="TableContents"/>
              <w:spacing w:before="0" w:after="0"/>
              <w:ind w:left="0" w:right="0" w:hanging="0"/>
              <w:jc w:val="left"/>
              <w:rPr/>
            </w:pPr>
            <w:r>
              <w:rPr/>
              <w:t> </w:t>
            </w:r>
          </w:p>
        </w:tc>
        <w:tc>
          <w:tcPr>
            <w:tcW w:w="297" w:type="dxa"/>
            <w:tcBorders/>
            <w:shd w:fill="auto" w:val="clear"/>
            <w:vAlign w:val="center"/>
          </w:tcPr>
          <w:p>
            <w:pPr>
              <w:pStyle w:val="TableContents"/>
              <w:spacing w:before="0" w:after="0"/>
              <w:ind w:left="0" w:right="0" w:firstLine="100"/>
              <w:jc w:val="left"/>
              <w:rPr/>
            </w:pPr>
            <w:r>
              <w:rPr/>
              <w:t> </w:t>
            </w:r>
          </w:p>
        </w:tc>
      </w:tr>
      <w:tr>
        <w:trPr/>
        <w:tc>
          <w:tcPr>
            <w:tcW w:w="4275" w:type="dxa"/>
            <w:tcBorders/>
            <w:shd w:fill="auto" w:val="clear"/>
            <w:vAlign w:val="center"/>
          </w:tcPr>
          <w:p>
            <w:pPr>
              <w:pStyle w:val="TableContents"/>
              <w:spacing w:before="0" w:after="0"/>
              <w:ind w:left="100" w:right="0" w:hanging="0"/>
              <w:jc w:val="left"/>
              <w:rPr>
                <w:rFonts w:ascii="Times New Roman;serif" w:hAnsi="Times New Roman;serif"/>
                <w:b w:val="false"/>
                <w:sz w:val="20"/>
              </w:rPr>
            </w:pPr>
            <w:r>
              <w:rPr>
                <w:rFonts w:ascii="Times New Roman;serif" w:hAnsi="Times New Roman;serif"/>
                <w:b w:val="false"/>
                <w:sz w:val="20"/>
              </w:rPr>
              <w:t>Depreciation and amortization, including film asset amortization</w:t>
            </w:r>
          </w:p>
        </w:tc>
        <w:tc>
          <w:tcPr>
            <w:tcW w:w="325" w:type="dxa"/>
            <w:tcBorders/>
            <w:shd w:fill="auto" w:val="clear"/>
            <w:vAlign w:val="center"/>
          </w:tcPr>
          <w:p>
            <w:pPr>
              <w:pStyle w:val="TableContents"/>
              <w:spacing w:before="0" w:after="0"/>
              <w:ind w:left="0" w:right="0" w:hanging="0"/>
              <w:jc w:val="left"/>
              <w:rPr/>
            </w:pPr>
            <w:r>
              <w:rPr/>
              <w:t> </w:t>
            </w:r>
          </w:p>
        </w:tc>
        <w:tc>
          <w:tcPr>
            <w:tcW w:w="225" w:type="dxa"/>
            <w:tcBorders/>
            <w:shd w:fill="auto" w:val="clear"/>
            <w:vAlign w:val="center"/>
          </w:tcPr>
          <w:p>
            <w:pPr>
              <w:pStyle w:val="TableContents"/>
              <w:spacing w:before="0" w:after="0"/>
              <w:ind w:left="0" w:right="0" w:hanging="0"/>
              <w:jc w:val="left"/>
              <w:rPr/>
            </w:pPr>
            <w:r>
              <w:rPr/>
              <w:t> </w:t>
            </w:r>
          </w:p>
        </w:tc>
        <w:tc>
          <w:tcPr>
            <w:tcW w:w="1048"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13,320</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413" w:type="dxa"/>
            <w:tcBorders/>
            <w:shd w:fill="auto" w:val="clear"/>
            <w:vAlign w:val="center"/>
          </w:tcPr>
          <w:p>
            <w:pPr>
              <w:pStyle w:val="TableContents"/>
              <w:spacing w:before="0" w:after="0"/>
              <w:ind w:left="0" w:right="0" w:hanging="0"/>
              <w:jc w:val="left"/>
              <w:rPr/>
            </w:pPr>
            <w:r>
              <w:rPr/>
              <w:t> </w:t>
            </w:r>
          </w:p>
        </w:tc>
        <w:tc>
          <w:tcPr>
            <w:tcW w:w="285" w:type="dxa"/>
            <w:tcBorders/>
            <w:shd w:fill="auto" w:val="clear"/>
            <w:vAlign w:val="center"/>
          </w:tcPr>
          <w:p>
            <w:pPr>
              <w:pStyle w:val="TableContents"/>
              <w:spacing w:before="0" w:after="0"/>
              <w:ind w:left="0" w:right="0" w:hanging="0"/>
              <w:jc w:val="left"/>
              <w:rPr/>
            </w:pPr>
            <w:r>
              <w:rPr/>
              <w:t> </w:t>
            </w:r>
          </w:p>
        </w:tc>
        <w:tc>
          <w:tcPr>
            <w:tcW w:w="1014"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1,301</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317" w:type="dxa"/>
            <w:tcBorders/>
            <w:shd w:fill="auto" w:val="clear"/>
            <w:vAlign w:val="center"/>
          </w:tcPr>
          <w:p>
            <w:pPr>
              <w:pStyle w:val="TableContents"/>
              <w:spacing w:before="0" w:after="0"/>
              <w:ind w:left="0" w:right="0" w:hanging="0"/>
              <w:jc w:val="left"/>
              <w:rPr/>
            </w:pPr>
            <w:r>
              <w:rPr/>
              <w:t> </w:t>
            </w:r>
          </w:p>
        </w:tc>
        <w:tc>
          <w:tcPr>
            <w:tcW w:w="215" w:type="dxa"/>
            <w:tcBorders/>
            <w:shd w:fill="auto" w:val="clear"/>
            <w:vAlign w:val="center"/>
          </w:tcPr>
          <w:p>
            <w:pPr>
              <w:pStyle w:val="TableContents"/>
              <w:spacing w:before="0" w:after="0"/>
              <w:ind w:left="0" w:right="0" w:hanging="0"/>
              <w:jc w:val="left"/>
              <w:rPr/>
            </w:pPr>
            <w:r>
              <w:rPr/>
              <w:t> </w:t>
            </w:r>
          </w:p>
        </w:tc>
        <w:tc>
          <w:tcPr>
            <w:tcW w:w="100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12,019</w:t>
            </w:r>
          </w:p>
        </w:tc>
        <w:tc>
          <w:tcPr>
            <w:tcW w:w="166" w:type="dxa"/>
            <w:tcBorders/>
            <w:shd w:fill="auto" w:val="clear"/>
            <w:vAlign w:val="center"/>
          </w:tcPr>
          <w:p>
            <w:pPr>
              <w:pStyle w:val="TableContents"/>
              <w:spacing w:before="0" w:after="0"/>
              <w:ind w:left="0" w:right="0" w:hanging="0"/>
              <w:jc w:val="left"/>
              <w:rPr/>
            </w:pPr>
            <w:r>
              <w:rPr/>
              <w:t> </w:t>
            </w:r>
          </w:p>
        </w:tc>
        <w:tc>
          <w:tcPr>
            <w:tcW w:w="297" w:type="dxa"/>
            <w:tcBorders/>
            <w:shd w:fill="auto" w:val="clear"/>
            <w:vAlign w:val="center"/>
          </w:tcPr>
          <w:p>
            <w:pPr>
              <w:pStyle w:val="TableContents"/>
              <w:spacing w:before="0" w:after="0"/>
              <w:ind w:left="0" w:right="0" w:firstLine="100"/>
              <w:jc w:val="left"/>
              <w:rPr/>
            </w:pPr>
            <w:r>
              <w:rPr/>
              <w:t> </w:t>
            </w:r>
          </w:p>
        </w:tc>
      </w:tr>
      <w:tr>
        <w:trPr/>
        <w:tc>
          <w:tcPr>
            <w:tcW w:w="4275" w:type="dxa"/>
            <w:tcBorders/>
            <w:shd w:fill="auto" w:val="clear"/>
            <w:vAlign w:val="center"/>
          </w:tcPr>
          <w:p>
            <w:pPr>
              <w:pStyle w:val="TableContents"/>
              <w:spacing w:before="0" w:after="0"/>
              <w:ind w:left="100" w:right="0" w:hanging="0"/>
              <w:jc w:val="left"/>
              <w:rPr>
                <w:rFonts w:ascii="Times New Roman" w:hAnsi="Times New Roman"/>
                <w:sz w:val="20"/>
              </w:rPr>
            </w:pPr>
            <w:r>
              <w:rPr>
                <w:rFonts w:ascii="Times New Roman;serif" w:hAnsi="Times New Roman;serif"/>
                <w:b w:val="false"/>
                <w:sz w:val="20"/>
              </w:rPr>
              <w:t>Amortization of deferred financing costs</w:t>
            </w:r>
            <w:r>
              <w:rPr>
                <w:rFonts w:ascii="Times New Roman;serif" w:hAnsi="Times New Roman;serif"/>
                <w:b w:val="false"/>
                <w:sz w:val="13"/>
              </w:rPr>
              <w:t>(1)</w:t>
            </w:r>
          </w:p>
        </w:tc>
        <w:tc>
          <w:tcPr>
            <w:tcW w:w="325"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225"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048"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625</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413"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285"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014"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pPr>
            <w:r>
              <w:rPr/>
              <w:t>—</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317"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215"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00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625</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297" w:type="dxa"/>
            <w:tcBorders/>
            <w:shd w:fill="auto" w:val="clear"/>
            <w:vAlign w:val="center"/>
          </w:tcPr>
          <w:p>
            <w:pPr>
              <w:pStyle w:val="TableContents"/>
              <w:spacing w:before="0" w:after="0"/>
              <w:ind w:left="0" w:right="0" w:firstLine="100"/>
              <w:jc w:val="left"/>
              <w:rPr/>
            </w:pPr>
            <w:r>
              <w:rPr/>
              <w:t> </w:t>
            </w:r>
          </w:p>
        </w:tc>
      </w:tr>
      <w:tr>
        <w:trPr/>
        <w:tc>
          <w:tcPr>
            <w:tcW w:w="4275" w:type="dxa"/>
            <w:tcBorders/>
            <w:shd w:fill="auto" w:val="clear"/>
            <w:vAlign w:val="center"/>
          </w:tcPr>
          <w:p>
            <w:pPr>
              <w:pStyle w:val="TableContents"/>
              <w:spacing w:before="0" w:after="0"/>
              <w:ind w:left="100" w:right="0" w:hanging="0"/>
              <w:jc w:val="left"/>
              <w:rPr>
                <w:rFonts w:ascii="Times New Roman;serif" w:hAnsi="Times New Roman;serif"/>
                <w:b w:val="false"/>
                <w:sz w:val="20"/>
              </w:rPr>
            </w:pPr>
            <w:r>
              <w:rPr>
                <w:rFonts w:ascii="Times New Roman;serif" w:hAnsi="Times New Roman;serif"/>
                <w:b w:val="false"/>
                <w:sz w:val="20"/>
              </w:rPr>
              <w:t>EBITDA</w:t>
            </w:r>
          </w:p>
        </w:tc>
        <w:tc>
          <w:tcPr>
            <w:tcW w:w="325" w:type="dxa"/>
            <w:tcBorders/>
            <w:shd w:fill="auto" w:val="clear"/>
            <w:vAlign w:val="center"/>
          </w:tcPr>
          <w:p>
            <w:pPr>
              <w:pStyle w:val="TableContents"/>
              <w:spacing w:before="0" w:after="0"/>
              <w:ind w:left="0" w:right="0" w:hanging="0"/>
              <w:jc w:val="left"/>
              <w:rPr/>
            </w:pPr>
            <w:r>
              <w:rPr/>
              <w:t> </w:t>
            </w:r>
          </w:p>
        </w:tc>
        <w:tc>
          <w:tcPr>
            <w:tcW w:w="225" w:type="dxa"/>
            <w:tcBorders/>
            <w:shd w:fill="auto" w:val="clear"/>
            <w:vAlign w:val="center"/>
          </w:tcPr>
          <w:p>
            <w:pPr>
              <w:pStyle w:val="TableContents"/>
              <w:spacing w:before="0" w:after="0"/>
              <w:ind w:left="0" w:right="0" w:hanging="0"/>
              <w:jc w:val="left"/>
              <w:rPr/>
            </w:pPr>
            <w:r>
              <w:rPr/>
              <w:t> </w:t>
            </w:r>
          </w:p>
        </w:tc>
        <w:tc>
          <w:tcPr>
            <w:tcW w:w="1048"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24,688</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413" w:type="dxa"/>
            <w:tcBorders/>
            <w:shd w:fill="auto" w:val="clear"/>
            <w:vAlign w:val="center"/>
          </w:tcPr>
          <w:p>
            <w:pPr>
              <w:pStyle w:val="TableContents"/>
              <w:spacing w:before="0" w:after="0"/>
              <w:ind w:left="0" w:right="0" w:hanging="0"/>
              <w:jc w:val="left"/>
              <w:rPr/>
            </w:pPr>
            <w:r>
              <w:rPr/>
              <w:t> </w:t>
            </w:r>
          </w:p>
        </w:tc>
        <w:tc>
          <w:tcPr>
            <w:tcW w:w="285" w:type="dxa"/>
            <w:tcBorders/>
            <w:shd w:fill="auto" w:val="clear"/>
            <w:vAlign w:val="center"/>
          </w:tcPr>
          <w:p>
            <w:pPr>
              <w:pStyle w:val="TableContents"/>
              <w:spacing w:before="0" w:after="0"/>
              <w:ind w:left="0" w:right="0" w:hanging="0"/>
              <w:jc w:val="left"/>
              <w:rPr/>
            </w:pPr>
            <w:r>
              <w:rPr/>
              <w:t> </w:t>
            </w:r>
          </w:p>
        </w:tc>
        <w:tc>
          <w:tcPr>
            <w:tcW w:w="1014"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4,752</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317" w:type="dxa"/>
            <w:tcBorders/>
            <w:shd w:fill="auto" w:val="clear"/>
            <w:vAlign w:val="center"/>
          </w:tcPr>
          <w:p>
            <w:pPr>
              <w:pStyle w:val="TableContents"/>
              <w:spacing w:before="0" w:after="0"/>
              <w:ind w:left="0" w:right="0" w:hanging="0"/>
              <w:jc w:val="left"/>
              <w:rPr/>
            </w:pPr>
            <w:r>
              <w:rPr/>
              <w:t> </w:t>
            </w:r>
          </w:p>
        </w:tc>
        <w:tc>
          <w:tcPr>
            <w:tcW w:w="215" w:type="dxa"/>
            <w:tcBorders/>
            <w:shd w:fill="auto" w:val="clear"/>
            <w:vAlign w:val="center"/>
          </w:tcPr>
          <w:p>
            <w:pPr>
              <w:pStyle w:val="TableContents"/>
              <w:spacing w:before="0" w:after="0"/>
              <w:ind w:left="0" w:right="0" w:hanging="0"/>
              <w:jc w:val="left"/>
              <w:rPr/>
            </w:pPr>
            <w:r>
              <w:rPr/>
              <w:t> </w:t>
            </w:r>
          </w:p>
        </w:tc>
        <w:tc>
          <w:tcPr>
            <w:tcW w:w="100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19,936</w:t>
            </w:r>
          </w:p>
        </w:tc>
        <w:tc>
          <w:tcPr>
            <w:tcW w:w="166" w:type="dxa"/>
            <w:tcBorders/>
            <w:shd w:fill="auto" w:val="clear"/>
            <w:vAlign w:val="center"/>
          </w:tcPr>
          <w:p>
            <w:pPr>
              <w:pStyle w:val="TableContents"/>
              <w:spacing w:before="0" w:after="0"/>
              <w:ind w:left="0" w:right="0" w:hanging="0"/>
              <w:jc w:val="left"/>
              <w:rPr/>
            </w:pPr>
            <w:r>
              <w:rPr/>
              <w:t> </w:t>
            </w:r>
          </w:p>
        </w:tc>
        <w:tc>
          <w:tcPr>
            <w:tcW w:w="297" w:type="dxa"/>
            <w:tcBorders/>
            <w:shd w:fill="auto" w:val="clear"/>
            <w:vAlign w:val="center"/>
          </w:tcPr>
          <w:p>
            <w:pPr>
              <w:pStyle w:val="TableContents"/>
              <w:spacing w:before="0" w:after="0"/>
              <w:ind w:left="0" w:right="0" w:firstLine="100"/>
              <w:jc w:val="left"/>
              <w:rPr/>
            </w:pPr>
            <w:r>
              <w:rPr/>
              <w:t> </w:t>
            </w:r>
          </w:p>
        </w:tc>
      </w:tr>
      <w:tr>
        <w:trPr/>
        <w:tc>
          <w:tcPr>
            <w:tcW w:w="4275" w:type="dxa"/>
            <w:tcBorders/>
            <w:shd w:fill="auto" w:val="clear"/>
            <w:vAlign w:val="center"/>
          </w:tcPr>
          <w:p>
            <w:pPr>
              <w:pStyle w:val="TableContents"/>
              <w:spacing w:before="0" w:after="0"/>
              <w:ind w:left="100" w:right="0" w:hanging="0"/>
              <w:jc w:val="left"/>
              <w:rPr>
                <w:rFonts w:ascii="Times New Roman;serif" w:hAnsi="Times New Roman;serif"/>
                <w:b w:val="false"/>
                <w:sz w:val="20"/>
              </w:rPr>
            </w:pPr>
            <w:r>
              <w:rPr>
                <w:rFonts w:ascii="Times New Roman;serif" w:hAnsi="Times New Roman;serif"/>
                <w:b w:val="false"/>
                <w:sz w:val="20"/>
              </w:rPr>
              <w:t>Share-based and other non-cash compensation</w:t>
            </w:r>
          </w:p>
        </w:tc>
        <w:tc>
          <w:tcPr>
            <w:tcW w:w="325" w:type="dxa"/>
            <w:tcBorders/>
            <w:shd w:fill="auto" w:val="clear"/>
            <w:vAlign w:val="center"/>
          </w:tcPr>
          <w:p>
            <w:pPr>
              <w:pStyle w:val="TableContents"/>
              <w:spacing w:before="0" w:after="0"/>
              <w:ind w:left="0" w:right="0" w:hanging="0"/>
              <w:jc w:val="left"/>
              <w:rPr/>
            </w:pPr>
            <w:r>
              <w:rPr/>
              <w:t> </w:t>
            </w:r>
          </w:p>
        </w:tc>
        <w:tc>
          <w:tcPr>
            <w:tcW w:w="225" w:type="dxa"/>
            <w:tcBorders/>
            <w:shd w:fill="auto" w:val="clear"/>
            <w:vAlign w:val="center"/>
          </w:tcPr>
          <w:p>
            <w:pPr>
              <w:pStyle w:val="TableContents"/>
              <w:spacing w:before="0" w:after="0"/>
              <w:ind w:left="0" w:right="0" w:hanging="0"/>
              <w:jc w:val="left"/>
              <w:rPr/>
            </w:pPr>
            <w:r>
              <w:rPr/>
              <w:t> </w:t>
            </w:r>
          </w:p>
        </w:tc>
        <w:tc>
          <w:tcPr>
            <w:tcW w:w="1048"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5,633</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413" w:type="dxa"/>
            <w:tcBorders/>
            <w:shd w:fill="auto" w:val="clear"/>
            <w:vAlign w:val="center"/>
          </w:tcPr>
          <w:p>
            <w:pPr>
              <w:pStyle w:val="TableContents"/>
              <w:spacing w:before="0" w:after="0"/>
              <w:ind w:left="0" w:right="0" w:hanging="0"/>
              <w:jc w:val="left"/>
              <w:rPr/>
            </w:pPr>
            <w:r>
              <w:rPr/>
              <w:t> </w:t>
            </w:r>
          </w:p>
        </w:tc>
        <w:tc>
          <w:tcPr>
            <w:tcW w:w="285" w:type="dxa"/>
            <w:tcBorders/>
            <w:shd w:fill="auto" w:val="clear"/>
            <w:vAlign w:val="center"/>
          </w:tcPr>
          <w:p>
            <w:pPr>
              <w:pStyle w:val="TableContents"/>
              <w:spacing w:before="0" w:after="0"/>
              <w:ind w:left="0" w:right="0" w:hanging="0"/>
              <w:jc w:val="left"/>
              <w:rPr/>
            </w:pPr>
            <w:r>
              <w:rPr/>
              <w:t> </w:t>
            </w:r>
          </w:p>
        </w:tc>
        <w:tc>
          <w:tcPr>
            <w:tcW w:w="1014"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194</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317" w:type="dxa"/>
            <w:tcBorders/>
            <w:shd w:fill="auto" w:val="clear"/>
            <w:vAlign w:val="center"/>
          </w:tcPr>
          <w:p>
            <w:pPr>
              <w:pStyle w:val="TableContents"/>
              <w:spacing w:before="0" w:after="0"/>
              <w:ind w:left="0" w:right="0" w:hanging="0"/>
              <w:jc w:val="left"/>
              <w:rPr/>
            </w:pPr>
            <w:r>
              <w:rPr/>
              <w:t> </w:t>
            </w:r>
          </w:p>
        </w:tc>
        <w:tc>
          <w:tcPr>
            <w:tcW w:w="215" w:type="dxa"/>
            <w:tcBorders/>
            <w:shd w:fill="auto" w:val="clear"/>
            <w:vAlign w:val="center"/>
          </w:tcPr>
          <w:p>
            <w:pPr>
              <w:pStyle w:val="TableContents"/>
              <w:spacing w:before="0" w:after="0"/>
              <w:ind w:left="0" w:right="0" w:hanging="0"/>
              <w:jc w:val="left"/>
              <w:rPr/>
            </w:pPr>
            <w:r>
              <w:rPr/>
              <w:t> </w:t>
            </w:r>
          </w:p>
        </w:tc>
        <w:tc>
          <w:tcPr>
            <w:tcW w:w="100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5,439</w:t>
            </w:r>
          </w:p>
        </w:tc>
        <w:tc>
          <w:tcPr>
            <w:tcW w:w="166" w:type="dxa"/>
            <w:tcBorders/>
            <w:shd w:fill="auto" w:val="clear"/>
            <w:vAlign w:val="center"/>
          </w:tcPr>
          <w:p>
            <w:pPr>
              <w:pStyle w:val="TableContents"/>
              <w:spacing w:before="0" w:after="0"/>
              <w:ind w:left="0" w:right="0" w:hanging="0"/>
              <w:jc w:val="left"/>
              <w:rPr/>
            </w:pPr>
            <w:r>
              <w:rPr/>
              <w:t> </w:t>
            </w:r>
          </w:p>
        </w:tc>
        <w:tc>
          <w:tcPr>
            <w:tcW w:w="297" w:type="dxa"/>
            <w:tcBorders/>
            <w:shd w:fill="auto" w:val="clear"/>
            <w:vAlign w:val="center"/>
          </w:tcPr>
          <w:p>
            <w:pPr>
              <w:pStyle w:val="TableContents"/>
              <w:spacing w:before="0" w:after="0"/>
              <w:ind w:left="0" w:right="0" w:firstLine="100"/>
              <w:jc w:val="left"/>
              <w:rPr/>
            </w:pPr>
            <w:r>
              <w:rPr/>
              <w:t> </w:t>
            </w:r>
          </w:p>
        </w:tc>
      </w:tr>
      <w:tr>
        <w:trPr/>
        <w:tc>
          <w:tcPr>
            <w:tcW w:w="4275" w:type="dxa"/>
            <w:tcBorders/>
            <w:shd w:fill="auto" w:val="clear"/>
            <w:vAlign w:val="center"/>
          </w:tcPr>
          <w:p>
            <w:pPr>
              <w:pStyle w:val="TableContents"/>
              <w:spacing w:before="0" w:after="0"/>
              <w:ind w:left="100" w:right="0" w:hanging="0"/>
              <w:jc w:val="left"/>
              <w:rPr>
                <w:rFonts w:ascii="Times New Roman;serif" w:hAnsi="Times New Roman;serif"/>
                <w:b w:val="false"/>
                <w:sz w:val="20"/>
              </w:rPr>
            </w:pPr>
            <w:r>
              <w:rPr>
                <w:rFonts w:ascii="Times New Roman;serif" w:hAnsi="Times New Roman;serif"/>
                <w:b w:val="false"/>
                <w:sz w:val="20"/>
              </w:rPr>
              <w:t>Unrealized investment gains</w:t>
            </w:r>
          </w:p>
        </w:tc>
        <w:tc>
          <w:tcPr>
            <w:tcW w:w="325" w:type="dxa"/>
            <w:tcBorders/>
            <w:shd w:fill="auto" w:val="clear"/>
            <w:vAlign w:val="center"/>
          </w:tcPr>
          <w:p>
            <w:pPr>
              <w:pStyle w:val="TableContents"/>
              <w:spacing w:before="0" w:after="0"/>
              <w:ind w:left="0" w:right="0" w:hanging="0"/>
              <w:jc w:val="left"/>
              <w:rPr/>
            </w:pPr>
            <w:r>
              <w:rPr/>
              <w:t> </w:t>
            </w:r>
          </w:p>
        </w:tc>
        <w:tc>
          <w:tcPr>
            <w:tcW w:w="225" w:type="dxa"/>
            <w:tcBorders/>
            <w:shd w:fill="auto" w:val="clear"/>
            <w:vAlign w:val="center"/>
          </w:tcPr>
          <w:p>
            <w:pPr>
              <w:pStyle w:val="TableContents"/>
              <w:spacing w:before="0" w:after="0"/>
              <w:ind w:left="0" w:right="0" w:hanging="0"/>
              <w:jc w:val="left"/>
              <w:rPr/>
            </w:pPr>
            <w:r>
              <w:rPr/>
              <w:t> </w:t>
            </w:r>
          </w:p>
        </w:tc>
        <w:tc>
          <w:tcPr>
            <w:tcW w:w="1048"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(44</w:t>
            </w:r>
          </w:p>
        </w:tc>
        <w:tc>
          <w:tcPr>
            <w:tcW w:w="16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shd w:fill="auto" w:val="clear"/>
            <w:vAlign w:val="center"/>
          </w:tcPr>
          <w:p>
            <w:pPr>
              <w:pStyle w:val="TableContents"/>
              <w:spacing w:before="0" w:after="0"/>
              <w:ind w:left="0" w:right="0" w:hanging="0"/>
              <w:jc w:val="left"/>
              <w:rPr/>
            </w:pPr>
            <w:r>
              <w:rPr/>
              <w:t> </w:t>
            </w:r>
          </w:p>
        </w:tc>
        <w:tc>
          <w:tcPr>
            <w:tcW w:w="413" w:type="dxa"/>
            <w:tcBorders/>
            <w:shd w:fill="auto" w:val="clear"/>
            <w:vAlign w:val="center"/>
          </w:tcPr>
          <w:p>
            <w:pPr>
              <w:pStyle w:val="TableContents"/>
              <w:spacing w:before="0" w:after="0"/>
              <w:ind w:left="0" w:right="0" w:hanging="0"/>
              <w:jc w:val="left"/>
              <w:rPr/>
            </w:pPr>
            <w:r>
              <w:rPr/>
              <w:t> </w:t>
            </w:r>
          </w:p>
        </w:tc>
        <w:tc>
          <w:tcPr>
            <w:tcW w:w="285" w:type="dxa"/>
            <w:tcBorders/>
            <w:shd w:fill="auto" w:val="clear"/>
            <w:vAlign w:val="center"/>
          </w:tcPr>
          <w:p>
            <w:pPr>
              <w:pStyle w:val="TableContents"/>
              <w:spacing w:before="0" w:after="0"/>
              <w:ind w:left="0" w:right="0" w:hanging="0"/>
              <w:jc w:val="left"/>
              <w:rPr/>
            </w:pPr>
            <w:r>
              <w:rPr/>
              <w:t> </w:t>
            </w:r>
          </w:p>
        </w:tc>
        <w:tc>
          <w:tcPr>
            <w:tcW w:w="1014" w:type="dxa"/>
            <w:tcBorders/>
            <w:shd w:fill="auto" w:val="clear"/>
            <w:vAlign w:val="center"/>
          </w:tcPr>
          <w:p>
            <w:pPr>
              <w:pStyle w:val="TableContents"/>
              <w:spacing w:before="0" w:after="0"/>
              <w:ind w:left="0" w:right="0" w:hanging="0"/>
              <w:jc w:val="right"/>
              <w:rPr/>
            </w:pPr>
            <w:r>
              <w:rPr/>
              <w:t>—</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317" w:type="dxa"/>
            <w:tcBorders/>
            <w:shd w:fill="auto" w:val="clear"/>
            <w:vAlign w:val="center"/>
          </w:tcPr>
          <w:p>
            <w:pPr>
              <w:pStyle w:val="TableContents"/>
              <w:spacing w:before="0" w:after="0"/>
              <w:ind w:left="0" w:right="0" w:hanging="0"/>
              <w:jc w:val="left"/>
              <w:rPr/>
            </w:pPr>
            <w:r>
              <w:rPr/>
              <w:t> </w:t>
            </w:r>
          </w:p>
        </w:tc>
        <w:tc>
          <w:tcPr>
            <w:tcW w:w="215" w:type="dxa"/>
            <w:tcBorders/>
            <w:shd w:fill="auto" w:val="clear"/>
            <w:vAlign w:val="center"/>
          </w:tcPr>
          <w:p>
            <w:pPr>
              <w:pStyle w:val="TableContents"/>
              <w:spacing w:before="0" w:after="0"/>
              <w:ind w:left="0" w:right="0" w:hanging="0"/>
              <w:jc w:val="left"/>
              <w:rPr/>
            </w:pPr>
            <w:r>
              <w:rPr/>
              <w:t> </w:t>
            </w:r>
          </w:p>
        </w:tc>
        <w:tc>
          <w:tcPr>
            <w:tcW w:w="100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(44</w:t>
            </w:r>
          </w:p>
        </w:tc>
        <w:tc>
          <w:tcPr>
            <w:tcW w:w="16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297" w:type="dxa"/>
            <w:tcBorders/>
            <w:shd w:fill="auto" w:val="clear"/>
            <w:vAlign w:val="center"/>
          </w:tcPr>
          <w:p>
            <w:pPr>
              <w:pStyle w:val="TableContents"/>
              <w:spacing w:before="0" w:after="0"/>
              <w:ind w:left="0" w:right="0" w:firstLine="100"/>
              <w:jc w:val="left"/>
              <w:rPr/>
            </w:pPr>
            <w:r>
              <w:rPr/>
              <w:t> </w:t>
            </w:r>
          </w:p>
        </w:tc>
      </w:tr>
      <w:tr>
        <w:trPr/>
        <w:tc>
          <w:tcPr>
            <w:tcW w:w="4275" w:type="dxa"/>
            <w:tcBorders/>
            <w:shd w:fill="auto" w:val="clear"/>
            <w:vAlign w:val="center"/>
          </w:tcPr>
          <w:p>
            <w:pPr>
              <w:pStyle w:val="TableContents"/>
              <w:spacing w:before="0" w:after="0"/>
              <w:ind w:left="100" w:right="0" w:hanging="0"/>
              <w:jc w:val="left"/>
              <w:rPr>
                <w:rFonts w:ascii="Times New Roman;serif" w:hAnsi="Times New Roman;serif"/>
                <w:b w:val="false"/>
                <w:sz w:val="20"/>
              </w:rPr>
            </w:pPr>
            <w:r>
              <w:rPr>
                <w:rFonts w:ascii="Times New Roman;serif" w:hAnsi="Times New Roman;serif"/>
                <w:b w:val="false"/>
                <w:sz w:val="20"/>
              </w:rPr>
              <w:t>Acquisition-related expenses</w:t>
            </w:r>
          </w:p>
        </w:tc>
        <w:tc>
          <w:tcPr>
            <w:tcW w:w="325" w:type="dxa"/>
            <w:tcBorders/>
            <w:shd w:fill="auto" w:val="clear"/>
            <w:vAlign w:val="center"/>
          </w:tcPr>
          <w:p>
            <w:pPr>
              <w:pStyle w:val="TableContents"/>
              <w:spacing w:before="0" w:after="0"/>
              <w:ind w:left="0" w:right="0" w:hanging="0"/>
              <w:jc w:val="left"/>
              <w:rPr/>
            </w:pPr>
            <w:r>
              <w:rPr/>
              <w:t> </w:t>
            </w:r>
          </w:p>
        </w:tc>
        <w:tc>
          <w:tcPr>
            <w:tcW w:w="225" w:type="dxa"/>
            <w:tcBorders/>
            <w:shd w:fill="auto" w:val="clear"/>
            <w:vAlign w:val="center"/>
          </w:tcPr>
          <w:p>
            <w:pPr>
              <w:pStyle w:val="TableContents"/>
              <w:spacing w:before="0" w:after="0"/>
              <w:ind w:left="0" w:right="0" w:hanging="0"/>
              <w:jc w:val="left"/>
              <w:rPr/>
            </w:pPr>
            <w:r>
              <w:rPr/>
              <w:t> </w:t>
            </w:r>
          </w:p>
        </w:tc>
        <w:tc>
          <w:tcPr>
            <w:tcW w:w="1048"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156</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413" w:type="dxa"/>
            <w:tcBorders/>
            <w:shd w:fill="auto" w:val="clear"/>
            <w:vAlign w:val="center"/>
          </w:tcPr>
          <w:p>
            <w:pPr>
              <w:pStyle w:val="TableContents"/>
              <w:spacing w:before="0" w:after="0"/>
              <w:ind w:left="0" w:right="0" w:hanging="0"/>
              <w:jc w:val="left"/>
              <w:rPr/>
            </w:pPr>
            <w:r>
              <w:rPr/>
              <w:t> </w:t>
            </w:r>
          </w:p>
        </w:tc>
        <w:tc>
          <w:tcPr>
            <w:tcW w:w="285" w:type="dxa"/>
            <w:tcBorders/>
            <w:shd w:fill="auto" w:val="clear"/>
            <w:vAlign w:val="center"/>
          </w:tcPr>
          <w:p>
            <w:pPr>
              <w:pStyle w:val="TableContents"/>
              <w:spacing w:before="0" w:after="0"/>
              <w:ind w:left="0" w:right="0" w:hanging="0"/>
              <w:jc w:val="left"/>
              <w:rPr/>
            </w:pPr>
            <w:r>
              <w:rPr/>
              <w:t> </w:t>
            </w:r>
          </w:p>
        </w:tc>
        <w:tc>
          <w:tcPr>
            <w:tcW w:w="1014" w:type="dxa"/>
            <w:tcBorders/>
            <w:shd w:fill="auto" w:val="clear"/>
            <w:vAlign w:val="center"/>
          </w:tcPr>
          <w:p>
            <w:pPr>
              <w:pStyle w:val="TableContents"/>
              <w:spacing w:before="0" w:after="0"/>
              <w:ind w:left="0" w:right="0" w:hanging="0"/>
              <w:jc w:val="right"/>
              <w:rPr/>
            </w:pPr>
            <w:r>
              <w:rPr/>
              <w:t>—</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317" w:type="dxa"/>
            <w:tcBorders/>
            <w:shd w:fill="auto" w:val="clear"/>
            <w:vAlign w:val="center"/>
          </w:tcPr>
          <w:p>
            <w:pPr>
              <w:pStyle w:val="TableContents"/>
              <w:spacing w:before="0" w:after="0"/>
              <w:ind w:left="0" w:right="0" w:hanging="0"/>
              <w:jc w:val="left"/>
              <w:rPr/>
            </w:pPr>
            <w:r>
              <w:rPr/>
              <w:t> </w:t>
            </w:r>
          </w:p>
        </w:tc>
        <w:tc>
          <w:tcPr>
            <w:tcW w:w="215" w:type="dxa"/>
            <w:tcBorders/>
            <w:shd w:fill="auto" w:val="clear"/>
            <w:vAlign w:val="center"/>
          </w:tcPr>
          <w:p>
            <w:pPr>
              <w:pStyle w:val="TableContents"/>
              <w:spacing w:before="0" w:after="0"/>
              <w:ind w:left="0" w:right="0" w:hanging="0"/>
              <w:jc w:val="left"/>
              <w:rPr/>
            </w:pPr>
            <w:r>
              <w:rPr/>
              <w:t> </w:t>
            </w:r>
          </w:p>
        </w:tc>
        <w:tc>
          <w:tcPr>
            <w:tcW w:w="100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156</w:t>
            </w:r>
          </w:p>
        </w:tc>
        <w:tc>
          <w:tcPr>
            <w:tcW w:w="166" w:type="dxa"/>
            <w:tcBorders/>
            <w:shd w:fill="auto" w:val="clear"/>
            <w:vAlign w:val="center"/>
          </w:tcPr>
          <w:p>
            <w:pPr>
              <w:pStyle w:val="TableContents"/>
              <w:spacing w:before="0" w:after="0"/>
              <w:ind w:left="0" w:right="0" w:hanging="0"/>
              <w:jc w:val="left"/>
              <w:rPr/>
            </w:pPr>
            <w:r>
              <w:rPr/>
              <w:t> </w:t>
            </w:r>
          </w:p>
        </w:tc>
        <w:tc>
          <w:tcPr>
            <w:tcW w:w="297" w:type="dxa"/>
            <w:tcBorders/>
            <w:shd w:fill="auto" w:val="clear"/>
            <w:vAlign w:val="center"/>
          </w:tcPr>
          <w:p>
            <w:pPr>
              <w:pStyle w:val="TableContents"/>
              <w:spacing w:before="0" w:after="0"/>
              <w:ind w:left="0" w:right="0" w:firstLine="100"/>
              <w:jc w:val="left"/>
              <w:rPr/>
            </w:pPr>
            <w:r>
              <w:rPr/>
              <w:t> </w:t>
            </w:r>
          </w:p>
        </w:tc>
      </w:tr>
      <w:tr>
        <w:trPr/>
        <w:tc>
          <w:tcPr>
            <w:tcW w:w="4275" w:type="dxa"/>
            <w:tcBorders/>
            <w:shd w:fill="auto" w:val="clear"/>
            <w:vAlign w:val="center"/>
          </w:tcPr>
          <w:p>
            <w:pPr>
              <w:pStyle w:val="TableContents"/>
              <w:spacing w:before="0" w:after="0"/>
              <w:ind w:left="100" w:right="0" w:hanging="0"/>
              <w:jc w:val="left"/>
              <w:rPr>
                <w:rFonts w:ascii="Times New Roman;serif" w:hAnsi="Times New Roman;serif"/>
                <w:b w:val="false"/>
                <w:sz w:val="20"/>
              </w:rPr>
            </w:pPr>
            <w:r>
              <w:rPr>
                <w:rFonts w:ascii="Times New Roman;serif" w:hAnsi="Times New Roman;serif"/>
                <w:b w:val="false"/>
                <w:sz w:val="20"/>
              </w:rPr>
              <w:t>Write-downs, including asset impairments and credit loss expense</w:t>
            </w:r>
          </w:p>
        </w:tc>
        <w:tc>
          <w:tcPr>
            <w:tcW w:w="325" w:type="dxa"/>
            <w:tcBorders/>
            <w:shd w:fill="auto" w:val="clear"/>
            <w:vAlign w:val="center"/>
          </w:tcPr>
          <w:p>
            <w:pPr>
              <w:pStyle w:val="TableContents"/>
              <w:spacing w:before="0" w:after="0"/>
              <w:ind w:left="0" w:right="0" w:hanging="0"/>
              <w:jc w:val="left"/>
              <w:rPr/>
            </w:pPr>
            <w:r>
              <w:rPr/>
              <w:t> </w:t>
            </w:r>
          </w:p>
        </w:tc>
        <w:tc>
          <w:tcPr>
            <w:tcW w:w="225" w:type="dxa"/>
            <w:tcBorders/>
            <w:shd w:fill="auto" w:val="clear"/>
            <w:vAlign w:val="center"/>
          </w:tcPr>
          <w:p>
            <w:pPr>
              <w:pStyle w:val="TableContents"/>
              <w:spacing w:before="0" w:after="0"/>
              <w:ind w:left="0" w:right="0" w:hanging="0"/>
              <w:jc w:val="left"/>
              <w:rPr/>
            </w:pPr>
            <w:r>
              <w:rPr/>
              <w:t> </w:t>
            </w:r>
          </w:p>
        </w:tc>
        <w:tc>
          <w:tcPr>
            <w:tcW w:w="1048"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524</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413" w:type="dxa"/>
            <w:tcBorders/>
            <w:shd w:fill="auto" w:val="clear"/>
            <w:vAlign w:val="center"/>
          </w:tcPr>
          <w:p>
            <w:pPr>
              <w:pStyle w:val="TableContents"/>
              <w:spacing w:before="0" w:after="0"/>
              <w:ind w:left="0" w:right="0" w:hanging="0"/>
              <w:jc w:val="left"/>
              <w:rPr/>
            </w:pPr>
            <w:r>
              <w:rPr/>
              <w:t> </w:t>
            </w:r>
          </w:p>
        </w:tc>
        <w:tc>
          <w:tcPr>
            <w:tcW w:w="285" w:type="dxa"/>
            <w:tcBorders/>
            <w:shd w:fill="auto" w:val="clear"/>
            <w:vAlign w:val="center"/>
          </w:tcPr>
          <w:p>
            <w:pPr>
              <w:pStyle w:val="TableContents"/>
              <w:spacing w:before="0" w:after="0"/>
              <w:ind w:left="0" w:right="0" w:hanging="0"/>
              <w:jc w:val="left"/>
              <w:rPr/>
            </w:pPr>
            <w:r>
              <w:rPr/>
              <w:t> </w:t>
            </w:r>
          </w:p>
        </w:tc>
        <w:tc>
          <w:tcPr>
            <w:tcW w:w="1014"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82</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317" w:type="dxa"/>
            <w:tcBorders/>
            <w:shd w:fill="auto" w:val="clear"/>
            <w:vAlign w:val="center"/>
          </w:tcPr>
          <w:p>
            <w:pPr>
              <w:pStyle w:val="TableContents"/>
              <w:spacing w:before="0" w:after="0"/>
              <w:ind w:left="0" w:right="0" w:hanging="0"/>
              <w:jc w:val="left"/>
              <w:rPr/>
            </w:pPr>
            <w:r>
              <w:rPr/>
              <w:t> </w:t>
            </w:r>
          </w:p>
        </w:tc>
        <w:tc>
          <w:tcPr>
            <w:tcW w:w="215" w:type="dxa"/>
            <w:tcBorders/>
            <w:shd w:fill="auto" w:val="clear"/>
            <w:vAlign w:val="center"/>
          </w:tcPr>
          <w:p>
            <w:pPr>
              <w:pStyle w:val="TableContents"/>
              <w:spacing w:before="0" w:after="0"/>
              <w:ind w:left="0" w:right="0" w:hanging="0"/>
              <w:jc w:val="left"/>
              <w:rPr/>
            </w:pPr>
            <w:r>
              <w:rPr/>
              <w:t> </w:t>
            </w:r>
          </w:p>
        </w:tc>
        <w:tc>
          <w:tcPr>
            <w:tcW w:w="100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442</w:t>
            </w:r>
          </w:p>
        </w:tc>
        <w:tc>
          <w:tcPr>
            <w:tcW w:w="166" w:type="dxa"/>
            <w:tcBorders/>
            <w:shd w:fill="auto" w:val="clear"/>
            <w:vAlign w:val="center"/>
          </w:tcPr>
          <w:p>
            <w:pPr>
              <w:pStyle w:val="TableContents"/>
              <w:spacing w:before="0" w:after="0"/>
              <w:ind w:left="0" w:right="0" w:hanging="0"/>
              <w:jc w:val="left"/>
              <w:rPr/>
            </w:pPr>
            <w:r>
              <w:rPr/>
              <w:t> </w:t>
            </w:r>
          </w:p>
        </w:tc>
        <w:tc>
          <w:tcPr>
            <w:tcW w:w="297" w:type="dxa"/>
            <w:tcBorders/>
            <w:shd w:fill="auto" w:val="clear"/>
            <w:vAlign w:val="center"/>
          </w:tcPr>
          <w:p>
            <w:pPr>
              <w:pStyle w:val="TableContents"/>
              <w:spacing w:before="0" w:after="0"/>
              <w:ind w:left="0" w:right="0" w:firstLine="100"/>
              <w:jc w:val="left"/>
              <w:rPr/>
            </w:pPr>
            <w:r>
              <w:rPr/>
              <w:t> </w:t>
            </w:r>
          </w:p>
        </w:tc>
      </w:tr>
      <w:tr>
        <w:trPr/>
        <w:tc>
          <w:tcPr>
            <w:tcW w:w="4275" w:type="dxa"/>
            <w:tcBorders/>
            <w:shd w:fill="auto" w:val="clear"/>
            <w:vAlign w:val="center"/>
          </w:tcPr>
          <w:p>
            <w:pPr>
              <w:pStyle w:val="TableContents"/>
              <w:spacing w:before="0" w:after="0"/>
              <w:ind w:left="100" w:right="0" w:hanging="0"/>
              <w:jc w:val="left"/>
              <w:rPr>
                <w:rFonts w:ascii="Times New Roman" w:hAnsi="Times New Roman"/>
                <w:sz w:val="20"/>
              </w:rPr>
            </w:pPr>
            <w:r>
              <w:rPr>
                <w:rFonts w:ascii="Times New Roman;serif" w:hAnsi="Times New Roman;serif"/>
                <w:b w:val="false"/>
                <w:sz w:val="20"/>
              </w:rPr>
              <w:t>Executive transition costs</w:t>
            </w:r>
            <w:r>
              <w:rPr>
                <w:rFonts w:ascii="Times New Roman;serif" w:hAnsi="Times New Roman;serif"/>
                <w:b w:val="false"/>
                <w:sz w:val="13"/>
              </w:rPr>
              <w:t>(2)</w:t>
            </w:r>
          </w:p>
        </w:tc>
        <w:tc>
          <w:tcPr>
            <w:tcW w:w="325" w:type="dxa"/>
            <w:tcBorders/>
            <w:shd w:fill="auto" w:val="clear"/>
            <w:vAlign w:val="center"/>
          </w:tcPr>
          <w:p>
            <w:pPr>
              <w:pStyle w:val="TableContents"/>
              <w:spacing w:before="0" w:after="0"/>
              <w:ind w:left="0" w:right="0" w:hanging="0"/>
              <w:jc w:val="left"/>
              <w:rPr/>
            </w:pPr>
            <w:r>
              <w:rPr/>
              <w:t> </w:t>
            </w:r>
          </w:p>
        </w:tc>
        <w:tc>
          <w:tcPr>
            <w:tcW w:w="225" w:type="dxa"/>
            <w:tcBorders/>
            <w:shd w:fill="auto" w:val="clear"/>
            <w:vAlign w:val="center"/>
          </w:tcPr>
          <w:p>
            <w:pPr>
              <w:pStyle w:val="TableContents"/>
              <w:spacing w:before="0" w:after="0"/>
              <w:ind w:left="0" w:right="0" w:hanging="0"/>
              <w:jc w:val="left"/>
              <w:rPr/>
            </w:pPr>
            <w:r>
              <w:rPr/>
              <w:t> </w:t>
            </w:r>
          </w:p>
        </w:tc>
        <w:tc>
          <w:tcPr>
            <w:tcW w:w="1048"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1,353</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413" w:type="dxa"/>
            <w:tcBorders/>
            <w:shd w:fill="auto" w:val="clear"/>
            <w:vAlign w:val="center"/>
          </w:tcPr>
          <w:p>
            <w:pPr>
              <w:pStyle w:val="TableContents"/>
              <w:spacing w:before="0" w:after="0"/>
              <w:ind w:left="0" w:right="0" w:hanging="0"/>
              <w:jc w:val="left"/>
              <w:rPr/>
            </w:pPr>
            <w:r>
              <w:rPr/>
              <w:t> </w:t>
            </w:r>
          </w:p>
        </w:tc>
        <w:tc>
          <w:tcPr>
            <w:tcW w:w="285" w:type="dxa"/>
            <w:tcBorders/>
            <w:shd w:fill="auto" w:val="clear"/>
            <w:vAlign w:val="center"/>
          </w:tcPr>
          <w:p>
            <w:pPr>
              <w:pStyle w:val="TableContents"/>
              <w:spacing w:before="0" w:after="0"/>
              <w:ind w:left="0" w:right="0" w:hanging="0"/>
              <w:jc w:val="left"/>
              <w:rPr/>
            </w:pPr>
            <w:r>
              <w:rPr/>
              <w:t> </w:t>
            </w:r>
          </w:p>
        </w:tc>
        <w:tc>
          <w:tcPr>
            <w:tcW w:w="1014" w:type="dxa"/>
            <w:tcBorders/>
            <w:shd w:fill="auto" w:val="clear"/>
            <w:vAlign w:val="center"/>
          </w:tcPr>
          <w:p>
            <w:pPr>
              <w:pStyle w:val="TableContents"/>
              <w:spacing w:before="0" w:after="0"/>
              <w:ind w:left="0" w:right="0" w:hanging="0"/>
              <w:jc w:val="right"/>
              <w:rPr/>
            </w:pPr>
            <w:r>
              <w:rPr/>
              <w:t>—</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317" w:type="dxa"/>
            <w:tcBorders/>
            <w:shd w:fill="auto" w:val="clear"/>
            <w:vAlign w:val="center"/>
          </w:tcPr>
          <w:p>
            <w:pPr>
              <w:pStyle w:val="TableContents"/>
              <w:spacing w:before="0" w:after="0"/>
              <w:ind w:left="0" w:right="0" w:hanging="0"/>
              <w:jc w:val="left"/>
              <w:rPr/>
            </w:pPr>
            <w:r>
              <w:rPr/>
              <w:t> </w:t>
            </w:r>
          </w:p>
        </w:tc>
        <w:tc>
          <w:tcPr>
            <w:tcW w:w="215" w:type="dxa"/>
            <w:tcBorders/>
            <w:shd w:fill="auto" w:val="clear"/>
            <w:vAlign w:val="center"/>
          </w:tcPr>
          <w:p>
            <w:pPr>
              <w:pStyle w:val="TableContents"/>
              <w:spacing w:before="0" w:after="0"/>
              <w:ind w:left="0" w:right="0" w:hanging="0"/>
              <w:jc w:val="left"/>
              <w:rPr/>
            </w:pPr>
            <w:r>
              <w:rPr/>
              <w:t> </w:t>
            </w:r>
          </w:p>
        </w:tc>
        <w:tc>
          <w:tcPr>
            <w:tcW w:w="100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1,353</w:t>
            </w:r>
          </w:p>
        </w:tc>
        <w:tc>
          <w:tcPr>
            <w:tcW w:w="166" w:type="dxa"/>
            <w:tcBorders/>
            <w:shd w:fill="auto" w:val="clear"/>
            <w:vAlign w:val="center"/>
          </w:tcPr>
          <w:p>
            <w:pPr>
              <w:pStyle w:val="TableContents"/>
              <w:spacing w:before="0" w:after="0"/>
              <w:ind w:left="0" w:right="0" w:hanging="0"/>
              <w:jc w:val="left"/>
              <w:rPr/>
            </w:pPr>
            <w:r>
              <w:rPr/>
              <w:t> </w:t>
            </w:r>
          </w:p>
        </w:tc>
        <w:tc>
          <w:tcPr>
            <w:tcW w:w="297" w:type="dxa"/>
            <w:tcBorders/>
            <w:shd w:fill="auto" w:val="clear"/>
            <w:vAlign w:val="center"/>
          </w:tcPr>
          <w:p>
            <w:pPr>
              <w:pStyle w:val="TableContents"/>
              <w:spacing w:before="0" w:after="0"/>
              <w:ind w:left="0" w:right="0" w:hanging="0"/>
              <w:jc w:val="left"/>
              <w:rPr/>
            </w:pPr>
            <w:r>
              <w:rPr/>
              <w:t> </w:t>
            </w:r>
          </w:p>
        </w:tc>
      </w:tr>
      <w:tr>
        <w:trPr/>
        <w:tc>
          <w:tcPr>
            <w:tcW w:w="4275"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Adjusted EBITDA per Credit Facility</w:t>
            </w:r>
          </w:p>
        </w:tc>
        <w:tc>
          <w:tcPr>
            <w:tcW w:w="325" w:type="dxa"/>
            <w:tcBorders>
              <w:top w:val="single" w:sz="4" w:space="0" w:color="000000"/>
              <w:bottom w:val="double" w:sz="6" w:space="0" w:color="000000"/>
            </w:tcBorders>
            <w:shd w:fill="auto" w:val="clear"/>
            <w:tcMar>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225" w:type="dxa"/>
            <w:tcBorders>
              <w:top w:val="single" w:sz="4" w:space="0" w:color="000000"/>
              <w:bottom w:val="double" w:sz="6" w:space="0" w:color="000000"/>
            </w:tcBorders>
            <w:shd w:fill="auto" w:val="clear"/>
            <w:tcMar>
              <w:left w:w="0" w:type="dxa"/>
              <w:right w:w="0" w:type="dxa"/>
            </w:tcMar>
            <w:vAlign w:val="center"/>
          </w:tcPr>
          <w:p>
            <w:pPr>
              <w:pStyle w:val="TableContents"/>
              <w:spacing w:before="0" w:after="0"/>
              <w:ind w:left="0" w:right="0" w:hanging="0"/>
              <w:jc w:val="left"/>
              <w:rPr/>
            </w:pPr>
            <w:r>
              <w:rPr/>
              <w:t> </w:t>
            </w:r>
          </w:p>
        </w:tc>
        <w:tc>
          <w:tcPr>
            <w:tcW w:w="1048" w:type="dxa"/>
            <w:tcBorders>
              <w:top w:val="single" w:sz="4" w:space="0" w:color="000000"/>
              <w:bottom w:val="double" w:sz="6" w:space="0" w:color="000000"/>
            </w:tcBorders>
            <w:shd w:fill="auto" w:val="clear"/>
            <w:tcMar>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32,310</w:t>
            </w:r>
          </w:p>
        </w:tc>
        <w:tc>
          <w:tcPr>
            <w:tcW w:w="166" w:type="dxa"/>
            <w:tcBorders>
              <w:top w:val="single" w:sz="4" w:space="0" w:color="000000"/>
              <w:bottom w:val="double" w:sz="6" w:space="0" w:color="000000"/>
            </w:tcBorders>
            <w:shd w:fill="auto" w:val="clear"/>
            <w:tcMar>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413" w:type="dxa"/>
            <w:tcBorders>
              <w:top w:val="single" w:sz="4" w:space="0" w:color="000000"/>
              <w:bottom w:val="double" w:sz="6" w:space="0" w:color="000000"/>
            </w:tcBorders>
            <w:shd w:fill="auto" w:val="clear"/>
            <w:tcMar>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285" w:type="dxa"/>
            <w:tcBorders>
              <w:top w:val="single" w:sz="4" w:space="0" w:color="000000"/>
              <w:bottom w:val="double" w:sz="6" w:space="0" w:color="000000"/>
            </w:tcBorders>
            <w:shd w:fill="auto" w:val="clear"/>
            <w:tcMar>
              <w:left w:w="0" w:type="dxa"/>
              <w:right w:w="0" w:type="dxa"/>
            </w:tcMar>
            <w:vAlign w:val="center"/>
          </w:tcPr>
          <w:p>
            <w:pPr>
              <w:pStyle w:val="TableContents"/>
              <w:spacing w:before="0" w:after="0"/>
              <w:ind w:left="0" w:right="0" w:hanging="0"/>
              <w:jc w:val="left"/>
              <w:rPr/>
            </w:pPr>
            <w:r>
              <w:rPr/>
              <w:t> </w:t>
            </w:r>
          </w:p>
        </w:tc>
        <w:tc>
          <w:tcPr>
            <w:tcW w:w="1014" w:type="dxa"/>
            <w:tcBorders>
              <w:top w:val="single" w:sz="4" w:space="0" w:color="000000"/>
              <w:bottom w:val="double" w:sz="6" w:space="0" w:color="000000"/>
            </w:tcBorders>
            <w:shd w:fill="auto" w:val="clear"/>
            <w:tcMar>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5,028</w:t>
            </w:r>
          </w:p>
        </w:tc>
        <w:tc>
          <w:tcPr>
            <w:tcW w:w="166" w:type="dxa"/>
            <w:tcBorders>
              <w:top w:val="single" w:sz="4" w:space="0" w:color="000000"/>
              <w:bottom w:val="double" w:sz="6" w:space="0" w:color="000000"/>
            </w:tcBorders>
            <w:shd w:fill="auto" w:val="clear"/>
            <w:tcMar>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317" w:type="dxa"/>
            <w:tcBorders>
              <w:top w:val="single" w:sz="4" w:space="0" w:color="000000"/>
              <w:bottom w:val="double" w:sz="6" w:space="0" w:color="000000"/>
            </w:tcBorders>
            <w:shd w:fill="auto" w:val="clear"/>
            <w:tcMar>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215" w:type="dxa"/>
            <w:tcBorders>
              <w:top w:val="single" w:sz="4" w:space="0" w:color="000000"/>
              <w:bottom w:val="double" w:sz="6" w:space="0" w:color="000000"/>
            </w:tcBorders>
            <w:shd w:fill="auto" w:val="clear"/>
            <w:tcMar>
              <w:left w:w="0" w:type="dxa"/>
              <w:right w:w="0" w:type="dxa"/>
            </w:tcMar>
            <w:vAlign w:val="center"/>
          </w:tcPr>
          <w:p>
            <w:pPr>
              <w:pStyle w:val="TableContents"/>
              <w:spacing w:before="0" w:after="0"/>
              <w:ind w:left="0" w:right="0" w:hanging="0"/>
              <w:jc w:val="left"/>
              <w:rPr/>
            </w:pPr>
            <w:r>
              <w:rPr/>
              <w:t> </w:t>
            </w:r>
          </w:p>
        </w:tc>
        <w:tc>
          <w:tcPr>
            <w:tcW w:w="1001" w:type="dxa"/>
            <w:tcBorders>
              <w:top w:val="single" w:sz="4" w:space="0" w:color="000000"/>
              <w:bottom w:val="double" w:sz="6" w:space="0" w:color="000000"/>
            </w:tcBorders>
            <w:shd w:fill="auto" w:val="clear"/>
            <w:tcMar>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27,282</w:t>
            </w:r>
          </w:p>
        </w:tc>
        <w:tc>
          <w:tcPr>
            <w:tcW w:w="166" w:type="dxa"/>
            <w:tcBorders>
              <w:top w:val="single" w:sz="4" w:space="0" w:color="000000"/>
              <w:bottom w:val="double" w:sz="6" w:space="0" w:color="000000"/>
            </w:tcBorders>
            <w:shd w:fill="auto" w:val="clear"/>
            <w:tcMar>
              <w:left w:w="0" w:type="dxa"/>
              <w:right w:w="0" w:type="dxa"/>
            </w:tcMar>
            <w:vAlign w:val="center"/>
          </w:tcPr>
          <w:p>
            <w:pPr>
              <w:pStyle w:val="TableContents"/>
              <w:spacing w:before="0" w:after="0"/>
              <w:ind w:left="0" w:right="0" w:hanging="0"/>
              <w:jc w:val="left"/>
              <w:rPr/>
            </w:pPr>
            <w:r>
              <w:rPr/>
              <w:t> </w:t>
            </w:r>
          </w:p>
        </w:tc>
        <w:tc>
          <w:tcPr>
            <w:tcW w:w="297" w:type="dxa"/>
            <w:tcBorders/>
            <w:shd w:fill="auto" w:val="clear"/>
            <w:vAlign w:val="center"/>
          </w:tcPr>
          <w:p>
            <w:pPr>
              <w:pStyle w:val="TableContents"/>
              <w:spacing w:before="0" w:after="0"/>
              <w:ind w:left="0" w:right="0" w:hanging="0"/>
              <w:jc w:val="left"/>
              <w:rPr/>
            </w:pPr>
            <w:r>
              <w:rPr/>
              <w:t> </w:t>
            </w:r>
          </w:p>
        </w:tc>
      </w:tr>
    </w:tbl>
    <w:p>
      <w:pPr>
        <w:pStyle w:val="TextBody"/>
        <w:spacing w:before="0" w:after="0"/>
        <w:jc w:val="left"/>
        <w:rPr/>
      </w:pPr>
      <w:r>
        <w:rPr/>
        <w:t> </w:t>
      </w:r>
    </w:p>
    <w:p>
      <w:pPr>
        <w:pStyle w:val="TextBody"/>
        <w:spacing w:before="0" w:after="0"/>
        <w:jc w:val="left"/>
        <w:rPr/>
      </w:pPr>
      <w:r>
        <w:rPr/>
        <w:t> </w:t>
      </w:r>
    </w:p>
    <w:tbl>
      <w:tblPr>
        <w:tblW w:w="10205" w:type="dxa"/>
        <w:jc w:val="left"/>
        <w:tblInd w:w="0" w:type="dxa"/>
        <w:tblCellMar>
          <w:top w:w="28" w:type="dxa"/>
          <w:left w:w="28" w:type="dxa"/>
          <w:bottom w:w="28" w:type="dxa"/>
          <w:right w:w="28" w:type="dxa"/>
        </w:tblCellMar>
      </w:tblPr>
      <w:tblGrid>
        <w:gridCol w:w="4275"/>
        <w:gridCol w:w="295"/>
        <w:gridCol w:w="204"/>
        <w:gridCol w:w="1100"/>
        <w:gridCol w:w="166"/>
        <w:gridCol w:w="146"/>
        <w:gridCol w:w="372"/>
        <w:gridCol w:w="256"/>
        <w:gridCol w:w="1085"/>
        <w:gridCol w:w="166"/>
        <w:gridCol w:w="146"/>
        <w:gridCol w:w="317"/>
        <w:gridCol w:w="215"/>
        <w:gridCol w:w="1001"/>
        <w:gridCol w:w="166"/>
        <w:gridCol w:w="295"/>
      </w:tblGrid>
      <w:tr>
        <w:trPr/>
        <w:tc>
          <w:tcPr>
            <w:tcW w:w="4275" w:type="dxa"/>
            <w:tcBorders/>
            <w:shd w:fill="auto" w:val="clear"/>
            <w:vAlign w:val="center"/>
          </w:tcPr>
          <w:p>
            <w:pPr>
              <w:pStyle w:val="TableContents"/>
              <w:spacing w:before="0" w:after="283"/>
              <w:rPr>
                <w:sz w:val="4"/>
                <w:szCs w:val="4"/>
              </w:rPr>
            </w:pPr>
            <w:r>
              <w:rPr>
                <w:sz w:val="4"/>
                <w:szCs w:val="4"/>
              </w:rPr>
            </w:r>
          </w:p>
        </w:tc>
        <w:tc>
          <w:tcPr>
            <w:tcW w:w="295" w:type="dxa"/>
            <w:tcBorders/>
            <w:shd w:fill="auto" w:val="clear"/>
            <w:vAlign w:val="center"/>
          </w:tcPr>
          <w:p>
            <w:pPr>
              <w:pStyle w:val="TableContents"/>
              <w:spacing w:before="0" w:after="283"/>
              <w:rPr>
                <w:sz w:val="4"/>
                <w:szCs w:val="4"/>
              </w:rPr>
            </w:pPr>
            <w:r>
              <w:rPr>
                <w:sz w:val="4"/>
                <w:szCs w:val="4"/>
              </w:rPr>
            </w:r>
          </w:p>
        </w:tc>
        <w:tc>
          <w:tcPr>
            <w:tcW w:w="204" w:type="dxa"/>
            <w:tcBorders/>
            <w:shd w:fill="auto" w:val="clear"/>
            <w:vAlign w:val="center"/>
          </w:tcPr>
          <w:p>
            <w:pPr>
              <w:pStyle w:val="TableContents"/>
              <w:spacing w:before="0" w:after="283"/>
              <w:rPr>
                <w:sz w:val="4"/>
                <w:szCs w:val="4"/>
              </w:rPr>
            </w:pPr>
            <w:r>
              <w:rPr>
                <w:sz w:val="4"/>
                <w:szCs w:val="4"/>
              </w:rPr>
            </w:r>
          </w:p>
        </w:tc>
        <w:tc>
          <w:tcPr>
            <w:tcW w:w="1100" w:type="dxa"/>
            <w:tcBorders/>
            <w:shd w:fill="auto" w:val="clear"/>
            <w:vAlign w:val="center"/>
          </w:tcPr>
          <w:p>
            <w:pPr>
              <w:pStyle w:val="TableContents"/>
              <w:spacing w:before="0" w:after="283"/>
              <w:rPr>
                <w:sz w:val="4"/>
                <w:szCs w:val="4"/>
              </w:rPr>
            </w:pPr>
            <w:r>
              <w:rPr>
                <w:sz w:val="4"/>
                <w:szCs w:val="4"/>
              </w:rPr>
            </w:r>
          </w:p>
        </w:tc>
        <w:tc>
          <w:tcPr>
            <w:tcW w:w="16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372"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vAlign w:val="center"/>
          </w:tcPr>
          <w:p>
            <w:pPr>
              <w:pStyle w:val="TableContents"/>
              <w:spacing w:before="0" w:after="283"/>
              <w:rPr>
                <w:sz w:val="4"/>
                <w:szCs w:val="4"/>
              </w:rPr>
            </w:pPr>
            <w:r>
              <w:rPr>
                <w:sz w:val="4"/>
                <w:szCs w:val="4"/>
              </w:rPr>
            </w:r>
          </w:p>
        </w:tc>
        <w:tc>
          <w:tcPr>
            <w:tcW w:w="1085" w:type="dxa"/>
            <w:tcBorders/>
            <w:shd w:fill="auto" w:val="clear"/>
            <w:vAlign w:val="center"/>
          </w:tcPr>
          <w:p>
            <w:pPr>
              <w:pStyle w:val="TableContents"/>
              <w:spacing w:before="0" w:after="283"/>
              <w:rPr>
                <w:sz w:val="4"/>
                <w:szCs w:val="4"/>
              </w:rPr>
            </w:pPr>
            <w:r>
              <w:rPr>
                <w:sz w:val="4"/>
                <w:szCs w:val="4"/>
              </w:rPr>
            </w:r>
          </w:p>
        </w:tc>
        <w:tc>
          <w:tcPr>
            <w:tcW w:w="16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317" w:type="dxa"/>
            <w:tcBorders/>
            <w:shd w:fill="auto" w:val="clear"/>
            <w:vAlign w:val="center"/>
          </w:tcPr>
          <w:p>
            <w:pPr>
              <w:pStyle w:val="TableContents"/>
              <w:spacing w:before="0" w:after="283"/>
              <w:rPr>
                <w:sz w:val="4"/>
                <w:szCs w:val="4"/>
              </w:rPr>
            </w:pPr>
            <w:r>
              <w:rPr>
                <w:sz w:val="4"/>
                <w:szCs w:val="4"/>
              </w:rPr>
            </w:r>
          </w:p>
        </w:tc>
        <w:tc>
          <w:tcPr>
            <w:tcW w:w="215" w:type="dxa"/>
            <w:tcBorders/>
            <w:shd w:fill="auto" w:val="clear"/>
            <w:vAlign w:val="center"/>
          </w:tcPr>
          <w:p>
            <w:pPr>
              <w:pStyle w:val="TableContents"/>
              <w:spacing w:before="0" w:after="283"/>
              <w:rPr>
                <w:sz w:val="4"/>
                <w:szCs w:val="4"/>
              </w:rPr>
            </w:pPr>
            <w:r>
              <w:rPr>
                <w:sz w:val="4"/>
                <w:szCs w:val="4"/>
              </w:rPr>
            </w:r>
          </w:p>
        </w:tc>
        <w:tc>
          <w:tcPr>
            <w:tcW w:w="1001" w:type="dxa"/>
            <w:tcBorders/>
            <w:shd w:fill="auto" w:val="clear"/>
            <w:vAlign w:val="center"/>
          </w:tcPr>
          <w:p>
            <w:pPr>
              <w:pStyle w:val="TableContents"/>
              <w:spacing w:before="0" w:after="283"/>
              <w:rPr>
                <w:sz w:val="4"/>
                <w:szCs w:val="4"/>
              </w:rPr>
            </w:pPr>
            <w:r>
              <w:rPr>
                <w:sz w:val="4"/>
                <w:szCs w:val="4"/>
              </w:rPr>
            </w:r>
          </w:p>
        </w:tc>
        <w:tc>
          <w:tcPr>
            <w:tcW w:w="166" w:type="dxa"/>
            <w:tcBorders/>
            <w:shd w:fill="auto" w:val="clear"/>
            <w:vAlign w:val="center"/>
          </w:tcPr>
          <w:p>
            <w:pPr>
              <w:pStyle w:val="TableContents"/>
              <w:spacing w:before="0" w:after="283"/>
              <w:rPr>
                <w:sz w:val="4"/>
                <w:szCs w:val="4"/>
              </w:rPr>
            </w:pPr>
            <w:r>
              <w:rPr>
                <w:sz w:val="4"/>
                <w:szCs w:val="4"/>
              </w:rPr>
            </w:r>
          </w:p>
        </w:tc>
        <w:tc>
          <w:tcPr>
            <w:tcW w:w="295" w:type="dxa"/>
            <w:tcBorders/>
            <w:shd w:fill="auto" w:val="clear"/>
            <w:vAlign w:val="center"/>
          </w:tcPr>
          <w:p>
            <w:pPr>
              <w:pStyle w:val="TableContents"/>
              <w:spacing w:before="0" w:after="283"/>
              <w:rPr>
                <w:sz w:val="4"/>
                <w:szCs w:val="4"/>
              </w:rPr>
            </w:pPr>
            <w:r>
              <w:rPr>
                <w:sz w:val="4"/>
                <w:szCs w:val="4"/>
              </w:rPr>
            </w:r>
          </w:p>
        </w:tc>
      </w:tr>
      <w:tr>
        <w:trPr/>
        <w:tc>
          <w:tcPr>
            <w:tcW w:w="4275" w:type="dxa"/>
            <w:tcBorders/>
            <w:shd w:fill="auto" w:val="clear"/>
            <w:vAlign w:val="center"/>
          </w:tcPr>
          <w:p>
            <w:pPr>
              <w:pStyle w:val="TableContents"/>
              <w:spacing w:before="0" w:after="0"/>
              <w:ind w:left="0" w:right="0" w:hanging="0"/>
              <w:jc w:val="left"/>
              <w:rPr/>
            </w:pPr>
            <w:r>
              <w:rPr/>
              <w:t> </w:t>
            </w:r>
          </w:p>
        </w:tc>
        <w:tc>
          <w:tcPr>
            <w:tcW w:w="5469" w:type="dxa"/>
            <w:gridSpan w:val="13"/>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For the Twelve Months Ended March 31, 2023</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295" w:type="dxa"/>
            <w:tcBorders/>
            <w:shd w:fill="auto" w:val="clear"/>
            <w:vAlign w:val="center"/>
          </w:tcPr>
          <w:p>
            <w:pPr>
              <w:pStyle w:val="TableContents"/>
              <w:spacing w:before="0" w:after="0"/>
              <w:ind w:left="0" w:right="0" w:hanging="0"/>
              <w:jc w:val="left"/>
              <w:rPr/>
            </w:pPr>
            <w:r>
              <w:rPr/>
              <w:t> </w:t>
            </w:r>
          </w:p>
        </w:tc>
      </w:tr>
      <w:tr>
        <w:trPr/>
        <w:tc>
          <w:tcPr>
            <w:tcW w:w="4275" w:type="dxa"/>
            <w:tcBorders/>
            <w:shd w:fill="auto" w:val="clear"/>
            <w:vAlign w:val="center"/>
          </w:tcPr>
          <w:p>
            <w:pPr>
              <w:pStyle w:val="TableContents"/>
              <w:spacing w:before="0" w:after="0"/>
              <w:ind w:left="0" w:right="0" w:hanging="0"/>
              <w:jc w:val="left"/>
              <w:rPr/>
            </w:pPr>
            <w:r>
              <w:rPr/>
              <w:t> </w:t>
            </w:r>
          </w:p>
        </w:tc>
        <w:tc>
          <w:tcPr>
            <w:tcW w:w="1599" w:type="dxa"/>
            <w:gridSpan w:val="3"/>
            <w:tcBorders/>
            <w:shd w:fill="auto" w:val="cle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Attributable to</w:t>
            </w:r>
          </w:p>
        </w:tc>
        <w:tc>
          <w:tcPr>
            <w:tcW w:w="166"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713" w:type="dxa"/>
            <w:gridSpan w:val="3"/>
            <w:tcBorders/>
            <w:shd w:fill="auto" w:val="clear"/>
            <w:vAlign w:val="center"/>
          </w:tcPr>
          <w:p>
            <w:pPr>
              <w:pStyle w:val="TableContents"/>
              <w:spacing w:before="0" w:after="0"/>
              <w:ind w:left="0" w:right="0" w:hanging="0"/>
              <w:jc w:val="center"/>
              <w:rPr/>
            </w:pPr>
            <w:r>
              <w:rPr/>
              <w:t> </w:t>
            </w:r>
          </w:p>
        </w:tc>
        <w:tc>
          <w:tcPr>
            <w:tcW w:w="166"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533" w:type="dxa"/>
            <w:gridSpan w:val="3"/>
            <w:tcBorders/>
            <w:shd w:fill="auto" w:val="clear"/>
            <w:vAlign w:val="center"/>
          </w:tcPr>
          <w:p>
            <w:pPr>
              <w:pStyle w:val="TableContents"/>
              <w:spacing w:before="0" w:after="0"/>
              <w:ind w:left="0" w:right="0" w:hanging="0"/>
              <w:jc w:val="center"/>
              <w:rPr/>
            </w:pPr>
            <w:r>
              <w:rPr/>
              <w:t> </w:t>
            </w:r>
          </w:p>
        </w:tc>
        <w:tc>
          <w:tcPr>
            <w:tcW w:w="166" w:type="dxa"/>
            <w:tcBorders/>
            <w:shd w:fill="auto" w:val="clear"/>
            <w:vAlign w:val="center"/>
          </w:tcPr>
          <w:p>
            <w:pPr>
              <w:pStyle w:val="TableContents"/>
              <w:spacing w:before="0" w:after="0"/>
              <w:ind w:left="0" w:right="0" w:hanging="0"/>
              <w:jc w:val="center"/>
              <w:rPr/>
            </w:pPr>
            <w:r>
              <w:rPr/>
              <w:t> </w:t>
            </w:r>
          </w:p>
        </w:tc>
        <w:tc>
          <w:tcPr>
            <w:tcW w:w="295" w:type="dxa"/>
            <w:tcBorders/>
            <w:shd w:fill="auto" w:val="clear"/>
            <w:vAlign w:val="center"/>
          </w:tcPr>
          <w:p>
            <w:pPr>
              <w:pStyle w:val="TableContents"/>
              <w:spacing w:before="0" w:after="0"/>
              <w:ind w:left="0" w:right="0" w:hanging="0"/>
              <w:jc w:val="left"/>
              <w:rPr/>
            </w:pPr>
            <w:r>
              <w:rPr/>
              <w:t> </w:t>
            </w:r>
          </w:p>
        </w:tc>
      </w:tr>
      <w:tr>
        <w:trPr/>
        <w:tc>
          <w:tcPr>
            <w:tcW w:w="4275" w:type="dxa"/>
            <w:tcBorders/>
            <w:shd w:fill="auto" w:val="clear"/>
            <w:vAlign w:val="center"/>
          </w:tcPr>
          <w:p>
            <w:pPr>
              <w:pStyle w:val="TableContents"/>
              <w:spacing w:before="0" w:after="0"/>
              <w:ind w:left="0" w:right="0" w:hanging="0"/>
              <w:jc w:val="left"/>
              <w:rPr/>
            </w:pPr>
            <w:r>
              <w:rPr/>
              <w:t> </w:t>
            </w:r>
          </w:p>
        </w:tc>
        <w:tc>
          <w:tcPr>
            <w:tcW w:w="1599" w:type="dxa"/>
            <w:gridSpan w:val="3"/>
            <w:tcBorders/>
            <w:shd w:fill="auto" w:val="cle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Non-controlling</w:t>
            </w:r>
          </w:p>
        </w:tc>
        <w:tc>
          <w:tcPr>
            <w:tcW w:w="166"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713" w:type="dxa"/>
            <w:gridSpan w:val="3"/>
            <w:tcBorders/>
            <w:shd w:fill="auto" w:val="clear"/>
            <w:vAlign w:val="center"/>
          </w:tcPr>
          <w:p>
            <w:pPr>
              <w:pStyle w:val="TableContents"/>
              <w:spacing w:before="0" w:after="0"/>
              <w:ind w:left="0" w:right="0" w:hanging="0"/>
              <w:jc w:val="center"/>
              <w:rPr/>
            </w:pPr>
            <w:r>
              <w:rPr/>
              <w:t> </w:t>
            </w:r>
          </w:p>
        </w:tc>
        <w:tc>
          <w:tcPr>
            <w:tcW w:w="166"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317" w:type="dxa"/>
            <w:tcBorders/>
            <w:shd w:fill="auto" w:val="clear"/>
            <w:vAlign w:val="center"/>
          </w:tcPr>
          <w:p>
            <w:pPr>
              <w:pStyle w:val="TableContents"/>
              <w:spacing w:before="0" w:after="0"/>
              <w:ind w:left="0" w:right="0" w:hanging="0"/>
              <w:jc w:val="left"/>
              <w:rPr/>
            </w:pPr>
            <w:r>
              <w:rPr/>
              <w:t> </w:t>
            </w:r>
          </w:p>
        </w:tc>
        <w:tc>
          <w:tcPr>
            <w:tcW w:w="1216" w:type="dxa"/>
            <w:gridSpan w:val="2"/>
            <w:tcBorders/>
            <w:shd w:fill="auto" w:val="clear"/>
            <w:vAlign w:val="center"/>
          </w:tcPr>
          <w:p>
            <w:pPr>
              <w:pStyle w:val="TableContents"/>
              <w:spacing w:before="0" w:after="0"/>
              <w:ind w:left="0" w:right="0" w:hanging="0"/>
              <w:jc w:val="left"/>
              <w:rPr/>
            </w:pPr>
            <w:r>
              <w:rPr/>
              <w:t> </w:t>
            </w:r>
          </w:p>
        </w:tc>
        <w:tc>
          <w:tcPr>
            <w:tcW w:w="166" w:type="dxa"/>
            <w:tcBorders/>
            <w:shd w:fill="auto" w:val="clear"/>
            <w:vAlign w:val="center"/>
          </w:tcPr>
          <w:p>
            <w:pPr>
              <w:pStyle w:val="TableContents"/>
              <w:spacing w:before="0" w:after="0"/>
              <w:ind w:left="0" w:right="0" w:hanging="0"/>
              <w:jc w:val="left"/>
              <w:rPr/>
            </w:pPr>
            <w:r>
              <w:rPr/>
              <w:t> </w:t>
            </w:r>
          </w:p>
        </w:tc>
        <w:tc>
          <w:tcPr>
            <w:tcW w:w="295" w:type="dxa"/>
            <w:tcBorders/>
            <w:shd w:fill="auto" w:val="clear"/>
            <w:vAlign w:val="center"/>
          </w:tcPr>
          <w:p>
            <w:pPr>
              <w:pStyle w:val="TableContents"/>
              <w:spacing w:before="0" w:after="0"/>
              <w:ind w:left="0" w:right="0" w:hanging="0"/>
              <w:jc w:val="left"/>
              <w:rPr/>
            </w:pPr>
            <w:r>
              <w:rPr/>
              <w:t> </w:t>
            </w:r>
          </w:p>
        </w:tc>
      </w:tr>
      <w:tr>
        <w:trPr/>
        <w:tc>
          <w:tcPr>
            <w:tcW w:w="4275" w:type="dxa"/>
            <w:tcBorders/>
            <w:shd w:fill="auto" w:val="clear"/>
            <w:vAlign w:val="center"/>
          </w:tcPr>
          <w:p>
            <w:pPr>
              <w:pStyle w:val="TableContents"/>
              <w:spacing w:before="0" w:after="0"/>
              <w:ind w:left="0" w:right="0" w:hanging="0"/>
              <w:jc w:val="left"/>
              <w:rPr/>
            </w:pPr>
            <w:r>
              <w:rPr/>
              <w:t> </w:t>
            </w:r>
          </w:p>
        </w:tc>
        <w:tc>
          <w:tcPr>
            <w:tcW w:w="1599" w:type="dxa"/>
            <w:gridSpan w:val="3"/>
            <w:tcBorders/>
            <w:shd w:fill="auto" w:val="cle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Interests and</w:t>
            </w:r>
          </w:p>
        </w:tc>
        <w:tc>
          <w:tcPr>
            <w:tcW w:w="166"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713" w:type="dxa"/>
            <w:gridSpan w:val="3"/>
            <w:tcBorders/>
            <w:shd w:fill="auto" w:val="cle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Less: Attributable to</w:t>
            </w:r>
          </w:p>
        </w:tc>
        <w:tc>
          <w:tcPr>
            <w:tcW w:w="166"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533" w:type="dxa"/>
            <w:gridSpan w:val="3"/>
            <w:tcBorders/>
            <w:shd w:fill="auto" w:val="cle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Attributable to</w:t>
            </w:r>
          </w:p>
        </w:tc>
        <w:tc>
          <w:tcPr>
            <w:tcW w:w="166" w:type="dxa"/>
            <w:tcBorders/>
            <w:shd w:fill="auto" w:val="clear"/>
            <w:vAlign w:val="center"/>
          </w:tcPr>
          <w:p>
            <w:pPr>
              <w:pStyle w:val="TableContents"/>
              <w:spacing w:before="0" w:after="0"/>
              <w:ind w:left="0" w:right="0" w:hanging="0"/>
              <w:jc w:val="center"/>
              <w:rPr/>
            </w:pPr>
            <w:r>
              <w:rPr/>
              <w:t> </w:t>
            </w:r>
          </w:p>
        </w:tc>
        <w:tc>
          <w:tcPr>
            <w:tcW w:w="295" w:type="dxa"/>
            <w:tcBorders/>
            <w:shd w:fill="auto" w:val="clear"/>
            <w:vAlign w:val="center"/>
          </w:tcPr>
          <w:p>
            <w:pPr>
              <w:pStyle w:val="TableContents"/>
              <w:spacing w:before="0" w:after="0"/>
              <w:ind w:left="0" w:right="0" w:hanging="0"/>
              <w:jc w:val="left"/>
              <w:rPr/>
            </w:pPr>
            <w:r>
              <w:rPr/>
              <w:t> </w:t>
            </w:r>
          </w:p>
        </w:tc>
      </w:tr>
      <w:tr>
        <w:trPr/>
        <w:tc>
          <w:tcPr>
            <w:tcW w:w="4275" w:type="dxa"/>
            <w:tcBorders/>
            <w:shd w:fill="auto" w:val="clear"/>
            <w:vAlign w:val="center"/>
          </w:tcPr>
          <w:p>
            <w:pPr>
              <w:pStyle w:val="TableContents"/>
              <w:spacing w:before="0" w:after="0"/>
              <w:ind w:left="0" w:right="0" w:hanging="0"/>
              <w:jc w:val="left"/>
              <w:rPr>
                <w:rFonts w:ascii="Times New Roman;serif" w:hAnsi="Times New Roman;serif"/>
                <w:b w:val="false"/>
                <w:i/>
                <w:sz w:val="16"/>
              </w:rPr>
            </w:pPr>
            <w:r>
              <w:rPr>
                <w:rFonts w:ascii="Times New Roman;serif" w:hAnsi="Times New Roman;serif"/>
                <w:b w:val="false"/>
                <w:i/>
                <w:sz w:val="16"/>
              </w:rPr>
              <w:t>(In thousands of U.S. Dollars)</w:t>
            </w:r>
          </w:p>
        </w:tc>
        <w:tc>
          <w:tcPr>
            <w:tcW w:w="1599" w:type="dxa"/>
            <w:gridSpan w:val="3"/>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Common Shareholders</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713" w:type="dxa"/>
            <w:gridSpan w:val="3"/>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Non-controlling Interests</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533" w:type="dxa"/>
            <w:gridSpan w:val="3"/>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Common Shareholders</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295" w:type="dxa"/>
            <w:tcBorders/>
            <w:shd w:fill="auto" w:val="clear"/>
            <w:vAlign w:val="center"/>
          </w:tcPr>
          <w:p>
            <w:pPr>
              <w:pStyle w:val="TableContents"/>
              <w:spacing w:before="0" w:after="0"/>
              <w:ind w:left="0" w:right="0" w:hanging="0"/>
              <w:jc w:val="left"/>
              <w:rPr/>
            </w:pPr>
            <w:r>
              <w:rPr/>
              <w:t> </w:t>
            </w:r>
          </w:p>
        </w:tc>
      </w:tr>
      <w:tr>
        <w:trPr/>
        <w:tc>
          <w:tcPr>
            <w:tcW w:w="4275"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Reported net (loss) income</w:t>
            </w:r>
          </w:p>
        </w:tc>
        <w:tc>
          <w:tcPr>
            <w:tcW w:w="295"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204" w:type="dxa"/>
            <w:tcBorders/>
            <w:shd w:fill="auto" w:val="clear"/>
            <w:vAlign w:val="center"/>
          </w:tcPr>
          <w:p>
            <w:pPr>
              <w:pStyle w:val="TableContents"/>
              <w:spacing w:before="0" w:after="0"/>
              <w:ind w:left="0" w:right="0" w:hanging="0"/>
              <w:jc w:val="left"/>
              <w:rPr/>
            </w:pPr>
            <w:r>
              <w:rPr/>
              <w:t> </w:t>
            </w:r>
          </w:p>
        </w:tc>
        <w:tc>
          <w:tcPr>
            <w:tcW w:w="1100"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(2,804</w:t>
            </w:r>
          </w:p>
        </w:tc>
        <w:tc>
          <w:tcPr>
            <w:tcW w:w="16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shd w:fill="auto" w:val="clear"/>
            <w:vAlign w:val="center"/>
          </w:tcPr>
          <w:p>
            <w:pPr>
              <w:pStyle w:val="TableContents"/>
              <w:spacing w:before="0" w:after="0"/>
              <w:ind w:left="0" w:right="0" w:hanging="0"/>
              <w:jc w:val="left"/>
              <w:rPr/>
            </w:pPr>
            <w:r>
              <w:rPr/>
              <w:t> </w:t>
            </w:r>
          </w:p>
        </w:tc>
        <w:tc>
          <w:tcPr>
            <w:tcW w:w="372"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256" w:type="dxa"/>
            <w:tcBorders/>
            <w:shd w:fill="auto" w:val="clear"/>
            <w:vAlign w:val="center"/>
          </w:tcPr>
          <w:p>
            <w:pPr>
              <w:pStyle w:val="TableContents"/>
              <w:spacing w:before="0" w:after="0"/>
              <w:ind w:left="0" w:right="0" w:hanging="0"/>
              <w:jc w:val="left"/>
              <w:rPr/>
            </w:pPr>
            <w:r>
              <w:rPr/>
              <w:t> </w:t>
            </w:r>
          </w:p>
        </w:tc>
        <w:tc>
          <w:tcPr>
            <w:tcW w:w="1085"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3,933</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317"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215" w:type="dxa"/>
            <w:tcBorders/>
            <w:shd w:fill="auto" w:val="clear"/>
            <w:vAlign w:val="center"/>
          </w:tcPr>
          <w:p>
            <w:pPr>
              <w:pStyle w:val="TableContents"/>
              <w:spacing w:before="0" w:after="0"/>
              <w:ind w:left="0" w:right="0" w:hanging="0"/>
              <w:jc w:val="left"/>
              <w:rPr/>
            </w:pPr>
            <w:r>
              <w:rPr/>
              <w:t> </w:t>
            </w:r>
          </w:p>
        </w:tc>
        <w:tc>
          <w:tcPr>
            <w:tcW w:w="100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(6,737</w:t>
            </w:r>
          </w:p>
        </w:tc>
        <w:tc>
          <w:tcPr>
            <w:tcW w:w="16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295" w:type="dxa"/>
            <w:tcBorders/>
            <w:shd w:fill="auto" w:val="clear"/>
            <w:vAlign w:val="center"/>
          </w:tcPr>
          <w:p>
            <w:pPr>
              <w:pStyle w:val="TableContents"/>
              <w:spacing w:before="0" w:after="0"/>
              <w:ind w:left="0" w:right="0" w:hanging="0"/>
              <w:jc w:val="left"/>
              <w:rPr/>
            </w:pPr>
            <w:r>
              <w:rPr/>
              <w:t> </w:t>
            </w:r>
          </w:p>
        </w:tc>
      </w:tr>
      <w:tr>
        <w:trPr/>
        <w:tc>
          <w:tcPr>
            <w:tcW w:w="4275"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Add (subtract):</w:t>
            </w:r>
          </w:p>
        </w:tc>
        <w:tc>
          <w:tcPr>
            <w:tcW w:w="295" w:type="dxa"/>
            <w:tcBorders/>
            <w:shd w:fill="auto" w:val="clear"/>
            <w:vAlign w:val="center"/>
          </w:tcPr>
          <w:p>
            <w:pPr>
              <w:pStyle w:val="TableContents"/>
              <w:spacing w:before="0" w:after="0"/>
              <w:ind w:left="0" w:right="0" w:hanging="0"/>
              <w:jc w:val="left"/>
              <w:rPr/>
            </w:pPr>
            <w:r>
              <w:rPr/>
              <w:t> </w:t>
            </w:r>
          </w:p>
        </w:tc>
        <w:tc>
          <w:tcPr>
            <w:tcW w:w="1304" w:type="dxa"/>
            <w:gridSpan w:val="2"/>
            <w:tcBorders/>
            <w:shd w:fill="auto" w:val="clear"/>
            <w:vAlign w:val="center"/>
          </w:tcPr>
          <w:p>
            <w:pPr>
              <w:pStyle w:val="TableContents"/>
              <w:spacing w:before="0" w:after="0"/>
              <w:ind w:left="0" w:right="0" w:hanging="0"/>
              <w:jc w:val="left"/>
              <w:rPr/>
            </w:pPr>
            <w:r>
              <w:rPr/>
              <w:t> </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372" w:type="dxa"/>
            <w:tcBorders/>
            <w:shd w:fill="auto" w:val="clear"/>
            <w:vAlign w:val="center"/>
          </w:tcPr>
          <w:p>
            <w:pPr>
              <w:pStyle w:val="TableContents"/>
              <w:spacing w:before="0" w:after="0"/>
              <w:ind w:left="0" w:right="0" w:hanging="0"/>
              <w:jc w:val="left"/>
              <w:rPr/>
            </w:pPr>
            <w:r>
              <w:rPr/>
              <w:t> </w:t>
            </w:r>
          </w:p>
        </w:tc>
        <w:tc>
          <w:tcPr>
            <w:tcW w:w="1341" w:type="dxa"/>
            <w:gridSpan w:val="2"/>
            <w:tcBorders/>
            <w:shd w:fill="auto" w:val="clear"/>
            <w:vAlign w:val="center"/>
          </w:tcPr>
          <w:p>
            <w:pPr>
              <w:pStyle w:val="TableContents"/>
              <w:spacing w:before="0" w:after="0"/>
              <w:ind w:left="0" w:right="0" w:hanging="0"/>
              <w:jc w:val="left"/>
              <w:rPr/>
            </w:pPr>
            <w:r>
              <w:rPr/>
              <w:t> </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317" w:type="dxa"/>
            <w:tcBorders/>
            <w:shd w:fill="auto" w:val="clear"/>
            <w:vAlign w:val="center"/>
          </w:tcPr>
          <w:p>
            <w:pPr>
              <w:pStyle w:val="TableContents"/>
              <w:spacing w:before="0" w:after="0"/>
              <w:ind w:left="0" w:right="0" w:hanging="0"/>
              <w:jc w:val="left"/>
              <w:rPr/>
            </w:pPr>
            <w:r>
              <w:rPr/>
              <w:t> </w:t>
            </w:r>
          </w:p>
        </w:tc>
        <w:tc>
          <w:tcPr>
            <w:tcW w:w="1216" w:type="dxa"/>
            <w:gridSpan w:val="2"/>
            <w:tcBorders/>
            <w:shd w:fill="auto" w:val="clear"/>
            <w:vAlign w:val="center"/>
          </w:tcPr>
          <w:p>
            <w:pPr>
              <w:pStyle w:val="TableContents"/>
              <w:spacing w:before="0" w:after="0"/>
              <w:ind w:left="0" w:right="0" w:hanging="0"/>
              <w:jc w:val="left"/>
              <w:rPr/>
            </w:pPr>
            <w:r>
              <w:rPr/>
              <w:t> </w:t>
            </w:r>
          </w:p>
        </w:tc>
        <w:tc>
          <w:tcPr>
            <w:tcW w:w="166" w:type="dxa"/>
            <w:tcBorders/>
            <w:shd w:fill="auto" w:val="clear"/>
            <w:vAlign w:val="center"/>
          </w:tcPr>
          <w:p>
            <w:pPr>
              <w:pStyle w:val="TableContents"/>
              <w:spacing w:before="0" w:after="0"/>
              <w:ind w:left="0" w:right="0" w:hanging="0"/>
              <w:jc w:val="left"/>
              <w:rPr/>
            </w:pPr>
            <w:r>
              <w:rPr/>
              <w:t> </w:t>
            </w:r>
          </w:p>
        </w:tc>
        <w:tc>
          <w:tcPr>
            <w:tcW w:w="295" w:type="dxa"/>
            <w:tcBorders/>
            <w:shd w:fill="auto" w:val="clear"/>
            <w:vAlign w:val="center"/>
          </w:tcPr>
          <w:p>
            <w:pPr>
              <w:pStyle w:val="TableContents"/>
              <w:spacing w:before="0" w:after="0"/>
              <w:ind w:left="0" w:right="0" w:firstLine="100"/>
              <w:jc w:val="left"/>
              <w:rPr/>
            </w:pPr>
            <w:r>
              <w:rPr/>
              <w:t> </w:t>
            </w:r>
          </w:p>
        </w:tc>
      </w:tr>
      <w:tr>
        <w:trPr/>
        <w:tc>
          <w:tcPr>
            <w:tcW w:w="4275" w:type="dxa"/>
            <w:tcBorders/>
            <w:shd w:fill="auto" w:val="clear"/>
            <w:vAlign w:val="center"/>
          </w:tcPr>
          <w:p>
            <w:pPr>
              <w:pStyle w:val="TableContents"/>
              <w:spacing w:before="0" w:after="0"/>
              <w:ind w:left="100" w:right="0" w:hanging="0"/>
              <w:jc w:val="left"/>
              <w:rPr>
                <w:rFonts w:ascii="Times New Roman;serif" w:hAnsi="Times New Roman;serif"/>
                <w:b w:val="false"/>
                <w:sz w:val="20"/>
              </w:rPr>
            </w:pPr>
            <w:r>
              <w:rPr>
                <w:rFonts w:ascii="Times New Roman;serif" w:hAnsi="Times New Roman;serif"/>
                <w:b w:val="false"/>
                <w:sz w:val="20"/>
              </w:rPr>
              <w:t>Income tax expense</w:t>
            </w:r>
          </w:p>
        </w:tc>
        <w:tc>
          <w:tcPr>
            <w:tcW w:w="295" w:type="dxa"/>
            <w:tcBorders/>
            <w:shd w:fill="auto" w:val="clear"/>
            <w:vAlign w:val="center"/>
          </w:tcPr>
          <w:p>
            <w:pPr>
              <w:pStyle w:val="TableContents"/>
              <w:spacing w:before="0" w:after="0"/>
              <w:ind w:left="0" w:right="0" w:hanging="0"/>
              <w:jc w:val="left"/>
              <w:rPr/>
            </w:pPr>
            <w:r>
              <w:rPr/>
              <w:t> </w:t>
            </w:r>
          </w:p>
        </w:tc>
        <w:tc>
          <w:tcPr>
            <w:tcW w:w="204" w:type="dxa"/>
            <w:tcBorders/>
            <w:shd w:fill="auto" w:val="clear"/>
            <w:vAlign w:val="center"/>
          </w:tcPr>
          <w:p>
            <w:pPr>
              <w:pStyle w:val="TableContents"/>
              <w:spacing w:before="0" w:after="0"/>
              <w:ind w:left="0" w:right="0" w:hanging="0"/>
              <w:jc w:val="left"/>
              <w:rPr/>
            </w:pPr>
            <w:r>
              <w:rPr/>
              <w:t> </w:t>
            </w:r>
          </w:p>
        </w:tc>
        <w:tc>
          <w:tcPr>
            <w:tcW w:w="1100"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12,382</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372" w:type="dxa"/>
            <w:tcBorders/>
            <w:shd w:fill="auto" w:val="clear"/>
            <w:vAlign w:val="center"/>
          </w:tcPr>
          <w:p>
            <w:pPr>
              <w:pStyle w:val="TableContents"/>
              <w:spacing w:before="0" w:after="0"/>
              <w:ind w:left="0" w:right="0" w:hanging="0"/>
              <w:jc w:val="left"/>
              <w:rPr/>
            </w:pPr>
            <w:r>
              <w:rPr/>
              <w:t> </w:t>
            </w:r>
          </w:p>
        </w:tc>
        <w:tc>
          <w:tcPr>
            <w:tcW w:w="256" w:type="dxa"/>
            <w:tcBorders/>
            <w:shd w:fill="auto" w:val="clear"/>
            <w:vAlign w:val="center"/>
          </w:tcPr>
          <w:p>
            <w:pPr>
              <w:pStyle w:val="TableContents"/>
              <w:spacing w:before="0" w:after="0"/>
              <w:ind w:left="0" w:right="0" w:hanging="0"/>
              <w:jc w:val="left"/>
              <w:rPr/>
            </w:pPr>
            <w:r>
              <w:rPr/>
              <w:t> </w:t>
            </w:r>
          </w:p>
        </w:tc>
        <w:tc>
          <w:tcPr>
            <w:tcW w:w="1085"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1,562</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317" w:type="dxa"/>
            <w:tcBorders/>
            <w:shd w:fill="auto" w:val="clear"/>
            <w:vAlign w:val="center"/>
          </w:tcPr>
          <w:p>
            <w:pPr>
              <w:pStyle w:val="TableContents"/>
              <w:spacing w:before="0" w:after="0"/>
              <w:ind w:left="0" w:right="0" w:hanging="0"/>
              <w:jc w:val="left"/>
              <w:rPr/>
            </w:pPr>
            <w:r>
              <w:rPr/>
              <w:t> </w:t>
            </w:r>
          </w:p>
        </w:tc>
        <w:tc>
          <w:tcPr>
            <w:tcW w:w="215" w:type="dxa"/>
            <w:tcBorders/>
            <w:shd w:fill="auto" w:val="clear"/>
            <w:vAlign w:val="center"/>
          </w:tcPr>
          <w:p>
            <w:pPr>
              <w:pStyle w:val="TableContents"/>
              <w:spacing w:before="0" w:after="0"/>
              <w:ind w:left="0" w:right="0" w:hanging="0"/>
              <w:jc w:val="left"/>
              <w:rPr/>
            </w:pPr>
            <w:r>
              <w:rPr/>
              <w:t> </w:t>
            </w:r>
          </w:p>
        </w:tc>
        <w:tc>
          <w:tcPr>
            <w:tcW w:w="100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10,820</w:t>
            </w:r>
          </w:p>
        </w:tc>
        <w:tc>
          <w:tcPr>
            <w:tcW w:w="166" w:type="dxa"/>
            <w:tcBorders/>
            <w:shd w:fill="auto" w:val="clear"/>
            <w:vAlign w:val="center"/>
          </w:tcPr>
          <w:p>
            <w:pPr>
              <w:pStyle w:val="TableContents"/>
              <w:spacing w:before="0" w:after="0"/>
              <w:ind w:left="0" w:right="0" w:hanging="0"/>
              <w:jc w:val="left"/>
              <w:rPr/>
            </w:pPr>
            <w:r>
              <w:rPr/>
              <w:t> </w:t>
            </w:r>
          </w:p>
        </w:tc>
        <w:tc>
          <w:tcPr>
            <w:tcW w:w="295" w:type="dxa"/>
            <w:tcBorders/>
            <w:shd w:fill="auto" w:val="clear"/>
            <w:vAlign w:val="center"/>
          </w:tcPr>
          <w:p>
            <w:pPr>
              <w:pStyle w:val="TableContents"/>
              <w:spacing w:before="0" w:after="0"/>
              <w:ind w:left="0" w:right="0" w:firstLine="100"/>
              <w:jc w:val="left"/>
              <w:rPr/>
            </w:pPr>
            <w:r>
              <w:rPr/>
              <w:t> </w:t>
            </w:r>
          </w:p>
        </w:tc>
      </w:tr>
      <w:tr>
        <w:trPr/>
        <w:tc>
          <w:tcPr>
            <w:tcW w:w="4275" w:type="dxa"/>
            <w:tcBorders/>
            <w:shd w:fill="auto" w:val="clear"/>
            <w:vAlign w:val="center"/>
          </w:tcPr>
          <w:p>
            <w:pPr>
              <w:pStyle w:val="TableContents"/>
              <w:spacing w:before="0" w:after="0"/>
              <w:ind w:left="100" w:right="0" w:hanging="0"/>
              <w:jc w:val="left"/>
              <w:rPr>
                <w:rFonts w:ascii="Times New Roman;serif" w:hAnsi="Times New Roman;serif"/>
                <w:b w:val="false"/>
                <w:sz w:val="20"/>
              </w:rPr>
            </w:pPr>
            <w:r>
              <w:rPr>
                <w:rFonts w:ascii="Times New Roman;serif" w:hAnsi="Times New Roman;serif"/>
                <w:b w:val="false"/>
                <w:sz w:val="20"/>
              </w:rPr>
              <w:t>Interest expense, net of interest income</w:t>
            </w:r>
          </w:p>
        </w:tc>
        <w:tc>
          <w:tcPr>
            <w:tcW w:w="295" w:type="dxa"/>
            <w:tcBorders/>
            <w:shd w:fill="auto" w:val="clear"/>
            <w:vAlign w:val="center"/>
          </w:tcPr>
          <w:p>
            <w:pPr>
              <w:pStyle w:val="TableContents"/>
              <w:spacing w:before="0" w:after="0"/>
              <w:ind w:left="0" w:right="0" w:hanging="0"/>
              <w:jc w:val="left"/>
              <w:rPr/>
            </w:pPr>
            <w:r>
              <w:rPr/>
              <w:t> </w:t>
            </w:r>
          </w:p>
        </w:tc>
        <w:tc>
          <w:tcPr>
            <w:tcW w:w="204" w:type="dxa"/>
            <w:tcBorders/>
            <w:shd w:fill="auto" w:val="clear"/>
            <w:vAlign w:val="center"/>
          </w:tcPr>
          <w:p>
            <w:pPr>
              <w:pStyle w:val="TableContents"/>
              <w:spacing w:before="0" w:after="0"/>
              <w:ind w:left="0" w:right="0" w:hanging="0"/>
              <w:jc w:val="left"/>
              <w:rPr/>
            </w:pPr>
            <w:r>
              <w:rPr/>
              <w:t> </w:t>
            </w:r>
          </w:p>
        </w:tc>
        <w:tc>
          <w:tcPr>
            <w:tcW w:w="1100"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1,827</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372" w:type="dxa"/>
            <w:tcBorders/>
            <w:shd w:fill="auto" w:val="clear"/>
            <w:vAlign w:val="center"/>
          </w:tcPr>
          <w:p>
            <w:pPr>
              <w:pStyle w:val="TableContents"/>
              <w:spacing w:before="0" w:after="0"/>
              <w:ind w:left="0" w:right="0" w:hanging="0"/>
              <w:jc w:val="left"/>
              <w:rPr/>
            </w:pPr>
            <w:r>
              <w:rPr/>
              <w:t> </w:t>
            </w:r>
          </w:p>
        </w:tc>
        <w:tc>
          <w:tcPr>
            <w:tcW w:w="256" w:type="dxa"/>
            <w:tcBorders/>
            <w:shd w:fill="auto" w:val="clear"/>
            <w:vAlign w:val="center"/>
          </w:tcPr>
          <w:p>
            <w:pPr>
              <w:pStyle w:val="TableContents"/>
              <w:spacing w:before="0" w:after="0"/>
              <w:ind w:left="0" w:right="0" w:hanging="0"/>
              <w:jc w:val="left"/>
              <w:rPr/>
            </w:pPr>
            <w:r>
              <w:rPr/>
              <w:t> </w:t>
            </w:r>
          </w:p>
        </w:tc>
        <w:tc>
          <w:tcPr>
            <w:tcW w:w="1085"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(156</w:t>
            </w:r>
          </w:p>
        </w:tc>
        <w:tc>
          <w:tcPr>
            <w:tcW w:w="16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shd w:fill="auto" w:val="clear"/>
            <w:vAlign w:val="center"/>
          </w:tcPr>
          <w:p>
            <w:pPr>
              <w:pStyle w:val="TableContents"/>
              <w:spacing w:before="0" w:after="0"/>
              <w:ind w:left="0" w:right="0" w:hanging="0"/>
              <w:jc w:val="left"/>
              <w:rPr/>
            </w:pPr>
            <w:r>
              <w:rPr/>
              <w:t> </w:t>
            </w:r>
          </w:p>
        </w:tc>
        <w:tc>
          <w:tcPr>
            <w:tcW w:w="317" w:type="dxa"/>
            <w:tcBorders/>
            <w:shd w:fill="auto" w:val="clear"/>
            <w:vAlign w:val="center"/>
          </w:tcPr>
          <w:p>
            <w:pPr>
              <w:pStyle w:val="TableContents"/>
              <w:spacing w:before="0" w:after="0"/>
              <w:ind w:left="0" w:right="0" w:hanging="0"/>
              <w:jc w:val="left"/>
              <w:rPr/>
            </w:pPr>
            <w:r>
              <w:rPr/>
              <w:t> </w:t>
            </w:r>
          </w:p>
        </w:tc>
        <w:tc>
          <w:tcPr>
            <w:tcW w:w="215" w:type="dxa"/>
            <w:tcBorders/>
            <w:shd w:fill="auto" w:val="clear"/>
            <w:vAlign w:val="center"/>
          </w:tcPr>
          <w:p>
            <w:pPr>
              <w:pStyle w:val="TableContents"/>
              <w:spacing w:before="0" w:after="0"/>
              <w:ind w:left="0" w:right="0" w:hanging="0"/>
              <w:jc w:val="left"/>
              <w:rPr/>
            </w:pPr>
            <w:r>
              <w:rPr/>
              <w:t> </w:t>
            </w:r>
          </w:p>
        </w:tc>
        <w:tc>
          <w:tcPr>
            <w:tcW w:w="100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1,983</w:t>
            </w:r>
          </w:p>
        </w:tc>
        <w:tc>
          <w:tcPr>
            <w:tcW w:w="166" w:type="dxa"/>
            <w:tcBorders/>
            <w:shd w:fill="auto" w:val="clear"/>
            <w:vAlign w:val="center"/>
          </w:tcPr>
          <w:p>
            <w:pPr>
              <w:pStyle w:val="TableContents"/>
              <w:spacing w:before="0" w:after="0"/>
              <w:ind w:left="0" w:right="0" w:hanging="0"/>
              <w:jc w:val="left"/>
              <w:rPr/>
            </w:pPr>
            <w:r>
              <w:rPr/>
              <w:t> </w:t>
            </w:r>
          </w:p>
        </w:tc>
        <w:tc>
          <w:tcPr>
            <w:tcW w:w="295" w:type="dxa"/>
            <w:tcBorders/>
            <w:shd w:fill="auto" w:val="clear"/>
            <w:vAlign w:val="center"/>
          </w:tcPr>
          <w:p>
            <w:pPr>
              <w:pStyle w:val="TableContents"/>
              <w:spacing w:before="0" w:after="0"/>
              <w:ind w:left="0" w:right="0" w:firstLine="100"/>
              <w:jc w:val="left"/>
              <w:rPr/>
            </w:pPr>
            <w:r>
              <w:rPr/>
              <w:t> </w:t>
            </w:r>
          </w:p>
        </w:tc>
      </w:tr>
      <w:tr>
        <w:trPr/>
        <w:tc>
          <w:tcPr>
            <w:tcW w:w="4275" w:type="dxa"/>
            <w:tcBorders/>
            <w:shd w:fill="auto" w:val="clear"/>
            <w:vAlign w:val="center"/>
          </w:tcPr>
          <w:p>
            <w:pPr>
              <w:pStyle w:val="TableContents"/>
              <w:spacing w:before="0" w:after="0"/>
              <w:ind w:left="100" w:right="0" w:hanging="0"/>
              <w:jc w:val="left"/>
              <w:rPr>
                <w:rFonts w:ascii="Times New Roman;serif" w:hAnsi="Times New Roman;serif"/>
                <w:b w:val="false"/>
                <w:sz w:val="20"/>
              </w:rPr>
            </w:pPr>
            <w:r>
              <w:rPr>
                <w:rFonts w:ascii="Times New Roman;serif" w:hAnsi="Times New Roman;serif"/>
                <w:b w:val="false"/>
                <w:sz w:val="20"/>
              </w:rPr>
              <w:t>Depreciation and amortization, including film asset amortization</w:t>
            </w:r>
          </w:p>
        </w:tc>
        <w:tc>
          <w:tcPr>
            <w:tcW w:w="295" w:type="dxa"/>
            <w:tcBorders/>
            <w:shd w:fill="auto" w:val="clear"/>
            <w:vAlign w:val="center"/>
          </w:tcPr>
          <w:p>
            <w:pPr>
              <w:pStyle w:val="TableContents"/>
              <w:spacing w:before="0" w:after="0"/>
              <w:ind w:left="0" w:right="0" w:hanging="0"/>
              <w:jc w:val="left"/>
              <w:rPr/>
            </w:pPr>
            <w:r>
              <w:rPr/>
              <w:t> </w:t>
            </w:r>
          </w:p>
        </w:tc>
        <w:tc>
          <w:tcPr>
            <w:tcW w:w="204" w:type="dxa"/>
            <w:tcBorders/>
            <w:shd w:fill="auto" w:val="clear"/>
            <w:vAlign w:val="center"/>
          </w:tcPr>
          <w:p>
            <w:pPr>
              <w:pStyle w:val="TableContents"/>
              <w:spacing w:before="0" w:after="0"/>
              <w:ind w:left="0" w:right="0" w:hanging="0"/>
              <w:jc w:val="left"/>
              <w:rPr/>
            </w:pPr>
            <w:r>
              <w:rPr/>
              <w:t> </w:t>
            </w:r>
          </w:p>
        </w:tc>
        <w:tc>
          <w:tcPr>
            <w:tcW w:w="1100"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57,240</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372" w:type="dxa"/>
            <w:tcBorders/>
            <w:shd w:fill="auto" w:val="clear"/>
            <w:vAlign w:val="center"/>
          </w:tcPr>
          <w:p>
            <w:pPr>
              <w:pStyle w:val="TableContents"/>
              <w:spacing w:before="0" w:after="0"/>
              <w:ind w:left="0" w:right="0" w:hanging="0"/>
              <w:jc w:val="left"/>
              <w:rPr/>
            </w:pPr>
            <w:r>
              <w:rPr/>
              <w:t> </w:t>
            </w:r>
          </w:p>
        </w:tc>
        <w:tc>
          <w:tcPr>
            <w:tcW w:w="256" w:type="dxa"/>
            <w:tcBorders/>
            <w:shd w:fill="auto" w:val="clear"/>
            <w:vAlign w:val="center"/>
          </w:tcPr>
          <w:p>
            <w:pPr>
              <w:pStyle w:val="TableContents"/>
              <w:spacing w:before="0" w:after="0"/>
              <w:ind w:left="0" w:right="0" w:hanging="0"/>
              <w:jc w:val="left"/>
              <w:rPr/>
            </w:pPr>
            <w:r>
              <w:rPr/>
              <w:t> </w:t>
            </w:r>
          </w:p>
        </w:tc>
        <w:tc>
          <w:tcPr>
            <w:tcW w:w="1085"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4,820</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317" w:type="dxa"/>
            <w:tcBorders/>
            <w:shd w:fill="auto" w:val="clear"/>
            <w:vAlign w:val="center"/>
          </w:tcPr>
          <w:p>
            <w:pPr>
              <w:pStyle w:val="TableContents"/>
              <w:spacing w:before="0" w:after="0"/>
              <w:ind w:left="0" w:right="0" w:hanging="0"/>
              <w:jc w:val="left"/>
              <w:rPr/>
            </w:pPr>
            <w:r>
              <w:rPr/>
              <w:t> </w:t>
            </w:r>
          </w:p>
        </w:tc>
        <w:tc>
          <w:tcPr>
            <w:tcW w:w="215" w:type="dxa"/>
            <w:tcBorders/>
            <w:shd w:fill="auto" w:val="clear"/>
            <w:vAlign w:val="center"/>
          </w:tcPr>
          <w:p>
            <w:pPr>
              <w:pStyle w:val="TableContents"/>
              <w:spacing w:before="0" w:after="0"/>
              <w:ind w:left="0" w:right="0" w:hanging="0"/>
              <w:jc w:val="left"/>
              <w:rPr/>
            </w:pPr>
            <w:r>
              <w:rPr/>
              <w:t> </w:t>
            </w:r>
          </w:p>
        </w:tc>
        <w:tc>
          <w:tcPr>
            <w:tcW w:w="100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52,420</w:t>
            </w:r>
          </w:p>
        </w:tc>
        <w:tc>
          <w:tcPr>
            <w:tcW w:w="166" w:type="dxa"/>
            <w:tcBorders/>
            <w:shd w:fill="auto" w:val="clear"/>
            <w:vAlign w:val="center"/>
          </w:tcPr>
          <w:p>
            <w:pPr>
              <w:pStyle w:val="TableContents"/>
              <w:spacing w:before="0" w:after="0"/>
              <w:ind w:left="0" w:right="0" w:hanging="0"/>
              <w:jc w:val="left"/>
              <w:rPr/>
            </w:pPr>
            <w:r>
              <w:rPr/>
              <w:t> </w:t>
            </w:r>
          </w:p>
        </w:tc>
        <w:tc>
          <w:tcPr>
            <w:tcW w:w="295" w:type="dxa"/>
            <w:tcBorders/>
            <w:shd w:fill="auto" w:val="clear"/>
            <w:vAlign w:val="center"/>
          </w:tcPr>
          <w:p>
            <w:pPr>
              <w:pStyle w:val="TableContents"/>
              <w:spacing w:before="0" w:after="0"/>
              <w:ind w:left="0" w:right="0" w:firstLine="100"/>
              <w:jc w:val="left"/>
              <w:rPr/>
            </w:pPr>
            <w:r>
              <w:rPr/>
              <w:t> </w:t>
            </w:r>
          </w:p>
        </w:tc>
      </w:tr>
      <w:tr>
        <w:trPr/>
        <w:tc>
          <w:tcPr>
            <w:tcW w:w="4275" w:type="dxa"/>
            <w:tcBorders/>
            <w:shd w:fill="auto" w:val="clear"/>
            <w:vAlign w:val="center"/>
          </w:tcPr>
          <w:p>
            <w:pPr>
              <w:pStyle w:val="TableContents"/>
              <w:spacing w:before="0" w:after="0"/>
              <w:ind w:left="100" w:right="0" w:hanging="0"/>
              <w:jc w:val="left"/>
              <w:rPr>
                <w:rFonts w:ascii="Times New Roman" w:hAnsi="Times New Roman"/>
                <w:sz w:val="20"/>
              </w:rPr>
            </w:pPr>
            <w:r>
              <w:rPr>
                <w:rFonts w:ascii="Times New Roman;serif" w:hAnsi="Times New Roman;serif"/>
                <w:b w:val="false"/>
                <w:sz w:val="20"/>
              </w:rPr>
              <w:t>Amortization of deferred financing costs</w:t>
            </w:r>
            <w:r>
              <w:rPr>
                <w:rFonts w:ascii="Times New Roman;serif" w:hAnsi="Times New Roman;serif"/>
                <w:b w:val="false"/>
                <w:sz w:val="13"/>
              </w:rPr>
              <w:t>(1)</w:t>
            </w:r>
          </w:p>
        </w:tc>
        <w:tc>
          <w:tcPr>
            <w:tcW w:w="295"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204"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100"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2,779</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372"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25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085"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pPr>
            <w:r>
              <w:rPr/>
              <w:t>—</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317"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215"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00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2,779</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295" w:type="dxa"/>
            <w:tcBorders/>
            <w:shd w:fill="auto" w:val="clear"/>
            <w:vAlign w:val="center"/>
          </w:tcPr>
          <w:p>
            <w:pPr>
              <w:pStyle w:val="TableContents"/>
              <w:spacing w:before="0" w:after="0"/>
              <w:ind w:left="0" w:right="0" w:firstLine="100"/>
              <w:jc w:val="left"/>
              <w:rPr/>
            </w:pPr>
            <w:r>
              <w:rPr/>
              <w:t> </w:t>
            </w:r>
          </w:p>
        </w:tc>
      </w:tr>
      <w:tr>
        <w:trPr/>
        <w:tc>
          <w:tcPr>
            <w:tcW w:w="4275" w:type="dxa"/>
            <w:tcBorders/>
            <w:shd w:fill="auto" w:val="clear"/>
            <w:vAlign w:val="center"/>
          </w:tcPr>
          <w:p>
            <w:pPr>
              <w:pStyle w:val="TableContents"/>
              <w:spacing w:before="0" w:after="0"/>
              <w:ind w:left="100" w:right="0" w:hanging="0"/>
              <w:jc w:val="left"/>
              <w:rPr>
                <w:rFonts w:ascii="Times New Roman;serif" w:hAnsi="Times New Roman;serif"/>
                <w:b w:val="false"/>
                <w:sz w:val="20"/>
              </w:rPr>
            </w:pPr>
            <w:r>
              <w:rPr>
                <w:rFonts w:ascii="Times New Roman;serif" w:hAnsi="Times New Roman;serif"/>
                <w:b w:val="false"/>
                <w:sz w:val="20"/>
              </w:rPr>
              <w:t>EBITDA</w:t>
            </w:r>
          </w:p>
        </w:tc>
        <w:tc>
          <w:tcPr>
            <w:tcW w:w="295" w:type="dxa"/>
            <w:tcBorders/>
            <w:shd w:fill="auto" w:val="clear"/>
            <w:vAlign w:val="center"/>
          </w:tcPr>
          <w:p>
            <w:pPr>
              <w:pStyle w:val="TableContents"/>
              <w:spacing w:before="0" w:after="0"/>
              <w:ind w:left="0" w:right="0" w:hanging="0"/>
              <w:jc w:val="left"/>
              <w:rPr/>
            </w:pPr>
            <w:r>
              <w:rPr/>
              <w:t> </w:t>
            </w:r>
          </w:p>
        </w:tc>
        <w:tc>
          <w:tcPr>
            <w:tcW w:w="204" w:type="dxa"/>
            <w:tcBorders/>
            <w:shd w:fill="auto" w:val="clear"/>
            <w:vAlign w:val="center"/>
          </w:tcPr>
          <w:p>
            <w:pPr>
              <w:pStyle w:val="TableContents"/>
              <w:spacing w:before="0" w:after="0"/>
              <w:ind w:left="0" w:right="0" w:hanging="0"/>
              <w:jc w:val="left"/>
              <w:rPr/>
            </w:pPr>
            <w:r>
              <w:rPr/>
              <w:t> </w:t>
            </w:r>
          </w:p>
        </w:tc>
        <w:tc>
          <w:tcPr>
            <w:tcW w:w="1100"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71,424</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372" w:type="dxa"/>
            <w:tcBorders/>
            <w:shd w:fill="auto" w:val="clear"/>
            <w:vAlign w:val="center"/>
          </w:tcPr>
          <w:p>
            <w:pPr>
              <w:pStyle w:val="TableContents"/>
              <w:spacing w:before="0" w:after="0"/>
              <w:ind w:left="0" w:right="0" w:hanging="0"/>
              <w:jc w:val="left"/>
              <w:rPr/>
            </w:pPr>
            <w:r>
              <w:rPr/>
              <w:t> </w:t>
            </w:r>
          </w:p>
        </w:tc>
        <w:tc>
          <w:tcPr>
            <w:tcW w:w="256" w:type="dxa"/>
            <w:tcBorders/>
            <w:shd w:fill="auto" w:val="clear"/>
            <w:vAlign w:val="center"/>
          </w:tcPr>
          <w:p>
            <w:pPr>
              <w:pStyle w:val="TableContents"/>
              <w:spacing w:before="0" w:after="0"/>
              <w:ind w:left="0" w:right="0" w:hanging="0"/>
              <w:jc w:val="left"/>
              <w:rPr/>
            </w:pPr>
            <w:r>
              <w:rPr/>
              <w:t> </w:t>
            </w:r>
          </w:p>
        </w:tc>
        <w:tc>
          <w:tcPr>
            <w:tcW w:w="1085"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10,159</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317" w:type="dxa"/>
            <w:tcBorders/>
            <w:shd w:fill="auto" w:val="clear"/>
            <w:vAlign w:val="center"/>
          </w:tcPr>
          <w:p>
            <w:pPr>
              <w:pStyle w:val="TableContents"/>
              <w:spacing w:before="0" w:after="0"/>
              <w:ind w:left="0" w:right="0" w:hanging="0"/>
              <w:jc w:val="left"/>
              <w:rPr/>
            </w:pPr>
            <w:r>
              <w:rPr/>
              <w:t> </w:t>
            </w:r>
          </w:p>
        </w:tc>
        <w:tc>
          <w:tcPr>
            <w:tcW w:w="215" w:type="dxa"/>
            <w:tcBorders/>
            <w:shd w:fill="auto" w:val="clear"/>
            <w:vAlign w:val="center"/>
          </w:tcPr>
          <w:p>
            <w:pPr>
              <w:pStyle w:val="TableContents"/>
              <w:spacing w:before="0" w:after="0"/>
              <w:ind w:left="0" w:right="0" w:hanging="0"/>
              <w:jc w:val="left"/>
              <w:rPr/>
            </w:pPr>
            <w:r>
              <w:rPr/>
              <w:t> </w:t>
            </w:r>
          </w:p>
        </w:tc>
        <w:tc>
          <w:tcPr>
            <w:tcW w:w="100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61,265</w:t>
            </w:r>
          </w:p>
        </w:tc>
        <w:tc>
          <w:tcPr>
            <w:tcW w:w="166" w:type="dxa"/>
            <w:tcBorders/>
            <w:shd w:fill="auto" w:val="clear"/>
            <w:vAlign w:val="center"/>
          </w:tcPr>
          <w:p>
            <w:pPr>
              <w:pStyle w:val="TableContents"/>
              <w:spacing w:before="0" w:after="0"/>
              <w:ind w:left="0" w:right="0" w:hanging="0"/>
              <w:jc w:val="left"/>
              <w:rPr/>
            </w:pPr>
            <w:r>
              <w:rPr/>
              <w:t> </w:t>
            </w:r>
          </w:p>
        </w:tc>
        <w:tc>
          <w:tcPr>
            <w:tcW w:w="295" w:type="dxa"/>
            <w:tcBorders/>
            <w:shd w:fill="auto" w:val="clear"/>
            <w:vAlign w:val="center"/>
          </w:tcPr>
          <w:p>
            <w:pPr>
              <w:pStyle w:val="TableContents"/>
              <w:spacing w:before="0" w:after="0"/>
              <w:ind w:left="0" w:right="0" w:firstLine="100"/>
              <w:jc w:val="left"/>
              <w:rPr/>
            </w:pPr>
            <w:r>
              <w:rPr/>
              <w:t> </w:t>
            </w:r>
          </w:p>
        </w:tc>
      </w:tr>
      <w:tr>
        <w:trPr/>
        <w:tc>
          <w:tcPr>
            <w:tcW w:w="4275" w:type="dxa"/>
            <w:tcBorders/>
            <w:shd w:fill="auto" w:val="clear"/>
            <w:vAlign w:val="center"/>
          </w:tcPr>
          <w:p>
            <w:pPr>
              <w:pStyle w:val="TableContents"/>
              <w:spacing w:before="0" w:after="0"/>
              <w:ind w:left="100" w:right="0" w:hanging="0"/>
              <w:jc w:val="left"/>
              <w:rPr>
                <w:rFonts w:ascii="Times New Roman;serif" w:hAnsi="Times New Roman;serif"/>
                <w:b w:val="false"/>
                <w:sz w:val="20"/>
              </w:rPr>
            </w:pPr>
            <w:r>
              <w:rPr>
                <w:rFonts w:ascii="Times New Roman;serif" w:hAnsi="Times New Roman;serif"/>
                <w:b w:val="false"/>
                <w:sz w:val="20"/>
              </w:rPr>
              <w:t>Share-based and other non-cash compensation</w:t>
            </w:r>
          </w:p>
        </w:tc>
        <w:tc>
          <w:tcPr>
            <w:tcW w:w="295" w:type="dxa"/>
            <w:tcBorders/>
            <w:shd w:fill="auto" w:val="clear"/>
            <w:vAlign w:val="center"/>
          </w:tcPr>
          <w:p>
            <w:pPr>
              <w:pStyle w:val="TableContents"/>
              <w:spacing w:before="0" w:after="0"/>
              <w:ind w:left="0" w:right="0" w:hanging="0"/>
              <w:jc w:val="left"/>
              <w:rPr/>
            </w:pPr>
            <w:r>
              <w:rPr/>
              <w:t> </w:t>
            </w:r>
          </w:p>
        </w:tc>
        <w:tc>
          <w:tcPr>
            <w:tcW w:w="204" w:type="dxa"/>
            <w:tcBorders/>
            <w:shd w:fill="auto" w:val="clear"/>
            <w:vAlign w:val="center"/>
          </w:tcPr>
          <w:p>
            <w:pPr>
              <w:pStyle w:val="TableContents"/>
              <w:spacing w:before="0" w:after="0"/>
              <w:ind w:left="0" w:right="0" w:hanging="0"/>
              <w:jc w:val="left"/>
              <w:rPr/>
            </w:pPr>
            <w:r>
              <w:rPr/>
              <w:t> </w:t>
            </w:r>
          </w:p>
        </w:tc>
        <w:tc>
          <w:tcPr>
            <w:tcW w:w="1100"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27,017</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372" w:type="dxa"/>
            <w:tcBorders/>
            <w:shd w:fill="auto" w:val="clear"/>
            <w:vAlign w:val="center"/>
          </w:tcPr>
          <w:p>
            <w:pPr>
              <w:pStyle w:val="TableContents"/>
              <w:spacing w:before="0" w:after="0"/>
              <w:ind w:left="0" w:right="0" w:hanging="0"/>
              <w:jc w:val="left"/>
              <w:rPr/>
            </w:pPr>
            <w:r>
              <w:rPr/>
              <w:t> </w:t>
            </w:r>
          </w:p>
        </w:tc>
        <w:tc>
          <w:tcPr>
            <w:tcW w:w="256" w:type="dxa"/>
            <w:tcBorders/>
            <w:shd w:fill="auto" w:val="clear"/>
            <w:vAlign w:val="center"/>
          </w:tcPr>
          <w:p>
            <w:pPr>
              <w:pStyle w:val="TableContents"/>
              <w:spacing w:before="0" w:after="0"/>
              <w:ind w:left="0" w:right="0" w:hanging="0"/>
              <w:jc w:val="left"/>
              <w:rPr/>
            </w:pPr>
            <w:r>
              <w:rPr/>
              <w:t> </w:t>
            </w:r>
          </w:p>
        </w:tc>
        <w:tc>
          <w:tcPr>
            <w:tcW w:w="1085"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751</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317" w:type="dxa"/>
            <w:tcBorders/>
            <w:shd w:fill="auto" w:val="clear"/>
            <w:vAlign w:val="center"/>
          </w:tcPr>
          <w:p>
            <w:pPr>
              <w:pStyle w:val="TableContents"/>
              <w:spacing w:before="0" w:after="0"/>
              <w:ind w:left="0" w:right="0" w:hanging="0"/>
              <w:jc w:val="left"/>
              <w:rPr/>
            </w:pPr>
            <w:r>
              <w:rPr/>
              <w:t> </w:t>
            </w:r>
          </w:p>
        </w:tc>
        <w:tc>
          <w:tcPr>
            <w:tcW w:w="215" w:type="dxa"/>
            <w:tcBorders/>
            <w:shd w:fill="auto" w:val="clear"/>
            <w:vAlign w:val="center"/>
          </w:tcPr>
          <w:p>
            <w:pPr>
              <w:pStyle w:val="TableContents"/>
              <w:spacing w:before="0" w:after="0"/>
              <w:ind w:left="0" w:right="0" w:hanging="0"/>
              <w:jc w:val="left"/>
              <w:rPr/>
            </w:pPr>
            <w:r>
              <w:rPr/>
              <w:t> </w:t>
            </w:r>
          </w:p>
        </w:tc>
        <w:tc>
          <w:tcPr>
            <w:tcW w:w="100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26,266</w:t>
            </w:r>
          </w:p>
        </w:tc>
        <w:tc>
          <w:tcPr>
            <w:tcW w:w="166" w:type="dxa"/>
            <w:tcBorders/>
            <w:shd w:fill="auto" w:val="clear"/>
            <w:vAlign w:val="center"/>
          </w:tcPr>
          <w:p>
            <w:pPr>
              <w:pStyle w:val="TableContents"/>
              <w:spacing w:before="0" w:after="0"/>
              <w:ind w:left="0" w:right="0" w:hanging="0"/>
              <w:jc w:val="left"/>
              <w:rPr/>
            </w:pPr>
            <w:r>
              <w:rPr/>
              <w:t> </w:t>
            </w:r>
          </w:p>
        </w:tc>
        <w:tc>
          <w:tcPr>
            <w:tcW w:w="295" w:type="dxa"/>
            <w:tcBorders/>
            <w:shd w:fill="auto" w:val="clear"/>
            <w:vAlign w:val="center"/>
          </w:tcPr>
          <w:p>
            <w:pPr>
              <w:pStyle w:val="TableContents"/>
              <w:spacing w:before="0" w:after="0"/>
              <w:ind w:left="0" w:right="0" w:firstLine="100"/>
              <w:jc w:val="left"/>
              <w:rPr/>
            </w:pPr>
            <w:r>
              <w:rPr/>
              <w:t> </w:t>
            </w:r>
          </w:p>
        </w:tc>
      </w:tr>
      <w:tr>
        <w:trPr/>
        <w:tc>
          <w:tcPr>
            <w:tcW w:w="4275" w:type="dxa"/>
            <w:tcBorders/>
            <w:shd w:fill="auto" w:val="clear"/>
            <w:vAlign w:val="center"/>
          </w:tcPr>
          <w:p>
            <w:pPr>
              <w:pStyle w:val="TableContents"/>
              <w:spacing w:before="0" w:after="0"/>
              <w:ind w:left="100" w:right="0" w:hanging="0"/>
              <w:jc w:val="left"/>
              <w:rPr>
                <w:rFonts w:ascii="Times New Roman;serif" w:hAnsi="Times New Roman;serif"/>
                <w:b w:val="false"/>
                <w:sz w:val="20"/>
              </w:rPr>
            </w:pPr>
            <w:r>
              <w:rPr>
                <w:rFonts w:ascii="Times New Roman;serif" w:hAnsi="Times New Roman;serif"/>
                <w:b w:val="false"/>
                <w:sz w:val="20"/>
              </w:rPr>
              <w:t>Unrealized investment gains</w:t>
            </w:r>
          </w:p>
        </w:tc>
        <w:tc>
          <w:tcPr>
            <w:tcW w:w="295" w:type="dxa"/>
            <w:tcBorders/>
            <w:shd w:fill="auto" w:val="clear"/>
            <w:vAlign w:val="center"/>
          </w:tcPr>
          <w:p>
            <w:pPr>
              <w:pStyle w:val="TableContents"/>
              <w:spacing w:before="0" w:after="0"/>
              <w:ind w:left="0" w:right="0" w:hanging="0"/>
              <w:jc w:val="left"/>
              <w:rPr/>
            </w:pPr>
            <w:r>
              <w:rPr/>
              <w:t> </w:t>
            </w:r>
          </w:p>
        </w:tc>
        <w:tc>
          <w:tcPr>
            <w:tcW w:w="204" w:type="dxa"/>
            <w:tcBorders/>
            <w:shd w:fill="auto" w:val="clear"/>
            <w:vAlign w:val="center"/>
          </w:tcPr>
          <w:p>
            <w:pPr>
              <w:pStyle w:val="TableContents"/>
              <w:spacing w:before="0" w:after="0"/>
              <w:ind w:left="0" w:right="0" w:hanging="0"/>
              <w:jc w:val="left"/>
              <w:rPr/>
            </w:pPr>
            <w:r>
              <w:rPr/>
              <w:t> </w:t>
            </w:r>
          </w:p>
        </w:tc>
        <w:tc>
          <w:tcPr>
            <w:tcW w:w="1100"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(81</w:t>
            </w:r>
          </w:p>
        </w:tc>
        <w:tc>
          <w:tcPr>
            <w:tcW w:w="16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shd w:fill="auto" w:val="clear"/>
            <w:vAlign w:val="center"/>
          </w:tcPr>
          <w:p>
            <w:pPr>
              <w:pStyle w:val="TableContents"/>
              <w:spacing w:before="0" w:after="0"/>
              <w:ind w:left="0" w:right="0" w:hanging="0"/>
              <w:jc w:val="left"/>
              <w:rPr/>
            </w:pPr>
            <w:r>
              <w:rPr/>
              <w:t> </w:t>
            </w:r>
          </w:p>
        </w:tc>
        <w:tc>
          <w:tcPr>
            <w:tcW w:w="372" w:type="dxa"/>
            <w:tcBorders/>
            <w:shd w:fill="auto" w:val="clear"/>
            <w:vAlign w:val="center"/>
          </w:tcPr>
          <w:p>
            <w:pPr>
              <w:pStyle w:val="TableContents"/>
              <w:spacing w:before="0" w:after="0"/>
              <w:ind w:left="0" w:right="0" w:hanging="0"/>
              <w:jc w:val="left"/>
              <w:rPr/>
            </w:pPr>
            <w:r>
              <w:rPr/>
              <w:t> </w:t>
            </w:r>
          </w:p>
        </w:tc>
        <w:tc>
          <w:tcPr>
            <w:tcW w:w="256" w:type="dxa"/>
            <w:tcBorders/>
            <w:shd w:fill="auto" w:val="clear"/>
            <w:vAlign w:val="center"/>
          </w:tcPr>
          <w:p>
            <w:pPr>
              <w:pStyle w:val="TableContents"/>
              <w:spacing w:before="0" w:after="0"/>
              <w:ind w:left="0" w:right="0" w:hanging="0"/>
              <w:jc w:val="left"/>
              <w:rPr/>
            </w:pPr>
            <w:r>
              <w:rPr/>
              <w:t> </w:t>
            </w:r>
          </w:p>
        </w:tc>
        <w:tc>
          <w:tcPr>
            <w:tcW w:w="1085" w:type="dxa"/>
            <w:tcBorders/>
            <w:shd w:fill="auto" w:val="clear"/>
            <w:vAlign w:val="center"/>
          </w:tcPr>
          <w:p>
            <w:pPr>
              <w:pStyle w:val="TableContents"/>
              <w:spacing w:before="0" w:after="0"/>
              <w:ind w:left="0" w:right="0" w:hanging="0"/>
              <w:jc w:val="right"/>
              <w:rPr/>
            </w:pPr>
            <w:r>
              <w:rPr/>
              <w:t>—</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317" w:type="dxa"/>
            <w:tcBorders/>
            <w:shd w:fill="auto" w:val="clear"/>
            <w:vAlign w:val="center"/>
          </w:tcPr>
          <w:p>
            <w:pPr>
              <w:pStyle w:val="TableContents"/>
              <w:spacing w:before="0" w:after="0"/>
              <w:ind w:left="0" w:right="0" w:hanging="0"/>
              <w:jc w:val="left"/>
              <w:rPr/>
            </w:pPr>
            <w:r>
              <w:rPr/>
              <w:t> </w:t>
            </w:r>
          </w:p>
        </w:tc>
        <w:tc>
          <w:tcPr>
            <w:tcW w:w="215" w:type="dxa"/>
            <w:tcBorders/>
            <w:shd w:fill="auto" w:val="clear"/>
            <w:vAlign w:val="center"/>
          </w:tcPr>
          <w:p>
            <w:pPr>
              <w:pStyle w:val="TableContents"/>
              <w:spacing w:before="0" w:after="0"/>
              <w:ind w:left="0" w:right="0" w:hanging="0"/>
              <w:jc w:val="left"/>
              <w:rPr/>
            </w:pPr>
            <w:r>
              <w:rPr/>
              <w:t> </w:t>
            </w:r>
          </w:p>
        </w:tc>
        <w:tc>
          <w:tcPr>
            <w:tcW w:w="100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(81</w:t>
            </w:r>
          </w:p>
        </w:tc>
        <w:tc>
          <w:tcPr>
            <w:tcW w:w="16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295" w:type="dxa"/>
            <w:tcBorders/>
            <w:shd w:fill="auto" w:val="clear"/>
            <w:vAlign w:val="center"/>
          </w:tcPr>
          <w:p>
            <w:pPr>
              <w:pStyle w:val="TableContents"/>
              <w:spacing w:before="0" w:after="0"/>
              <w:ind w:left="0" w:right="0" w:firstLine="100"/>
              <w:jc w:val="left"/>
              <w:rPr/>
            </w:pPr>
            <w:r>
              <w:rPr/>
              <w:t> </w:t>
            </w:r>
          </w:p>
        </w:tc>
      </w:tr>
      <w:tr>
        <w:trPr/>
        <w:tc>
          <w:tcPr>
            <w:tcW w:w="4275" w:type="dxa"/>
            <w:tcBorders/>
            <w:shd w:fill="auto" w:val="clear"/>
            <w:vAlign w:val="center"/>
          </w:tcPr>
          <w:p>
            <w:pPr>
              <w:pStyle w:val="TableContents"/>
              <w:spacing w:before="0" w:after="0"/>
              <w:ind w:left="100" w:right="0" w:hanging="0"/>
              <w:jc w:val="left"/>
              <w:rPr>
                <w:rFonts w:ascii="Times New Roman;serif" w:hAnsi="Times New Roman;serif"/>
                <w:b w:val="false"/>
                <w:sz w:val="20"/>
              </w:rPr>
            </w:pPr>
            <w:r>
              <w:rPr>
                <w:rFonts w:ascii="Times New Roman;serif" w:hAnsi="Times New Roman;serif"/>
                <w:b w:val="false"/>
                <w:sz w:val="20"/>
              </w:rPr>
              <w:t>Acquisition-related expenses</w:t>
            </w:r>
          </w:p>
        </w:tc>
        <w:tc>
          <w:tcPr>
            <w:tcW w:w="295" w:type="dxa"/>
            <w:tcBorders/>
            <w:shd w:fill="auto" w:val="clear"/>
            <w:vAlign w:val="center"/>
          </w:tcPr>
          <w:p>
            <w:pPr>
              <w:pStyle w:val="TableContents"/>
              <w:spacing w:before="0" w:after="0"/>
              <w:ind w:left="0" w:right="0" w:hanging="0"/>
              <w:jc w:val="left"/>
              <w:rPr/>
            </w:pPr>
            <w:r>
              <w:rPr/>
              <w:t> </w:t>
            </w:r>
          </w:p>
        </w:tc>
        <w:tc>
          <w:tcPr>
            <w:tcW w:w="204" w:type="dxa"/>
            <w:tcBorders/>
            <w:shd w:fill="auto" w:val="clear"/>
            <w:vAlign w:val="center"/>
          </w:tcPr>
          <w:p>
            <w:pPr>
              <w:pStyle w:val="TableContents"/>
              <w:spacing w:before="0" w:after="0"/>
              <w:ind w:left="0" w:right="0" w:hanging="0"/>
              <w:jc w:val="left"/>
              <w:rPr/>
            </w:pPr>
            <w:r>
              <w:rPr/>
              <w:t> </w:t>
            </w:r>
          </w:p>
        </w:tc>
        <w:tc>
          <w:tcPr>
            <w:tcW w:w="1100"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1,278</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372" w:type="dxa"/>
            <w:tcBorders/>
            <w:shd w:fill="auto" w:val="clear"/>
            <w:vAlign w:val="center"/>
          </w:tcPr>
          <w:p>
            <w:pPr>
              <w:pStyle w:val="TableContents"/>
              <w:spacing w:before="0" w:after="0"/>
              <w:ind w:left="0" w:right="0" w:hanging="0"/>
              <w:jc w:val="left"/>
              <w:rPr/>
            </w:pPr>
            <w:r>
              <w:rPr/>
              <w:t> </w:t>
            </w:r>
          </w:p>
        </w:tc>
        <w:tc>
          <w:tcPr>
            <w:tcW w:w="256" w:type="dxa"/>
            <w:tcBorders/>
            <w:shd w:fill="auto" w:val="clear"/>
            <w:vAlign w:val="center"/>
          </w:tcPr>
          <w:p>
            <w:pPr>
              <w:pStyle w:val="TableContents"/>
              <w:spacing w:before="0" w:after="0"/>
              <w:ind w:left="0" w:right="0" w:hanging="0"/>
              <w:jc w:val="left"/>
              <w:rPr/>
            </w:pPr>
            <w:r>
              <w:rPr/>
              <w:t> </w:t>
            </w:r>
          </w:p>
        </w:tc>
        <w:tc>
          <w:tcPr>
            <w:tcW w:w="1085" w:type="dxa"/>
            <w:tcBorders/>
            <w:shd w:fill="auto" w:val="clear"/>
            <w:vAlign w:val="center"/>
          </w:tcPr>
          <w:p>
            <w:pPr>
              <w:pStyle w:val="TableContents"/>
              <w:spacing w:before="0" w:after="0"/>
              <w:ind w:left="0" w:right="0" w:hanging="0"/>
              <w:jc w:val="right"/>
              <w:rPr/>
            </w:pPr>
            <w:r>
              <w:rPr/>
              <w:t>—</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317" w:type="dxa"/>
            <w:tcBorders/>
            <w:shd w:fill="auto" w:val="clear"/>
            <w:vAlign w:val="center"/>
          </w:tcPr>
          <w:p>
            <w:pPr>
              <w:pStyle w:val="TableContents"/>
              <w:spacing w:before="0" w:after="0"/>
              <w:ind w:left="0" w:right="0" w:hanging="0"/>
              <w:jc w:val="left"/>
              <w:rPr/>
            </w:pPr>
            <w:r>
              <w:rPr/>
              <w:t> </w:t>
            </w:r>
          </w:p>
        </w:tc>
        <w:tc>
          <w:tcPr>
            <w:tcW w:w="215" w:type="dxa"/>
            <w:tcBorders/>
            <w:shd w:fill="auto" w:val="clear"/>
            <w:vAlign w:val="center"/>
          </w:tcPr>
          <w:p>
            <w:pPr>
              <w:pStyle w:val="TableContents"/>
              <w:spacing w:before="0" w:after="0"/>
              <w:ind w:left="0" w:right="0" w:hanging="0"/>
              <w:jc w:val="left"/>
              <w:rPr/>
            </w:pPr>
            <w:r>
              <w:rPr/>
              <w:t> </w:t>
            </w:r>
          </w:p>
        </w:tc>
        <w:tc>
          <w:tcPr>
            <w:tcW w:w="100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1,278</w:t>
            </w:r>
          </w:p>
        </w:tc>
        <w:tc>
          <w:tcPr>
            <w:tcW w:w="166" w:type="dxa"/>
            <w:tcBorders/>
            <w:shd w:fill="auto" w:val="clear"/>
            <w:vAlign w:val="center"/>
          </w:tcPr>
          <w:p>
            <w:pPr>
              <w:pStyle w:val="TableContents"/>
              <w:spacing w:before="0" w:after="0"/>
              <w:ind w:left="0" w:right="0" w:hanging="0"/>
              <w:jc w:val="left"/>
              <w:rPr/>
            </w:pPr>
            <w:r>
              <w:rPr/>
              <w:t> </w:t>
            </w:r>
          </w:p>
        </w:tc>
        <w:tc>
          <w:tcPr>
            <w:tcW w:w="295" w:type="dxa"/>
            <w:tcBorders/>
            <w:shd w:fill="auto" w:val="clear"/>
            <w:vAlign w:val="center"/>
          </w:tcPr>
          <w:p>
            <w:pPr>
              <w:pStyle w:val="TableContents"/>
              <w:spacing w:before="0" w:after="0"/>
              <w:ind w:left="0" w:right="0" w:firstLine="100"/>
              <w:jc w:val="left"/>
              <w:rPr/>
            </w:pPr>
            <w:r>
              <w:rPr/>
              <w:t> </w:t>
            </w:r>
          </w:p>
        </w:tc>
      </w:tr>
      <w:tr>
        <w:trPr/>
        <w:tc>
          <w:tcPr>
            <w:tcW w:w="4275" w:type="dxa"/>
            <w:tcBorders/>
            <w:shd w:fill="auto" w:val="clear"/>
            <w:vAlign w:val="center"/>
          </w:tcPr>
          <w:p>
            <w:pPr>
              <w:pStyle w:val="TableContents"/>
              <w:spacing w:before="0" w:after="0"/>
              <w:ind w:left="100" w:right="0" w:hanging="0"/>
              <w:jc w:val="left"/>
              <w:rPr>
                <w:rFonts w:ascii="Times New Roman;serif" w:hAnsi="Times New Roman;serif"/>
                <w:b w:val="false"/>
                <w:sz w:val="20"/>
              </w:rPr>
            </w:pPr>
            <w:r>
              <w:rPr>
                <w:rFonts w:ascii="Times New Roman;serif" w:hAnsi="Times New Roman;serif"/>
                <w:b w:val="false"/>
                <w:sz w:val="20"/>
              </w:rPr>
              <w:t>Write-downs, including asset impairments and credit loss expense</w:t>
            </w:r>
          </w:p>
        </w:tc>
        <w:tc>
          <w:tcPr>
            <w:tcW w:w="295" w:type="dxa"/>
            <w:tcBorders/>
            <w:shd w:fill="auto" w:val="clear"/>
            <w:vAlign w:val="center"/>
          </w:tcPr>
          <w:p>
            <w:pPr>
              <w:pStyle w:val="TableContents"/>
              <w:spacing w:before="0" w:after="0"/>
              <w:ind w:left="0" w:right="0" w:hanging="0"/>
              <w:jc w:val="left"/>
              <w:rPr/>
            </w:pPr>
            <w:r>
              <w:rPr/>
              <w:t> </w:t>
            </w:r>
          </w:p>
        </w:tc>
        <w:tc>
          <w:tcPr>
            <w:tcW w:w="204" w:type="dxa"/>
            <w:tcBorders/>
            <w:shd w:fill="auto" w:val="clear"/>
            <w:vAlign w:val="center"/>
          </w:tcPr>
          <w:p>
            <w:pPr>
              <w:pStyle w:val="TableContents"/>
              <w:spacing w:before="0" w:after="0"/>
              <w:ind w:left="0" w:right="0" w:hanging="0"/>
              <w:jc w:val="left"/>
              <w:rPr/>
            </w:pPr>
            <w:r>
              <w:rPr/>
              <w:t> </w:t>
            </w:r>
          </w:p>
        </w:tc>
        <w:tc>
          <w:tcPr>
            <w:tcW w:w="1100"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8,638</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372" w:type="dxa"/>
            <w:tcBorders/>
            <w:shd w:fill="auto" w:val="clear"/>
            <w:vAlign w:val="center"/>
          </w:tcPr>
          <w:p>
            <w:pPr>
              <w:pStyle w:val="TableContents"/>
              <w:spacing w:before="0" w:after="0"/>
              <w:ind w:left="0" w:right="0" w:hanging="0"/>
              <w:jc w:val="left"/>
              <w:rPr/>
            </w:pPr>
            <w:r>
              <w:rPr/>
              <w:t> </w:t>
            </w:r>
          </w:p>
        </w:tc>
        <w:tc>
          <w:tcPr>
            <w:tcW w:w="256" w:type="dxa"/>
            <w:tcBorders/>
            <w:shd w:fill="auto" w:val="clear"/>
            <w:vAlign w:val="center"/>
          </w:tcPr>
          <w:p>
            <w:pPr>
              <w:pStyle w:val="TableContents"/>
              <w:spacing w:before="0" w:after="0"/>
              <w:ind w:left="0" w:right="0" w:hanging="0"/>
              <w:jc w:val="left"/>
              <w:rPr/>
            </w:pPr>
            <w:r>
              <w:rPr/>
              <w:t> </w:t>
            </w:r>
          </w:p>
        </w:tc>
        <w:tc>
          <w:tcPr>
            <w:tcW w:w="1085"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1,787</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317" w:type="dxa"/>
            <w:tcBorders/>
            <w:shd w:fill="auto" w:val="clear"/>
            <w:vAlign w:val="center"/>
          </w:tcPr>
          <w:p>
            <w:pPr>
              <w:pStyle w:val="TableContents"/>
              <w:spacing w:before="0" w:after="0"/>
              <w:ind w:left="0" w:right="0" w:hanging="0"/>
              <w:jc w:val="left"/>
              <w:rPr/>
            </w:pPr>
            <w:r>
              <w:rPr/>
              <w:t> </w:t>
            </w:r>
          </w:p>
        </w:tc>
        <w:tc>
          <w:tcPr>
            <w:tcW w:w="215" w:type="dxa"/>
            <w:tcBorders/>
            <w:shd w:fill="auto" w:val="clear"/>
            <w:vAlign w:val="center"/>
          </w:tcPr>
          <w:p>
            <w:pPr>
              <w:pStyle w:val="TableContents"/>
              <w:spacing w:before="0" w:after="0"/>
              <w:ind w:left="0" w:right="0" w:hanging="0"/>
              <w:jc w:val="left"/>
              <w:rPr/>
            </w:pPr>
            <w:r>
              <w:rPr/>
              <w:t> </w:t>
            </w:r>
          </w:p>
        </w:tc>
        <w:tc>
          <w:tcPr>
            <w:tcW w:w="100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6,851</w:t>
            </w:r>
          </w:p>
        </w:tc>
        <w:tc>
          <w:tcPr>
            <w:tcW w:w="166" w:type="dxa"/>
            <w:tcBorders/>
            <w:shd w:fill="auto" w:val="clear"/>
            <w:vAlign w:val="center"/>
          </w:tcPr>
          <w:p>
            <w:pPr>
              <w:pStyle w:val="TableContents"/>
              <w:spacing w:before="0" w:after="0"/>
              <w:ind w:left="0" w:right="0" w:hanging="0"/>
              <w:jc w:val="left"/>
              <w:rPr/>
            </w:pPr>
            <w:r>
              <w:rPr/>
              <w:t> </w:t>
            </w:r>
          </w:p>
        </w:tc>
        <w:tc>
          <w:tcPr>
            <w:tcW w:w="295" w:type="dxa"/>
            <w:tcBorders/>
            <w:shd w:fill="auto" w:val="clear"/>
            <w:vAlign w:val="center"/>
          </w:tcPr>
          <w:p>
            <w:pPr>
              <w:pStyle w:val="TableContents"/>
              <w:spacing w:before="0" w:after="0"/>
              <w:ind w:left="0" w:right="0" w:firstLine="100"/>
              <w:jc w:val="left"/>
              <w:rPr/>
            </w:pPr>
            <w:r>
              <w:rPr/>
              <w:t> </w:t>
            </w:r>
          </w:p>
        </w:tc>
      </w:tr>
      <w:tr>
        <w:trPr/>
        <w:tc>
          <w:tcPr>
            <w:tcW w:w="4275" w:type="dxa"/>
            <w:tcBorders/>
            <w:shd w:fill="auto" w:val="clear"/>
            <w:vAlign w:val="center"/>
          </w:tcPr>
          <w:p>
            <w:pPr>
              <w:pStyle w:val="TableContents"/>
              <w:spacing w:before="0" w:after="0"/>
              <w:ind w:left="100" w:right="0" w:hanging="0"/>
              <w:jc w:val="left"/>
              <w:rPr>
                <w:rFonts w:ascii="Times New Roman" w:hAnsi="Times New Roman"/>
                <w:sz w:val="20"/>
              </w:rPr>
            </w:pPr>
            <w:r>
              <w:rPr>
                <w:rFonts w:ascii="Times New Roman;serif" w:hAnsi="Times New Roman;serif"/>
                <w:b w:val="false"/>
                <w:sz w:val="20"/>
              </w:rPr>
              <w:t>Executive transition costs</w:t>
            </w:r>
            <w:r>
              <w:rPr>
                <w:rFonts w:ascii="Times New Roman;serif" w:hAnsi="Times New Roman;serif"/>
                <w:b w:val="false"/>
                <w:sz w:val="13"/>
              </w:rPr>
              <w:t>(2)</w:t>
            </w:r>
          </w:p>
        </w:tc>
        <w:tc>
          <w:tcPr>
            <w:tcW w:w="295"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204"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100"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1,353</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372"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25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085"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pPr>
            <w:r>
              <w:rPr/>
              <w:t>—</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317"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215"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00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1,353</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295" w:type="dxa"/>
            <w:tcBorders/>
            <w:shd w:fill="auto" w:val="clear"/>
            <w:vAlign w:val="center"/>
          </w:tcPr>
          <w:p>
            <w:pPr>
              <w:pStyle w:val="TableContents"/>
              <w:spacing w:before="0" w:after="0"/>
              <w:ind w:left="0" w:right="0" w:hanging="0"/>
              <w:jc w:val="left"/>
              <w:rPr/>
            </w:pPr>
            <w:r>
              <w:rPr/>
              <w:t> </w:t>
            </w:r>
          </w:p>
        </w:tc>
      </w:tr>
      <w:tr>
        <w:trPr/>
        <w:tc>
          <w:tcPr>
            <w:tcW w:w="4275"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Adjusted EBITDA per Credit Facility</w:t>
            </w:r>
          </w:p>
        </w:tc>
        <w:tc>
          <w:tcPr>
            <w:tcW w:w="295"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204"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100"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109,629</w:t>
            </w:r>
          </w:p>
        </w:tc>
        <w:tc>
          <w:tcPr>
            <w:tcW w:w="16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372"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25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085"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12,697</w:t>
            </w:r>
          </w:p>
        </w:tc>
        <w:tc>
          <w:tcPr>
            <w:tcW w:w="16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317"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215"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00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96,932</w:t>
            </w:r>
          </w:p>
        </w:tc>
        <w:tc>
          <w:tcPr>
            <w:tcW w:w="16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295" w:type="dxa"/>
            <w:tcBorders/>
            <w:shd w:fill="auto" w:val="clear"/>
            <w:vAlign w:val="center"/>
          </w:tcPr>
          <w:p>
            <w:pPr>
              <w:pStyle w:val="TableContents"/>
              <w:spacing w:before="0" w:after="0"/>
              <w:ind w:left="0" w:right="0" w:hanging="0"/>
              <w:jc w:val="left"/>
              <w:rPr/>
            </w:pPr>
            <w:r>
              <w:rPr/>
              <w:t> </w:t>
            </w:r>
          </w:p>
        </w:tc>
      </w:tr>
    </w:tbl>
    <w:p>
      <w:pPr>
        <w:pStyle w:val="TextBody"/>
        <w:pBdr>
          <w:bottom w:val="single" w:sz="4" w:space="1" w:color="000000"/>
        </w:pBdr>
        <w:spacing w:before="0" w:after="0"/>
        <w:jc w:val="left"/>
        <w:rPr/>
      </w:pPr>
      <w:r>
        <w:rPr/>
        <w:t> </w:t>
      </w:r>
    </w:p>
    <w:p>
      <w:pPr>
        <w:pStyle w:val="TextBody"/>
        <w:spacing w:before="200" w:after="0"/>
        <w:jc w:val="both"/>
        <w:rPr>
          <w:rFonts w:ascii="Times New Roman" w:hAnsi="Times New Roman"/>
          <w:b w:val="false"/>
          <w:sz w:val="20"/>
        </w:rPr>
      </w:pPr>
      <w:r>
        <w:rPr>
          <w:rFonts w:ascii="Times New Roman" w:hAnsi="Times New Roman"/>
          <w:b w:val="false"/>
          <w:sz w:val="20"/>
        </w:rPr>
        <w:t>(1)</w:t>
      </w:r>
    </w:p>
    <w:p>
      <w:pPr>
        <w:pStyle w:val="TextBody"/>
        <w:spacing w:before="200" w:after="0"/>
        <w:jc w:val="both"/>
        <w:rPr>
          <w:rFonts w:ascii="Times New Roman;serif" w:hAnsi="Times New Roman;serif"/>
          <w:b w:val="false"/>
          <w:sz w:val="20"/>
        </w:rPr>
      </w:pPr>
      <w:r>
        <w:rPr>
          <w:rFonts w:ascii="Times New Roman;serif" w:hAnsi="Times New Roman;serif"/>
          <w:b w:val="false"/>
          <w:sz w:val="20"/>
        </w:rPr>
        <w:t>The amortization of deferred financing costs is recorded within Interest Expense in the Condensed Consolidated Statements of Operations.</w:t>
      </w:r>
    </w:p>
    <w:p>
      <w:pPr>
        <w:pStyle w:val="TextBody"/>
        <w:spacing w:before="200" w:after="0"/>
        <w:jc w:val="both"/>
        <w:rPr>
          <w:rFonts w:ascii="Times New Roman" w:hAnsi="Times New Roman"/>
          <w:b w:val="false"/>
          <w:sz w:val="20"/>
        </w:rPr>
      </w:pPr>
      <w:r>
        <w:rPr>
          <w:rFonts w:ascii="Times New Roman" w:hAnsi="Times New Roman"/>
          <w:b w:val="false"/>
          <w:sz w:val="20"/>
        </w:rPr>
        <w:t>(2)</w:t>
      </w:r>
    </w:p>
    <w:p>
      <w:pPr>
        <w:pStyle w:val="TextBody"/>
        <w:spacing w:before="200" w:after="283"/>
        <w:jc w:val="both"/>
        <w:rPr>
          <w:rFonts w:ascii="Times New Roman;serif" w:hAnsi="Times New Roman;serif"/>
          <w:b w:val="false"/>
          <w:sz w:val="20"/>
        </w:rPr>
      </w:pPr>
      <w:r>
        <w:rPr>
          <w:rFonts w:ascii="Times New Roman;serif" w:hAnsi="Times New Roman;serif"/>
          <w:b w:val="false"/>
          <w:sz w:val="20"/>
        </w:rPr>
        <w:t>Reflects costs in connection with the departure of Megan Colligan, President, IMAX Entertainment and Executive Vice President of the Company. (See Note 16 of Notes to Condensed Consolidated Financial Statements in Part I, Item 1.)</w:t>
      </w:r>
    </w:p>
    <w:p>
      <w:pPr>
        <w:pStyle w:val="TextBody"/>
        <w:spacing w:before="200" w:after="0"/>
        <w:jc w:val="both"/>
        <w:rPr>
          <w:rFonts w:ascii="Times New Roman;serif" w:hAnsi="Times New Roman;serif"/>
          <w:b w:val="false"/>
          <w:sz w:val="20"/>
        </w:rPr>
      </w:pPr>
      <w:r>
        <w:rPr>
          <w:rFonts w:ascii="Times New Roman;serif" w:hAnsi="Times New Roman;serif"/>
          <w:b w:val="false"/>
          <w:sz w:val="20"/>
        </w:rPr>
        <w:t>The Company cautions users of its financial statements that these non-GAAP financial measures may not be comparable to similarly titled measures reported by other companies. Additionally, the non-GAAP financial measures used by the Company should not be considered in isolation, or as a substitute for, or superior to, the comparable GAAP amounts.</w:t>
      </w:r>
    </w:p>
    <w:p>
      <w:pPr>
        <w:pStyle w:val="TextBody"/>
        <w:spacing w:before="240" w:after="0"/>
        <w:jc w:val="center"/>
        <w:rPr>
          <w:rFonts w:ascii="Times New Roman;serif" w:hAnsi="Times New Roman;serif"/>
          <w:b w:val="false"/>
          <w:sz w:val="20"/>
        </w:rPr>
      </w:pPr>
      <w:r>
        <w:rPr>
          <w:rFonts w:ascii="Times New Roman;serif" w:hAnsi="Times New Roman;serif"/>
          <w:b w:val="false"/>
          <w:sz w:val="20"/>
        </w:rPr>
        <w:t>63</w:t>
      </w:r>
    </w:p>
    <w:p>
      <w:pPr>
        <w:pStyle w:val="HorizontalLine"/>
        <w:rPr/>
      </w:pPr>
      <w:r>
        <w:rPr/>
      </w:r>
    </w:p>
    <w:p>
      <w:pPr>
        <w:pStyle w:val="TextBody"/>
        <w:spacing w:before="0" w:after="0"/>
        <w:jc w:val="left"/>
        <w:rPr/>
      </w:pPr>
      <w:r>
        <w:rPr/>
        <w:t> </w:t>
      </w:r>
    </w:p>
    <w:p>
      <w:pPr>
        <w:pStyle w:val="TextBody"/>
        <w:spacing w:before="200" w:after="0"/>
        <w:jc w:val="left"/>
        <w:rPr>
          <w:rFonts w:ascii="Times New Roman" w:hAnsi="Times New Roman"/>
          <w:sz w:val="20"/>
        </w:rPr>
      </w:pPr>
      <w:bookmarkStart w:id="13" w:name="item_3_quantitative_qualitative_factors_"/>
      <w:bookmarkEnd w:id="13"/>
      <w:r>
        <w:rPr>
          <w:rFonts w:ascii="Times New Roman;serif" w:hAnsi="Times New Roman;serif"/>
          <w:b/>
          <w:sz w:val="20"/>
        </w:rPr>
        <w:t>Item 3.</w:t>
      </w:r>
      <w:r>
        <w:rPr>
          <w:rFonts w:ascii="Times New Roman" w:hAnsi="Times New Roman"/>
          <w:sz w:val="20"/>
        </w:rPr>
        <w:t xml:space="preserve"> </w:t>
      </w:r>
      <w:r>
        <w:rPr>
          <w:rFonts w:ascii="Times New Roman;serif" w:hAnsi="Times New Roman;serif"/>
          <w:b/>
          <w:i/>
          <w:sz w:val="20"/>
        </w:rPr>
        <w:t>Quantitative and Qualitative Disclosures about Market Risk</w:t>
      </w:r>
    </w:p>
    <w:p>
      <w:pPr>
        <w:pStyle w:val="TextBody"/>
        <w:spacing w:before="200" w:after="0"/>
        <w:jc w:val="both"/>
        <w:rPr>
          <w:rFonts w:ascii="Times New Roman;serif" w:hAnsi="Times New Roman;serif"/>
          <w:b w:val="false"/>
          <w:sz w:val="20"/>
        </w:rPr>
      </w:pPr>
      <w:r>
        <w:rPr>
          <w:rFonts w:ascii="Times New Roman;serif" w:hAnsi="Times New Roman;serif"/>
          <w:b w:val="false"/>
          <w:sz w:val="20"/>
        </w:rPr>
        <w:t>The Company is exposed to market risk from foreign currency exchange rates and interest rates, which could affect operating results, financial position and cash flows. Market risk is the potential change in an instrument’s value caused by, for example, fluctuations in interest and currency exchange rates. The Company’s primary market risk exposure is the risk of unfavorable movements in exchange rates between the U.S. Dollar, the Canadian Dollar (“CAD”) and Chinese Renminbi (“RMB”). The Company does not use financial instruments for trading or other speculative purposes.</w:t>
      </w:r>
    </w:p>
    <w:p>
      <w:pPr>
        <w:pStyle w:val="TextBody"/>
        <w:spacing w:before="200" w:after="0"/>
        <w:jc w:val="both"/>
        <w:rPr>
          <w:rFonts w:ascii="Times New Roman;serif" w:hAnsi="Times New Roman;serif"/>
          <w:b/>
          <w:sz w:val="20"/>
        </w:rPr>
      </w:pPr>
      <w:r>
        <w:rPr>
          <w:rFonts w:ascii="Times New Roman;serif" w:hAnsi="Times New Roman;serif"/>
          <w:b/>
          <w:sz w:val="20"/>
        </w:rPr>
        <w:t>Foreign Exchange Rate Risk</w:t>
      </w:r>
    </w:p>
    <w:p>
      <w:pPr>
        <w:pStyle w:val="TextBody"/>
        <w:spacing w:before="200" w:after="0"/>
        <w:jc w:val="both"/>
        <w:rPr>
          <w:rFonts w:ascii="Times New Roman;serif" w:hAnsi="Times New Roman;serif"/>
          <w:b w:val="false"/>
          <w:sz w:val="20"/>
        </w:rPr>
      </w:pPr>
      <w:r>
        <w:rPr>
          <w:rFonts w:ascii="Times New Roman;serif" w:hAnsi="Times New Roman;serif"/>
          <w:b w:val="false"/>
          <w:sz w:val="20"/>
        </w:rPr>
        <w:t>A majority of the Company’s revenue is denominated in U.S. Dollars while a significant portion of its costs and expenses is denominated in Canadian Dollars. A portion of the Company’s net U.S. Dollar cash flows is converted to Canadian Dollars to fund Canadian Dollar expenses through the spot market. In addition, IMAX films generate box office in 87 different countries, and therefore unfavorable exchange rates between applicable local currencies and the U.S. Dollar could have an impact on the GBO generated by the Company’s exhibitor customers and its revenues. The Company has incoming cash flows from its revenue generating IMAX network and ongoing operating expenses in China through its majority-owned subsidiary IMAX Shanghai. In Japan, the Company has ongoing Yen-denominated operating expenses related to its Japanese operations. Net RMB and Japanese Yen cash flows are converted to U.S. Dollars through the spot market. The Company also has cash receipts from lease arrangements denominated in RMB, Japanese Yen, Euros and Canadian Dollars.</w:t>
      </w:r>
    </w:p>
    <w:p>
      <w:pPr>
        <w:pStyle w:val="TextBody"/>
        <w:spacing w:before="200" w:after="0"/>
        <w:jc w:val="both"/>
        <w:rPr>
          <w:rFonts w:ascii="Times New Roman;serif" w:hAnsi="Times New Roman;serif"/>
          <w:b w:val="false"/>
          <w:sz w:val="20"/>
        </w:rPr>
      </w:pPr>
      <w:r>
        <w:rPr>
          <w:rFonts w:ascii="Times New Roman;serif" w:hAnsi="Times New Roman;serif"/>
          <w:b w:val="false"/>
          <w:sz w:val="20"/>
        </w:rPr>
        <w:t>The Company manages its exposure to foreign exchange rate risks through its regular operating and financing activities and, when appropriate, through the use of derivative financial instruments. These derivative financial instruments are utilized to hedge economic exposures as well as reduce earnings and cash flow volatility resulting from shifts in market rates.</w:t>
      </w:r>
    </w:p>
    <w:p>
      <w:pPr>
        <w:pStyle w:val="TextBody"/>
        <w:spacing w:before="200" w:after="0"/>
        <w:jc w:val="both"/>
        <w:rPr>
          <w:rFonts w:ascii="Times New Roman;serif" w:hAnsi="Times New Roman;serif"/>
          <w:b w:val="false"/>
          <w:sz w:val="20"/>
        </w:rPr>
      </w:pPr>
      <w:r>
        <w:rPr>
          <w:rFonts w:ascii="Times New Roman;serif" w:hAnsi="Times New Roman;serif"/>
          <w:b w:val="false"/>
          <w:sz w:val="20"/>
        </w:rPr>
        <w:t>Certain of the Company’s PRC subsidiaries held approximately RMB 322.6 million ($47.0 million) in cash and cash equivalents as of March 31, 2023 (December 31, 2022 — RMB 303.8 million or $43.6 million) and are required to transact locally in RMB. Foreign currency exchange transactions, including the remittance of any funds into and out of the PRC, are subject to controls and require the approval of the China State Administration of Foreign Exchange to complete. Any developments relating to the Chinese economy and any actions taken by the Chinese government are beyond the control of the Company; however, the Company monitors and manages its capital and liquidity requirements to ensure compliance with local regulatory and policy requirements. (See “Risk Factors – The Company faces risks in connection with its significant presence in China and the continued expansion of its business there” in Part I, Item 1A of the Company’s 2022 Form 10-K.)</w:t>
      </w:r>
    </w:p>
    <w:p>
      <w:pPr>
        <w:pStyle w:val="TextBody"/>
        <w:spacing w:before="200" w:after="0"/>
        <w:jc w:val="both"/>
        <w:rPr>
          <w:rFonts w:ascii="Times New Roman" w:hAnsi="Times New Roman"/>
          <w:sz w:val="20"/>
        </w:rPr>
      </w:pPr>
      <w:r>
        <w:rPr>
          <w:rFonts w:ascii="Times New Roman;serif" w:hAnsi="Times New Roman;serif"/>
          <w:b w:val="false"/>
          <w:sz w:val="20"/>
        </w:rPr>
        <w:t>Management also monitors the macroeconomic environment as part of its continuous assessment of credit risk. This includes consideration of developments in the U.S. and global banking sectors following recent banking collapses, which informs management's assessment of any potential direct and indirect impacts on the Company. There are no concentrations of cash and cash equivalents in any regional banking institutions, such that management considers there to be any material risk in this regard.</w:t>
      </w:r>
      <w:r>
        <w:rPr>
          <w:rFonts w:ascii="Times New Roman" w:hAnsi="Times New Roman"/>
          <w:sz w:val="20"/>
        </w:rPr>
        <w:t xml:space="preserve"> </w:t>
      </w:r>
    </w:p>
    <w:p>
      <w:pPr>
        <w:pStyle w:val="TextBody"/>
        <w:spacing w:before="200" w:after="0"/>
        <w:jc w:val="both"/>
        <w:rPr>
          <w:rFonts w:ascii="Times New Roman;serif" w:hAnsi="Times New Roman;serif"/>
          <w:b w:val="false"/>
          <w:sz w:val="20"/>
        </w:rPr>
      </w:pPr>
      <w:r>
        <w:rPr>
          <w:rFonts w:ascii="Times New Roman;serif" w:hAnsi="Times New Roman;serif"/>
          <w:b w:val="false"/>
          <w:sz w:val="20"/>
        </w:rPr>
        <w:t>For the three months ended March 31, 2023 and 2022, the Company recorded foreign exchange net losses of $(0.1) million, resulting from changes in exchange rates related to foreign currency denominated monetary assets and liabilities.</w:t>
      </w:r>
    </w:p>
    <w:p>
      <w:pPr>
        <w:pStyle w:val="TextBody"/>
        <w:spacing w:before="200" w:after="0"/>
        <w:jc w:val="both"/>
        <w:rPr>
          <w:rFonts w:ascii="Times New Roman;serif" w:hAnsi="Times New Roman;serif"/>
          <w:b w:val="false"/>
          <w:sz w:val="20"/>
        </w:rPr>
      </w:pPr>
      <w:r>
        <w:rPr>
          <w:rFonts w:ascii="Times New Roman;serif" w:hAnsi="Times New Roman;serif"/>
          <w:b w:val="false"/>
          <w:sz w:val="20"/>
        </w:rPr>
        <w:t>The Company has entered into a series of foreign currency forward contracts to manage the risks associated with the volatility of foreign currencies. Certain of these foreign currency forward contracts met the criteria required for hedge accounting under the Derivatives and Hedging Topic of the FASB ASC at inception, and continue to meet hedge effectiveness tests as of March 31, 2023, with settlement dates throughout 2023 and 2024. Foreign currency derivatives are recognized and measured in the Condensed Consolidated Balance Sheets at fair value. Changes in the fair value (i.e., gains or losses) are recognized in the Condensed Consolidated Statements of Operations except for derivatives designated and qualifying as foreign currency cash flow hedging instruments. The Company currently has cash flow hedging instruments associated with Selling, General and Administrative Expenses. For foreign currency cash flow hedging instruments related to Selling, General and Administrative Expenses, the effective portion of the gain or loss in a hedge of a forecasted transaction is reported within Accumulated Other Comprehensive Income (Loss) and reclassified to the Condensed Consolidated Statements of Operations when the forecasted transaction occurs. Any ineffective portion is recognized immediately in the Condensed Consolidated Statements of Operations.</w:t>
      </w:r>
    </w:p>
    <w:p>
      <w:pPr>
        <w:pStyle w:val="TextBody"/>
        <w:spacing w:before="240" w:after="0"/>
        <w:jc w:val="center"/>
        <w:rPr>
          <w:rFonts w:ascii="Times New Roman;serif" w:hAnsi="Times New Roman;serif"/>
          <w:b w:val="false"/>
          <w:sz w:val="20"/>
        </w:rPr>
      </w:pPr>
      <w:r>
        <w:rPr>
          <w:rFonts w:ascii="Times New Roman;serif" w:hAnsi="Times New Roman;serif"/>
          <w:b w:val="false"/>
          <w:sz w:val="20"/>
        </w:rPr>
        <w:t>64</w:t>
      </w:r>
    </w:p>
    <w:p>
      <w:pPr>
        <w:pStyle w:val="HorizontalLine"/>
        <w:rPr/>
      </w:pPr>
      <w:r>
        <w:rPr/>
      </w:r>
    </w:p>
    <w:p>
      <w:pPr>
        <w:pStyle w:val="TextBody"/>
        <w:spacing w:before="0" w:after="0"/>
        <w:jc w:val="left"/>
        <w:rPr/>
      </w:pPr>
      <w:r>
        <w:rPr/>
        <w:t> </w:t>
      </w:r>
    </w:p>
    <w:p>
      <w:pPr>
        <w:pStyle w:val="TextBody"/>
        <w:spacing w:before="200" w:after="0"/>
        <w:jc w:val="both"/>
        <w:rPr>
          <w:rFonts w:ascii="Times New Roman" w:hAnsi="Times New Roman"/>
          <w:sz w:val="20"/>
        </w:rPr>
      </w:pPr>
      <w:r>
        <w:rPr>
          <w:rFonts w:ascii="Times New Roman;serif" w:hAnsi="Times New Roman;serif"/>
          <w:b w:val="false"/>
          <w:sz w:val="20"/>
        </w:rPr>
        <w:t>The notional value of foreign currency cash flow hedging instruments that qualify for hedge accounting as of March 31, 2023 was $34.4 million (December 31, 2022 — $24.7 million). A gain of $0.1 million was recorded to Other Comprehensive Income (Loss) with respect to the change in fair value of these contracts for the three months ended March 31, 2023, (2022 — gain of $0.3 million). A loss of $(0.3) million was reclassified from Accumulated Other Comprehensive Loss to Selling, General and Administrative Expenses for the three months ended March 31, 2023 (2022 — loss of less than $(0.1) million). The Company currently does not hold any derivatives which are not designated as hedging instruments.</w:t>
      </w:r>
      <w:r>
        <w:rPr>
          <w:rFonts w:ascii="Times New Roman" w:hAnsi="Times New Roman"/>
          <w:sz w:val="20"/>
        </w:rPr>
        <w:t xml:space="preserve"> </w:t>
      </w:r>
    </w:p>
    <w:p>
      <w:pPr>
        <w:pStyle w:val="TextBody"/>
        <w:spacing w:before="200" w:after="0"/>
        <w:jc w:val="both"/>
        <w:rPr>
          <w:rFonts w:ascii="Times New Roman;serif" w:hAnsi="Times New Roman;serif"/>
          <w:b w:val="false"/>
          <w:sz w:val="20"/>
        </w:rPr>
      </w:pPr>
      <w:r>
        <w:rPr>
          <w:rFonts w:ascii="Times New Roman;serif" w:hAnsi="Times New Roman;serif"/>
          <w:b w:val="false"/>
          <w:sz w:val="20"/>
        </w:rPr>
        <w:t>For all derivative instruments, the Company is subject to counterparty credit risk to the extent that the counterparty may not meet its obligations to the Company. To manage this risk, the Company enters into derivative transactions only with major financial institutions.</w:t>
      </w:r>
    </w:p>
    <w:p>
      <w:pPr>
        <w:pStyle w:val="TextBody"/>
        <w:spacing w:before="200" w:after="0"/>
        <w:jc w:val="both"/>
        <w:rPr>
          <w:rFonts w:ascii="Times New Roman;serif" w:hAnsi="Times New Roman;serif"/>
          <w:b w:val="false"/>
          <w:sz w:val="20"/>
        </w:rPr>
      </w:pPr>
      <w:r>
        <w:rPr>
          <w:rFonts w:ascii="Times New Roman;serif" w:hAnsi="Times New Roman;serif"/>
          <w:b w:val="false"/>
          <w:sz w:val="20"/>
        </w:rPr>
        <w:t>As of March 31, 2023, the Company’s Financing Receivables and working capital items denominated in Canadian Dollars, RMB, Japanese Yen, Euros and other foreign currencies translated into U.S. Dollars was $163.3 million. Assuming a 10% appreciation or depreciation in foreign currency exchange rates from the quoted foreign currency exchange rates as of March 31, 2023, the potential change in the fair value of foreign currency-denominated financing receivables and working capital items would have been $16.3 million. A significant portion of the Company’s Selling, General, and Administrative Expenses is denominated in Canadian Dollars. Assuming a 1% change appreciation or depreciation in foreign currency exchange rates as of March 31, 2023, the potential change in the amount of Selling, General, and Administrative Expenses would be $0.1 million.</w:t>
      </w:r>
    </w:p>
    <w:p>
      <w:pPr>
        <w:pStyle w:val="TextBody"/>
        <w:spacing w:before="200" w:after="0"/>
        <w:jc w:val="both"/>
        <w:rPr>
          <w:rFonts w:ascii="Times New Roman;serif" w:hAnsi="Times New Roman;serif"/>
          <w:b/>
          <w:sz w:val="20"/>
        </w:rPr>
      </w:pPr>
      <w:r>
        <w:rPr>
          <w:rFonts w:ascii="Times New Roman;serif" w:hAnsi="Times New Roman;serif"/>
          <w:b/>
          <w:sz w:val="20"/>
        </w:rPr>
        <w:t xml:space="preserve">Interest Rate Risk Management </w:t>
      </w:r>
    </w:p>
    <w:p>
      <w:pPr>
        <w:pStyle w:val="TextBody"/>
        <w:spacing w:before="200" w:after="0"/>
        <w:jc w:val="both"/>
        <w:rPr>
          <w:rFonts w:ascii="Times New Roman" w:hAnsi="Times New Roman"/>
          <w:sz w:val="20"/>
        </w:rPr>
      </w:pPr>
      <w:r>
        <w:rPr>
          <w:rFonts w:ascii="Times New Roman;serif" w:hAnsi="Times New Roman;serif"/>
          <w:b w:val="false"/>
          <w:sz w:val="20"/>
        </w:rPr>
        <w:t>The Company’s earnings may also be affected by changes in interest rates due to the impact those changes have on its interest income from cash, and its interest expense from variable-rate borrowings that may be made under the Credit Facility.</w:t>
      </w:r>
      <w:r>
        <w:rPr>
          <w:rFonts w:ascii="Times New Roman" w:hAnsi="Times New Roman"/>
          <w:sz w:val="20"/>
        </w:rPr>
        <w:t xml:space="preserve"> </w:t>
      </w:r>
    </w:p>
    <w:p>
      <w:pPr>
        <w:pStyle w:val="TextBody"/>
        <w:spacing w:before="200" w:after="0"/>
        <w:jc w:val="both"/>
        <w:rPr>
          <w:rFonts w:ascii="Times New Roman" w:hAnsi="Times New Roman"/>
          <w:sz w:val="20"/>
        </w:rPr>
      </w:pPr>
      <w:r>
        <w:rPr>
          <w:rFonts w:ascii="Times New Roman;serif" w:hAnsi="Times New Roman;serif"/>
          <w:b w:val="false"/>
          <w:sz w:val="20"/>
        </w:rPr>
        <w:t>As of March 31, 2023, the Company had drawn down $20.0 million on its Credit Facility (December 31, 2022 — $25.0 million), $12.2 million on its HSBC China Facility (December 31, 2022 — $12.5 million) and $0.4 million on its Bank of China Facility (December 31, 2022 — $0.4 million), which are subject to variable effective interest rates.</w:t>
      </w:r>
      <w:r>
        <w:rPr>
          <w:rFonts w:ascii="Times New Roman" w:hAnsi="Times New Roman"/>
          <w:sz w:val="20"/>
        </w:rPr>
        <w:t xml:space="preserve"> </w:t>
      </w:r>
    </w:p>
    <w:p>
      <w:pPr>
        <w:pStyle w:val="TextBody"/>
        <w:spacing w:before="200" w:after="0"/>
        <w:jc w:val="both"/>
        <w:rPr>
          <w:rFonts w:ascii="Times New Roman;serif" w:hAnsi="Times New Roman;serif"/>
          <w:b w:val="false"/>
          <w:sz w:val="20"/>
        </w:rPr>
      </w:pPr>
      <w:r>
        <w:rPr>
          <w:rFonts w:ascii="Times New Roman;serif" w:hAnsi="Times New Roman;serif"/>
          <w:b w:val="false"/>
          <w:sz w:val="20"/>
        </w:rPr>
        <w:t>The Company had variable rate debt instruments representing 6.7% and 7.7% of its total liabilities as of March 31, 2023 and December 31, 2022, respectively. If the interest rates available to the Company increased by 10%, the Company’s interest expense would increase by $0.2 million and interest income from cash would increase by $0.2 million. These amounts are determined by considering the impact of the hypothetical interest rates on the Company’s variable rate debt and cash balances as of March 31, 2023.</w:t>
      </w:r>
    </w:p>
    <w:p>
      <w:pPr>
        <w:pStyle w:val="TextBody"/>
        <w:spacing w:before="240" w:after="0"/>
        <w:jc w:val="center"/>
        <w:rPr>
          <w:rFonts w:ascii="Times New Roman;serif" w:hAnsi="Times New Roman;serif"/>
          <w:b w:val="false"/>
          <w:sz w:val="20"/>
        </w:rPr>
      </w:pPr>
      <w:r>
        <w:rPr>
          <w:rFonts w:ascii="Times New Roman;serif" w:hAnsi="Times New Roman;serif"/>
          <w:b w:val="false"/>
          <w:sz w:val="20"/>
        </w:rPr>
        <w:t>65</w:t>
      </w:r>
    </w:p>
    <w:p>
      <w:pPr>
        <w:pStyle w:val="HorizontalLine"/>
        <w:rPr/>
      </w:pPr>
      <w:r>
        <w:rPr/>
      </w:r>
    </w:p>
    <w:p>
      <w:pPr>
        <w:pStyle w:val="TextBody"/>
        <w:spacing w:before="0" w:after="0"/>
        <w:jc w:val="left"/>
        <w:rPr/>
      </w:pPr>
      <w:r>
        <w:rPr/>
        <w:t> </w:t>
      </w:r>
    </w:p>
    <w:p>
      <w:pPr>
        <w:pStyle w:val="TextBody"/>
        <w:spacing w:before="200" w:after="0"/>
        <w:jc w:val="both"/>
        <w:rPr>
          <w:rFonts w:ascii="Times New Roman" w:hAnsi="Times New Roman"/>
          <w:sz w:val="20"/>
        </w:rPr>
      </w:pPr>
      <w:bookmarkStart w:id="14" w:name="item_4_controls_procedures"/>
      <w:bookmarkEnd w:id="14"/>
      <w:r>
        <w:rPr>
          <w:rFonts w:ascii="Times New Roman;serif" w:hAnsi="Times New Roman;serif"/>
          <w:b/>
          <w:sz w:val="20"/>
        </w:rPr>
        <w:t>Item 4.</w:t>
      </w:r>
      <w:r>
        <w:rPr>
          <w:rFonts w:ascii="Times New Roman" w:hAnsi="Times New Roman"/>
          <w:sz w:val="20"/>
        </w:rPr>
        <w:t xml:space="preserve"> </w:t>
      </w:r>
      <w:r>
        <w:rPr>
          <w:rFonts w:ascii="Times New Roman;serif" w:hAnsi="Times New Roman;serif"/>
          <w:b/>
          <w:i/>
          <w:sz w:val="20"/>
        </w:rPr>
        <w:t>Controls and Procedures</w:t>
      </w:r>
    </w:p>
    <w:p>
      <w:pPr>
        <w:pStyle w:val="TextBody"/>
        <w:spacing w:before="200" w:after="0"/>
        <w:jc w:val="both"/>
        <w:rPr>
          <w:rFonts w:ascii="Times New Roman" w:hAnsi="Times New Roman"/>
          <w:sz w:val="20"/>
        </w:rPr>
      </w:pPr>
      <w:r>
        <w:rPr>
          <w:rFonts w:ascii="Times New Roman;serif" w:hAnsi="Times New Roman;serif"/>
          <w:b/>
          <w:sz w:val="20"/>
        </w:rPr>
        <w:t>EVALUATION OF DISCLOSURE CONTROLS AND PROCEDURES</w:t>
      </w:r>
      <w:r>
        <w:rPr>
          <w:rFonts w:ascii="Times New Roman" w:hAnsi="Times New Roman"/>
          <w:sz w:val="20"/>
        </w:rPr>
        <w:t xml:space="preserve"> </w:t>
      </w:r>
    </w:p>
    <w:p>
      <w:pPr>
        <w:pStyle w:val="TextBody"/>
        <w:spacing w:before="200" w:after="0"/>
        <w:jc w:val="both"/>
        <w:rPr>
          <w:rFonts w:ascii="Times New Roman;serif" w:hAnsi="Times New Roman;serif"/>
          <w:b w:val="false"/>
          <w:sz w:val="20"/>
        </w:rPr>
      </w:pPr>
      <w:r>
        <w:rPr>
          <w:rFonts w:ascii="Times New Roman;serif" w:hAnsi="Times New Roman;serif"/>
          <w:b w:val="false"/>
          <w:sz w:val="20"/>
        </w:rPr>
        <w:t>The Company maintains disclosure controls and procedures designed to ensure that information required to be disclosed in reports filed under the Securities Exchange Act of 1934, as amended, is recorded, processed, summarized and reported within the specified time periods and that such information is accumulated and communicated to management, including the CEO and the Chief Financial Officer (“CFO”), to allow timely discussions regarding required disclosure. There are inherent limitations to the effectiveness of any system of disclosure controls and procedures, including the possibility of human error and the circumvention or overriding of the controls and procedures. Accordingly, even effective disclosure controls and procedures can only provide reasonable assurance of achieving their control objectives.</w:t>
      </w:r>
    </w:p>
    <w:p>
      <w:pPr>
        <w:pStyle w:val="TextBody"/>
        <w:spacing w:before="200" w:after="0"/>
        <w:jc w:val="both"/>
        <w:rPr>
          <w:rFonts w:ascii="Times New Roman;serif" w:hAnsi="Times New Roman;serif"/>
          <w:b w:val="false"/>
          <w:sz w:val="20"/>
        </w:rPr>
      </w:pPr>
      <w:r>
        <w:rPr>
          <w:rFonts w:ascii="Times New Roman;serif" w:hAnsi="Times New Roman;serif"/>
          <w:b w:val="false"/>
          <w:sz w:val="20"/>
        </w:rPr>
        <w:t>The Company’s management, with the participation of its CEO and its CFO, has evaluated the effectiveness of the Company’s “disclosure controls and procedures” (as defined in the Securities Exchange Act of 1934 Rules 13a-15(e) or 15d-15(e)) as of March 31, 2023 and has concluded that, as of the end of the period covered by this report, the Company’s disclosure controls and procedures were effective. The Company will continue to periodically evaluate its disclosure controls and procedures and will make modifications from time to time as deemed necessary to ensure that information is recorded, processed, summarized and reported within the time periods specified in the SEC’s rules and forms.</w:t>
      </w:r>
    </w:p>
    <w:p>
      <w:pPr>
        <w:pStyle w:val="TextBody"/>
        <w:spacing w:before="200" w:after="0"/>
        <w:jc w:val="both"/>
        <w:rPr>
          <w:rFonts w:ascii="Times New Roman;serif" w:hAnsi="Times New Roman;serif"/>
          <w:b w:val="false"/>
          <w:sz w:val="20"/>
        </w:rPr>
      </w:pPr>
      <w:r>
        <w:rPr>
          <w:rFonts w:ascii="Times New Roman;serif" w:hAnsi="Times New Roman;serif"/>
          <w:b w:val="false"/>
          <w:sz w:val="20"/>
        </w:rPr>
        <w:t>On September 22, 2022, the Company acquired SSIMWAVE and commenced consolidating the assets, liabilities, and results of operations of SSIMWAVE in its financial reporting. Management has excluded SSIMWAVE from its assessment of internal control over financial reporting as of March 31, 2023, as it has been less than 12 months since it was acquired by the Company in a purchase business combination. SSIMWAVE is a wholly-owned subsidiary whose total assets and total revenues excluded from management’s assessment of internal control over financial reporting represent approximately 3% and 1%, respectively, of the related consolidated financial statement amounts as of and for the three months ended March 31, 2023.</w:t>
      </w:r>
    </w:p>
    <w:p>
      <w:pPr>
        <w:pStyle w:val="TextBody"/>
        <w:spacing w:before="200" w:after="0"/>
        <w:jc w:val="both"/>
        <w:rPr>
          <w:rFonts w:ascii="Times New Roman;serif" w:hAnsi="Times New Roman;serif"/>
          <w:b/>
          <w:sz w:val="20"/>
        </w:rPr>
      </w:pPr>
      <w:r>
        <w:rPr>
          <w:rFonts w:ascii="Times New Roman;serif" w:hAnsi="Times New Roman;serif"/>
          <w:b/>
          <w:sz w:val="20"/>
        </w:rPr>
        <w:t>CHANGES IN INTERNAL CONTROL OVER FINANCIAL REPORTING</w:t>
      </w:r>
    </w:p>
    <w:p>
      <w:pPr>
        <w:pStyle w:val="TextBody"/>
        <w:spacing w:before="200" w:after="0"/>
        <w:jc w:val="both"/>
        <w:rPr>
          <w:rFonts w:ascii="Times New Roman;serif" w:hAnsi="Times New Roman;serif"/>
          <w:b w:val="false"/>
          <w:sz w:val="20"/>
        </w:rPr>
      </w:pPr>
      <w:r>
        <w:rPr>
          <w:rFonts w:ascii="Times New Roman;serif" w:hAnsi="Times New Roman;serif"/>
          <w:b w:val="false"/>
          <w:sz w:val="20"/>
        </w:rPr>
        <w:t>There were no changes in the Company’s internal control over financial reporting which occurred during the three months ended March 31, 2023, that have materially affected, or are reasonably likely to materially affect, the Company’s internal control over financial reporting.</w:t>
      </w:r>
    </w:p>
    <w:p>
      <w:pPr>
        <w:pStyle w:val="TextBody"/>
        <w:spacing w:before="240" w:after="0"/>
        <w:jc w:val="center"/>
        <w:rPr>
          <w:rFonts w:ascii="Times New Roman;serif" w:hAnsi="Times New Roman;serif"/>
          <w:b w:val="false"/>
          <w:sz w:val="20"/>
        </w:rPr>
      </w:pPr>
      <w:r>
        <w:rPr>
          <w:rFonts w:ascii="Times New Roman;serif" w:hAnsi="Times New Roman;serif"/>
          <w:b w:val="false"/>
          <w:sz w:val="20"/>
        </w:rPr>
        <w:t>66</w:t>
      </w:r>
    </w:p>
    <w:p>
      <w:pPr>
        <w:pStyle w:val="HorizontalLine"/>
        <w:rPr/>
      </w:pPr>
      <w:r>
        <w:rPr/>
      </w:r>
    </w:p>
    <w:p>
      <w:pPr>
        <w:pStyle w:val="TextBody"/>
        <w:spacing w:before="0" w:after="0"/>
        <w:jc w:val="left"/>
        <w:rPr/>
      </w:pPr>
      <w:r>
        <w:rPr/>
        <w:t> </w:t>
      </w:r>
    </w:p>
    <w:p>
      <w:pPr>
        <w:pStyle w:val="TextBody"/>
        <w:spacing w:before="0" w:after="0"/>
        <w:jc w:val="center"/>
        <w:rPr>
          <w:rFonts w:ascii="Times New Roman" w:hAnsi="Times New Roman"/>
          <w:sz w:val="20"/>
        </w:rPr>
      </w:pPr>
      <w:bookmarkStart w:id="15" w:name="part_ii_or_information"/>
      <w:bookmarkEnd w:id="15"/>
      <w:r>
        <w:rPr>
          <w:rFonts w:ascii="Times New Roman;serif" w:hAnsi="Times New Roman;serif"/>
          <w:b/>
          <w:sz w:val="20"/>
        </w:rPr>
        <w:t>PART II. OTHER</w:t>
      </w:r>
      <w:r>
        <w:rPr>
          <w:rFonts w:ascii="Times New Roman" w:hAnsi="Times New Roman"/>
          <w:sz w:val="20"/>
        </w:rPr>
        <w:t xml:space="preserve"> </w:t>
      </w:r>
      <w:r>
        <w:rPr>
          <w:rFonts w:ascii="Times New Roman;serif" w:hAnsi="Times New Roman;serif"/>
          <w:b/>
          <w:sz w:val="20"/>
        </w:rPr>
        <w:t>INFORMATION</w:t>
      </w:r>
    </w:p>
    <w:p>
      <w:pPr>
        <w:pStyle w:val="TextBody"/>
        <w:spacing w:before="200" w:after="0"/>
        <w:jc w:val="left"/>
        <w:rPr>
          <w:rFonts w:ascii="Times New Roman" w:hAnsi="Times New Roman"/>
          <w:sz w:val="20"/>
        </w:rPr>
      </w:pPr>
      <w:bookmarkStart w:id="16" w:name="item_1_legal_proceedings"/>
      <w:bookmarkEnd w:id="16"/>
      <w:r>
        <w:rPr>
          <w:rFonts w:ascii="Times New Roman;serif" w:hAnsi="Times New Roman;serif"/>
          <w:b/>
          <w:sz w:val="20"/>
        </w:rPr>
        <w:t>Item 1.</w:t>
      </w:r>
      <w:r>
        <w:rPr>
          <w:rFonts w:ascii="Times New Roman" w:hAnsi="Times New Roman"/>
          <w:sz w:val="20"/>
        </w:rPr>
        <w:t xml:space="preserve"> </w:t>
      </w:r>
      <w:r>
        <w:rPr>
          <w:rFonts w:ascii="Times New Roman;serif" w:hAnsi="Times New Roman;serif"/>
          <w:b/>
          <w:i/>
          <w:sz w:val="20"/>
        </w:rPr>
        <w:t>Legal</w:t>
      </w:r>
      <w:r>
        <w:rPr>
          <w:rFonts w:ascii="Times New Roman" w:hAnsi="Times New Roman"/>
          <w:sz w:val="20"/>
        </w:rPr>
        <w:t xml:space="preserve"> </w:t>
      </w:r>
      <w:r>
        <w:rPr>
          <w:rFonts w:ascii="Times New Roman;serif" w:hAnsi="Times New Roman;serif"/>
          <w:b/>
          <w:i/>
          <w:sz w:val="20"/>
        </w:rPr>
        <w:t>Proceedings</w:t>
      </w:r>
    </w:p>
    <w:p>
      <w:pPr>
        <w:pStyle w:val="TextBody"/>
        <w:spacing w:before="200" w:after="0"/>
        <w:jc w:val="both"/>
        <w:rPr>
          <w:rFonts w:ascii="Times New Roman;serif" w:hAnsi="Times New Roman;serif"/>
          <w:b w:val="false"/>
          <w:sz w:val="20"/>
        </w:rPr>
      </w:pPr>
      <w:r>
        <w:rPr>
          <w:rFonts w:ascii="Times New Roman;serif" w:hAnsi="Times New Roman;serif"/>
          <w:b w:val="false"/>
          <w:sz w:val="20"/>
        </w:rPr>
        <w:t>See Note 7 of Notes to Condensed Consolidated Financial Statements in Part I, Item 1 for information regarding legal proceedings involving the Company.</w:t>
      </w:r>
    </w:p>
    <w:p>
      <w:pPr>
        <w:pStyle w:val="TextBody"/>
        <w:spacing w:before="200" w:after="0"/>
        <w:jc w:val="left"/>
        <w:rPr>
          <w:rFonts w:ascii="Times New Roman" w:hAnsi="Times New Roman"/>
          <w:sz w:val="20"/>
        </w:rPr>
      </w:pPr>
      <w:bookmarkStart w:id="17" w:name="item_1a_risk_factors"/>
      <w:bookmarkEnd w:id="17"/>
      <w:r>
        <w:rPr>
          <w:rFonts w:ascii="Times New Roman;serif" w:hAnsi="Times New Roman;serif"/>
          <w:b/>
          <w:sz w:val="20"/>
        </w:rPr>
        <w:t xml:space="preserve">Item 1A. </w:t>
      </w:r>
      <w:r>
        <w:rPr>
          <w:rFonts w:ascii="Times New Roman;serif" w:hAnsi="Times New Roman;serif"/>
          <w:b/>
          <w:i/>
          <w:sz w:val="20"/>
        </w:rPr>
        <w:t>Risk Factors</w:t>
      </w:r>
      <w:r>
        <w:rPr>
          <w:rFonts w:ascii="Times New Roman" w:hAnsi="Times New Roman"/>
          <w:sz w:val="20"/>
        </w:rPr>
        <w:t xml:space="preserve"> </w:t>
      </w:r>
    </w:p>
    <w:p>
      <w:pPr>
        <w:pStyle w:val="TextBody"/>
        <w:spacing w:before="200" w:after="0"/>
        <w:jc w:val="both"/>
        <w:rPr>
          <w:rFonts w:ascii="Times New Roman;serif" w:hAnsi="Times New Roman;serif"/>
          <w:b w:val="false"/>
          <w:sz w:val="20"/>
        </w:rPr>
      </w:pPr>
      <w:r>
        <w:rPr>
          <w:rFonts w:ascii="Times New Roman;serif" w:hAnsi="Times New Roman;serif"/>
          <w:b w:val="false"/>
          <w:sz w:val="20"/>
        </w:rPr>
        <w:t>This Form 10-Q should be read together with the risk factors in Item 1A. Risk Factors in the Company’s 2022 Form 10-K, which describes various risks and uncertainties to which the Company is or may become subject. The risks described in the Company’s 2022 Form 10-K are not the only risks facing the Company. Additional risks and uncertainties not currently known to the Company or that the Company currently deems to be immaterial also may materially adversely affect its business, financial condition and/or operating results.</w:t>
      </w:r>
    </w:p>
    <w:p>
      <w:pPr>
        <w:pStyle w:val="TextBody"/>
        <w:spacing w:before="200" w:after="0"/>
        <w:jc w:val="left"/>
        <w:rPr>
          <w:rFonts w:ascii="Times New Roman" w:hAnsi="Times New Roman"/>
          <w:sz w:val="20"/>
        </w:rPr>
      </w:pPr>
      <w:bookmarkStart w:id="18" w:name="item_2_unregistered_sales_equity_securit"/>
      <w:bookmarkEnd w:id="18"/>
      <w:r>
        <w:rPr>
          <w:rFonts w:ascii="Times New Roman;serif" w:hAnsi="Times New Roman;serif"/>
          <w:b/>
          <w:sz w:val="20"/>
        </w:rPr>
        <w:t>Item 2.</w:t>
      </w:r>
      <w:r>
        <w:rPr>
          <w:rFonts w:ascii="Times New Roman" w:hAnsi="Times New Roman"/>
          <w:sz w:val="20"/>
        </w:rPr>
        <w:t xml:space="preserve"> </w:t>
      </w:r>
      <w:r>
        <w:rPr>
          <w:rFonts w:ascii="Times New Roman;serif" w:hAnsi="Times New Roman;serif"/>
          <w:b/>
          <w:i/>
          <w:sz w:val="20"/>
        </w:rPr>
        <w:t>Unregistered Sales of Equity Securities and Use of Proceeds</w:t>
      </w:r>
    </w:p>
    <w:p>
      <w:pPr>
        <w:pStyle w:val="TextBody"/>
        <w:spacing w:before="200" w:after="0"/>
        <w:jc w:val="left"/>
        <w:rPr>
          <w:rFonts w:ascii="Times New Roman;serif" w:hAnsi="Times New Roman;serif"/>
          <w:b/>
          <w:sz w:val="20"/>
        </w:rPr>
      </w:pPr>
      <w:r>
        <w:rPr>
          <w:rFonts w:ascii="Times New Roman;serif" w:hAnsi="Times New Roman;serif"/>
          <w:b/>
          <w:sz w:val="20"/>
        </w:rPr>
        <w:t>Issuer Purchases of Equity Securities</w:t>
      </w:r>
    </w:p>
    <w:p>
      <w:pPr>
        <w:pStyle w:val="TextBody"/>
        <w:spacing w:before="200" w:after="0"/>
        <w:jc w:val="both"/>
        <w:rPr>
          <w:rFonts w:ascii="Times New Roman" w:hAnsi="Times New Roman"/>
          <w:sz w:val="20"/>
        </w:rPr>
      </w:pPr>
      <w:r>
        <w:rPr>
          <w:rFonts w:ascii="Times New Roman;serif" w:hAnsi="Times New Roman;serif"/>
          <w:b w:val="false"/>
          <w:sz w:val="20"/>
        </w:rPr>
        <w:t>In 2022, the Company’s Board of Directors approved a 12-month extension to its share repurchase program through June 30, 2023 and an increase of $200.0 million in the share repurchase program, respectively. With the increase of $200.0 million, the Company’s total share repurchase authority is $400.0 million under the current share repurchase program. As of March 31, 2023, the Company had $191.8 million available under the repurchase program. The repurchases may be made either in the open market or through private transactions, including repurchases made pursuant to a plan intended to comply with Rule 10b5-1 under the Securities Exchange Act of 1934, as amended, subject to market conditions, applicable legal requirements, and other relevant factors. The Company has no obligation to repurchase shares and the share repurchase program may be suspended or discontinued by the Company at any time.</w:t>
      </w:r>
      <w:r>
        <w:rPr>
          <w:rFonts w:ascii="Times New Roman" w:hAnsi="Times New Roman"/>
          <w:sz w:val="20"/>
        </w:rPr>
        <w:t xml:space="preserve"> </w:t>
      </w:r>
    </w:p>
    <w:p>
      <w:pPr>
        <w:pStyle w:val="TextBody"/>
        <w:spacing w:before="200" w:after="0"/>
        <w:jc w:val="both"/>
        <w:rPr>
          <w:rFonts w:ascii="Times New Roman;serif" w:hAnsi="Times New Roman;serif"/>
          <w:b w:val="false"/>
          <w:sz w:val="20"/>
        </w:rPr>
      </w:pPr>
      <w:r>
        <w:rPr>
          <w:rFonts w:ascii="Times New Roman;serif" w:hAnsi="Times New Roman;serif"/>
          <w:b w:val="false"/>
          <w:sz w:val="20"/>
        </w:rPr>
        <w:t>During the three months ended March 31, 2023, the Company repurchased 109,477 common shares at an average price of $14.87 per share for a total of $1.6 million, excluding commission.</w:t>
      </w:r>
    </w:p>
    <w:p>
      <w:pPr>
        <w:pStyle w:val="TextBody"/>
        <w:spacing w:before="200" w:after="200"/>
        <w:jc w:val="both"/>
        <w:rPr>
          <w:rFonts w:ascii="Times New Roman;serif" w:hAnsi="Times New Roman;serif"/>
          <w:b w:val="false"/>
          <w:sz w:val="20"/>
        </w:rPr>
      </w:pPr>
      <w:r>
        <w:rPr>
          <w:rFonts w:ascii="Times New Roman;serif" w:hAnsi="Times New Roman;serif"/>
          <w:b w:val="false"/>
          <w:sz w:val="20"/>
        </w:rPr>
        <w:t>The Company’s common share repurchase program activity for the three months ended March 31, 2023 was as follows:</w:t>
      </w:r>
    </w:p>
    <w:tbl>
      <w:tblPr>
        <w:tblW w:w="10205" w:type="dxa"/>
        <w:jc w:val="left"/>
        <w:tblInd w:w="0" w:type="dxa"/>
        <w:tblCellMar>
          <w:top w:w="28" w:type="dxa"/>
          <w:left w:w="28" w:type="dxa"/>
          <w:bottom w:w="28" w:type="dxa"/>
          <w:right w:w="28" w:type="dxa"/>
        </w:tblCellMar>
      </w:tblPr>
      <w:tblGrid>
        <w:gridCol w:w="1470"/>
        <w:gridCol w:w="214"/>
        <w:gridCol w:w="1147"/>
        <w:gridCol w:w="146"/>
        <w:gridCol w:w="146"/>
        <w:gridCol w:w="288"/>
        <w:gridCol w:w="199"/>
        <w:gridCol w:w="779"/>
        <w:gridCol w:w="146"/>
        <w:gridCol w:w="146"/>
        <w:gridCol w:w="334"/>
        <w:gridCol w:w="1792"/>
        <w:gridCol w:w="146"/>
        <w:gridCol w:w="146"/>
        <w:gridCol w:w="409"/>
        <w:gridCol w:w="283"/>
        <w:gridCol w:w="2216"/>
        <w:gridCol w:w="198"/>
      </w:tblGrid>
      <w:tr>
        <w:trPr/>
        <w:tc>
          <w:tcPr>
            <w:tcW w:w="1470" w:type="dxa"/>
            <w:tcBorders/>
            <w:shd w:fill="auto" w:val="clear"/>
            <w:vAlign w:val="center"/>
          </w:tcPr>
          <w:p>
            <w:pPr>
              <w:pStyle w:val="TableContents"/>
              <w:spacing w:before="0" w:after="283"/>
              <w:rPr>
                <w:sz w:val="4"/>
                <w:szCs w:val="4"/>
              </w:rPr>
            </w:pPr>
            <w:r>
              <w:rPr>
                <w:sz w:val="4"/>
                <w:szCs w:val="4"/>
              </w:rPr>
            </w:r>
          </w:p>
        </w:tc>
        <w:tc>
          <w:tcPr>
            <w:tcW w:w="214" w:type="dxa"/>
            <w:tcBorders/>
            <w:shd w:fill="auto" w:val="clear"/>
            <w:vAlign w:val="center"/>
          </w:tcPr>
          <w:p>
            <w:pPr>
              <w:pStyle w:val="TableContents"/>
              <w:spacing w:before="0" w:after="283"/>
              <w:rPr>
                <w:sz w:val="4"/>
                <w:szCs w:val="4"/>
              </w:rPr>
            </w:pPr>
            <w:r>
              <w:rPr>
                <w:sz w:val="4"/>
                <w:szCs w:val="4"/>
              </w:rPr>
            </w:r>
          </w:p>
        </w:tc>
        <w:tc>
          <w:tcPr>
            <w:tcW w:w="1147"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88" w:type="dxa"/>
            <w:tcBorders/>
            <w:shd w:fill="auto" w:val="clear"/>
            <w:vAlign w:val="center"/>
          </w:tcPr>
          <w:p>
            <w:pPr>
              <w:pStyle w:val="TableContents"/>
              <w:spacing w:before="0" w:after="283"/>
              <w:rPr>
                <w:sz w:val="4"/>
                <w:szCs w:val="4"/>
              </w:rPr>
            </w:pPr>
            <w:r>
              <w:rPr>
                <w:sz w:val="4"/>
                <w:szCs w:val="4"/>
              </w:rPr>
            </w:r>
          </w:p>
        </w:tc>
        <w:tc>
          <w:tcPr>
            <w:tcW w:w="199" w:type="dxa"/>
            <w:tcBorders/>
            <w:shd w:fill="auto" w:val="clear"/>
            <w:vAlign w:val="center"/>
          </w:tcPr>
          <w:p>
            <w:pPr>
              <w:pStyle w:val="TableContents"/>
              <w:spacing w:before="0" w:after="283"/>
              <w:rPr>
                <w:sz w:val="4"/>
                <w:szCs w:val="4"/>
              </w:rPr>
            </w:pPr>
            <w:r>
              <w:rPr>
                <w:sz w:val="4"/>
                <w:szCs w:val="4"/>
              </w:rPr>
            </w:r>
          </w:p>
        </w:tc>
        <w:tc>
          <w:tcPr>
            <w:tcW w:w="779"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334" w:type="dxa"/>
            <w:tcBorders/>
            <w:shd w:fill="auto" w:val="clear"/>
            <w:vAlign w:val="center"/>
          </w:tcPr>
          <w:p>
            <w:pPr>
              <w:pStyle w:val="TableContents"/>
              <w:spacing w:before="0" w:after="283"/>
              <w:rPr>
                <w:sz w:val="4"/>
                <w:szCs w:val="4"/>
              </w:rPr>
            </w:pPr>
            <w:r>
              <w:rPr>
                <w:sz w:val="4"/>
                <w:szCs w:val="4"/>
              </w:rPr>
            </w:r>
          </w:p>
        </w:tc>
        <w:tc>
          <w:tcPr>
            <w:tcW w:w="1792"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409" w:type="dxa"/>
            <w:tcBorders/>
            <w:shd w:fill="auto" w:val="clear"/>
            <w:vAlign w:val="center"/>
          </w:tcPr>
          <w:p>
            <w:pPr>
              <w:pStyle w:val="TableContents"/>
              <w:spacing w:before="0" w:after="283"/>
              <w:rPr>
                <w:sz w:val="4"/>
                <w:szCs w:val="4"/>
              </w:rPr>
            </w:pPr>
            <w:r>
              <w:rPr>
                <w:sz w:val="4"/>
                <w:szCs w:val="4"/>
              </w:rPr>
            </w:r>
          </w:p>
        </w:tc>
        <w:tc>
          <w:tcPr>
            <w:tcW w:w="283" w:type="dxa"/>
            <w:tcBorders/>
            <w:shd w:fill="auto" w:val="clear"/>
            <w:vAlign w:val="center"/>
          </w:tcPr>
          <w:p>
            <w:pPr>
              <w:pStyle w:val="TableContents"/>
              <w:spacing w:before="0" w:after="283"/>
              <w:rPr>
                <w:sz w:val="4"/>
                <w:szCs w:val="4"/>
              </w:rPr>
            </w:pPr>
            <w:r>
              <w:rPr>
                <w:sz w:val="4"/>
                <w:szCs w:val="4"/>
              </w:rPr>
            </w:r>
          </w:p>
        </w:tc>
        <w:tc>
          <w:tcPr>
            <w:tcW w:w="2216" w:type="dxa"/>
            <w:tcBorders/>
            <w:shd w:fill="auto" w:val="clear"/>
            <w:vAlign w:val="center"/>
          </w:tcPr>
          <w:p>
            <w:pPr>
              <w:pStyle w:val="TableContents"/>
              <w:spacing w:before="0" w:after="283"/>
              <w:rPr>
                <w:sz w:val="4"/>
                <w:szCs w:val="4"/>
              </w:rPr>
            </w:pPr>
            <w:r>
              <w:rPr>
                <w:sz w:val="4"/>
                <w:szCs w:val="4"/>
              </w:rPr>
            </w:r>
          </w:p>
        </w:tc>
        <w:tc>
          <w:tcPr>
            <w:tcW w:w="198" w:type="dxa"/>
            <w:tcBorders/>
            <w:shd w:fill="auto" w:val="clear"/>
            <w:vAlign w:val="center"/>
          </w:tcPr>
          <w:p>
            <w:pPr>
              <w:pStyle w:val="TableContents"/>
              <w:spacing w:before="0" w:after="283"/>
              <w:rPr>
                <w:sz w:val="4"/>
                <w:szCs w:val="4"/>
              </w:rPr>
            </w:pPr>
            <w:r>
              <w:rPr>
                <w:sz w:val="4"/>
                <w:szCs w:val="4"/>
              </w:rPr>
            </w:r>
          </w:p>
        </w:tc>
      </w:tr>
      <w:tr>
        <w:trPr/>
        <w:tc>
          <w:tcPr>
            <w:tcW w:w="1470" w:type="dxa"/>
            <w:tcBorders/>
            <w:shd w:fill="auto" w:val="clear"/>
            <w:vAlign w:val="center"/>
          </w:tcPr>
          <w:p>
            <w:pPr>
              <w:pStyle w:val="TableContents"/>
              <w:spacing w:before="0" w:after="0"/>
              <w:ind w:left="0" w:right="0" w:hanging="0"/>
              <w:jc w:val="left"/>
              <w:rPr/>
            </w:pPr>
            <w:r>
              <w:rPr/>
              <w:t> </w:t>
            </w:r>
          </w:p>
        </w:tc>
        <w:tc>
          <w:tcPr>
            <w:tcW w:w="1361"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Total number of shares purchased</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1266" w:type="dxa"/>
            <w:gridSpan w:val="3"/>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Average price paid per share</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2126"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Total number of shares purchased as part of publicly announced program</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908" w:type="dxa"/>
            <w:gridSpan w:val="3"/>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Maximum approximate dollar value of shares that may yet be purchased under the program</w:t>
            </w:r>
          </w:p>
        </w:tc>
        <w:tc>
          <w:tcPr>
            <w:tcW w:w="198"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1470"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January 1 through January 31, 2023</w:t>
            </w:r>
          </w:p>
        </w:tc>
        <w:tc>
          <w:tcPr>
            <w:tcW w:w="214" w:type="dxa"/>
            <w:tcBorders/>
            <w:shd w:fill="auto" w:val="clear"/>
            <w:vAlign w:val="center"/>
          </w:tcPr>
          <w:p>
            <w:pPr>
              <w:pStyle w:val="TableContents"/>
              <w:spacing w:before="0" w:after="0"/>
              <w:ind w:left="0" w:right="0" w:hanging="0"/>
              <w:jc w:val="left"/>
              <w:rPr/>
            </w:pPr>
            <w:r>
              <w:rPr/>
              <w:t> </w:t>
            </w:r>
          </w:p>
        </w:tc>
        <w:tc>
          <w:tcPr>
            <w:tcW w:w="1147"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109,477</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88"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99" w:type="dxa"/>
            <w:tcBorders/>
            <w:shd w:fill="auto" w:val="clear"/>
            <w:vAlign w:val="center"/>
          </w:tcPr>
          <w:p>
            <w:pPr>
              <w:pStyle w:val="TableContents"/>
              <w:spacing w:before="0" w:after="0"/>
              <w:ind w:left="0" w:right="0" w:hanging="0"/>
              <w:jc w:val="left"/>
              <w:rPr/>
            </w:pPr>
            <w:r>
              <w:rPr/>
              <w:t> </w:t>
            </w:r>
          </w:p>
        </w:tc>
        <w:tc>
          <w:tcPr>
            <w:tcW w:w="779"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14.87</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334" w:type="dxa"/>
            <w:tcBorders/>
            <w:shd w:fill="auto" w:val="clear"/>
            <w:vAlign w:val="center"/>
          </w:tcPr>
          <w:p>
            <w:pPr>
              <w:pStyle w:val="TableContents"/>
              <w:spacing w:before="0" w:after="0"/>
              <w:ind w:left="0" w:right="0" w:hanging="0"/>
              <w:jc w:val="left"/>
              <w:rPr/>
            </w:pPr>
            <w:r>
              <w:rPr/>
              <w:t> </w:t>
            </w:r>
          </w:p>
        </w:tc>
        <w:tc>
          <w:tcPr>
            <w:tcW w:w="1792"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109,477</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409"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283" w:type="dxa"/>
            <w:tcBorders/>
            <w:shd w:fill="auto" w:val="clear"/>
            <w:vAlign w:val="center"/>
          </w:tcPr>
          <w:p>
            <w:pPr>
              <w:pStyle w:val="TableContents"/>
              <w:spacing w:before="0" w:after="0"/>
              <w:ind w:left="0" w:right="0" w:hanging="0"/>
              <w:jc w:val="left"/>
              <w:rPr/>
            </w:pPr>
            <w:r>
              <w:rPr/>
              <w:t> </w:t>
            </w:r>
          </w:p>
        </w:tc>
        <w:tc>
          <w:tcPr>
            <w:tcW w:w="221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191,805,295</w:t>
            </w:r>
          </w:p>
        </w:tc>
        <w:tc>
          <w:tcPr>
            <w:tcW w:w="198" w:type="dxa"/>
            <w:tcBorders/>
            <w:shd w:fill="auto" w:val="clear"/>
            <w:vAlign w:val="center"/>
          </w:tcPr>
          <w:p>
            <w:pPr>
              <w:pStyle w:val="TableContents"/>
              <w:spacing w:before="0" w:after="0"/>
              <w:ind w:left="0" w:right="0" w:hanging="0"/>
              <w:jc w:val="left"/>
              <w:rPr/>
            </w:pPr>
            <w:r>
              <w:rPr/>
              <w:t> </w:t>
            </w:r>
          </w:p>
        </w:tc>
      </w:tr>
      <w:tr>
        <w:trPr/>
        <w:tc>
          <w:tcPr>
            <w:tcW w:w="1470"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February 1 through February 28, 2023</w:t>
            </w:r>
          </w:p>
        </w:tc>
        <w:tc>
          <w:tcPr>
            <w:tcW w:w="214" w:type="dxa"/>
            <w:tcBorders/>
            <w:shd w:fill="auto" w:val="clear"/>
            <w:vAlign w:val="center"/>
          </w:tcPr>
          <w:p>
            <w:pPr>
              <w:pStyle w:val="TableContents"/>
              <w:spacing w:before="0" w:after="0"/>
              <w:ind w:left="0" w:right="0" w:hanging="0"/>
              <w:jc w:val="left"/>
              <w:rPr/>
            </w:pPr>
            <w:r>
              <w:rPr/>
              <w:t> </w:t>
            </w:r>
          </w:p>
        </w:tc>
        <w:tc>
          <w:tcPr>
            <w:tcW w:w="1147"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88" w:type="dxa"/>
            <w:tcBorders/>
            <w:shd w:fill="auto" w:val="clear"/>
            <w:vAlign w:val="center"/>
          </w:tcPr>
          <w:p>
            <w:pPr>
              <w:pStyle w:val="TableContents"/>
              <w:spacing w:before="0" w:after="0"/>
              <w:ind w:left="0" w:right="0" w:hanging="0"/>
              <w:jc w:val="left"/>
              <w:rPr/>
            </w:pPr>
            <w:r>
              <w:rPr/>
              <w:t> </w:t>
            </w:r>
          </w:p>
        </w:tc>
        <w:tc>
          <w:tcPr>
            <w:tcW w:w="199" w:type="dxa"/>
            <w:tcBorders/>
            <w:shd w:fill="auto" w:val="clear"/>
            <w:vAlign w:val="center"/>
          </w:tcPr>
          <w:p>
            <w:pPr>
              <w:pStyle w:val="TableContents"/>
              <w:spacing w:before="0" w:after="0"/>
              <w:ind w:left="0" w:right="0" w:hanging="0"/>
              <w:jc w:val="left"/>
              <w:rPr/>
            </w:pPr>
            <w:r>
              <w:rPr/>
              <w:t> </w:t>
            </w:r>
          </w:p>
        </w:tc>
        <w:tc>
          <w:tcPr>
            <w:tcW w:w="779"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334" w:type="dxa"/>
            <w:tcBorders/>
            <w:shd w:fill="auto" w:val="clear"/>
            <w:vAlign w:val="center"/>
          </w:tcPr>
          <w:p>
            <w:pPr>
              <w:pStyle w:val="TableContents"/>
              <w:spacing w:before="0" w:after="0"/>
              <w:ind w:left="0" w:right="0" w:hanging="0"/>
              <w:jc w:val="left"/>
              <w:rPr/>
            </w:pPr>
            <w:r>
              <w:rPr/>
              <w:t> </w:t>
            </w:r>
          </w:p>
        </w:tc>
        <w:tc>
          <w:tcPr>
            <w:tcW w:w="1792"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409" w:type="dxa"/>
            <w:tcBorders/>
            <w:shd w:fill="auto" w:val="clear"/>
            <w:vAlign w:val="center"/>
          </w:tcPr>
          <w:p>
            <w:pPr>
              <w:pStyle w:val="TableContents"/>
              <w:spacing w:before="0" w:after="0"/>
              <w:ind w:left="0" w:right="0" w:hanging="0"/>
              <w:jc w:val="left"/>
              <w:rPr/>
            </w:pPr>
            <w:r>
              <w:rPr/>
              <w:t> </w:t>
            </w:r>
          </w:p>
        </w:tc>
        <w:tc>
          <w:tcPr>
            <w:tcW w:w="283" w:type="dxa"/>
            <w:tcBorders/>
            <w:shd w:fill="auto" w:val="clear"/>
            <w:vAlign w:val="center"/>
          </w:tcPr>
          <w:p>
            <w:pPr>
              <w:pStyle w:val="TableContents"/>
              <w:spacing w:before="0" w:after="0"/>
              <w:ind w:left="0" w:right="0" w:hanging="0"/>
              <w:jc w:val="left"/>
              <w:rPr/>
            </w:pPr>
            <w:r>
              <w:rPr/>
              <w:t> </w:t>
            </w:r>
          </w:p>
        </w:tc>
        <w:tc>
          <w:tcPr>
            <w:tcW w:w="221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191,805,295</w:t>
            </w:r>
          </w:p>
        </w:tc>
        <w:tc>
          <w:tcPr>
            <w:tcW w:w="198" w:type="dxa"/>
            <w:tcBorders/>
            <w:shd w:fill="auto" w:val="clear"/>
            <w:vAlign w:val="center"/>
          </w:tcPr>
          <w:p>
            <w:pPr>
              <w:pStyle w:val="TableContents"/>
              <w:spacing w:before="0" w:after="0"/>
              <w:ind w:left="0" w:right="0" w:hanging="0"/>
              <w:jc w:val="left"/>
              <w:rPr/>
            </w:pPr>
            <w:r>
              <w:rPr/>
              <w:t> </w:t>
            </w:r>
          </w:p>
        </w:tc>
      </w:tr>
      <w:tr>
        <w:trPr/>
        <w:tc>
          <w:tcPr>
            <w:tcW w:w="1470"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March 1 through March 31, 2023</w:t>
            </w:r>
          </w:p>
        </w:tc>
        <w:tc>
          <w:tcPr>
            <w:tcW w:w="214"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147"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pPr>
            <w:r>
              <w:rPr/>
              <w:t>—</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88"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99"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779"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pPr>
            <w:r>
              <w:rPr/>
              <w:t>—</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334"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792"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pPr>
            <w:r>
              <w:rPr/>
              <w:t>—</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409" w:type="dxa"/>
            <w:tcBorders/>
            <w:shd w:fill="auto" w:val="clear"/>
            <w:vAlign w:val="center"/>
          </w:tcPr>
          <w:p>
            <w:pPr>
              <w:pStyle w:val="TableContents"/>
              <w:spacing w:before="0" w:after="0"/>
              <w:ind w:left="0" w:right="0" w:hanging="0"/>
              <w:jc w:val="left"/>
              <w:rPr/>
            </w:pPr>
            <w:r>
              <w:rPr/>
              <w:t> </w:t>
            </w:r>
          </w:p>
        </w:tc>
        <w:tc>
          <w:tcPr>
            <w:tcW w:w="283" w:type="dxa"/>
            <w:tcBorders/>
            <w:shd w:fill="auto" w:val="clear"/>
            <w:vAlign w:val="center"/>
          </w:tcPr>
          <w:p>
            <w:pPr>
              <w:pStyle w:val="TableContents"/>
              <w:spacing w:before="0" w:after="0"/>
              <w:ind w:left="0" w:right="0" w:hanging="0"/>
              <w:jc w:val="left"/>
              <w:rPr/>
            </w:pPr>
            <w:r>
              <w:rPr/>
              <w:t> </w:t>
            </w:r>
          </w:p>
        </w:tc>
        <w:tc>
          <w:tcPr>
            <w:tcW w:w="221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191,805,295</w:t>
            </w:r>
          </w:p>
        </w:tc>
        <w:tc>
          <w:tcPr>
            <w:tcW w:w="198" w:type="dxa"/>
            <w:tcBorders/>
            <w:shd w:fill="auto" w:val="clear"/>
            <w:vAlign w:val="center"/>
          </w:tcPr>
          <w:p>
            <w:pPr>
              <w:pStyle w:val="TableContents"/>
              <w:spacing w:before="0" w:after="0"/>
              <w:ind w:left="0" w:right="0" w:hanging="0"/>
              <w:jc w:val="left"/>
              <w:rPr/>
            </w:pPr>
            <w:r>
              <w:rPr/>
              <w:t> </w:t>
            </w:r>
          </w:p>
        </w:tc>
      </w:tr>
      <w:tr>
        <w:trPr/>
        <w:tc>
          <w:tcPr>
            <w:tcW w:w="1470"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Total</w:t>
            </w:r>
          </w:p>
        </w:tc>
        <w:tc>
          <w:tcPr>
            <w:tcW w:w="214"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147"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109,477</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88"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99"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779"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14.87</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334"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792"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109,477</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409" w:type="dxa"/>
            <w:tcBorders/>
            <w:shd w:fill="auto" w:val="clear"/>
            <w:vAlign w:val="center"/>
          </w:tcPr>
          <w:p>
            <w:pPr>
              <w:pStyle w:val="TableContents"/>
              <w:spacing w:before="0" w:after="0"/>
              <w:ind w:left="0" w:right="0" w:hanging="0"/>
              <w:jc w:val="left"/>
              <w:rPr/>
            </w:pPr>
            <w:r>
              <w:rPr/>
              <w:t> </w:t>
            </w:r>
          </w:p>
        </w:tc>
        <w:tc>
          <w:tcPr>
            <w:tcW w:w="2499" w:type="dxa"/>
            <w:gridSpan w:val="2"/>
            <w:tcBorders/>
            <w:shd w:fill="auto" w:val="clear"/>
            <w:vAlign w:val="center"/>
          </w:tcPr>
          <w:p>
            <w:pPr>
              <w:pStyle w:val="TableContents"/>
              <w:spacing w:before="0" w:after="0"/>
              <w:ind w:left="0" w:right="0" w:hanging="0"/>
              <w:jc w:val="left"/>
              <w:rPr/>
            </w:pPr>
            <w:r>
              <w:rPr/>
              <w:t> </w:t>
            </w:r>
          </w:p>
        </w:tc>
        <w:tc>
          <w:tcPr>
            <w:tcW w:w="198" w:type="dxa"/>
            <w:tcBorders/>
            <w:shd w:fill="auto" w:val="clear"/>
            <w:vAlign w:val="center"/>
          </w:tcPr>
          <w:p>
            <w:pPr>
              <w:pStyle w:val="TableContents"/>
              <w:spacing w:before="0" w:after="0"/>
              <w:ind w:left="0" w:right="0" w:hanging="0"/>
              <w:jc w:val="left"/>
              <w:rPr/>
            </w:pPr>
            <w:r>
              <w:rPr/>
              <w:t> </w:t>
            </w:r>
          </w:p>
        </w:tc>
      </w:tr>
    </w:tbl>
    <w:p>
      <w:pPr>
        <w:pStyle w:val="TextBody"/>
        <w:spacing w:before="200" w:after="0"/>
        <w:jc w:val="both"/>
        <w:rPr>
          <w:rFonts w:ascii="Times New Roman" w:hAnsi="Times New Roman"/>
          <w:sz w:val="20"/>
        </w:rPr>
      </w:pPr>
      <w:r>
        <w:rPr>
          <w:rFonts w:ascii="Times New Roman;serif" w:hAnsi="Times New Roman;serif"/>
          <w:b w:val="false"/>
          <w:sz w:val="20"/>
        </w:rPr>
        <w:t>In 2022, IMAX China’s shareholders granted its Board of Directors a general mandate authorizing the Board, subject to applicable laws, to repurchase shares of IMAX China not to exceed 10% of the total number of issued shares as of June 23, 2022 (34,063,480 shares). This program will be valid until the 2023 Annual General Meeting of IMAX China on June 6, 2023. The repurchases may be made in the open market or through other means permitted by applicable laws. IMAX China has no obligation to repurchase its shares and the share repurchase program may be suspended or discontinued by IMAX China at any time. During the three months ended March 31, 2023, IMAX China did not repurchase any common shares.</w:t>
      </w:r>
      <w:r>
        <w:rPr>
          <w:rFonts w:ascii="Times New Roman" w:hAnsi="Times New Roman"/>
          <w:sz w:val="20"/>
        </w:rPr>
        <w:t xml:space="preserve"> </w:t>
      </w:r>
    </w:p>
    <w:p>
      <w:pPr>
        <w:pStyle w:val="TextBody"/>
        <w:spacing w:before="200" w:after="0"/>
        <w:jc w:val="both"/>
        <w:rPr>
          <w:rFonts w:ascii="Times New Roman;serif" w:hAnsi="Times New Roman;serif"/>
          <w:b w:val="false"/>
          <w:sz w:val="20"/>
        </w:rPr>
      </w:pPr>
      <w:r>
        <w:rPr>
          <w:rFonts w:ascii="Times New Roman;serif" w:hAnsi="Times New Roman;serif"/>
          <w:b w:val="false"/>
          <w:sz w:val="20"/>
        </w:rPr>
        <w:t>(See Note 6 of Notes to Condensed Consolidated Financial Statements in Part I, Item 1 for a summary of the material terms and conditions of the Company’s revolving credit facility, which include a limitation of the amount of permitted share repurchases.)</w:t>
      </w:r>
    </w:p>
    <w:p>
      <w:pPr>
        <w:pStyle w:val="TextBody"/>
        <w:spacing w:before="240" w:after="0"/>
        <w:jc w:val="center"/>
        <w:rPr>
          <w:rFonts w:ascii="Times New Roman;serif" w:hAnsi="Times New Roman;serif"/>
          <w:b w:val="false"/>
          <w:sz w:val="20"/>
        </w:rPr>
      </w:pPr>
      <w:r>
        <w:rPr>
          <w:rFonts w:ascii="Times New Roman;serif" w:hAnsi="Times New Roman;serif"/>
          <w:b w:val="false"/>
          <w:sz w:val="20"/>
        </w:rPr>
        <w:t>67</w:t>
      </w:r>
    </w:p>
    <w:p>
      <w:pPr>
        <w:pStyle w:val="HorizontalLine"/>
        <w:rPr/>
      </w:pPr>
      <w:r>
        <w:rPr/>
      </w:r>
    </w:p>
    <w:p>
      <w:pPr>
        <w:pStyle w:val="TextBody"/>
        <w:spacing w:before="0" w:after="0"/>
        <w:jc w:val="left"/>
        <w:rPr/>
      </w:pPr>
      <w:r>
        <w:rPr/>
        <w:t> </w:t>
      </w:r>
    </w:p>
    <w:p>
      <w:pPr>
        <w:pStyle w:val="TextBody"/>
        <w:spacing w:before="200" w:after="0"/>
        <w:jc w:val="left"/>
        <w:rPr>
          <w:rFonts w:ascii="Times New Roman" w:hAnsi="Times New Roman"/>
          <w:sz w:val="20"/>
        </w:rPr>
      </w:pPr>
      <w:bookmarkStart w:id="19" w:name="item_6_exhibits"/>
      <w:bookmarkEnd w:id="19"/>
      <w:r>
        <w:rPr>
          <w:rFonts w:ascii="Times New Roman;serif" w:hAnsi="Times New Roman;serif"/>
          <w:b/>
          <w:sz w:val="20"/>
        </w:rPr>
        <w:t>Item 6.</w:t>
      </w:r>
      <w:r>
        <w:rPr>
          <w:rFonts w:ascii="Times New Roman" w:hAnsi="Times New Roman"/>
          <w:sz w:val="20"/>
        </w:rPr>
        <w:t xml:space="preserve"> </w:t>
      </w:r>
      <w:r>
        <w:rPr>
          <w:rFonts w:ascii="Times New Roman;serif" w:hAnsi="Times New Roman;serif"/>
          <w:b/>
          <w:i/>
          <w:sz w:val="20"/>
        </w:rPr>
        <w:t>Exhibits</w:t>
      </w:r>
    </w:p>
    <w:p>
      <w:pPr>
        <w:pStyle w:val="TextBody"/>
        <w:spacing w:before="0" w:after="0"/>
        <w:jc w:val="both"/>
        <w:rPr/>
      </w:pPr>
      <w:r>
        <w:rPr/>
        <w:t> </w:t>
      </w:r>
    </w:p>
    <w:p>
      <w:pPr>
        <w:pStyle w:val="TextBody"/>
        <w:spacing w:before="0" w:after="0"/>
        <w:jc w:val="both"/>
        <w:rPr/>
      </w:pPr>
      <w:r>
        <w:rPr/>
        <w:t> </w:t>
      </w:r>
    </w:p>
    <w:tbl>
      <w:tblPr>
        <w:tblW w:w="10205" w:type="dxa"/>
        <w:jc w:val="left"/>
        <w:tblInd w:w="0" w:type="dxa"/>
        <w:tblCellMar>
          <w:top w:w="28" w:type="dxa"/>
          <w:left w:w="28" w:type="dxa"/>
          <w:bottom w:w="28" w:type="dxa"/>
          <w:right w:w="28" w:type="dxa"/>
        </w:tblCellMar>
      </w:tblPr>
      <w:tblGrid>
        <w:gridCol w:w="812"/>
        <w:gridCol w:w="146"/>
        <w:gridCol w:w="9247"/>
      </w:tblGrid>
      <w:tr>
        <w:trPr/>
        <w:tc>
          <w:tcPr>
            <w:tcW w:w="812"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9247" w:type="dxa"/>
            <w:tcBorders/>
            <w:shd w:fill="auto" w:val="clear"/>
            <w:vAlign w:val="center"/>
          </w:tcPr>
          <w:p>
            <w:pPr>
              <w:pStyle w:val="TableContents"/>
              <w:spacing w:before="0" w:after="283"/>
              <w:rPr>
                <w:sz w:val="4"/>
                <w:szCs w:val="4"/>
              </w:rPr>
            </w:pPr>
            <w:r>
              <w:rPr>
                <w:sz w:val="4"/>
                <w:szCs w:val="4"/>
              </w:rPr>
            </w:r>
          </w:p>
        </w:tc>
      </w:tr>
      <w:tr>
        <w:trPr/>
        <w:tc>
          <w:tcPr>
            <w:tcW w:w="812"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sz w:val="20"/>
              </w:rPr>
            </w:pPr>
            <w:r>
              <w:rPr>
                <w:rFonts w:ascii="Times New Roman;serif" w:hAnsi="Times New Roman;serif"/>
                <w:b/>
                <w:sz w:val="20"/>
              </w:rPr>
              <w:t>Exhibit</w:t>
            </w:r>
          </w:p>
          <w:p>
            <w:pPr>
              <w:pStyle w:val="TableContents"/>
              <w:spacing w:before="0" w:after="0"/>
              <w:ind w:left="0" w:right="0" w:hanging="0"/>
              <w:jc w:val="left"/>
              <w:rPr>
                <w:rFonts w:ascii="Times New Roman;serif" w:hAnsi="Times New Roman;serif"/>
                <w:b/>
                <w:sz w:val="20"/>
              </w:rPr>
            </w:pPr>
            <w:r>
              <w:rPr>
                <w:rFonts w:ascii="Times New Roman;serif" w:hAnsi="Times New Roman;serif"/>
                <w:b/>
                <w:sz w:val="20"/>
              </w:rPr>
              <w:t>No.</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9247"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sz w:val="20"/>
              </w:rPr>
            </w:pPr>
            <w:r>
              <w:rPr>
                <w:rFonts w:ascii="Times New Roman;serif" w:hAnsi="Times New Roman;serif"/>
                <w:b/>
                <w:sz w:val="20"/>
              </w:rPr>
              <w:t>Description</w:t>
            </w:r>
          </w:p>
        </w:tc>
      </w:tr>
      <w:tr>
        <w:trPr/>
        <w:tc>
          <w:tcPr>
            <w:tcW w:w="812"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3.1</w:t>
            </w:r>
          </w:p>
        </w:tc>
        <w:tc>
          <w:tcPr>
            <w:tcW w:w="146" w:type="dxa"/>
            <w:tcBorders/>
            <w:shd w:fill="auto" w:val="clear"/>
            <w:vAlign w:val="center"/>
          </w:tcPr>
          <w:p>
            <w:pPr>
              <w:pStyle w:val="TableContents"/>
              <w:spacing w:before="0" w:after="0"/>
              <w:ind w:left="0" w:right="0" w:hanging="0"/>
              <w:jc w:val="left"/>
              <w:rPr/>
            </w:pPr>
            <w:r>
              <w:rPr/>
              <w:t> </w:t>
            </w:r>
          </w:p>
        </w:tc>
        <w:tc>
          <w:tcPr>
            <w:tcW w:w="9247" w:type="dxa"/>
            <w:tcBorders/>
            <w:shd w:fill="auto" w:val="clear"/>
            <w:vAlign w:val="center"/>
          </w:tcPr>
          <w:p>
            <w:pPr>
              <w:pStyle w:val="TableContents"/>
              <w:spacing w:before="0" w:after="0"/>
              <w:ind w:left="0" w:right="0" w:hanging="0"/>
              <w:jc w:val="both"/>
              <w:rPr/>
            </w:pPr>
            <w:hyperlink r:id="rId2">
              <w:r>
                <w:rPr>
                  <w:rStyle w:val="InternetLink"/>
                  <w:rFonts w:ascii="Times New Roman;serif" w:hAnsi="Times New Roman;serif"/>
                  <w:b w:val="false"/>
                  <w:sz w:val="20"/>
                  <w:u w:val="single"/>
                </w:rPr>
                <w:t>Second Amended and Restated By-law No.1 of IMAX Corporation, enacted on February 7, 2023. Incorporated by reference to Exhibit 3.1 to IMAX Corporation’s Form 8-K, dated as of February 10, 2023.</w:t>
              </w:r>
            </w:hyperlink>
            <w:hyperlink r:id="rId3">
              <w:r>
                <w:rPr>
                  <w:rStyle w:val="InternetLink"/>
                  <w:rFonts w:ascii="Times New Roman" w:hAnsi="Times New Roman"/>
                  <w:sz w:val="20"/>
                </w:rPr>
                <w:t xml:space="preserve"> </w:t>
              </w:r>
            </w:hyperlink>
          </w:p>
        </w:tc>
      </w:tr>
      <w:tr>
        <w:trPr/>
        <w:tc>
          <w:tcPr>
            <w:tcW w:w="812" w:type="dxa"/>
            <w:tcBorders/>
            <w:shd w:fill="auto" w:val="clear"/>
            <w:vAlign w:val="center"/>
          </w:tcPr>
          <w:p>
            <w:pPr>
              <w:pStyle w:val="TableContents"/>
              <w:spacing w:before="0" w:after="0"/>
              <w:ind w:left="0" w:right="0" w:hanging="0"/>
              <w:jc w:val="both"/>
              <w:rPr/>
            </w:pPr>
            <w:r>
              <w:rPr/>
              <w:t> </w:t>
            </w:r>
          </w:p>
        </w:tc>
        <w:tc>
          <w:tcPr>
            <w:tcW w:w="146" w:type="dxa"/>
            <w:tcBorders/>
            <w:shd w:fill="auto" w:val="clear"/>
            <w:vAlign w:val="center"/>
          </w:tcPr>
          <w:p>
            <w:pPr>
              <w:pStyle w:val="TableContents"/>
              <w:spacing w:before="0" w:after="0"/>
              <w:ind w:left="0" w:right="0" w:hanging="0"/>
              <w:jc w:val="both"/>
              <w:rPr/>
            </w:pPr>
            <w:r>
              <w:rPr/>
              <w:t> </w:t>
            </w:r>
          </w:p>
        </w:tc>
        <w:tc>
          <w:tcPr>
            <w:tcW w:w="9247" w:type="dxa"/>
            <w:tcBorders/>
            <w:shd w:fill="auto" w:val="clear"/>
            <w:vAlign w:val="center"/>
          </w:tcPr>
          <w:p>
            <w:pPr>
              <w:pStyle w:val="TableContents"/>
              <w:spacing w:before="0" w:after="0"/>
              <w:ind w:left="0" w:right="0" w:hanging="0"/>
              <w:jc w:val="both"/>
              <w:rPr/>
            </w:pPr>
            <w:r>
              <w:rPr/>
              <w:t> </w:t>
            </w:r>
          </w:p>
        </w:tc>
      </w:tr>
      <w:tr>
        <w:trPr/>
        <w:tc>
          <w:tcPr>
            <w:tcW w:w="812" w:type="dxa"/>
            <w:tcBorders/>
            <w:shd w:fill="auto" w:val="clear"/>
            <w:vAlign w:val="center"/>
          </w:tcPr>
          <w:p>
            <w:pPr>
              <w:pStyle w:val="TableContents"/>
              <w:spacing w:before="0" w:after="0"/>
              <w:ind w:left="0" w:right="0" w:hanging="0"/>
              <w:jc w:val="both"/>
              <w:rPr>
                <w:rFonts w:ascii="Times New Roman;serif" w:hAnsi="Times New Roman;serif"/>
                <w:b w:val="false"/>
                <w:sz w:val="20"/>
              </w:rPr>
            </w:pPr>
            <w:r>
              <w:rPr>
                <w:rFonts w:ascii="Times New Roman;serif" w:hAnsi="Times New Roman;serif"/>
                <w:b w:val="false"/>
                <w:sz w:val="20"/>
              </w:rPr>
              <w:t>10.1+</w:t>
            </w:r>
          </w:p>
        </w:tc>
        <w:tc>
          <w:tcPr>
            <w:tcW w:w="146" w:type="dxa"/>
            <w:tcBorders/>
            <w:shd w:fill="auto" w:val="clear"/>
            <w:vAlign w:val="center"/>
          </w:tcPr>
          <w:p>
            <w:pPr>
              <w:pStyle w:val="TableContents"/>
              <w:spacing w:before="0" w:after="0"/>
              <w:ind w:left="0" w:right="0" w:hanging="0"/>
              <w:jc w:val="both"/>
              <w:rPr/>
            </w:pPr>
            <w:r>
              <w:rPr/>
              <w:t> </w:t>
            </w:r>
          </w:p>
        </w:tc>
        <w:tc>
          <w:tcPr>
            <w:tcW w:w="9247" w:type="dxa"/>
            <w:tcBorders/>
            <w:shd w:fill="auto" w:val="clear"/>
            <w:vAlign w:val="center"/>
          </w:tcPr>
          <w:p>
            <w:pPr>
              <w:pStyle w:val="TableContents"/>
              <w:spacing w:before="0" w:after="0"/>
              <w:ind w:left="0" w:right="0" w:hanging="0"/>
              <w:jc w:val="both"/>
              <w:rPr/>
            </w:pPr>
            <w:hyperlink r:id="rId4">
              <w:r>
                <w:rPr>
                  <w:rStyle w:val="InternetLink"/>
                  <w:rFonts w:ascii="Times New Roman;serif" w:hAnsi="Times New Roman;serif"/>
                  <w:b w:val="false"/>
                  <w:sz w:val="20"/>
                  <w:u w:val="single"/>
                </w:rPr>
                <w:t>Statement of Directors’ Compensation as of January 2023. Incorporated by reference to Exhibit 10.37 to IMAX Corporation’s Form 10-K for the fiscal year ended December 31, 2022.</w:t>
              </w:r>
            </w:hyperlink>
          </w:p>
        </w:tc>
      </w:tr>
      <w:tr>
        <w:trPr/>
        <w:tc>
          <w:tcPr>
            <w:tcW w:w="812"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9247" w:type="dxa"/>
            <w:tcBorders/>
            <w:shd w:fill="auto" w:val="clear"/>
            <w:vAlign w:val="center"/>
          </w:tcPr>
          <w:p>
            <w:pPr>
              <w:pStyle w:val="TableContents"/>
              <w:spacing w:before="0" w:after="0"/>
              <w:ind w:left="0" w:right="0" w:hanging="0"/>
              <w:jc w:val="left"/>
              <w:rPr/>
            </w:pPr>
            <w:r>
              <w:rPr/>
              <w:t> </w:t>
            </w:r>
          </w:p>
        </w:tc>
      </w:tr>
      <w:tr>
        <w:trPr/>
        <w:tc>
          <w:tcPr>
            <w:tcW w:w="812"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10.2*+</w:t>
            </w:r>
          </w:p>
        </w:tc>
        <w:tc>
          <w:tcPr>
            <w:tcW w:w="146" w:type="dxa"/>
            <w:tcBorders/>
            <w:shd w:fill="auto" w:val="clear"/>
            <w:vAlign w:val="center"/>
          </w:tcPr>
          <w:p>
            <w:pPr>
              <w:pStyle w:val="TableContents"/>
              <w:spacing w:before="0" w:after="0"/>
              <w:ind w:left="0" w:right="0" w:hanging="0"/>
              <w:jc w:val="left"/>
              <w:rPr/>
            </w:pPr>
            <w:r>
              <w:rPr/>
              <w:t> </w:t>
            </w:r>
          </w:p>
        </w:tc>
        <w:tc>
          <w:tcPr>
            <w:tcW w:w="9247" w:type="dxa"/>
            <w:tcBorders/>
            <w:shd w:fill="auto" w:val="clear"/>
            <w:vAlign w:val="center"/>
          </w:tcPr>
          <w:p>
            <w:pPr>
              <w:pStyle w:val="TableContents"/>
              <w:spacing w:before="0" w:after="0"/>
              <w:ind w:left="0" w:right="0" w:hanging="0"/>
              <w:jc w:val="both"/>
              <w:rPr/>
            </w:pPr>
            <w:hyperlink w:anchor="imax-ex10_2.htm">
              <w:r>
                <w:rPr>
                  <w:rStyle w:val="InternetLink"/>
                  <w:rFonts w:ascii="Times New Roman;serif" w:hAnsi="Times New Roman;serif"/>
                  <w:b w:val="false"/>
                  <w:sz w:val="20"/>
                  <w:u w:val="single"/>
                </w:rPr>
                <w:t>Letter Agreement by and between Megan Colligan and IMAX Corporation, dated as of March 15, 2023.</w:t>
              </w:r>
            </w:hyperlink>
          </w:p>
        </w:tc>
      </w:tr>
      <w:tr>
        <w:trPr/>
        <w:tc>
          <w:tcPr>
            <w:tcW w:w="812" w:type="dxa"/>
            <w:tcBorders/>
            <w:shd w:fill="auto" w:val="clear"/>
            <w:vAlign w:val="center"/>
          </w:tcPr>
          <w:p>
            <w:pPr>
              <w:pStyle w:val="TableContents"/>
              <w:spacing w:before="0" w:after="0"/>
              <w:ind w:left="0" w:right="0" w:hanging="0"/>
              <w:jc w:val="both"/>
              <w:rPr/>
            </w:pPr>
            <w:r>
              <w:rPr/>
              <w:t> </w:t>
            </w:r>
          </w:p>
        </w:tc>
        <w:tc>
          <w:tcPr>
            <w:tcW w:w="146" w:type="dxa"/>
            <w:tcBorders/>
            <w:shd w:fill="auto" w:val="clear"/>
            <w:vAlign w:val="center"/>
          </w:tcPr>
          <w:p>
            <w:pPr>
              <w:pStyle w:val="TableContents"/>
              <w:spacing w:before="0" w:after="0"/>
              <w:ind w:left="0" w:right="0" w:hanging="0"/>
              <w:jc w:val="both"/>
              <w:rPr/>
            </w:pPr>
            <w:r>
              <w:rPr/>
              <w:t> </w:t>
            </w:r>
          </w:p>
        </w:tc>
        <w:tc>
          <w:tcPr>
            <w:tcW w:w="9247" w:type="dxa"/>
            <w:tcBorders/>
            <w:shd w:fill="auto" w:val="clear"/>
            <w:vAlign w:val="center"/>
          </w:tcPr>
          <w:p>
            <w:pPr>
              <w:pStyle w:val="TableContents"/>
              <w:spacing w:before="0" w:after="0"/>
              <w:ind w:left="0" w:right="0" w:hanging="0"/>
              <w:jc w:val="both"/>
              <w:rPr/>
            </w:pPr>
            <w:r>
              <w:rPr/>
              <w:t> </w:t>
            </w:r>
          </w:p>
        </w:tc>
      </w:tr>
      <w:tr>
        <w:trPr/>
        <w:tc>
          <w:tcPr>
            <w:tcW w:w="812" w:type="dxa"/>
            <w:tcBorders/>
            <w:shd w:fill="auto" w:val="clear"/>
            <w:vAlign w:val="center"/>
          </w:tcPr>
          <w:p>
            <w:pPr>
              <w:pStyle w:val="TableContents"/>
              <w:spacing w:before="0" w:after="0"/>
              <w:ind w:left="0" w:right="0" w:hanging="0"/>
              <w:jc w:val="both"/>
              <w:rPr>
                <w:rFonts w:ascii="Times New Roman;serif" w:hAnsi="Times New Roman;serif"/>
                <w:b w:val="false"/>
                <w:sz w:val="20"/>
              </w:rPr>
            </w:pPr>
            <w:r>
              <w:rPr>
                <w:rFonts w:ascii="Times New Roman;serif" w:hAnsi="Times New Roman;serif"/>
                <w:b w:val="false"/>
                <w:sz w:val="20"/>
              </w:rPr>
              <w:t>31.1*</w:t>
            </w:r>
          </w:p>
        </w:tc>
        <w:tc>
          <w:tcPr>
            <w:tcW w:w="146" w:type="dxa"/>
            <w:tcBorders/>
            <w:shd w:fill="auto" w:val="clear"/>
            <w:vAlign w:val="center"/>
          </w:tcPr>
          <w:p>
            <w:pPr>
              <w:pStyle w:val="TableContents"/>
              <w:spacing w:before="0" w:after="0"/>
              <w:ind w:left="0" w:right="0" w:hanging="0"/>
              <w:jc w:val="both"/>
              <w:rPr/>
            </w:pPr>
            <w:r>
              <w:rPr/>
              <w:t> </w:t>
            </w:r>
          </w:p>
        </w:tc>
        <w:tc>
          <w:tcPr>
            <w:tcW w:w="9247" w:type="dxa"/>
            <w:tcBorders/>
            <w:shd w:fill="auto" w:val="clear"/>
            <w:vAlign w:val="center"/>
          </w:tcPr>
          <w:p>
            <w:pPr>
              <w:pStyle w:val="TableContents"/>
              <w:spacing w:before="0" w:after="0"/>
              <w:ind w:left="0" w:right="0" w:hanging="0"/>
              <w:jc w:val="both"/>
              <w:rPr/>
            </w:pPr>
            <w:hyperlink w:anchor="imax-ex31_1.htm">
              <w:r>
                <w:rPr>
                  <w:rStyle w:val="InternetLink"/>
                  <w:rFonts w:ascii="Times New Roman;serif" w:hAnsi="Times New Roman;serif"/>
                  <w:b w:val="false"/>
                  <w:sz w:val="20"/>
                  <w:u w:val="single"/>
                </w:rPr>
                <w:t>Certification Pursuant to Section 302 of the Sarbanes-Oxley Act of 2002, dated April 27, 2023, by Richard L. Gelfond.</w:t>
              </w:r>
            </w:hyperlink>
          </w:p>
        </w:tc>
      </w:tr>
      <w:tr>
        <w:trPr/>
        <w:tc>
          <w:tcPr>
            <w:tcW w:w="812" w:type="dxa"/>
            <w:tcBorders/>
            <w:shd w:fill="auto" w:val="clear"/>
            <w:vAlign w:val="center"/>
          </w:tcPr>
          <w:p>
            <w:pPr>
              <w:pStyle w:val="TableContents"/>
              <w:spacing w:before="0" w:after="0"/>
              <w:ind w:left="0" w:right="0" w:hanging="0"/>
              <w:jc w:val="both"/>
              <w:rPr/>
            </w:pPr>
            <w:r>
              <w:rPr/>
              <w:t> </w:t>
            </w:r>
          </w:p>
        </w:tc>
        <w:tc>
          <w:tcPr>
            <w:tcW w:w="146" w:type="dxa"/>
            <w:tcBorders/>
            <w:shd w:fill="auto" w:val="clear"/>
            <w:vAlign w:val="center"/>
          </w:tcPr>
          <w:p>
            <w:pPr>
              <w:pStyle w:val="TableContents"/>
              <w:spacing w:before="0" w:after="0"/>
              <w:ind w:left="0" w:right="0" w:hanging="0"/>
              <w:jc w:val="both"/>
              <w:rPr/>
            </w:pPr>
            <w:r>
              <w:rPr/>
              <w:t> </w:t>
            </w:r>
          </w:p>
        </w:tc>
        <w:tc>
          <w:tcPr>
            <w:tcW w:w="9247" w:type="dxa"/>
            <w:tcBorders/>
            <w:shd w:fill="auto" w:val="clear"/>
            <w:vAlign w:val="center"/>
          </w:tcPr>
          <w:p>
            <w:pPr>
              <w:pStyle w:val="TableContents"/>
              <w:spacing w:before="0" w:after="0"/>
              <w:ind w:left="0" w:right="0" w:hanging="0"/>
              <w:jc w:val="both"/>
              <w:rPr/>
            </w:pPr>
            <w:r>
              <w:rPr/>
              <w:t> </w:t>
            </w:r>
          </w:p>
        </w:tc>
      </w:tr>
      <w:tr>
        <w:trPr/>
        <w:tc>
          <w:tcPr>
            <w:tcW w:w="812" w:type="dxa"/>
            <w:tcBorders/>
            <w:shd w:fill="auto" w:val="clear"/>
            <w:vAlign w:val="center"/>
          </w:tcPr>
          <w:p>
            <w:pPr>
              <w:pStyle w:val="TableContents"/>
              <w:spacing w:before="0" w:after="0"/>
              <w:ind w:left="0" w:right="0" w:hanging="0"/>
              <w:jc w:val="both"/>
              <w:rPr>
                <w:rFonts w:ascii="Times New Roman;serif" w:hAnsi="Times New Roman;serif"/>
                <w:b w:val="false"/>
                <w:sz w:val="20"/>
              </w:rPr>
            </w:pPr>
            <w:r>
              <w:rPr>
                <w:rFonts w:ascii="Times New Roman;serif" w:hAnsi="Times New Roman;serif"/>
                <w:b w:val="false"/>
                <w:sz w:val="20"/>
              </w:rPr>
              <w:t>31.2*</w:t>
            </w:r>
          </w:p>
        </w:tc>
        <w:tc>
          <w:tcPr>
            <w:tcW w:w="146" w:type="dxa"/>
            <w:tcBorders/>
            <w:shd w:fill="auto" w:val="clear"/>
            <w:vAlign w:val="center"/>
          </w:tcPr>
          <w:p>
            <w:pPr>
              <w:pStyle w:val="TableContents"/>
              <w:spacing w:before="0" w:after="0"/>
              <w:ind w:left="0" w:right="0" w:hanging="0"/>
              <w:jc w:val="both"/>
              <w:rPr/>
            </w:pPr>
            <w:r>
              <w:rPr/>
              <w:t> </w:t>
            </w:r>
          </w:p>
        </w:tc>
        <w:tc>
          <w:tcPr>
            <w:tcW w:w="9247" w:type="dxa"/>
            <w:tcBorders/>
            <w:shd w:fill="auto" w:val="clear"/>
            <w:vAlign w:val="center"/>
          </w:tcPr>
          <w:p>
            <w:pPr>
              <w:pStyle w:val="TableContents"/>
              <w:spacing w:before="0" w:after="0"/>
              <w:ind w:left="0" w:right="0" w:hanging="0"/>
              <w:jc w:val="both"/>
              <w:rPr/>
            </w:pPr>
            <w:hyperlink w:anchor="imax-ex31_2.htm">
              <w:r>
                <w:rPr>
                  <w:rStyle w:val="InternetLink"/>
                  <w:rFonts w:ascii="Times New Roman;serif" w:hAnsi="Times New Roman;serif"/>
                  <w:b w:val="false"/>
                  <w:sz w:val="20"/>
                  <w:u w:val="single"/>
                </w:rPr>
                <w:t>Certification Pursuant to Section 302 of the Sarbanes-Oxley Act of 2002, dated April 27, 2023, by Natasha Fernandes.</w:t>
              </w:r>
            </w:hyperlink>
          </w:p>
        </w:tc>
      </w:tr>
      <w:tr>
        <w:trPr/>
        <w:tc>
          <w:tcPr>
            <w:tcW w:w="812" w:type="dxa"/>
            <w:tcBorders/>
            <w:shd w:fill="auto" w:val="clear"/>
            <w:vAlign w:val="center"/>
          </w:tcPr>
          <w:p>
            <w:pPr>
              <w:pStyle w:val="TableContents"/>
              <w:spacing w:before="0" w:after="0"/>
              <w:ind w:left="0" w:right="0" w:hanging="0"/>
              <w:jc w:val="both"/>
              <w:rPr/>
            </w:pPr>
            <w:r>
              <w:rPr/>
              <w:t> </w:t>
            </w:r>
          </w:p>
        </w:tc>
        <w:tc>
          <w:tcPr>
            <w:tcW w:w="146" w:type="dxa"/>
            <w:tcBorders/>
            <w:shd w:fill="auto" w:val="clear"/>
            <w:vAlign w:val="center"/>
          </w:tcPr>
          <w:p>
            <w:pPr>
              <w:pStyle w:val="TableContents"/>
              <w:spacing w:before="0" w:after="0"/>
              <w:ind w:left="0" w:right="0" w:hanging="0"/>
              <w:jc w:val="both"/>
              <w:rPr/>
            </w:pPr>
            <w:r>
              <w:rPr/>
              <w:t> </w:t>
            </w:r>
          </w:p>
        </w:tc>
        <w:tc>
          <w:tcPr>
            <w:tcW w:w="9247" w:type="dxa"/>
            <w:tcBorders/>
            <w:shd w:fill="auto" w:val="clear"/>
            <w:vAlign w:val="center"/>
          </w:tcPr>
          <w:p>
            <w:pPr>
              <w:pStyle w:val="TableContents"/>
              <w:spacing w:before="0" w:after="0"/>
              <w:ind w:left="0" w:right="0" w:hanging="0"/>
              <w:jc w:val="both"/>
              <w:rPr/>
            </w:pPr>
            <w:r>
              <w:rPr/>
              <w:t> </w:t>
            </w:r>
          </w:p>
        </w:tc>
      </w:tr>
      <w:tr>
        <w:trPr/>
        <w:tc>
          <w:tcPr>
            <w:tcW w:w="812" w:type="dxa"/>
            <w:tcBorders/>
            <w:shd w:fill="auto" w:val="clear"/>
            <w:vAlign w:val="center"/>
          </w:tcPr>
          <w:p>
            <w:pPr>
              <w:pStyle w:val="TableContents"/>
              <w:spacing w:before="0" w:after="0"/>
              <w:ind w:left="0" w:right="0" w:hanging="0"/>
              <w:jc w:val="both"/>
              <w:rPr>
                <w:rFonts w:ascii="Times New Roman;serif" w:hAnsi="Times New Roman;serif"/>
                <w:b w:val="false"/>
                <w:sz w:val="20"/>
              </w:rPr>
            </w:pPr>
            <w:r>
              <w:rPr>
                <w:rFonts w:ascii="Times New Roman;serif" w:hAnsi="Times New Roman;serif"/>
                <w:b w:val="false"/>
                <w:sz w:val="20"/>
              </w:rPr>
              <w:t>32.1*</w:t>
            </w:r>
          </w:p>
        </w:tc>
        <w:tc>
          <w:tcPr>
            <w:tcW w:w="146" w:type="dxa"/>
            <w:tcBorders/>
            <w:shd w:fill="auto" w:val="clear"/>
            <w:vAlign w:val="center"/>
          </w:tcPr>
          <w:p>
            <w:pPr>
              <w:pStyle w:val="TableContents"/>
              <w:spacing w:before="0" w:after="0"/>
              <w:ind w:left="0" w:right="0" w:hanging="0"/>
              <w:jc w:val="both"/>
              <w:rPr/>
            </w:pPr>
            <w:r>
              <w:rPr/>
              <w:t> </w:t>
            </w:r>
          </w:p>
        </w:tc>
        <w:tc>
          <w:tcPr>
            <w:tcW w:w="9247" w:type="dxa"/>
            <w:tcBorders/>
            <w:shd w:fill="auto" w:val="clear"/>
            <w:vAlign w:val="center"/>
          </w:tcPr>
          <w:p>
            <w:pPr>
              <w:pStyle w:val="TableContents"/>
              <w:spacing w:before="0" w:after="0"/>
              <w:ind w:left="0" w:right="0" w:hanging="0"/>
              <w:jc w:val="both"/>
              <w:rPr/>
            </w:pPr>
            <w:hyperlink w:anchor="imax-ex32_1.htm">
              <w:r>
                <w:rPr>
                  <w:rStyle w:val="InternetLink"/>
                  <w:rFonts w:ascii="Times New Roman;serif" w:hAnsi="Times New Roman;serif"/>
                  <w:b w:val="false"/>
                  <w:sz w:val="20"/>
                  <w:u w:val="single"/>
                </w:rPr>
                <w:t>Certification Pursuant to Section 906 of the Sarbanes-Oxley Act of 2002, dated April 27, 2023, by Richard L. Gelfond.</w:t>
              </w:r>
            </w:hyperlink>
          </w:p>
        </w:tc>
      </w:tr>
      <w:tr>
        <w:trPr/>
        <w:tc>
          <w:tcPr>
            <w:tcW w:w="812" w:type="dxa"/>
            <w:tcBorders/>
            <w:shd w:fill="auto" w:val="clear"/>
            <w:vAlign w:val="center"/>
          </w:tcPr>
          <w:p>
            <w:pPr>
              <w:pStyle w:val="TableContents"/>
              <w:spacing w:before="0" w:after="0"/>
              <w:ind w:left="0" w:right="0" w:hanging="0"/>
              <w:jc w:val="both"/>
              <w:rPr/>
            </w:pPr>
            <w:r>
              <w:rPr/>
              <w:t> </w:t>
            </w:r>
          </w:p>
        </w:tc>
        <w:tc>
          <w:tcPr>
            <w:tcW w:w="146" w:type="dxa"/>
            <w:tcBorders/>
            <w:shd w:fill="auto" w:val="clear"/>
            <w:vAlign w:val="center"/>
          </w:tcPr>
          <w:p>
            <w:pPr>
              <w:pStyle w:val="TableContents"/>
              <w:spacing w:before="0" w:after="0"/>
              <w:ind w:left="0" w:right="0" w:hanging="0"/>
              <w:jc w:val="both"/>
              <w:rPr/>
            </w:pPr>
            <w:r>
              <w:rPr/>
              <w:t> </w:t>
            </w:r>
          </w:p>
        </w:tc>
        <w:tc>
          <w:tcPr>
            <w:tcW w:w="9247" w:type="dxa"/>
            <w:tcBorders/>
            <w:shd w:fill="auto" w:val="clear"/>
            <w:vAlign w:val="center"/>
          </w:tcPr>
          <w:p>
            <w:pPr>
              <w:pStyle w:val="TableContents"/>
              <w:spacing w:before="0" w:after="0"/>
              <w:ind w:left="0" w:right="0" w:hanging="0"/>
              <w:jc w:val="both"/>
              <w:rPr/>
            </w:pPr>
            <w:r>
              <w:rPr/>
              <w:t> </w:t>
            </w:r>
          </w:p>
        </w:tc>
      </w:tr>
      <w:tr>
        <w:trPr/>
        <w:tc>
          <w:tcPr>
            <w:tcW w:w="812" w:type="dxa"/>
            <w:tcBorders/>
            <w:shd w:fill="auto" w:val="clear"/>
            <w:vAlign w:val="center"/>
          </w:tcPr>
          <w:p>
            <w:pPr>
              <w:pStyle w:val="TableContents"/>
              <w:spacing w:before="0" w:after="0"/>
              <w:ind w:left="0" w:right="0" w:hanging="0"/>
              <w:jc w:val="both"/>
              <w:rPr>
                <w:rFonts w:ascii="Times New Roman;serif" w:hAnsi="Times New Roman;serif"/>
                <w:b w:val="false"/>
                <w:sz w:val="20"/>
              </w:rPr>
            </w:pPr>
            <w:r>
              <w:rPr>
                <w:rFonts w:ascii="Times New Roman;serif" w:hAnsi="Times New Roman;serif"/>
                <w:b w:val="false"/>
                <w:sz w:val="20"/>
              </w:rPr>
              <w:t>32.2*</w:t>
            </w:r>
          </w:p>
        </w:tc>
        <w:tc>
          <w:tcPr>
            <w:tcW w:w="146" w:type="dxa"/>
            <w:tcBorders/>
            <w:shd w:fill="auto" w:val="clear"/>
            <w:vAlign w:val="center"/>
          </w:tcPr>
          <w:p>
            <w:pPr>
              <w:pStyle w:val="TableContents"/>
              <w:spacing w:before="0" w:after="0"/>
              <w:ind w:left="0" w:right="0" w:hanging="0"/>
              <w:jc w:val="both"/>
              <w:rPr/>
            </w:pPr>
            <w:r>
              <w:rPr/>
              <w:t> </w:t>
            </w:r>
          </w:p>
        </w:tc>
        <w:tc>
          <w:tcPr>
            <w:tcW w:w="9247" w:type="dxa"/>
            <w:tcBorders/>
            <w:shd w:fill="auto" w:val="clear"/>
            <w:vAlign w:val="center"/>
          </w:tcPr>
          <w:p>
            <w:pPr>
              <w:pStyle w:val="TableContents"/>
              <w:spacing w:before="0" w:after="0"/>
              <w:ind w:left="0" w:right="0" w:hanging="0"/>
              <w:jc w:val="both"/>
              <w:rPr/>
            </w:pPr>
            <w:hyperlink w:anchor="imax-ex32_2.htm">
              <w:r>
                <w:rPr>
                  <w:rStyle w:val="InternetLink"/>
                  <w:rFonts w:ascii="Times New Roman;serif" w:hAnsi="Times New Roman;serif"/>
                  <w:b w:val="false"/>
                  <w:sz w:val="20"/>
                  <w:u w:val="single"/>
                </w:rPr>
                <w:t>Certification Pursuant to Section 906 of the Sarbanes-Oxley Act of 2002, dated April 27, 2023, by Natasha Fernandes.</w:t>
              </w:r>
            </w:hyperlink>
          </w:p>
        </w:tc>
      </w:tr>
      <w:tr>
        <w:trPr/>
        <w:tc>
          <w:tcPr>
            <w:tcW w:w="812"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9247" w:type="dxa"/>
            <w:tcBorders/>
            <w:shd w:fill="auto" w:val="clear"/>
            <w:vAlign w:val="center"/>
          </w:tcPr>
          <w:p>
            <w:pPr>
              <w:pStyle w:val="TableContents"/>
              <w:spacing w:before="0" w:after="0"/>
              <w:ind w:left="0" w:right="0" w:hanging="0"/>
              <w:jc w:val="left"/>
              <w:rPr/>
            </w:pPr>
            <w:r>
              <w:rPr/>
              <w:t> </w:t>
            </w:r>
          </w:p>
        </w:tc>
      </w:tr>
      <w:tr>
        <w:trPr/>
        <w:tc>
          <w:tcPr>
            <w:tcW w:w="812"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101.INS</w:t>
            </w:r>
          </w:p>
        </w:tc>
        <w:tc>
          <w:tcPr>
            <w:tcW w:w="146" w:type="dxa"/>
            <w:tcBorders/>
            <w:shd w:fill="auto" w:val="clear"/>
            <w:vAlign w:val="center"/>
          </w:tcPr>
          <w:p>
            <w:pPr>
              <w:pStyle w:val="TableContents"/>
              <w:spacing w:before="0" w:after="0"/>
              <w:ind w:left="0" w:right="0" w:hanging="0"/>
              <w:jc w:val="left"/>
              <w:rPr/>
            </w:pPr>
            <w:r>
              <w:rPr/>
              <w:t> </w:t>
            </w:r>
          </w:p>
        </w:tc>
        <w:tc>
          <w:tcPr>
            <w:tcW w:w="9247"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Inline XBRL Instance Document – The instance document does not appear in the interactive data file because its XBRL tags are embedded within the Inline XBRL document.</w:t>
            </w:r>
          </w:p>
        </w:tc>
      </w:tr>
      <w:tr>
        <w:trPr/>
        <w:tc>
          <w:tcPr>
            <w:tcW w:w="812"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9247" w:type="dxa"/>
            <w:tcBorders/>
            <w:shd w:fill="auto" w:val="clear"/>
            <w:vAlign w:val="center"/>
          </w:tcPr>
          <w:p>
            <w:pPr>
              <w:pStyle w:val="TableContents"/>
              <w:spacing w:before="0" w:after="0"/>
              <w:ind w:left="0" w:right="0" w:hanging="0"/>
              <w:jc w:val="left"/>
              <w:rPr/>
            </w:pPr>
            <w:r>
              <w:rPr/>
              <w:t> </w:t>
            </w:r>
          </w:p>
        </w:tc>
      </w:tr>
      <w:tr>
        <w:trPr/>
        <w:tc>
          <w:tcPr>
            <w:tcW w:w="812"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101.SCH</w:t>
            </w:r>
          </w:p>
        </w:tc>
        <w:tc>
          <w:tcPr>
            <w:tcW w:w="146" w:type="dxa"/>
            <w:tcBorders/>
            <w:shd w:fill="auto" w:val="clear"/>
            <w:vAlign w:val="center"/>
          </w:tcPr>
          <w:p>
            <w:pPr>
              <w:pStyle w:val="TableContents"/>
              <w:spacing w:before="0" w:after="0"/>
              <w:ind w:left="0" w:right="0" w:hanging="0"/>
              <w:jc w:val="left"/>
              <w:rPr/>
            </w:pPr>
            <w:r>
              <w:rPr/>
              <w:t> </w:t>
            </w:r>
          </w:p>
        </w:tc>
        <w:tc>
          <w:tcPr>
            <w:tcW w:w="9247"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Inline XBRL Taxonomy Extension Schema Document</w:t>
            </w:r>
          </w:p>
        </w:tc>
      </w:tr>
      <w:tr>
        <w:trPr/>
        <w:tc>
          <w:tcPr>
            <w:tcW w:w="812"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9247" w:type="dxa"/>
            <w:tcBorders/>
            <w:shd w:fill="auto" w:val="clear"/>
            <w:vAlign w:val="center"/>
          </w:tcPr>
          <w:p>
            <w:pPr>
              <w:pStyle w:val="TableContents"/>
              <w:spacing w:before="0" w:after="0"/>
              <w:ind w:left="0" w:right="0" w:hanging="0"/>
              <w:jc w:val="left"/>
              <w:rPr/>
            </w:pPr>
            <w:r>
              <w:rPr/>
              <w:t> </w:t>
            </w:r>
          </w:p>
        </w:tc>
      </w:tr>
      <w:tr>
        <w:trPr/>
        <w:tc>
          <w:tcPr>
            <w:tcW w:w="812"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101.CAL</w:t>
            </w:r>
          </w:p>
        </w:tc>
        <w:tc>
          <w:tcPr>
            <w:tcW w:w="146" w:type="dxa"/>
            <w:tcBorders/>
            <w:shd w:fill="auto" w:val="clear"/>
            <w:vAlign w:val="center"/>
          </w:tcPr>
          <w:p>
            <w:pPr>
              <w:pStyle w:val="TableContents"/>
              <w:spacing w:before="0" w:after="0"/>
              <w:ind w:left="0" w:right="0" w:hanging="0"/>
              <w:jc w:val="left"/>
              <w:rPr/>
            </w:pPr>
            <w:r>
              <w:rPr/>
              <w:t> </w:t>
            </w:r>
          </w:p>
        </w:tc>
        <w:tc>
          <w:tcPr>
            <w:tcW w:w="9247"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Inline XBRL Taxonomy Extension Calculation Linkbase Document</w:t>
            </w:r>
          </w:p>
        </w:tc>
      </w:tr>
      <w:tr>
        <w:trPr/>
        <w:tc>
          <w:tcPr>
            <w:tcW w:w="812"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9247" w:type="dxa"/>
            <w:tcBorders/>
            <w:shd w:fill="auto" w:val="clear"/>
            <w:vAlign w:val="center"/>
          </w:tcPr>
          <w:p>
            <w:pPr>
              <w:pStyle w:val="TableContents"/>
              <w:spacing w:before="0" w:after="0"/>
              <w:ind w:left="0" w:right="0" w:hanging="0"/>
              <w:jc w:val="left"/>
              <w:rPr/>
            </w:pPr>
            <w:r>
              <w:rPr/>
              <w:t> </w:t>
            </w:r>
          </w:p>
        </w:tc>
      </w:tr>
      <w:tr>
        <w:trPr/>
        <w:tc>
          <w:tcPr>
            <w:tcW w:w="812"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101.DEF</w:t>
            </w:r>
          </w:p>
        </w:tc>
        <w:tc>
          <w:tcPr>
            <w:tcW w:w="146" w:type="dxa"/>
            <w:tcBorders/>
            <w:shd w:fill="auto" w:val="clear"/>
            <w:vAlign w:val="center"/>
          </w:tcPr>
          <w:p>
            <w:pPr>
              <w:pStyle w:val="TableContents"/>
              <w:spacing w:before="0" w:after="0"/>
              <w:ind w:left="0" w:right="0" w:hanging="0"/>
              <w:jc w:val="left"/>
              <w:rPr/>
            </w:pPr>
            <w:r>
              <w:rPr/>
              <w:t> </w:t>
            </w:r>
          </w:p>
        </w:tc>
        <w:tc>
          <w:tcPr>
            <w:tcW w:w="9247"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Inline XBRL Taxonomy Extension Definition Linkbase Document</w:t>
            </w:r>
          </w:p>
        </w:tc>
      </w:tr>
      <w:tr>
        <w:trPr/>
        <w:tc>
          <w:tcPr>
            <w:tcW w:w="812"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9247" w:type="dxa"/>
            <w:tcBorders/>
            <w:shd w:fill="auto" w:val="clear"/>
            <w:vAlign w:val="center"/>
          </w:tcPr>
          <w:p>
            <w:pPr>
              <w:pStyle w:val="TableContents"/>
              <w:spacing w:before="0" w:after="0"/>
              <w:ind w:left="0" w:right="0" w:hanging="0"/>
              <w:jc w:val="left"/>
              <w:rPr/>
            </w:pPr>
            <w:r>
              <w:rPr/>
              <w:t> </w:t>
            </w:r>
          </w:p>
        </w:tc>
      </w:tr>
      <w:tr>
        <w:trPr/>
        <w:tc>
          <w:tcPr>
            <w:tcW w:w="812"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101.LAB</w:t>
            </w:r>
          </w:p>
        </w:tc>
        <w:tc>
          <w:tcPr>
            <w:tcW w:w="146" w:type="dxa"/>
            <w:tcBorders/>
            <w:shd w:fill="auto" w:val="clear"/>
            <w:vAlign w:val="center"/>
          </w:tcPr>
          <w:p>
            <w:pPr>
              <w:pStyle w:val="TableContents"/>
              <w:spacing w:before="0" w:after="0"/>
              <w:ind w:left="0" w:right="0" w:hanging="0"/>
              <w:jc w:val="left"/>
              <w:rPr/>
            </w:pPr>
            <w:r>
              <w:rPr/>
              <w:t> </w:t>
            </w:r>
          </w:p>
        </w:tc>
        <w:tc>
          <w:tcPr>
            <w:tcW w:w="9247"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Inline XBRL Taxonomy Extension Label Linkbase Document</w:t>
            </w:r>
          </w:p>
        </w:tc>
      </w:tr>
      <w:tr>
        <w:trPr/>
        <w:tc>
          <w:tcPr>
            <w:tcW w:w="812"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9247" w:type="dxa"/>
            <w:tcBorders/>
            <w:shd w:fill="auto" w:val="clear"/>
            <w:vAlign w:val="center"/>
          </w:tcPr>
          <w:p>
            <w:pPr>
              <w:pStyle w:val="TableContents"/>
              <w:spacing w:before="0" w:after="0"/>
              <w:ind w:left="0" w:right="0" w:hanging="0"/>
              <w:jc w:val="left"/>
              <w:rPr/>
            </w:pPr>
            <w:r>
              <w:rPr/>
              <w:t> </w:t>
            </w:r>
          </w:p>
        </w:tc>
      </w:tr>
      <w:tr>
        <w:trPr/>
        <w:tc>
          <w:tcPr>
            <w:tcW w:w="812"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101.PRE</w:t>
            </w:r>
          </w:p>
        </w:tc>
        <w:tc>
          <w:tcPr>
            <w:tcW w:w="146" w:type="dxa"/>
            <w:tcBorders/>
            <w:shd w:fill="auto" w:val="clear"/>
            <w:vAlign w:val="center"/>
          </w:tcPr>
          <w:p>
            <w:pPr>
              <w:pStyle w:val="TableContents"/>
              <w:spacing w:before="0" w:after="0"/>
              <w:ind w:left="0" w:right="0" w:hanging="0"/>
              <w:jc w:val="left"/>
              <w:rPr/>
            </w:pPr>
            <w:r>
              <w:rPr/>
              <w:t> </w:t>
            </w:r>
          </w:p>
        </w:tc>
        <w:tc>
          <w:tcPr>
            <w:tcW w:w="9247"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Inline XBRL Taxonomy Extension Presentation Linkbase Document</w:t>
            </w:r>
          </w:p>
        </w:tc>
      </w:tr>
      <w:tr>
        <w:trPr/>
        <w:tc>
          <w:tcPr>
            <w:tcW w:w="812"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9247" w:type="dxa"/>
            <w:tcBorders/>
            <w:shd w:fill="auto" w:val="clear"/>
            <w:vAlign w:val="center"/>
          </w:tcPr>
          <w:p>
            <w:pPr>
              <w:pStyle w:val="TableContents"/>
              <w:spacing w:before="0" w:after="0"/>
              <w:ind w:left="0" w:right="0" w:hanging="0"/>
              <w:jc w:val="left"/>
              <w:rPr/>
            </w:pPr>
            <w:r>
              <w:rPr/>
              <w:t> </w:t>
            </w:r>
          </w:p>
        </w:tc>
      </w:tr>
      <w:tr>
        <w:trPr/>
        <w:tc>
          <w:tcPr>
            <w:tcW w:w="812"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104</w:t>
            </w:r>
          </w:p>
        </w:tc>
        <w:tc>
          <w:tcPr>
            <w:tcW w:w="146" w:type="dxa"/>
            <w:tcBorders/>
            <w:shd w:fill="auto" w:val="clear"/>
            <w:vAlign w:val="center"/>
          </w:tcPr>
          <w:p>
            <w:pPr>
              <w:pStyle w:val="TableContents"/>
              <w:spacing w:before="0" w:after="0"/>
              <w:ind w:left="0" w:right="0" w:hanging="0"/>
              <w:jc w:val="left"/>
              <w:rPr/>
            </w:pPr>
            <w:r>
              <w:rPr/>
              <w:t> </w:t>
            </w:r>
          </w:p>
        </w:tc>
        <w:tc>
          <w:tcPr>
            <w:tcW w:w="9247"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Cover Page Interactive Data File (formatted as inline XBRL and contained in Exhibit 101)</w:t>
            </w:r>
          </w:p>
        </w:tc>
      </w:tr>
    </w:tbl>
    <w:p>
      <w:pPr>
        <w:pStyle w:val="TextBody"/>
        <w:spacing w:before="0" w:after="0"/>
        <w:jc w:val="both"/>
        <w:rPr/>
      </w:pPr>
      <w:r>
        <w:rPr/>
        <w:t> </w:t>
      </w:r>
    </w:p>
    <w:p>
      <w:pPr>
        <w:pStyle w:val="TextBody"/>
        <w:spacing w:before="0" w:after="0"/>
        <w:jc w:val="both"/>
        <w:rPr>
          <w:rFonts w:ascii="Times New Roman" w:hAnsi="Times New Roman"/>
          <w:sz w:val="20"/>
        </w:rPr>
      </w:pPr>
      <w:r>
        <w:rPr>
          <w:rFonts w:ascii="Times New Roman;serif" w:hAnsi="Times New Roman;serif"/>
          <w:b w:val="false"/>
          <w:sz w:val="20"/>
        </w:rPr>
        <w:t>*Filed herewith.</w:t>
      </w:r>
      <w:r>
        <w:rPr>
          <w:rFonts w:ascii="Times New Roman" w:hAnsi="Times New Roman"/>
          <w:sz w:val="20"/>
        </w:rPr>
        <w:t xml:space="preserve"> </w:t>
      </w:r>
    </w:p>
    <w:p>
      <w:pPr>
        <w:pStyle w:val="TextBody"/>
        <w:spacing w:before="0" w:after="0"/>
        <w:jc w:val="both"/>
        <w:rPr>
          <w:rFonts w:ascii="Times New Roman;serif" w:hAnsi="Times New Roman;serif"/>
          <w:b w:val="false"/>
          <w:sz w:val="20"/>
        </w:rPr>
      </w:pPr>
      <w:r>
        <w:rPr>
          <w:rFonts w:ascii="Times New Roman;serif" w:hAnsi="Times New Roman;serif"/>
          <w:b w:val="false"/>
          <w:sz w:val="20"/>
        </w:rPr>
        <w:t>+Management contract or compensatory plan, contract or arrangement.</w:t>
      </w:r>
    </w:p>
    <w:p>
      <w:pPr>
        <w:pStyle w:val="TextBody"/>
        <w:spacing w:before="0" w:after="0"/>
        <w:jc w:val="both"/>
        <w:rPr>
          <w:rFonts w:ascii="Times New Roman;serif" w:hAnsi="Times New Roman;serif"/>
          <w:b w:val="false"/>
          <w:sz w:val="20"/>
        </w:rPr>
      </w:pPr>
      <w:r>
        <w:rPr>
          <w:rFonts w:ascii="Times New Roman;serif" w:hAnsi="Times New Roman;serif"/>
          <w:b w:val="false"/>
          <w:sz w:val="20"/>
        </w:rPr>
        <w:t>Certain information contained in this exhibit has been omitted because it is not material and is the type that the registrant treats as private or confidential.</w:t>
      </w:r>
    </w:p>
    <w:p>
      <w:pPr>
        <w:pStyle w:val="TextBody"/>
        <w:spacing w:before="240" w:after="0"/>
        <w:jc w:val="center"/>
        <w:rPr>
          <w:rFonts w:ascii="Times New Roman;serif" w:hAnsi="Times New Roman;serif"/>
          <w:b w:val="false"/>
          <w:sz w:val="20"/>
        </w:rPr>
      </w:pPr>
      <w:r>
        <w:rPr>
          <w:rFonts w:ascii="Times New Roman;serif" w:hAnsi="Times New Roman;serif"/>
          <w:b w:val="false"/>
          <w:sz w:val="20"/>
        </w:rPr>
        <w:t>68</w:t>
      </w:r>
    </w:p>
    <w:p>
      <w:pPr>
        <w:pStyle w:val="HorizontalLine"/>
        <w:rPr/>
      </w:pPr>
      <w:r>
        <w:rPr/>
      </w:r>
    </w:p>
    <w:p>
      <w:pPr>
        <w:pStyle w:val="TextBody"/>
        <w:spacing w:before="0" w:after="0"/>
        <w:jc w:val="left"/>
        <w:rPr/>
      </w:pPr>
      <w:r>
        <w:rPr/>
        <w:t> </w:t>
      </w:r>
    </w:p>
    <w:p>
      <w:pPr>
        <w:pStyle w:val="TextBody"/>
        <w:spacing w:before="0" w:after="0"/>
        <w:jc w:val="center"/>
        <w:rPr>
          <w:rFonts w:ascii="Times New Roman" w:hAnsi="Times New Roman"/>
          <w:sz w:val="20"/>
        </w:rPr>
      </w:pPr>
      <w:bookmarkStart w:id="20" w:name="signatures"/>
      <w:bookmarkEnd w:id="20"/>
      <w:r>
        <w:rPr>
          <w:rFonts w:ascii="Times New Roman;serif" w:hAnsi="Times New Roman;serif"/>
          <w:b/>
          <w:sz w:val="20"/>
        </w:rPr>
        <w:t>SIGN</w:t>
      </w:r>
      <w:bookmarkStart w:id="21" w:name="sig"/>
      <w:bookmarkEnd w:id="21"/>
      <w:r>
        <w:rPr>
          <w:rFonts w:ascii="Times New Roman;serif" w:hAnsi="Times New Roman;serif"/>
          <w:b/>
          <w:sz w:val="20"/>
        </w:rPr>
        <w:t>ATURES</w:t>
      </w:r>
    </w:p>
    <w:p>
      <w:pPr>
        <w:pStyle w:val="TextBody"/>
        <w:spacing w:before="0" w:after="0"/>
        <w:jc w:val="both"/>
        <w:rPr/>
      </w:pPr>
      <w:r>
        <w:rPr/>
        <w:t> </w:t>
      </w:r>
    </w:p>
    <w:p>
      <w:pPr>
        <w:pStyle w:val="TextBody"/>
        <w:spacing w:before="0" w:after="0"/>
        <w:jc w:val="both"/>
        <w:rPr>
          <w:rFonts w:ascii="Times New Roman;serif" w:hAnsi="Times New Roman;serif"/>
          <w:b w:val="false"/>
          <w:sz w:val="20"/>
        </w:rPr>
      </w:pPr>
      <w:r>
        <w:rPr>
          <w:rFonts w:ascii="Times New Roman;serif" w:hAnsi="Times New Roman;serif"/>
          <w:b w:val="false"/>
          <w:sz w:val="20"/>
        </w:rPr>
        <w:t>Pursuant to the requirements of the Securities Exchange Act of 1934, the registrant has duly caused this report to be signed on its behalf by the undersigned, thereunto duly authorized.</w:t>
      </w:r>
    </w:p>
    <w:p>
      <w:pPr>
        <w:pStyle w:val="TextBody"/>
        <w:spacing w:before="0" w:after="0"/>
        <w:jc w:val="both"/>
        <w:rPr/>
      </w:pPr>
      <w:r>
        <w:rPr/>
        <w:t> </w:t>
      </w:r>
    </w:p>
    <w:tbl>
      <w:tblPr>
        <w:tblW w:w="5913" w:type="dxa"/>
        <w:jc w:val="left"/>
        <w:tblInd w:w="0" w:type="dxa"/>
        <w:tblCellMar>
          <w:top w:w="28" w:type="dxa"/>
          <w:left w:w="28" w:type="dxa"/>
          <w:bottom w:w="28" w:type="dxa"/>
          <w:right w:w="28" w:type="dxa"/>
        </w:tblCellMar>
      </w:tblPr>
      <w:tblGrid>
        <w:gridCol w:w="1786"/>
        <w:gridCol w:w="406"/>
        <w:gridCol w:w="3721"/>
      </w:tblGrid>
      <w:tr>
        <w:trPr/>
        <w:tc>
          <w:tcPr>
            <w:tcW w:w="1786" w:type="dxa"/>
            <w:tcBorders/>
            <w:shd w:fill="auto" w:val="clear"/>
            <w:vAlign w:val="center"/>
          </w:tcPr>
          <w:p>
            <w:pPr>
              <w:pStyle w:val="TableContents"/>
              <w:spacing w:before="0" w:after="283"/>
              <w:rPr>
                <w:sz w:val="4"/>
                <w:szCs w:val="4"/>
              </w:rPr>
            </w:pPr>
            <w:r>
              <w:rPr>
                <w:sz w:val="4"/>
                <w:szCs w:val="4"/>
              </w:rPr>
            </w:r>
          </w:p>
        </w:tc>
        <w:tc>
          <w:tcPr>
            <w:tcW w:w="406" w:type="dxa"/>
            <w:tcBorders/>
            <w:shd w:fill="auto" w:val="clear"/>
            <w:vAlign w:val="center"/>
          </w:tcPr>
          <w:p>
            <w:pPr>
              <w:pStyle w:val="TableContents"/>
              <w:spacing w:before="0" w:after="283"/>
              <w:rPr>
                <w:sz w:val="4"/>
                <w:szCs w:val="4"/>
              </w:rPr>
            </w:pPr>
            <w:r>
              <w:rPr>
                <w:sz w:val="4"/>
                <w:szCs w:val="4"/>
              </w:rPr>
            </w:r>
          </w:p>
        </w:tc>
        <w:tc>
          <w:tcPr>
            <w:tcW w:w="3721" w:type="dxa"/>
            <w:tcBorders/>
            <w:shd w:fill="auto" w:val="clear"/>
            <w:vAlign w:val="center"/>
          </w:tcPr>
          <w:p>
            <w:pPr>
              <w:pStyle w:val="TableContents"/>
              <w:spacing w:before="0" w:after="283"/>
              <w:rPr>
                <w:sz w:val="4"/>
                <w:szCs w:val="4"/>
              </w:rPr>
            </w:pPr>
            <w:r>
              <w:rPr>
                <w:sz w:val="4"/>
                <w:szCs w:val="4"/>
              </w:rPr>
            </w:r>
          </w:p>
        </w:tc>
      </w:tr>
      <w:tr>
        <w:trPr/>
        <w:tc>
          <w:tcPr>
            <w:tcW w:w="1786" w:type="dxa"/>
            <w:tcBorders/>
            <w:shd w:fill="auto" w:val="clear"/>
            <w:vAlign w:val="center"/>
          </w:tcPr>
          <w:p>
            <w:pPr>
              <w:pStyle w:val="TableContents"/>
              <w:spacing w:before="0" w:after="0"/>
              <w:ind w:left="0" w:right="0" w:hanging="0"/>
              <w:jc w:val="left"/>
              <w:rPr/>
            </w:pPr>
            <w:r>
              <w:rPr/>
              <w:t> </w:t>
            </w:r>
          </w:p>
        </w:tc>
        <w:tc>
          <w:tcPr>
            <w:tcW w:w="4127" w:type="dxa"/>
            <w:gridSpan w:val="2"/>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IMAX CORPORATION</w:t>
            </w:r>
          </w:p>
        </w:tc>
      </w:tr>
      <w:tr>
        <w:trPr/>
        <w:tc>
          <w:tcPr>
            <w:tcW w:w="1786" w:type="dxa"/>
            <w:tcBorders/>
            <w:shd w:fill="auto" w:val="clear"/>
            <w:vAlign w:val="center"/>
          </w:tcPr>
          <w:p>
            <w:pPr>
              <w:pStyle w:val="TableContents"/>
              <w:spacing w:before="0" w:after="0"/>
              <w:ind w:left="0" w:right="0" w:hanging="0"/>
              <w:jc w:val="left"/>
              <w:rPr/>
            </w:pPr>
            <w:r>
              <w:rPr/>
              <w:t> </w:t>
            </w:r>
          </w:p>
        </w:tc>
        <w:tc>
          <w:tcPr>
            <w:tcW w:w="4127" w:type="dxa"/>
            <w:gridSpan w:val="2"/>
            <w:tcBorders/>
            <w:shd w:fill="auto" w:val="clear"/>
            <w:vAlign w:val="center"/>
          </w:tcPr>
          <w:p>
            <w:pPr>
              <w:pStyle w:val="TableContents"/>
              <w:spacing w:before="0" w:after="0"/>
              <w:ind w:left="0" w:right="0" w:hanging="0"/>
              <w:jc w:val="left"/>
              <w:rPr/>
            </w:pPr>
            <w:r>
              <w:rPr/>
              <w:t> </w:t>
            </w:r>
          </w:p>
        </w:tc>
      </w:tr>
      <w:tr>
        <w:trPr/>
        <w:tc>
          <w:tcPr>
            <w:tcW w:w="178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Date: April 27, 2023</w:t>
            </w:r>
          </w:p>
        </w:tc>
        <w:tc>
          <w:tcPr>
            <w:tcW w:w="40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By:</w:t>
            </w:r>
          </w:p>
        </w:tc>
        <w:tc>
          <w:tcPr>
            <w:tcW w:w="372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/s/ NATASHA FERNANDES</w:t>
            </w:r>
          </w:p>
        </w:tc>
      </w:tr>
      <w:tr>
        <w:trPr/>
        <w:tc>
          <w:tcPr>
            <w:tcW w:w="1786" w:type="dxa"/>
            <w:tcBorders/>
            <w:shd w:fill="auto" w:val="clear"/>
            <w:vAlign w:val="center"/>
          </w:tcPr>
          <w:p>
            <w:pPr>
              <w:pStyle w:val="TableContents"/>
              <w:spacing w:before="0" w:after="0"/>
              <w:ind w:left="0" w:right="0" w:hanging="0"/>
              <w:jc w:val="center"/>
              <w:rPr/>
            </w:pPr>
            <w:r>
              <w:rPr/>
              <w:t> </w:t>
            </w:r>
          </w:p>
        </w:tc>
        <w:tc>
          <w:tcPr>
            <w:tcW w:w="406" w:type="dxa"/>
            <w:tcBorders/>
            <w:shd w:fill="auto" w:val="clear"/>
            <w:vAlign w:val="center"/>
          </w:tcPr>
          <w:p>
            <w:pPr>
              <w:pStyle w:val="TableContents"/>
              <w:spacing w:before="0" w:after="0"/>
              <w:ind w:left="0" w:right="0" w:hanging="0"/>
              <w:jc w:val="left"/>
              <w:rPr/>
            </w:pPr>
            <w:r>
              <w:rPr/>
              <w:t> </w:t>
            </w:r>
          </w:p>
        </w:tc>
        <w:tc>
          <w:tcPr>
            <w:tcW w:w="372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Natasha Fernandes</w:t>
            </w:r>
          </w:p>
        </w:tc>
      </w:tr>
      <w:tr>
        <w:trPr/>
        <w:tc>
          <w:tcPr>
            <w:tcW w:w="1786" w:type="dxa"/>
            <w:tcBorders/>
            <w:shd w:fill="auto" w:val="clear"/>
            <w:vAlign w:val="center"/>
          </w:tcPr>
          <w:p>
            <w:pPr>
              <w:pStyle w:val="TableContents"/>
              <w:spacing w:before="0" w:after="0"/>
              <w:ind w:left="0" w:right="0" w:hanging="0"/>
              <w:jc w:val="center"/>
              <w:rPr/>
            </w:pPr>
            <w:r>
              <w:rPr/>
              <w:t> </w:t>
            </w:r>
          </w:p>
        </w:tc>
        <w:tc>
          <w:tcPr>
            <w:tcW w:w="406" w:type="dxa"/>
            <w:tcBorders/>
            <w:shd w:fill="auto" w:val="clear"/>
            <w:vAlign w:val="center"/>
          </w:tcPr>
          <w:p>
            <w:pPr>
              <w:pStyle w:val="TableContents"/>
              <w:spacing w:before="0" w:after="0"/>
              <w:ind w:left="0" w:right="0" w:hanging="0"/>
              <w:jc w:val="left"/>
              <w:rPr/>
            </w:pPr>
            <w:r>
              <w:rPr/>
              <w:t> </w:t>
            </w:r>
          </w:p>
        </w:tc>
        <w:tc>
          <w:tcPr>
            <w:tcW w:w="372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Chief Financial Officer</w:t>
            </w:r>
          </w:p>
        </w:tc>
      </w:tr>
      <w:tr>
        <w:trPr/>
        <w:tc>
          <w:tcPr>
            <w:tcW w:w="1786" w:type="dxa"/>
            <w:tcBorders/>
            <w:shd w:fill="auto" w:val="clear"/>
            <w:vAlign w:val="center"/>
          </w:tcPr>
          <w:p>
            <w:pPr>
              <w:pStyle w:val="TableContents"/>
              <w:spacing w:before="0" w:after="0"/>
              <w:ind w:left="0" w:right="0" w:hanging="0"/>
              <w:jc w:val="center"/>
              <w:rPr/>
            </w:pPr>
            <w:r>
              <w:rPr/>
              <w:t> </w:t>
            </w:r>
          </w:p>
        </w:tc>
        <w:tc>
          <w:tcPr>
            <w:tcW w:w="406" w:type="dxa"/>
            <w:tcBorders/>
            <w:shd w:fill="auto" w:val="clear"/>
            <w:vAlign w:val="center"/>
          </w:tcPr>
          <w:p>
            <w:pPr>
              <w:pStyle w:val="TableContents"/>
              <w:spacing w:before="0" w:after="0"/>
              <w:ind w:left="0" w:right="0" w:hanging="0"/>
              <w:jc w:val="left"/>
              <w:rPr/>
            </w:pPr>
            <w:r>
              <w:rPr/>
              <w:t> </w:t>
            </w:r>
          </w:p>
        </w:tc>
        <w:tc>
          <w:tcPr>
            <w:tcW w:w="372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(Principal Financial Officer)</w:t>
            </w:r>
          </w:p>
        </w:tc>
      </w:tr>
      <w:tr>
        <w:trPr/>
        <w:tc>
          <w:tcPr>
            <w:tcW w:w="1786" w:type="dxa"/>
            <w:tcBorders/>
            <w:shd w:fill="auto" w:val="clear"/>
            <w:vAlign w:val="center"/>
          </w:tcPr>
          <w:p>
            <w:pPr>
              <w:pStyle w:val="TableContents"/>
              <w:spacing w:before="0" w:after="0"/>
              <w:ind w:left="0" w:right="0" w:hanging="0"/>
              <w:jc w:val="center"/>
              <w:rPr/>
            </w:pPr>
            <w:r>
              <w:rPr/>
              <w:t> </w:t>
            </w:r>
          </w:p>
        </w:tc>
        <w:tc>
          <w:tcPr>
            <w:tcW w:w="406" w:type="dxa"/>
            <w:tcBorders/>
            <w:shd w:fill="auto" w:val="clear"/>
            <w:vAlign w:val="center"/>
          </w:tcPr>
          <w:p>
            <w:pPr>
              <w:pStyle w:val="TableContents"/>
              <w:spacing w:before="0" w:after="0"/>
              <w:ind w:left="0" w:right="0" w:hanging="0"/>
              <w:jc w:val="left"/>
              <w:rPr/>
            </w:pPr>
            <w:r>
              <w:rPr/>
              <w:t> </w:t>
            </w:r>
          </w:p>
        </w:tc>
        <w:tc>
          <w:tcPr>
            <w:tcW w:w="3721" w:type="dxa"/>
            <w:tcBorders/>
            <w:shd w:fill="auto" w:val="clear"/>
            <w:vAlign w:val="center"/>
          </w:tcPr>
          <w:p>
            <w:pPr>
              <w:pStyle w:val="TableContents"/>
              <w:spacing w:before="0" w:after="0"/>
              <w:ind w:left="0" w:right="0" w:hanging="0"/>
              <w:jc w:val="left"/>
              <w:rPr/>
            </w:pPr>
            <w:r>
              <w:rPr/>
              <w:t> </w:t>
            </w:r>
          </w:p>
        </w:tc>
      </w:tr>
      <w:tr>
        <w:trPr/>
        <w:tc>
          <w:tcPr>
            <w:tcW w:w="178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Date: April 27, 2023</w:t>
            </w:r>
          </w:p>
        </w:tc>
        <w:tc>
          <w:tcPr>
            <w:tcW w:w="40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By:</w:t>
            </w:r>
          </w:p>
        </w:tc>
        <w:tc>
          <w:tcPr>
            <w:tcW w:w="372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/s/ ELIZABETH GITAJN</w:t>
            </w:r>
          </w:p>
        </w:tc>
      </w:tr>
      <w:tr>
        <w:trPr/>
        <w:tc>
          <w:tcPr>
            <w:tcW w:w="1786" w:type="dxa"/>
            <w:tcBorders/>
            <w:shd w:fill="auto" w:val="clear"/>
            <w:vAlign w:val="center"/>
          </w:tcPr>
          <w:p>
            <w:pPr>
              <w:pStyle w:val="TableContents"/>
              <w:spacing w:before="0" w:after="0"/>
              <w:ind w:left="0" w:right="0" w:hanging="0"/>
              <w:jc w:val="center"/>
              <w:rPr/>
            </w:pPr>
            <w:r>
              <w:rPr/>
              <w:t> </w:t>
            </w:r>
          </w:p>
        </w:tc>
        <w:tc>
          <w:tcPr>
            <w:tcW w:w="406" w:type="dxa"/>
            <w:tcBorders/>
            <w:shd w:fill="auto" w:val="clear"/>
            <w:vAlign w:val="center"/>
          </w:tcPr>
          <w:p>
            <w:pPr>
              <w:pStyle w:val="TableContents"/>
              <w:spacing w:before="0" w:after="0"/>
              <w:ind w:left="0" w:right="0" w:hanging="0"/>
              <w:jc w:val="left"/>
              <w:rPr/>
            </w:pPr>
            <w:r>
              <w:rPr/>
              <w:t> </w:t>
            </w:r>
          </w:p>
        </w:tc>
        <w:tc>
          <w:tcPr>
            <w:tcW w:w="372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Elizabeth Gitajn</w:t>
            </w:r>
          </w:p>
        </w:tc>
      </w:tr>
      <w:tr>
        <w:trPr/>
        <w:tc>
          <w:tcPr>
            <w:tcW w:w="1786" w:type="dxa"/>
            <w:tcBorders/>
            <w:shd w:fill="auto" w:val="clear"/>
            <w:vAlign w:val="center"/>
          </w:tcPr>
          <w:p>
            <w:pPr>
              <w:pStyle w:val="TableContents"/>
              <w:spacing w:before="0" w:after="0"/>
              <w:ind w:left="0" w:right="0" w:hanging="0"/>
              <w:jc w:val="center"/>
              <w:rPr/>
            </w:pPr>
            <w:r>
              <w:rPr/>
              <w:t> </w:t>
            </w:r>
          </w:p>
        </w:tc>
        <w:tc>
          <w:tcPr>
            <w:tcW w:w="406" w:type="dxa"/>
            <w:tcBorders/>
            <w:shd w:fill="auto" w:val="clear"/>
            <w:vAlign w:val="center"/>
          </w:tcPr>
          <w:p>
            <w:pPr>
              <w:pStyle w:val="TableContents"/>
              <w:spacing w:before="0" w:after="0"/>
              <w:ind w:left="0" w:right="0" w:hanging="0"/>
              <w:jc w:val="left"/>
              <w:rPr/>
            </w:pPr>
            <w:r>
              <w:rPr/>
              <w:t> </w:t>
            </w:r>
          </w:p>
        </w:tc>
        <w:tc>
          <w:tcPr>
            <w:tcW w:w="372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Senior Vice-President, Finance &amp; Controller</w:t>
            </w:r>
          </w:p>
        </w:tc>
      </w:tr>
      <w:tr>
        <w:trPr/>
        <w:tc>
          <w:tcPr>
            <w:tcW w:w="1786" w:type="dxa"/>
            <w:tcBorders/>
            <w:shd w:fill="auto" w:val="clear"/>
            <w:vAlign w:val="center"/>
          </w:tcPr>
          <w:p>
            <w:pPr>
              <w:pStyle w:val="TableContents"/>
              <w:spacing w:before="0" w:after="0"/>
              <w:ind w:left="0" w:right="0" w:hanging="0"/>
              <w:jc w:val="center"/>
              <w:rPr/>
            </w:pPr>
            <w:r>
              <w:rPr/>
              <w:t> </w:t>
            </w:r>
          </w:p>
        </w:tc>
        <w:tc>
          <w:tcPr>
            <w:tcW w:w="406" w:type="dxa"/>
            <w:tcBorders/>
            <w:shd w:fill="auto" w:val="clear"/>
            <w:vAlign w:val="center"/>
          </w:tcPr>
          <w:p>
            <w:pPr>
              <w:pStyle w:val="TableContents"/>
              <w:spacing w:before="0" w:after="0"/>
              <w:ind w:left="0" w:right="0" w:hanging="0"/>
              <w:jc w:val="left"/>
              <w:rPr/>
            </w:pPr>
            <w:r>
              <w:rPr/>
              <w:t> </w:t>
            </w:r>
          </w:p>
        </w:tc>
        <w:tc>
          <w:tcPr>
            <w:tcW w:w="372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(Principal Accounting Officer)</w:t>
            </w:r>
          </w:p>
        </w:tc>
      </w:tr>
    </w:tbl>
    <w:p>
      <w:pPr>
        <w:pStyle w:val="TextBody"/>
        <w:spacing w:before="0" w:after="0"/>
        <w:jc w:val="both"/>
        <w:rPr/>
      </w:pPr>
      <w:r>
        <w:rPr/>
        <w:t> </w:t>
      </w:r>
    </w:p>
    <w:p>
      <w:pPr>
        <w:pStyle w:val="TextBody"/>
        <w:spacing w:before="240" w:after="0"/>
        <w:jc w:val="center"/>
        <w:rPr>
          <w:rFonts w:ascii="Times New Roman;serif" w:hAnsi="Times New Roman;serif"/>
          <w:b w:val="false"/>
          <w:sz w:val="20"/>
        </w:rPr>
      </w:pPr>
      <w:r>
        <w:rPr>
          <w:rFonts w:ascii="Times New Roman;serif" w:hAnsi="Times New Roman;serif"/>
          <w:b w:val="false"/>
          <w:sz w:val="20"/>
        </w:rPr>
        <w:t>69</w:t>
      </w:r>
    </w:p>
    <w:p>
      <w:pPr>
        <w:pStyle w:val="HorizontalLine"/>
        <w:rPr/>
      </w:pPr>
      <w:r>
        <w:rPr/>
      </w:r>
      <w:r>
        <w:br w:type="page"/>
      </w:r>
    </w:p>
    <w:p>
      <w:pPr>
        <w:pStyle w:val="TextBody"/>
        <w:spacing w:before="0" w:after="0"/>
        <w:jc w:val="center"/>
        <w:rPr>
          <w:rFonts w:ascii="Times New Roman;serif" w:hAnsi="Times New Roman;serif"/>
          <w:b/>
          <w:sz w:val="28"/>
        </w:rPr>
      </w:pPr>
      <w:bookmarkStart w:id="22" w:name="imax-ex10_2.htm"/>
      <w:bookmarkStart w:id="23" w:name="ksimaxex10_2"/>
      <w:bookmarkEnd w:id="22"/>
      <w:bookmarkEnd w:id="23"/>
      <w:r>
        <w:rPr>
          <w:rFonts w:ascii="Times New Roman;serif" w:hAnsi="Times New Roman;serif"/>
          <w:b/>
          <w:sz w:val="28"/>
        </w:rPr>
        <w:t>IMAX CORPORATION</w:t>
      </w:r>
    </w:p>
    <w:p>
      <w:pPr>
        <w:pStyle w:val="TextBody"/>
        <w:spacing w:before="0" w:after="0"/>
        <w:jc w:val="center"/>
        <w:rPr>
          <w:rFonts w:ascii="Times New Roman;serif" w:hAnsi="Times New Roman;serif"/>
          <w:b w:val="false"/>
          <w:sz w:val="28"/>
        </w:rPr>
      </w:pPr>
      <w:r>
        <w:rPr>
          <w:rFonts w:ascii="Times New Roman;serif" w:hAnsi="Times New Roman;serif"/>
          <w:b w:val="false"/>
          <w:sz w:val="28"/>
        </w:rPr>
        <w:t>Exhibit 10.2</w:t>
      </w:r>
    </w:p>
    <w:p>
      <w:pPr>
        <w:pStyle w:val="TextBody"/>
        <w:spacing w:before="0" w:after="0"/>
        <w:jc w:val="center"/>
        <w:rPr/>
      </w:pPr>
      <w:r>
        <w:rPr/>
        <w:t> </w:t>
      </w:r>
    </w:p>
    <w:p>
      <w:pPr>
        <w:pStyle w:val="TextBody"/>
        <w:spacing w:before="0" w:after="160"/>
        <w:jc w:val="both"/>
        <w:rPr>
          <w:rFonts w:ascii="Times New Roman;serif" w:hAnsi="Times New Roman;serif"/>
          <w:b/>
          <w:sz w:val="24"/>
        </w:rPr>
      </w:pPr>
      <w:r>
        <w:rPr>
          <w:rFonts w:ascii="Times New Roman;serif" w:hAnsi="Times New Roman;serif"/>
          <w:b/>
          <w:sz w:val="24"/>
        </w:rPr>
        <w:t>CERTAIN IDENTIFIED INFORMATION HAS BEEN EXCLUDED FROM THE EXHIBIT BECAUSE IT IS BOTH NOT MATERIAL AND IS THE TYPE THAT THE REGISTRANT TREATS AS PRIVATE OR CONFIDENTIAL. [***] INDICATES THAT INFORMATION HAS BEEN REDACTED.</w:t>
      </w:r>
    </w:p>
    <w:p>
      <w:pPr>
        <w:pStyle w:val="TextBody"/>
        <w:spacing w:before="0" w:after="160"/>
        <w:jc w:val="both"/>
        <w:rPr/>
      </w:pPr>
      <w:r>
        <w:rPr/>
        <w:drawing>
          <wp:inline distT="0" distB="0" distL="0" distR="0">
            <wp:extent cx="2295525" cy="43815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5"/>
                    <a:stretch>
                      <a:fillRect/>
                    </a:stretch>
                  </pic:blipFill>
                  <pic:spPr bwMode="auto">
                    <a:xfrm>
                      <a:off x="0" y="0"/>
                      <a:ext cx="2295525" cy="438150"/>
                    </a:xfrm>
                    <a:prstGeom prst="rect">
                      <a:avLst/>
                    </a:prstGeom>
                  </pic:spPr>
                </pic:pic>
              </a:graphicData>
            </a:graphic>
          </wp:inline>
        </w:drawing>
      </w:r>
      <w:r>
        <w:rPr/>
        <w:t> </w:t>
      </w:r>
    </w:p>
    <w:p>
      <w:pPr>
        <w:pStyle w:val="TextBody"/>
        <w:spacing w:before="0" w:after="160"/>
        <w:jc w:val="both"/>
        <w:rPr/>
      </w:pPr>
      <w:r>
        <w:rPr/>
        <w:t> </w:t>
      </w:r>
    </w:p>
    <w:p>
      <w:pPr>
        <w:pStyle w:val="TextBody"/>
        <w:spacing w:before="0" w:after="160"/>
        <w:jc w:val="right"/>
        <w:rPr>
          <w:rFonts w:ascii="Times New Roman;serif" w:hAnsi="Times New Roman;serif"/>
          <w:b w:val="false"/>
          <w:sz w:val="22"/>
        </w:rPr>
      </w:pPr>
      <w:r>
        <w:rPr>
          <w:rFonts w:ascii="Times New Roman;serif" w:hAnsi="Times New Roman;serif"/>
          <w:b w:val="false"/>
          <w:sz w:val="22"/>
        </w:rPr>
        <w:t>March 15, 2023</w:t>
      </w:r>
    </w:p>
    <w:p>
      <w:pPr>
        <w:pStyle w:val="TextBody"/>
        <w:spacing w:before="0" w:after="160"/>
        <w:jc w:val="both"/>
        <w:rPr>
          <w:rFonts w:ascii="Times New Roman;serif" w:hAnsi="Times New Roman;serif"/>
          <w:b/>
          <w:sz w:val="22"/>
          <w:u w:val="single"/>
        </w:rPr>
      </w:pPr>
      <w:r>
        <w:rPr>
          <w:rFonts w:ascii="Times New Roman;serif" w:hAnsi="Times New Roman;serif"/>
          <w:b/>
          <w:sz w:val="22"/>
          <w:u w:val="single"/>
        </w:rPr>
        <w:t>Via Email</w:t>
      </w:r>
    </w:p>
    <w:p>
      <w:pPr>
        <w:pStyle w:val="TextBody"/>
        <w:spacing w:before="0" w:after="0"/>
        <w:jc w:val="both"/>
        <w:rPr>
          <w:rFonts w:ascii="Times New Roman;serif" w:hAnsi="Times New Roman;serif"/>
          <w:b w:val="false"/>
          <w:sz w:val="22"/>
        </w:rPr>
      </w:pPr>
      <w:r>
        <w:rPr>
          <w:rFonts w:ascii="Times New Roman;serif" w:hAnsi="Times New Roman;serif"/>
          <w:b w:val="false"/>
          <w:sz w:val="22"/>
        </w:rPr>
        <w:t>Ms. Megan Colligan</w:t>
      </w:r>
    </w:p>
    <w:p>
      <w:pPr>
        <w:pStyle w:val="TextBody"/>
        <w:spacing w:before="0" w:after="0"/>
        <w:jc w:val="both"/>
        <w:rPr>
          <w:rFonts w:ascii="Times New Roman;serif" w:hAnsi="Times New Roman;serif"/>
          <w:b w:val="false"/>
          <w:sz w:val="22"/>
        </w:rPr>
      </w:pPr>
      <w:r>
        <w:rPr>
          <w:rFonts w:ascii="Times New Roman;serif" w:hAnsi="Times New Roman;serif"/>
          <w:b w:val="false"/>
          <w:sz w:val="22"/>
        </w:rPr>
        <w:t>[***]</w:t>
      </w:r>
    </w:p>
    <w:p>
      <w:pPr>
        <w:pStyle w:val="TextBody"/>
        <w:spacing w:before="0" w:after="160"/>
        <w:jc w:val="both"/>
        <w:rPr>
          <w:rFonts w:ascii="Times New Roman;serif" w:hAnsi="Times New Roman;serif"/>
          <w:b w:val="false"/>
          <w:sz w:val="22"/>
        </w:rPr>
      </w:pPr>
      <w:r>
        <w:rPr>
          <w:rFonts w:ascii="Times New Roman;serif" w:hAnsi="Times New Roman;serif"/>
          <w:b w:val="false"/>
          <w:sz w:val="22"/>
        </w:rPr>
        <w:t>Dear Megan:</w:t>
      </w:r>
    </w:p>
    <w:p>
      <w:pPr>
        <w:pStyle w:val="TextBody"/>
        <w:spacing w:before="0" w:after="160"/>
        <w:jc w:val="both"/>
        <w:rPr>
          <w:rFonts w:ascii="Times New Roman" w:hAnsi="Times New Roman"/>
          <w:sz w:val="20"/>
        </w:rPr>
      </w:pPr>
      <w:r>
        <w:rPr>
          <w:rFonts w:ascii="Times New Roman;serif" w:hAnsi="Times New Roman;serif"/>
          <w:b w:val="false"/>
          <w:sz w:val="22"/>
        </w:rPr>
        <w:t xml:space="preserve">I am writing to confirm our agreement with respect to your departure from IMAX Corporation (the </w:t>
      </w:r>
      <w:r>
        <w:rPr>
          <w:rFonts w:ascii="Times New Roman" w:hAnsi="Times New Roman"/>
          <w:sz w:val="20"/>
        </w:rPr>
        <w:t>“</w:t>
      </w:r>
      <w:r>
        <w:rPr>
          <w:rFonts w:ascii="Times New Roman;serif" w:hAnsi="Times New Roman;serif"/>
          <w:b/>
          <w:sz w:val="22"/>
        </w:rPr>
        <w:t>Company”</w:t>
      </w:r>
      <w:r>
        <w:rPr>
          <w:rFonts w:ascii="Times New Roman;serif" w:hAnsi="Times New Roman;serif"/>
          <w:b w:val="false"/>
          <w:sz w:val="22"/>
        </w:rPr>
        <w:t>).</w:t>
      </w:r>
    </w:p>
    <w:p>
      <w:pPr>
        <w:pStyle w:val="TextBody"/>
        <w:spacing w:before="0" w:after="160"/>
        <w:jc w:val="both"/>
        <w:rPr>
          <w:rFonts w:ascii="Times New Roman" w:hAnsi="Times New Roman"/>
          <w:b w:val="false"/>
          <w:sz w:val="22"/>
        </w:rPr>
      </w:pPr>
      <w:r>
        <w:rPr>
          <w:rFonts w:ascii="Times New Roman" w:hAnsi="Times New Roman"/>
          <w:b w:val="false"/>
          <w:sz w:val="22"/>
        </w:rPr>
        <w:t>1.</w:t>
      </w:r>
    </w:p>
    <w:p>
      <w:pPr>
        <w:pStyle w:val="TextBody"/>
        <w:spacing w:before="0" w:after="160"/>
        <w:jc w:val="both"/>
        <w:rPr/>
      </w:pPr>
      <w:r>
        <w:rPr>
          <w:rFonts w:ascii="Times New Roman;serif" w:hAnsi="Times New Roman;serif"/>
          <w:b w:val="false"/>
          <w:sz w:val="22"/>
        </w:rPr>
        <w:t xml:space="preserve">Your final day of employment with the Company will be April 30, 2023 (the </w:t>
      </w:r>
      <w:r>
        <w:rPr/>
        <w:t>“</w:t>
      </w:r>
      <w:r>
        <w:rPr>
          <w:rFonts w:ascii="Times New Roman;serif" w:hAnsi="Times New Roman;serif"/>
          <w:b/>
          <w:sz w:val="22"/>
        </w:rPr>
        <w:t>Termination Date”</w:t>
      </w:r>
      <w:r>
        <w:rPr>
          <w:rFonts w:ascii="Times New Roman;serif" w:hAnsi="Times New Roman;serif"/>
          <w:b w:val="false"/>
          <w:sz w:val="22"/>
        </w:rPr>
        <w:t>).</w:t>
      </w:r>
    </w:p>
    <w:p>
      <w:pPr>
        <w:pStyle w:val="TextBody"/>
        <w:spacing w:before="0" w:after="160"/>
        <w:jc w:val="both"/>
        <w:rPr>
          <w:rFonts w:ascii="Times New Roman" w:hAnsi="Times New Roman"/>
          <w:b w:val="false"/>
          <w:sz w:val="22"/>
        </w:rPr>
      </w:pPr>
      <w:r>
        <w:rPr>
          <w:rFonts w:ascii="Times New Roman" w:hAnsi="Times New Roman"/>
          <w:b w:val="false"/>
          <w:sz w:val="22"/>
        </w:rPr>
        <w:t>2.</w:t>
      </w:r>
    </w:p>
    <w:p>
      <w:pPr>
        <w:pStyle w:val="TextBody"/>
        <w:spacing w:before="0" w:after="160"/>
        <w:jc w:val="both"/>
        <w:rPr>
          <w:rFonts w:ascii="Times New Roman;serif" w:hAnsi="Times New Roman;serif"/>
          <w:b w:val="false"/>
          <w:sz w:val="22"/>
        </w:rPr>
      </w:pPr>
      <w:r>
        <w:rPr>
          <w:rFonts w:ascii="Times New Roman;serif" w:hAnsi="Times New Roman;serif"/>
          <w:b w:val="false"/>
          <w:sz w:val="22"/>
        </w:rPr>
        <w:t>Sixty days after the Termination Date, you will receive the following in a lump sum:</w:t>
      </w:r>
    </w:p>
    <w:p>
      <w:pPr>
        <w:pStyle w:val="TextBody"/>
        <w:spacing w:before="0" w:after="160"/>
        <w:jc w:val="both"/>
        <w:rPr>
          <w:rFonts w:ascii="Times New Roman" w:hAnsi="Times New Roman"/>
          <w:b w:val="false"/>
          <w:sz w:val="22"/>
        </w:rPr>
      </w:pPr>
      <w:r>
        <w:rPr>
          <w:rFonts w:ascii="Times New Roman" w:hAnsi="Times New Roman"/>
          <w:b w:val="false"/>
          <w:sz w:val="22"/>
        </w:rPr>
        <w:t>a.</w:t>
      </w:r>
    </w:p>
    <w:p>
      <w:pPr>
        <w:pStyle w:val="TextBody"/>
        <w:spacing w:before="0" w:after="160"/>
        <w:jc w:val="both"/>
        <w:rPr>
          <w:rFonts w:ascii="Times New Roman;serif" w:hAnsi="Times New Roman;serif"/>
          <w:b w:val="false"/>
          <w:sz w:val="22"/>
        </w:rPr>
      </w:pPr>
      <w:r>
        <w:rPr>
          <w:rFonts w:ascii="Times New Roman;serif" w:hAnsi="Times New Roman;serif"/>
          <w:b w:val="false"/>
          <w:sz w:val="22"/>
        </w:rPr>
        <w:t>The compensation set forth in Section 4(c) of your Employment Agreement; and</w:t>
      </w:r>
    </w:p>
    <w:p>
      <w:pPr>
        <w:pStyle w:val="TextBody"/>
        <w:spacing w:before="0" w:after="160"/>
        <w:jc w:val="both"/>
        <w:rPr>
          <w:rFonts w:ascii="Times New Roman" w:hAnsi="Times New Roman"/>
          <w:b w:val="false"/>
          <w:sz w:val="22"/>
        </w:rPr>
      </w:pPr>
      <w:r>
        <w:rPr>
          <w:rFonts w:ascii="Times New Roman" w:hAnsi="Times New Roman"/>
          <w:b w:val="false"/>
          <w:sz w:val="22"/>
        </w:rPr>
        <w:t>b.</w:t>
      </w:r>
    </w:p>
    <w:p>
      <w:pPr>
        <w:pStyle w:val="TextBody"/>
        <w:spacing w:before="0" w:after="160"/>
        <w:jc w:val="both"/>
        <w:rPr>
          <w:rFonts w:ascii="Times New Roman;serif" w:hAnsi="Times New Roman;serif"/>
          <w:b w:val="false"/>
          <w:sz w:val="22"/>
        </w:rPr>
      </w:pPr>
      <w:r>
        <w:rPr>
          <w:rFonts w:ascii="Times New Roman;serif" w:hAnsi="Times New Roman;serif"/>
          <w:b w:val="false"/>
          <w:sz w:val="22"/>
        </w:rPr>
        <w:t xml:space="preserve">$42,595.08, representing the cost of 12 months of COBRA coverage. </w:t>
      </w:r>
    </w:p>
    <w:p>
      <w:pPr>
        <w:pStyle w:val="TextBody"/>
        <w:spacing w:before="0" w:after="160"/>
        <w:jc w:val="both"/>
        <w:rPr>
          <w:rFonts w:ascii="Times New Roman" w:hAnsi="Times New Roman"/>
          <w:b w:val="false"/>
          <w:sz w:val="22"/>
        </w:rPr>
      </w:pPr>
      <w:r>
        <w:rPr>
          <w:rFonts w:ascii="Times New Roman" w:hAnsi="Times New Roman"/>
          <w:b w:val="false"/>
          <w:sz w:val="22"/>
        </w:rPr>
        <w:t>3.</w:t>
      </w:r>
    </w:p>
    <w:p>
      <w:pPr>
        <w:pStyle w:val="TextBody"/>
        <w:spacing w:before="0" w:after="160"/>
        <w:jc w:val="both"/>
        <w:rPr>
          <w:rFonts w:ascii="Times New Roman;serif" w:hAnsi="Times New Roman;serif"/>
          <w:b w:val="false"/>
          <w:sz w:val="22"/>
        </w:rPr>
      </w:pPr>
      <w:r>
        <w:rPr>
          <w:rFonts w:ascii="Times New Roman;serif" w:hAnsi="Times New Roman;serif"/>
          <w:b w:val="false"/>
          <w:sz w:val="22"/>
        </w:rPr>
        <w:t>In addition, and pursuant to the terms of Paragraph 4 below, you will receive the following:</w:t>
      </w:r>
    </w:p>
    <w:p>
      <w:pPr>
        <w:pStyle w:val="TextBody"/>
        <w:spacing w:before="0" w:after="160"/>
        <w:jc w:val="both"/>
        <w:rPr>
          <w:rFonts w:ascii="Times New Roman" w:hAnsi="Times New Roman"/>
          <w:b w:val="false"/>
          <w:sz w:val="22"/>
        </w:rPr>
      </w:pPr>
      <w:r>
        <w:rPr>
          <w:rFonts w:ascii="Times New Roman" w:hAnsi="Times New Roman"/>
          <w:b w:val="false"/>
          <w:sz w:val="22"/>
        </w:rPr>
        <w:t>a.</w:t>
      </w:r>
    </w:p>
    <w:p>
      <w:pPr>
        <w:pStyle w:val="TextBody"/>
        <w:spacing w:before="0" w:after="160"/>
        <w:jc w:val="both"/>
        <w:rPr/>
      </w:pPr>
      <w:r>
        <w:rPr>
          <w:rFonts w:ascii="Times New Roman;serif" w:hAnsi="Times New Roman;serif"/>
          <w:b w:val="false"/>
          <w:sz w:val="22"/>
        </w:rPr>
        <w:t xml:space="preserve">Three months of base pay, totaling $262,500 (the </w:t>
      </w:r>
      <w:r>
        <w:rPr/>
        <w:t>“</w:t>
      </w:r>
      <w:r>
        <w:rPr>
          <w:rFonts w:ascii="Times New Roman;serif" w:hAnsi="Times New Roman;serif"/>
          <w:b/>
          <w:sz w:val="22"/>
        </w:rPr>
        <w:t>Additional Severance”</w:t>
      </w:r>
      <w:r>
        <w:rPr>
          <w:rFonts w:ascii="Times New Roman;serif" w:hAnsi="Times New Roman;serif"/>
          <w:b w:val="false"/>
          <w:sz w:val="22"/>
        </w:rPr>
        <w:t>); and</w:t>
      </w:r>
    </w:p>
    <w:p>
      <w:pPr>
        <w:pStyle w:val="TextBody"/>
        <w:spacing w:before="0" w:after="160"/>
        <w:jc w:val="both"/>
        <w:rPr>
          <w:rFonts w:ascii="Times New Roman" w:hAnsi="Times New Roman"/>
          <w:b w:val="false"/>
          <w:sz w:val="22"/>
        </w:rPr>
      </w:pPr>
      <w:r>
        <w:rPr>
          <w:rFonts w:ascii="Times New Roman" w:hAnsi="Times New Roman"/>
          <w:b w:val="false"/>
          <w:sz w:val="22"/>
        </w:rPr>
        <w:t>b.</w:t>
      </w:r>
    </w:p>
    <w:p>
      <w:pPr>
        <w:pStyle w:val="TextBody"/>
        <w:spacing w:before="0" w:after="160"/>
        <w:jc w:val="both"/>
        <w:rPr/>
      </w:pPr>
      <w:r>
        <w:rPr>
          <w:rFonts w:ascii="Times New Roman;serif" w:hAnsi="Times New Roman;serif"/>
          <w:b w:val="false"/>
          <w:sz w:val="22"/>
        </w:rPr>
        <w:t xml:space="preserve">The vesting of 32,000 RSUs (the </w:t>
      </w:r>
      <w:r>
        <w:rPr/>
        <w:t>“</w:t>
      </w:r>
      <w:r>
        <w:rPr>
          <w:rFonts w:ascii="Times New Roman;serif" w:hAnsi="Times New Roman;serif"/>
          <w:b/>
          <w:sz w:val="22"/>
        </w:rPr>
        <w:t>Additional Equity”</w:t>
      </w:r>
      <w:r>
        <w:rPr>
          <w:rFonts w:ascii="Times New Roman;serif" w:hAnsi="Times New Roman;serif"/>
          <w:b w:val="false"/>
          <w:sz w:val="22"/>
        </w:rPr>
        <w:t xml:space="preserve">) on March 7, 2024 (the </w:t>
      </w:r>
      <w:r>
        <w:rPr/>
        <w:t>“</w:t>
      </w:r>
      <w:r>
        <w:rPr>
          <w:rFonts w:ascii="Times New Roman;serif" w:hAnsi="Times New Roman;serif"/>
          <w:b/>
          <w:sz w:val="22"/>
        </w:rPr>
        <w:t>Vesting Date”</w:t>
      </w:r>
      <w:r>
        <w:rPr>
          <w:rFonts w:ascii="Times New Roman;serif" w:hAnsi="Times New Roman;serif"/>
          <w:b w:val="false"/>
          <w:sz w:val="22"/>
        </w:rPr>
        <w:t>). For the sake of clarity, all additional granted but unvested equity will be canceled without any consideration.</w:t>
      </w:r>
    </w:p>
    <w:p>
      <w:pPr>
        <w:pStyle w:val="TextBody"/>
        <w:spacing w:before="0" w:after="160"/>
        <w:jc w:val="left"/>
        <w:rPr>
          <w:rFonts w:ascii="Times New Roman" w:hAnsi="Times New Roman"/>
          <w:b w:val="false"/>
          <w:sz w:val="22"/>
        </w:rPr>
      </w:pPr>
      <w:r>
        <w:rPr>
          <w:rFonts w:ascii="Times New Roman" w:hAnsi="Times New Roman"/>
          <w:b w:val="false"/>
          <w:sz w:val="22"/>
        </w:rPr>
        <w:t>4.</w:t>
      </w:r>
    </w:p>
    <w:p>
      <w:pPr>
        <w:pStyle w:val="TextBody"/>
        <w:spacing w:before="0" w:after="160"/>
        <w:jc w:val="left"/>
        <w:rPr/>
      </w:pPr>
      <w:r>
        <w:rPr>
          <w:rFonts w:ascii="Times New Roman;serif" w:hAnsi="Times New Roman;serif"/>
          <w:b w:val="false"/>
          <w:sz w:val="22"/>
        </w:rPr>
        <w:t xml:space="preserve">Throughout the ninety (90) day period immediately following the Termination Date (the </w:t>
      </w:r>
      <w:r>
        <w:rPr/>
        <w:t>“</w:t>
      </w:r>
      <w:r>
        <w:rPr>
          <w:rFonts w:ascii="Times New Roman;serif" w:hAnsi="Times New Roman;serif"/>
          <w:b/>
          <w:sz w:val="22"/>
        </w:rPr>
        <w:t>Availability Period”</w:t>
      </w:r>
      <w:r>
        <w:rPr>
          <w:rFonts w:ascii="Times New Roman;serif" w:hAnsi="Times New Roman;serif"/>
          <w:b w:val="false"/>
          <w:sz w:val="22"/>
        </w:rPr>
        <w:t>), you will make yourself reasonably available on an as-needed basis to respond to questions or requests for information concerning the Company’s business, particularly as it relates to IMAX Live events. Following completion of each month of the the Availability Period, you will receive one-third of the Additional Severance. Upon completion of the entire Availability Period, you will be qualified to receive the Additional Equity on the Vesting Date.</w:t>
      </w:r>
    </w:p>
    <w:p>
      <w:pPr>
        <w:pStyle w:val="TextBody"/>
        <w:spacing w:before="0" w:after="160"/>
        <w:jc w:val="both"/>
        <w:rPr>
          <w:rFonts w:ascii="Times New Roman" w:hAnsi="Times New Roman"/>
          <w:b w:val="false"/>
          <w:sz w:val="22"/>
        </w:rPr>
      </w:pPr>
      <w:r>
        <w:rPr>
          <w:rFonts w:ascii="Times New Roman" w:hAnsi="Times New Roman"/>
          <w:b w:val="false"/>
          <w:sz w:val="22"/>
        </w:rPr>
        <w:t>5.</w:t>
      </w:r>
    </w:p>
    <w:p>
      <w:pPr>
        <w:pStyle w:val="TextBody"/>
        <w:spacing w:before="0" w:after="160"/>
        <w:jc w:val="both"/>
        <w:rPr>
          <w:rFonts w:ascii="Times New Roman;serif" w:hAnsi="Times New Roman;serif"/>
          <w:b w:val="false"/>
          <w:sz w:val="22"/>
        </w:rPr>
      </w:pPr>
      <w:r>
        <w:rPr>
          <w:rFonts w:ascii="Times New Roman;serif" w:hAnsi="Times New Roman;serif"/>
          <w:b w:val="false"/>
          <w:sz w:val="22"/>
        </w:rPr>
        <w:t>All of the foregoing is conditioned on your signing a general waiver and release of claims, which we will send you shortly, and provided further that you otherwise comply with the terms of the Employment Agreement.</w:t>
      </w:r>
    </w:p>
    <w:p>
      <w:pPr>
        <w:pStyle w:val="TextBody"/>
        <w:spacing w:before="0" w:after="0"/>
        <w:jc w:val="left"/>
        <w:rPr/>
      </w:pPr>
      <w:r>
        <w:rPr/>
        <w:t> </w:t>
      </w:r>
    </w:p>
    <w:p>
      <w:pPr>
        <w:pStyle w:val="HorizontalLine"/>
        <w:rPr/>
      </w:pPr>
      <w:r>
        <w:rPr/>
      </w:r>
    </w:p>
    <w:p>
      <w:pPr>
        <w:pStyle w:val="TextBody"/>
        <w:spacing w:before="0" w:after="0"/>
        <w:jc w:val="both"/>
        <w:rPr>
          <w:rFonts w:ascii="Times New Roman;serif" w:hAnsi="Times New Roman;serif"/>
          <w:b w:val="false"/>
          <w:sz w:val="22"/>
        </w:rPr>
      </w:pPr>
      <w:r>
        <w:rPr>
          <w:rFonts w:ascii="Times New Roman;serif" w:hAnsi="Times New Roman;serif"/>
          <w:b w:val="false"/>
          <w:sz w:val="22"/>
        </w:rPr>
        <w:t>If the foregoing accurately reflects our agreement, please sign where indicated below and return a signed copy to me.</w:t>
      </w:r>
    </w:p>
    <w:p>
      <w:pPr>
        <w:pStyle w:val="TextBody"/>
        <w:spacing w:before="0" w:after="0"/>
        <w:jc w:val="both"/>
        <w:rPr/>
      </w:pPr>
      <w:r>
        <w:rPr/>
        <w:t> </w:t>
      </w:r>
    </w:p>
    <w:p>
      <w:pPr>
        <w:pStyle w:val="TextBody"/>
        <w:spacing w:before="0" w:after="0"/>
        <w:jc w:val="both"/>
        <w:rPr>
          <w:rFonts w:ascii="Times New Roman" w:hAnsi="Times New Roman"/>
          <w:sz w:val="20"/>
        </w:rPr>
      </w:pPr>
      <w:r>
        <w:rPr>
          <w:rFonts w:ascii="Times New Roman;serif" w:hAnsi="Times New Roman;serif"/>
          <w:b w:val="false"/>
          <w:sz w:val="22"/>
        </w:rPr>
        <w:t>Very truly yours,</w:t>
      </w:r>
      <w:r>
        <w:rPr>
          <w:rFonts w:ascii="Times New Roman" w:hAnsi="Times New Roman"/>
          <w:sz w:val="20"/>
        </w:rPr>
        <w:t xml:space="preserve"> </w:t>
      </w:r>
    </w:p>
    <w:p>
      <w:pPr>
        <w:pStyle w:val="TextBody"/>
        <w:spacing w:before="0" w:after="0"/>
        <w:jc w:val="both"/>
        <w:rPr>
          <w:rFonts w:ascii="Times New Roman;serif" w:hAnsi="Times New Roman;serif"/>
          <w:b w:val="false"/>
          <w:sz w:val="22"/>
        </w:rPr>
      </w:pPr>
      <w:r>
        <w:rPr>
          <w:rFonts w:ascii="Times New Roman;serif" w:hAnsi="Times New Roman;serif"/>
          <w:b w:val="false"/>
          <w:sz w:val="22"/>
        </w:rPr>
        <w:t>/s/ Michele Golden</w:t>
      </w:r>
    </w:p>
    <w:p>
      <w:pPr>
        <w:pStyle w:val="TextBody"/>
        <w:spacing w:before="0" w:after="0"/>
        <w:jc w:val="left"/>
        <w:rPr>
          <w:rFonts w:ascii="Times New Roman;serif" w:hAnsi="Times New Roman;serif"/>
          <w:b w:val="false"/>
          <w:sz w:val="22"/>
        </w:rPr>
      </w:pPr>
      <w:r>
        <w:rPr>
          <w:rFonts w:ascii="Times New Roman;serif" w:hAnsi="Times New Roman;serif"/>
          <w:b w:val="false"/>
          <w:sz w:val="22"/>
        </w:rPr>
        <w:t>Michele Golden</w:t>
      </w:r>
    </w:p>
    <w:p>
      <w:pPr>
        <w:pStyle w:val="TextBody"/>
        <w:spacing w:before="0" w:after="0"/>
        <w:jc w:val="left"/>
        <w:rPr>
          <w:rFonts w:ascii="Times New Roman;serif" w:hAnsi="Times New Roman;serif"/>
          <w:b w:val="false"/>
          <w:sz w:val="22"/>
        </w:rPr>
      </w:pPr>
      <w:r>
        <w:rPr>
          <w:rFonts w:ascii="Times New Roman;serif" w:hAnsi="Times New Roman;serif"/>
          <w:b w:val="false"/>
          <w:sz w:val="22"/>
        </w:rPr>
        <w:t>Chief People Officer</w:t>
      </w:r>
    </w:p>
    <w:p>
      <w:pPr>
        <w:pStyle w:val="TextBody"/>
        <w:spacing w:before="0" w:after="0"/>
        <w:jc w:val="left"/>
        <w:rPr/>
      </w:pPr>
      <w:r>
        <w:rPr/>
        <w:t> </w:t>
      </w:r>
    </w:p>
    <w:p>
      <w:pPr>
        <w:pStyle w:val="TextBody"/>
        <w:spacing w:before="0" w:after="0"/>
        <w:jc w:val="left"/>
        <w:rPr>
          <w:rFonts w:ascii="Times New Roman;serif" w:hAnsi="Times New Roman;serif"/>
          <w:b w:val="false"/>
          <w:sz w:val="22"/>
        </w:rPr>
      </w:pPr>
      <w:r>
        <w:rPr>
          <w:rFonts w:ascii="Times New Roman;serif" w:hAnsi="Times New Roman;serif"/>
          <w:b w:val="false"/>
          <w:sz w:val="22"/>
        </w:rPr>
        <w:t>Accepted and Agreed:</w:t>
      </w:r>
    </w:p>
    <w:p>
      <w:pPr>
        <w:pStyle w:val="TextBody"/>
        <w:spacing w:before="0" w:after="0"/>
        <w:jc w:val="left"/>
        <w:rPr>
          <w:rFonts w:ascii="Times New Roman;serif" w:hAnsi="Times New Roman;serif"/>
          <w:b w:val="false"/>
          <w:sz w:val="22"/>
        </w:rPr>
      </w:pPr>
      <w:r>
        <w:rPr>
          <w:rFonts w:ascii="Times New Roman;serif" w:hAnsi="Times New Roman;serif"/>
          <w:b w:val="false"/>
          <w:sz w:val="22"/>
        </w:rPr>
        <w:t>/s/ Megan Colligan</w:t>
      </w:r>
    </w:p>
    <w:p>
      <w:pPr>
        <w:pStyle w:val="TextBody"/>
        <w:spacing w:before="0" w:after="0"/>
        <w:jc w:val="left"/>
        <w:rPr>
          <w:rFonts w:ascii="Times New Roman" w:hAnsi="Times New Roman"/>
          <w:sz w:val="20"/>
        </w:rPr>
      </w:pPr>
      <w:r>
        <w:rPr>
          <w:rFonts w:ascii="Times New Roman;serif" w:hAnsi="Times New Roman;serif"/>
          <w:b w:val="false"/>
          <w:sz w:val="22"/>
        </w:rPr>
        <w:t>Megan Colligan</w:t>
      </w:r>
      <w:r>
        <w:rPr>
          <w:rFonts w:ascii="Times New Roman" w:hAnsi="Times New Roman"/>
          <w:sz w:val="20"/>
        </w:rPr>
        <w:t xml:space="preserve"> </w:t>
      </w:r>
    </w:p>
    <w:p>
      <w:pPr>
        <w:pStyle w:val="TextBody"/>
        <w:spacing w:before="0" w:after="0"/>
        <w:jc w:val="left"/>
        <w:rPr/>
      </w:pPr>
      <w:r>
        <w:rPr/>
        <w:t> </w:t>
      </w:r>
    </w:p>
    <w:p>
      <w:pPr>
        <w:pStyle w:val="TextBody"/>
        <w:spacing w:before="0" w:after="0"/>
        <w:jc w:val="left"/>
        <w:rPr>
          <w:rFonts w:ascii="Times New Roman" w:hAnsi="Times New Roman"/>
          <w:sz w:val="20"/>
        </w:rPr>
      </w:pPr>
      <w:r>
        <w:rPr>
          <w:rFonts w:ascii="Times New Roman;serif" w:hAnsi="Times New Roman;serif"/>
          <w:b w:val="false"/>
          <w:sz w:val="22"/>
        </w:rPr>
        <w:t>cc: [***]</w:t>
      </w:r>
      <w:r>
        <w:rPr>
          <w:rFonts w:ascii="Times New Roman" w:hAnsi="Times New Roman"/>
          <w:sz w:val="20"/>
        </w:rPr>
        <w:t xml:space="preserve"> </w:t>
      </w:r>
    </w:p>
    <w:p>
      <w:pPr>
        <w:pStyle w:val="HorizontalLine"/>
        <w:rPr/>
      </w:pPr>
      <w:r>
        <w:rPr/>
      </w:r>
      <w:r>
        <w:br w:type="page"/>
      </w:r>
    </w:p>
    <w:p>
      <w:pPr>
        <w:pStyle w:val="TextBody"/>
        <w:spacing w:before="0" w:after="0"/>
        <w:jc w:val="center"/>
        <w:rPr>
          <w:rFonts w:ascii="Times New Roman;serif" w:hAnsi="Times New Roman;serif"/>
          <w:b/>
          <w:sz w:val="28"/>
        </w:rPr>
      </w:pPr>
      <w:bookmarkStart w:id="24" w:name="imax-ex31_1.htm"/>
      <w:bookmarkStart w:id="25" w:name="ksimaxex31_1"/>
      <w:bookmarkEnd w:id="24"/>
      <w:bookmarkEnd w:id="25"/>
      <w:r>
        <w:rPr>
          <w:rFonts w:ascii="Times New Roman;serif" w:hAnsi="Times New Roman;serif"/>
          <w:b/>
          <w:sz w:val="28"/>
        </w:rPr>
        <w:t>IMAX CORPORATION</w:t>
      </w:r>
    </w:p>
    <w:p>
      <w:pPr>
        <w:pStyle w:val="TextBody"/>
        <w:spacing w:before="0" w:after="0"/>
        <w:jc w:val="center"/>
        <w:rPr>
          <w:rFonts w:ascii="Times New Roman;serif" w:hAnsi="Times New Roman;serif"/>
          <w:b w:val="false"/>
          <w:sz w:val="28"/>
        </w:rPr>
      </w:pPr>
      <w:r>
        <w:rPr>
          <w:rFonts w:ascii="Times New Roman;serif" w:hAnsi="Times New Roman;serif"/>
          <w:b w:val="false"/>
          <w:sz w:val="28"/>
        </w:rPr>
        <w:t>Exhibit 31.1</w:t>
      </w:r>
    </w:p>
    <w:p>
      <w:pPr>
        <w:pStyle w:val="TextBody"/>
        <w:spacing w:before="0" w:after="0"/>
        <w:jc w:val="left"/>
        <w:rPr/>
      </w:pPr>
      <w:r>
        <w:rPr/>
        <w:t> </w:t>
      </w:r>
    </w:p>
    <w:p>
      <w:pPr>
        <w:pStyle w:val="TextBody"/>
        <w:spacing w:before="0" w:after="0"/>
        <w:jc w:val="center"/>
        <w:rPr>
          <w:rFonts w:ascii="Times New Roman;serif" w:hAnsi="Times New Roman;serif"/>
          <w:b/>
          <w:sz w:val="20"/>
        </w:rPr>
      </w:pPr>
      <w:r>
        <w:rPr>
          <w:rFonts w:ascii="Times New Roman;serif" w:hAnsi="Times New Roman;serif"/>
          <w:b/>
          <w:sz w:val="20"/>
        </w:rPr>
        <w:t>Certification Pursuant to Section 302 of the Sarbanes - Oxley Act of 2002</w:t>
      </w:r>
    </w:p>
    <w:p>
      <w:pPr>
        <w:pStyle w:val="TextBody"/>
        <w:spacing w:before="0" w:after="0"/>
        <w:jc w:val="left"/>
        <w:rPr/>
      </w:pPr>
      <w:r>
        <w:rPr/>
        <w:t> </w:t>
      </w:r>
    </w:p>
    <w:p>
      <w:pPr>
        <w:pStyle w:val="TextBody"/>
        <w:spacing w:before="0" w:after="0"/>
        <w:jc w:val="both"/>
        <w:rPr>
          <w:rFonts w:ascii="Times New Roman;serif" w:hAnsi="Times New Roman;serif"/>
          <w:b w:val="false"/>
          <w:sz w:val="20"/>
        </w:rPr>
      </w:pPr>
      <w:r>
        <w:rPr>
          <w:rFonts w:ascii="Times New Roman;serif" w:hAnsi="Times New Roman;serif"/>
          <w:b w:val="false"/>
          <w:sz w:val="20"/>
        </w:rPr>
        <w:t>I, Richard L. Gelfond, certify that:</w:t>
      </w:r>
    </w:p>
    <w:p>
      <w:pPr>
        <w:pStyle w:val="TextBody"/>
        <w:spacing w:before="0" w:after="0"/>
        <w:jc w:val="left"/>
        <w:rPr/>
      </w:pPr>
      <w:r>
        <w:rPr/>
        <w:t> </w:t>
      </w:r>
    </w:p>
    <w:p>
      <w:pPr>
        <w:pStyle w:val="TextBody"/>
        <w:spacing w:before="0" w:after="0"/>
        <w:jc w:val="both"/>
        <w:rPr>
          <w:rFonts w:ascii="Times New Roman" w:hAnsi="Times New Roman"/>
          <w:b w:val="false"/>
          <w:sz w:val="20"/>
        </w:rPr>
      </w:pPr>
      <w:r>
        <w:rPr>
          <w:rFonts w:ascii="Times New Roman" w:hAnsi="Times New Roman"/>
          <w:b w:val="false"/>
          <w:sz w:val="20"/>
        </w:rPr>
        <w:t>1.</w:t>
      </w:r>
    </w:p>
    <w:p>
      <w:pPr>
        <w:pStyle w:val="TextBody"/>
        <w:jc w:val="both"/>
        <w:rPr>
          <w:rFonts w:ascii="Times New Roman;serif" w:hAnsi="Times New Roman;serif"/>
          <w:b w:val="false"/>
          <w:sz w:val="20"/>
        </w:rPr>
      </w:pPr>
      <w:r>
        <w:rPr>
          <w:rFonts w:ascii="Times New Roman;serif" w:hAnsi="Times New Roman;serif"/>
          <w:b w:val="false"/>
          <w:sz w:val="20"/>
        </w:rPr>
        <w:t xml:space="preserve">I have reviewed this Quarterly Report on Form 10-Q for the quarter ended March 31, 2023 of the registrant, IMAX Corporation; </w:t>
      </w:r>
    </w:p>
    <w:p>
      <w:pPr>
        <w:pStyle w:val="TextBody"/>
        <w:spacing w:before="0" w:after="0"/>
        <w:jc w:val="both"/>
        <w:rPr/>
      </w:pPr>
      <w:r>
        <w:rPr/>
        <w:t> </w:t>
      </w:r>
    </w:p>
    <w:p>
      <w:pPr>
        <w:pStyle w:val="TextBody"/>
        <w:spacing w:before="0" w:after="0"/>
        <w:jc w:val="both"/>
        <w:rPr>
          <w:rFonts w:ascii="Times New Roman" w:hAnsi="Times New Roman"/>
          <w:b w:val="false"/>
          <w:sz w:val="20"/>
        </w:rPr>
      </w:pPr>
      <w:r>
        <w:rPr>
          <w:rFonts w:ascii="Times New Roman" w:hAnsi="Times New Roman"/>
          <w:b w:val="false"/>
          <w:sz w:val="20"/>
        </w:rPr>
        <w:t>2.</w:t>
      </w:r>
    </w:p>
    <w:p>
      <w:pPr>
        <w:pStyle w:val="TextBody"/>
        <w:jc w:val="both"/>
        <w:rPr>
          <w:rFonts w:ascii="Times New Roman;serif" w:hAnsi="Times New Roman;serif"/>
          <w:b w:val="false"/>
          <w:sz w:val="20"/>
        </w:rPr>
      </w:pPr>
      <w:r>
        <w:rPr>
          <w:rFonts w:ascii="Times New Roman;serif" w:hAnsi="Times New Roman;serif"/>
          <w:b w:val="false"/>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spacing w:before="0" w:after="0"/>
        <w:jc w:val="both"/>
        <w:rPr/>
      </w:pPr>
      <w:r>
        <w:rPr/>
        <w:t> </w:t>
      </w:r>
    </w:p>
    <w:p>
      <w:pPr>
        <w:pStyle w:val="TextBody"/>
        <w:spacing w:before="0" w:after="0"/>
        <w:jc w:val="both"/>
        <w:rPr>
          <w:rFonts w:ascii="Times New Roman" w:hAnsi="Times New Roman"/>
          <w:b w:val="false"/>
          <w:sz w:val="20"/>
        </w:rPr>
      </w:pPr>
      <w:r>
        <w:rPr>
          <w:rFonts w:ascii="Times New Roman" w:hAnsi="Times New Roman"/>
          <w:b w:val="false"/>
          <w:sz w:val="20"/>
        </w:rPr>
        <w:t>3.</w:t>
      </w:r>
    </w:p>
    <w:p>
      <w:pPr>
        <w:pStyle w:val="TextBody"/>
        <w:jc w:val="both"/>
        <w:rPr>
          <w:rFonts w:ascii="Times New Roman;serif" w:hAnsi="Times New Roman;serif"/>
          <w:b w:val="false"/>
          <w:sz w:val="20"/>
        </w:rPr>
      </w:pPr>
      <w:r>
        <w:rPr>
          <w:rFonts w:ascii="Times New Roman;serif" w:hAnsi="Times New Roman;serif"/>
          <w:b w:val="false"/>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spacing w:before="0" w:after="0"/>
        <w:jc w:val="both"/>
        <w:rPr/>
      </w:pPr>
      <w:r>
        <w:rPr/>
        <w:t> </w:t>
      </w:r>
    </w:p>
    <w:p>
      <w:pPr>
        <w:pStyle w:val="TextBody"/>
        <w:spacing w:before="0" w:after="0"/>
        <w:jc w:val="both"/>
        <w:rPr>
          <w:rFonts w:ascii="Times New Roman" w:hAnsi="Times New Roman"/>
          <w:b w:val="false"/>
          <w:sz w:val="20"/>
        </w:rPr>
      </w:pPr>
      <w:r>
        <w:rPr>
          <w:rFonts w:ascii="Times New Roman" w:hAnsi="Times New Roman"/>
          <w:b w:val="false"/>
          <w:sz w:val="20"/>
        </w:rPr>
        <w:t>4.</w:t>
      </w:r>
    </w:p>
    <w:p>
      <w:pPr>
        <w:pStyle w:val="TextBody"/>
        <w:jc w:val="both"/>
        <w:rPr>
          <w:rFonts w:ascii="Times New Roman;serif" w:hAnsi="Times New Roman;serif"/>
          <w:b w:val="false"/>
          <w:sz w:val="20"/>
        </w:rPr>
      </w:pPr>
      <w:r>
        <w:rPr>
          <w:rFonts w:ascii="Times New Roman;serif" w:hAnsi="Times New Roman;serif"/>
          <w:b w:val="false"/>
          <w:sz w:val="20"/>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spacing w:before="0" w:after="0"/>
        <w:jc w:val="left"/>
        <w:rPr/>
      </w:pPr>
      <w:r>
        <w:rPr/>
        <w:t> </w:t>
      </w:r>
    </w:p>
    <w:p>
      <w:pPr>
        <w:pStyle w:val="TextBody"/>
        <w:spacing w:before="0" w:after="0"/>
        <w:jc w:val="both"/>
        <w:rPr>
          <w:rFonts w:ascii="Times New Roman" w:hAnsi="Times New Roman"/>
          <w:b w:val="false"/>
          <w:sz w:val="20"/>
        </w:rPr>
      </w:pPr>
      <w:r>
        <w:rPr>
          <w:rFonts w:ascii="Times New Roman" w:hAnsi="Times New Roman"/>
          <w:b w:val="false"/>
          <w:sz w:val="20"/>
        </w:rPr>
        <w:t>(a)</w:t>
      </w:r>
    </w:p>
    <w:p>
      <w:pPr>
        <w:pStyle w:val="TextBody"/>
        <w:jc w:val="both"/>
        <w:rPr>
          <w:rFonts w:ascii="Times New Roman;serif" w:hAnsi="Times New Roman;serif"/>
          <w:b w:val="false"/>
          <w:sz w:val="20"/>
        </w:rPr>
      </w:pPr>
      <w:r>
        <w:rPr>
          <w:rFonts w:ascii="Times New Roman;serif" w:hAnsi="Times New Roman;serif"/>
          <w:b w:val="false"/>
          <w:sz w:val="20"/>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spacing w:before="0" w:after="0"/>
        <w:jc w:val="both"/>
        <w:rPr/>
      </w:pPr>
      <w:r>
        <w:rPr/>
        <w:t> </w:t>
      </w:r>
    </w:p>
    <w:p>
      <w:pPr>
        <w:pStyle w:val="TextBody"/>
        <w:spacing w:before="0" w:after="0"/>
        <w:jc w:val="both"/>
        <w:rPr>
          <w:rFonts w:ascii="Times New Roman" w:hAnsi="Times New Roman"/>
          <w:b w:val="false"/>
          <w:sz w:val="20"/>
        </w:rPr>
      </w:pPr>
      <w:r>
        <w:rPr>
          <w:rFonts w:ascii="Times New Roman" w:hAnsi="Times New Roman"/>
          <w:b w:val="false"/>
          <w:sz w:val="20"/>
        </w:rPr>
        <w:t>(b)</w:t>
      </w:r>
    </w:p>
    <w:p>
      <w:pPr>
        <w:pStyle w:val="TextBody"/>
        <w:jc w:val="both"/>
        <w:rPr>
          <w:rFonts w:ascii="Times New Roman;serif" w:hAnsi="Times New Roman;serif"/>
          <w:b w:val="false"/>
          <w:sz w:val="20"/>
        </w:rPr>
      </w:pPr>
      <w:r>
        <w:rPr>
          <w:rFonts w:ascii="Times New Roman;serif" w:hAnsi="Times New Roman;serif"/>
          <w:b w:val="false"/>
          <w:sz w:val="20"/>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spacing w:before="0" w:after="0"/>
        <w:jc w:val="both"/>
        <w:rPr/>
      </w:pPr>
      <w:r>
        <w:rPr/>
        <w:t> </w:t>
      </w:r>
    </w:p>
    <w:p>
      <w:pPr>
        <w:pStyle w:val="TextBody"/>
        <w:spacing w:before="0" w:after="0"/>
        <w:jc w:val="both"/>
        <w:rPr>
          <w:rFonts w:ascii="Times New Roman" w:hAnsi="Times New Roman"/>
          <w:b w:val="false"/>
          <w:sz w:val="20"/>
        </w:rPr>
      </w:pPr>
      <w:r>
        <w:rPr>
          <w:rFonts w:ascii="Times New Roman" w:hAnsi="Times New Roman"/>
          <w:b w:val="false"/>
          <w:sz w:val="20"/>
        </w:rPr>
        <w:t>(c)</w:t>
      </w:r>
    </w:p>
    <w:p>
      <w:pPr>
        <w:pStyle w:val="TextBody"/>
        <w:jc w:val="both"/>
        <w:rPr>
          <w:rFonts w:ascii="Times New Roman;serif" w:hAnsi="Times New Roman;serif"/>
          <w:b w:val="false"/>
          <w:sz w:val="20"/>
        </w:rPr>
      </w:pPr>
      <w:r>
        <w:rPr>
          <w:rFonts w:ascii="Times New Roman;serif" w:hAnsi="Times New Roman;serif"/>
          <w:b w:val="false"/>
          <w:sz w:val="20"/>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spacing w:before="0" w:after="0"/>
        <w:jc w:val="both"/>
        <w:rPr/>
      </w:pPr>
      <w:r>
        <w:rPr/>
        <w:t> </w:t>
      </w:r>
    </w:p>
    <w:p>
      <w:pPr>
        <w:pStyle w:val="TextBody"/>
        <w:spacing w:before="0" w:after="0"/>
        <w:jc w:val="both"/>
        <w:rPr>
          <w:rFonts w:ascii="Times New Roman" w:hAnsi="Times New Roman"/>
          <w:b w:val="false"/>
          <w:sz w:val="20"/>
        </w:rPr>
      </w:pPr>
      <w:r>
        <w:rPr>
          <w:rFonts w:ascii="Times New Roman" w:hAnsi="Times New Roman"/>
          <w:b w:val="false"/>
          <w:sz w:val="20"/>
        </w:rPr>
        <w:t>(d)</w:t>
      </w:r>
    </w:p>
    <w:p>
      <w:pPr>
        <w:pStyle w:val="TextBody"/>
        <w:jc w:val="both"/>
        <w:rPr>
          <w:rFonts w:ascii="Times New Roman;serif" w:hAnsi="Times New Roman;serif"/>
          <w:b w:val="false"/>
          <w:sz w:val="20"/>
        </w:rPr>
      </w:pPr>
      <w:r>
        <w:rPr>
          <w:rFonts w:ascii="Times New Roman;serif" w:hAnsi="Times New Roman;serif"/>
          <w:b w:val="false"/>
          <w:sz w:val="20"/>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spacing w:before="0" w:after="0"/>
        <w:jc w:val="both"/>
        <w:rPr/>
      </w:pPr>
      <w:r>
        <w:rPr/>
        <w:t> </w:t>
      </w:r>
    </w:p>
    <w:p>
      <w:pPr>
        <w:pStyle w:val="TextBody"/>
        <w:spacing w:before="0" w:after="0"/>
        <w:jc w:val="both"/>
        <w:rPr>
          <w:rFonts w:ascii="Times New Roman" w:hAnsi="Times New Roman"/>
          <w:b w:val="false"/>
          <w:sz w:val="20"/>
        </w:rPr>
      </w:pPr>
      <w:r>
        <w:rPr>
          <w:rFonts w:ascii="Times New Roman" w:hAnsi="Times New Roman"/>
          <w:b w:val="false"/>
          <w:sz w:val="20"/>
        </w:rPr>
        <w:t>5.</w:t>
      </w:r>
    </w:p>
    <w:p>
      <w:pPr>
        <w:pStyle w:val="TextBody"/>
        <w:jc w:val="both"/>
        <w:rPr>
          <w:rFonts w:ascii="Times New Roman;serif" w:hAnsi="Times New Roman;serif"/>
          <w:b w:val="false"/>
          <w:sz w:val="20"/>
        </w:rPr>
      </w:pPr>
      <w:r>
        <w:rPr>
          <w:rFonts w:ascii="Times New Roman;serif" w:hAnsi="Times New Roman;serif"/>
          <w:b w:val="false"/>
          <w:sz w:val="20"/>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spacing w:before="0" w:after="0"/>
        <w:jc w:val="left"/>
        <w:rPr/>
      </w:pPr>
      <w:r>
        <w:rPr/>
        <w:t> </w:t>
      </w:r>
    </w:p>
    <w:p>
      <w:pPr>
        <w:pStyle w:val="TextBody"/>
        <w:spacing w:before="0" w:after="0"/>
        <w:jc w:val="both"/>
        <w:rPr>
          <w:rFonts w:ascii="Times New Roman" w:hAnsi="Times New Roman"/>
          <w:b w:val="false"/>
          <w:sz w:val="20"/>
        </w:rPr>
      </w:pPr>
      <w:r>
        <w:rPr>
          <w:rFonts w:ascii="Times New Roman" w:hAnsi="Times New Roman"/>
          <w:b w:val="false"/>
          <w:sz w:val="20"/>
        </w:rPr>
        <w:t>(a)</w:t>
      </w:r>
    </w:p>
    <w:p>
      <w:pPr>
        <w:pStyle w:val="TextBody"/>
        <w:jc w:val="both"/>
        <w:rPr>
          <w:rFonts w:ascii="Times New Roman;serif" w:hAnsi="Times New Roman;serif"/>
          <w:b w:val="false"/>
          <w:sz w:val="20"/>
        </w:rPr>
      </w:pPr>
      <w:r>
        <w:rPr>
          <w:rFonts w:ascii="Times New Roman;serif" w:hAnsi="Times New Roman;serif"/>
          <w:b w:val="false"/>
          <w:sz w:val="20"/>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spacing w:before="0" w:after="0"/>
        <w:jc w:val="both"/>
        <w:rPr/>
      </w:pPr>
      <w:r>
        <w:rPr/>
        <w:t> </w:t>
      </w:r>
    </w:p>
    <w:p>
      <w:pPr>
        <w:pStyle w:val="TextBody"/>
        <w:spacing w:before="0" w:after="0"/>
        <w:jc w:val="both"/>
        <w:rPr>
          <w:rFonts w:ascii="Times New Roman" w:hAnsi="Times New Roman"/>
          <w:b w:val="false"/>
          <w:sz w:val="20"/>
        </w:rPr>
      </w:pPr>
      <w:r>
        <w:rPr>
          <w:rFonts w:ascii="Times New Roman" w:hAnsi="Times New Roman"/>
          <w:b w:val="false"/>
          <w:sz w:val="20"/>
        </w:rPr>
        <w:t>(b)</w:t>
      </w:r>
    </w:p>
    <w:p>
      <w:pPr>
        <w:pStyle w:val="TextBody"/>
        <w:jc w:val="both"/>
        <w:rPr>
          <w:rFonts w:ascii="Times New Roman;serif" w:hAnsi="Times New Roman;serif"/>
          <w:b w:val="false"/>
          <w:sz w:val="20"/>
        </w:rPr>
      </w:pPr>
      <w:r>
        <w:rPr>
          <w:rFonts w:ascii="Times New Roman;serif" w:hAnsi="Times New Roman;serif"/>
          <w:b w:val="false"/>
          <w:sz w:val="20"/>
        </w:rPr>
        <w:t>Any fraud, whether or not material, that involves management or other employees who have a significant role in the registrant's internal control over financial reporting.</w:t>
      </w:r>
    </w:p>
    <w:p>
      <w:pPr>
        <w:pStyle w:val="TextBody"/>
        <w:spacing w:before="0" w:after="0"/>
        <w:jc w:val="both"/>
        <w:rPr/>
      </w:pPr>
      <w:r>
        <w:rPr/>
        <w:t> </w:t>
      </w:r>
    </w:p>
    <w:tbl>
      <w:tblPr>
        <w:tblW w:w="4987" w:type="dxa"/>
        <w:jc w:val="left"/>
        <w:tblInd w:w="0" w:type="dxa"/>
        <w:tblCellMar>
          <w:top w:w="28" w:type="dxa"/>
          <w:left w:w="28" w:type="dxa"/>
          <w:bottom w:w="28" w:type="dxa"/>
          <w:right w:w="28" w:type="dxa"/>
        </w:tblCellMar>
      </w:tblPr>
      <w:tblGrid>
        <w:gridCol w:w="556"/>
        <w:gridCol w:w="146"/>
        <w:gridCol w:w="1291"/>
        <w:gridCol w:w="146"/>
        <w:gridCol w:w="631"/>
        <w:gridCol w:w="146"/>
        <w:gridCol w:w="2071"/>
      </w:tblGrid>
      <w:tr>
        <w:trPr/>
        <w:tc>
          <w:tcPr>
            <w:tcW w:w="55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291"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631"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071" w:type="dxa"/>
            <w:tcBorders/>
            <w:shd w:fill="auto" w:val="clear"/>
            <w:vAlign w:val="center"/>
          </w:tcPr>
          <w:p>
            <w:pPr>
              <w:pStyle w:val="TableContents"/>
              <w:spacing w:before="0" w:after="283"/>
              <w:rPr>
                <w:sz w:val="4"/>
                <w:szCs w:val="4"/>
              </w:rPr>
            </w:pPr>
            <w:r>
              <w:rPr>
                <w:sz w:val="4"/>
                <w:szCs w:val="4"/>
              </w:rPr>
            </w:r>
          </w:p>
        </w:tc>
      </w:tr>
      <w:tr>
        <w:trPr/>
        <w:tc>
          <w:tcPr>
            <w:tcW w:w="55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Date:</w:t>
            </w:r>
          </w:p>
        </w:tc>
        <w:tc>
          <w:tcPr>
            <w:tcW w:w="146" w:type="dxa"/>
            <w:tcBorders/>
            <w:shd w:fill="auto" w:val="clear"/>
            <w:vAlign w:val="center"/>
          </w:tcPr>
          <w:p>
            <w:pPr>
              <w:pStyle w:val="TableContents"/>
              <w:spacing w:before="0" w:after="0"/>
              <w:ind w:left="0" w:right="0" w:hanging="0"/>
              <w:jc w:val="left"/>
              <w:rPr/>
            </w:pPr>
            <w:r>
              <w:rPr/>
              <w:t> </w:t>
            </w:r>
          </w:p>
        </w:tc>
        <w:tc>
          <w:tcPr>
            <w:tcW w:w="12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April 27, 2023</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63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By:</w:t>
            </w:r>
          </w:p>
        </w:tc>
        <w:tc>
          <w:tcPr>
            <w:tcW w:w="146" w:type="dxa"/>
            <w:tcBorders/>
            <w:shd w:fill="auto" w:val="clear"/>
            <w:vAlign w:val="center"/>
          </w:tcPr>
          <w:p>
            <w:pPr>
              <w:pStyle w:val="TableContents"/>
              <w:spacing w:before="0" w:after="0"/>
              <w:ind w:left="0" w:right="0" w:hanging="0"/>
              <w:jc w:val="left"/>
              <w:rPr/>
            </w:pPr>
            <w:r>
              <w:rPr/>
              <w:t> </w:t>
            </w:r>
          </w:p>
        </w:tc>
        <w:tc>
          <w:tcPr>
            <w:tcW w:w="207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/s/ Richard L. Gelfond</w:t>
            </w:r>
          </w:p>
        </w:tc>
      </w:tr>
      <w:tr>
        <w:trPr/>
        <w:tc>
          <w:tcPr>
            <w:tcW w:w="55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29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63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Name:</w:t>
            </w:r>
          </w:p>
        </w:tc>
        <w:tc>
          <w:tcPr>
            <w:tcW w:w="146" w:type="dxa"/>
            <w:tcBorders/>
            <w:shd w:fill="auto" w:val="clear"/>
            <w:vAlign w:val="center"/>
          </w:tcPr>
          <w:p>
            <w:pPr>
              <w:pStyle w:val="TableContents"/>
              <w:spacing w:before="0" w:after="0"/>
              <w:ind w:left="0" w:right="0" w:hanging="0"/>
              <w:jc w:val="left"/>
              <w:rPr/>
            </w:pPr>
            <w:r>
              <w:rPr/>
              <w:t> </w:t>
            </w:r>
          </w:p>
        </w:tc>
        <w:tc>
          <w:tcPr>
            <w:tcW w:w="207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Richard L. Gelfond</w:t>
            </w:r>
          </w:p>
        </w:tc>
      </w:tr>
      <w:tr>
        <w:trPr/>
        <w:tc>
          <w:tcPr>
            <w:tcW w:w="55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29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63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Title:</w:t>
            </w:r>
          </w:p>
        </w:tc>
        <w:tc>
          <w:tcPr>
            <w:tcW w:w="146" w:type="dxa"/>
            <w:tcBorders/>
            <w:shd w:fill="auto" w:val="clear"/>
            <w:vAlign w:val="center"/>
          </w:tcPr>
          <w:p>
            <w:pPr>
              <w:pStyle w:val="TableContents"/>
              <w:spacing w:before="0" w:after="0"/>
              <w:ind w:left="0" w:right="0" w:hanging="0"/>
              <w:jc w:val="left"/>
              <w:rPr/>
            </w:pPr>
            <w:r>
              <w:rPr/>
              <w:t> </w:t>
            </w:r>
          </w:p>
        </w:tc>
        <w:tc>
          <w:tcPr>
            <w:tcW w:w="207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Chief Executive Officer</w:t>
            </w:r>
          </w:p>
        </w:tc>
      </w:tr>
      <w:tr>
        <w:trPr/>
        <w:tc>
          <w:tcPr>
            <w:tcW w:w="55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29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63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071" w:type="dxa"/>
            <w:tcBorders/>
            <w:shd w:fill="auto" w:val="clear"/>
            <w:vAlign w:val="center"/>
          </w:tcPr>
          <w:p>
            <w:pPr>
              <w:pStyle w:val="TableContents"/>
              <w:spacing w:before="0" w:after="0"/>
              <w:ind w:left="0" w:right="0" w:hanging="0"/>
              <w:jc w:val="left"/>
              <w:rPr/>
            </w:pPr>
            <w:r>
              <w:rPr/>
              <w:t> </w:t>
            </w:r>
          </w:p>
        </w:tc>
      </w:tr>
    </w:tbl>
    <w:p>
      <w:pPr>
        <w:pStyle w:val="TextBody"/>
        <w:spacing w:before="0" w:after="0"/>
        <w:jc w:val="left"/>
        <w:rPr/>
      </w:pPr>
      <w:r>
        <w:rPr/>
        <w:t> </w:t>
      </w:r>
    </w:p>
    <w:p>
      <w:pPr>
        <w:pStyle w:val="HorizontalLine"/>
        <w:rPr/>
      </w:pPr>
      <w:r>
        <w:rPr/>
      </w:r>
      <w:r>
        <w:br w:type="page"/>
      </w:r>
    </w:p>
    <w:p>
      <w:pPr>
        <w:pStyle w:val="TextBody"/>
        <w:spacing w:before="0" w:after="0"/>
        <w:jc w:val="center"/>
        <w:rPr>
          <w:rFonts w:ascii="Times New Roman;serif" w:hAnsi="Times New Roman;serif"/>
          <w:b/>
          <w:sz w:val="28"/>
        </w:rPr>
      </w:pPr>
      <w:bookmarkStart w:id="26" w:name="imax-ex31_2.htm"/>
      <w:bookmarkStart w:id="27" w:name="ksimaxex31_2"/>
      <w:bookmarkEnd w:id="26"/>
      <w:bookmarkEnd w:id="27"/>
      <w:r>
        <w:rPr>
          <w:rFonts w:ascii="Times New Roman;serif" w:hAnsi="Times New Roman;serif"/>
          <w:b/>
          <w:sz w:val="28"/>
        </w:rPr>
        <w:t>IMAX CORPORATION</w:t>
      </w:r>
    </w:p>
    <w:p>
      <w:pPr>
        <w:pStyle w:val="TextBody"/>
        <w:spacing w:before="0" w:after="0"/>
        <w:jc w:val="center"/>
        <w:rPr>
          <w:rFonts w:ascii="Times New Roman;serif" w:hAnsi="Times New Roman;serif"/>
          <w:b w:val="false"/>
          <w:sz w:val="28"/>
        </w:rPr>
      </w:pPr>
      <w:r>
        <w:rPr>
          <w:rFonts w:ascii="Times New Roman;serif" w:hAnsi="Times New Roman;serif"/>
          <w:b w:val="false"/>
          <w:sz w:val="28"/>
        </w:rPr>
        <w:t>Exhibit 31.2</w:t>
      </w:r>
    </w:p>
    <w:p>
      <w:pPr>
        <w:pStyle w:val="TextBody"/>
        <w:spacing w:before="0" w:after="0"/>
        <w:jc w:val="left"/>
        <w:rPr/>
      </w:pPr>
      <w:r>
        <w:rPr/>
        <w:t> </w:t>
      </w:r>
    </w:p>
    <w:p>
      <w:pPr>
        <w:pStyle w:val="TextBody"/>
        <w:spacing w:before="0" w:after="0"/>
        <w:jc w:val="center"/>
        <w:rPr>
          <w:rFonts w:ascii="Times New Roman;serif" w:hAnsi="Times New Roman;serif"/>
          <w:b/>
          <w:sz w:val="20"/>
        </w:rPr>
      </w:pPr>
      <w:r>
        <w:rPr>
          <w:rFonts w:ascii="Times New Roman;serif" w:hAnsi="Times New Roman;serif"/>
          <w:b/>
          <w:sz w:val="20"/>
        </w:rPr>
        <w:t>Certification Pursuant to Section 302 of the Sarbanes - Oxley Act of 2002</w:t>
      </w:r>
    </w:p>
    <w:p>
      <w:pPr>
        <w:pStyle w:val="TextBody"/>
        <w:spacing w:before="0" w:after="0"/>
        <w:jc w:val="left"/>
        <w:rPr/>
      </w:pPr>
      <w:r>
        <w:rPr/>
        <w:t> </w:t>
      </w:r>
    </w:p>
    <w:p>
      <w:pPr>
        <w:pStyle w:val="TextBody"/>
        <w:spacing w:before="0" w:after="0"/>
        <w:jc w:val="both"/>
        <w:rPr>
          <w:rFonts w:ascii="Times New Roman;serif" w:hAnsi="Times New Roman;serif"/>
          <w:b w:val="false"/>
          <w:sz w:val="20"/>
        </w:rPr>
      </w:pPr>
      <w:r>
        <w:rPr>
          <w:rFonts w:ascii="Times New Roman;serif" w:hAnsi="Times New Roman;serif"/>
          <w:b w:val="false"/>
          <w:sz w:val="20"/>
        </w:rPr>
        <w:t>I, Natasha Fernandes, certify that:</w:t>
      </w:r>
    </w:p>
    <w:p>
      <w:pPr>
        <w:pStyle w:val="TextBody"/>
        <w:spacing w:before="0" w:after="0"/>
        <w:jc w:val="left"/>
        <w:rPr/>
      </w:pPr>
      <w:r>
        <w:rPr/>
        <w:t> </w:t>
      </w:r>
    </w:p>
    <w:p>
      <w:pPr>
        <w:pStyle w:val="TextBody"/>
        <w:spacing w:before="0" w:after="0"/>
        <w:jc w:val="both"/>
        <w:rPr>
          <w:rFonts w:ascii="Times New Roman" w:hAnsi="Times New Roman"/>
          <w:b w:val="false"/>
          <w:sz w:val="20"/>
        </w:rPr>
      </w:pPr>
      <w:r>
        <w:rPr>
          <w:rFonts w:ascii="Times New Roman" w:hAnsi="Times New Roman"/>
          <w:b w:val="false"/>
          <w:sz w:val="20"/>
        </w:rPr>
        <w:t>1.</w:t>
      </w:r>
    </w:p>
    <w:p>
      <w:pPr>
        <w:pStyle w:val="TextBody"/>
        <w:jc w:val="both"/>
        <w:rPr>
          <w:rFonts w:ascii="Times New Roman;serif" w:hAnsi="Times New Roman;serif"/>
          <w:b w:val="false"/>
          <w:sz w:val="20"/>
        </w:rPr>
      </w:pPr>
      <w:r>
        <w:rPr>
          <w:rFonts w:ascii="Times New Roman;serif" w:hAnsi="Times New Roman;serif"/>
          <w:b w:val="false"/>
          <w:sz w:val="20"/>
        </w:rPr>
        <w:t xml:space="preserve">I have reviewed this Quarterly Report on Form 10-Q for the quarter ended March 31, 2023 of the registrant, IMAX Corporation; </w:t>
      </w:r>
    </w:p>
    <w:p>
      <w:pPr>
        <w:pStyle w:val="TextBody"/>
        <w:spacing w:before="0" w:after="0"/>
        <w:jc w:val="both"/>
        <w:rPr/>
      </w:pPr>
      <w:r>
        <w:rPr/>
        <w:t> </w:t>
      </w:r>
    </w:p>
    <w:p>
      <w:pPr>
        <w:pStyle w:val="TextBody"/>
        <w:spacing w:before="0" w:after="0"/>
        <w:jc w:val="both"/>
        <w:rPr>
          <w:rFonts w:ascii="Times New Roman" w:hAnsi="Times New Roman"/>
          <w:b w:val="false"/>
          <w:sz w:val="20"/>
        </w:rPr>
      </w:pPr>
      <w:r>
        <w:rPr>
          <w:rFonts w:ascii="Times New Roman" w:hAnsi="Times New Roman"/>
          <w:b w:val="false"/>
          <w:sz w:val="20"/>
        </w:rPr>
        <w:t>2.</w:t>
      </w:r>
    </w:p>
    <w:p>
      <w:pPr>
        <w:pStyle w:val="TextBody"/>
        <w:jc w:val="both"/>
        <w:rPr>
          <w:rFonts w:ascii="Times New Roman;serif" w:hAnsi="Times New Roman;serif"/>
          <w:b w:val="false"/>
          <w:sz w:val="20"/>
        </w:rPr>
      </w:pPr>
      <w:r>
        <w:rPr>
          <w:rFonts w:ascii="Times New Roman;serif" w:hAnsi="Times New Roman;serif"/>
          <w:b w:val="false"/>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spacing w:before="0" w:after="0"/>
        <w:jc w:val="both"/>
        <w:rPr/>
      </w:pPr>
      <w:r>
        <w:rPr/>
        <w:t> </w:t>
      </w:r>
    </w:p>
    <w:p>
      <w:pPr>
        <w:pStyle w:val="TextBody"/>
        <w:spacing w:before="0" w:after="0"/>
        <w:jc w:val="both"/>
        <w:rPr>
          <w:rFonts w:ascii="Times New Roman" w:hAnsi="Times New Roman"/>
          <w:b w:val="false"/>
          <w:sz w:val="20"/>
        </w:rPr>
      </w:pPr>
      <w:r>
        <w:rPr>
          <w:rFonts w:ascii="Times New Roman" w:hAnsi="Times New Roman"/>
          <w:b w:val="false"/>
          <w:sz w:val="20"/>
        </w:rPr>
        <w:t>3.</w:t>
      </w:r>
    </w:p>
    <w:p>
      <w:pPr>
        <w:pStyle w:val="TextBody"/>
        <w:jc w:val="both"/>
        <w:rPr>
          <w:rFonts w:ascii="Times New Roman;serif" w:hAnsi="Times New Roman;serif"/>
          <w:b w:val="false"/>
          <w:sz w:val="20"/>
        </w:rPr>
      </w:pPr>
      <w:r>
        <w:rPr>
          <w:rFonts w:ascii="Times New Roman;serif" w:hAnsi="Times New Roman;serif"/>
          <w:b w:val="false"/>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spacing w:before="0" w:after="0"/>
        <w:jc w:val="both"/>
        <w:rPr/>
      </w:pPr>
      <w:r>
        <w:rPr/>
        <w:t> </w:t>
      </w:r>
    </w:p>
    <w:p>
      <w:pPr>
        <w:pStyle w:val="TextBody"/>
        <w:spacing w:before="0" w:after="0"/>
        <w:jc w:val="both"/>
        <w:rPr>
          <w:rFonts w:ascii="Times New Roman" w:hAnsi="Times New Roman"/>
          <w:b w:val="false"/>
          <w:sz w:val="20"/>
        </w:rPr>
      </w:pPr>
      <w:r>
        <w:rPr>
          <w:rFonts w:ascii="Times New Roman" w:hAnsi="Times New Roman"/>
          <w:b w:val="false"/>
          <w:sz w:val="20"/>
        </w:rPr>
        <w:t>4.</w:t>
      </w:r>
    </w:p>
    <w:p>
      <w:pPr>
        <w:pStyle w:val="TextBody"/>
        <w:jc w:val="both"/>
        <w:rPr>
          <w:rFonts w:ascii="Times New Roman;serif" w:hAnsi="Times New Roman;serif"/>
          <w:b w:val="false"/>
          <w:sz w:val="20"/>
        </w:rPr>
      </w:pPr>
      <w:r>
        <w:rPr>
          <w:rFonts w:ascii="Times New Roman;serif" w:hAnsi="Times New Roman;serif"/>
          <w:b w:val="false"/>
          <w:sz w:val="20"/>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spacing w:before="0" w:after="0"/>
        <w:jc w:val="left"/>
        <w:rPr/>
      </w:pPr>
      <w:r>
        <w:rPr/>
        <w:t> </w:t>
      </w:r>
    </w:p>
    <w:p>
      <w:pPr>
        <w:pStyle w:val="TextBody"/>
        <w:spacing w:before="0" w:after="0"/>
        <w:jc w:val="both"/>
        <w:rPr>
          <w:rFonts w:ascii="Times New Roman" w:hAnsi="Times New Roman"/>
          <w:b w:val="false"/>
          <w:sz w:val="20"/>
        </w:rPr>
      </w:pPr>
      <w:r>
        <w:rPr>
          <w:rFonts w:ascii="Times New Roman" w:hAnsi="Times New Roman"/>
          <w:b w:val="false"/>
          <w:sz w:val="20"/>
        </w:rPr>
        <w:t>(a)</w:t>
      </w:r>
    </w:p>
    <w:p>
      <w:pPr>
        <w:pStyle w:val="TextBody"/>
        <w:jc w:val="both"/>
        <w:rPr>
          <w:rFonts w:ascii="Times New Roman;serif" w:hAnsi="Times New Roman;serif"/>
          <w:b w:val="false"/>
          <w:sz w:val="20"/>
        </w:rPr>
      </w:pPr>
      <w:r>
        <w:rPr>
          <w:rFonts w:ascii="Times New Roman;serif" w:hAnsi="Times New Roman;serif"/>
          <w:b w:val="false"/>
          <w:sz w:val="20"/>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spacing w:before="0" w:after="0"/>
        <w:jc w:val="both"/>
        <w:rPr/>
      </w:pPr>
      <w:r>
        <w:rPr/>
        <w:t> </w:t>
      </w:r>
    </w:p>
    <w:p>
      <w:pPr>
        <w:pStyle w:val="TextBody"/>
        <w:spacing w:before="0" w:after="0"/>
        <w:jc w:val="both"/>
        <w:rPr>
          <w:rFonts w:ascii="Times New Roman" w:hAnsi="Times New Roman"/>
          <w:b w:val="false"/>
          <w:sz w:val="20"/>
        </w:rPr>
      </w:pPr>
      <w:r>
        <w:rPr>
          <w:rFonts w:ascii="Times New Roman" w:hAnsi="Times New Roman"/>
          <w:b w:val="false"/>
          <w:sz w:val="20"/>
        </w:rPr>
        <w:t>(b)</w:t>
      </w:r>
    </w:p>
    <w:p>
      <w:pPr>
        <w:pStyle w:val="TextBody"/>
        <w:jc w:val="both"/>
        <w:rPr>
          <w:rFonts w:ascii="Times New Roman;serif" w:hAnsi="Times New Roman;serif"/>
          <w:b w:val="false"/>
          <w:sz w:val="20"/>
        </w:rPr>
      </w:pPr>
      <w:r>
        <w:rPr>
          <w:rFonts w:ascii="Times New Roman;serif" w:hAnsi="Times New Roman;serif"/>
          <w:b w:val="false"/>
          <w:sz w:val="20"/>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spacing w:before="0" w:after="0"/>
        <w:jc w:val="both"/>
        <w:rPr/>
      </w:pPr>
      <w:r>
        <w:rPr/>
        <w:t> </w:t>
      </w:r>
    </w:p>
    <w:p>
      <w:pPr>
        <w:pStyle w:val="TextBody"/>
        <w:spacing w:before="0" w:after="0"/>
        <w:jc w:val="both"/>
        <w:rPr>
          <w:rFonts w:ascii="Times New Roman" w:hAnsi="Times New Roman"/>
          <w:b w:val="false"/>
          <w:sz w:val="20"/>
        </w:rPr>
      </w:pPr>
      <w:r>
        <w:rPr>
          <w:rFonts w:ascii="Times New Roman" w:hAnsi="Times New Roman"/>
          <w:b w:val="false"/>
          <w:sz w:val="20"/>
        </w:rPr>
        <w:t>(c)</w:t>
      </w:r>
    </w:p>
    <w:p>
      <w:pPr>
        <w:pStyle w:val="TextBody"/>
        <w:jc w:val="both"/>
        <w:rPr>
          <w:rFonts w:ascii="Times New Roman;serif" w:hAnsi="Times New Roman;serif"/>
          <w:b w:val="false"/>
          <w:sz w:val="20"/>
        </w:rPr>
      </w:pPr>
      <w:r>
        <w:rPr>
          <w:rFonts w:ascii="Times New Roman;serif" w:hAnsi="Times New Roman;serif"/>
          <w:b w:val="false"/>
          <w:sz w:val="20"/>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spacing w:before="0" w:after="0"/>
        <w:jc w:val="both"/>
        <w:rPr/>
      </w:pPr>
      <w:r>
        <w:rPr/>
        <w:t> </w:t>
      </w:r>
    </w:p>
    <w:p>
      <w:pPr>
        <w:pStyle w:val="TextBody"/>
        <w:spacing w:before="0" w:after="0"/>
        <w:jc w:val="both"/>
        <w:rPr>
          <w:rFonts w:ascii="Times New Roman" w:hAnsi="Times New Roman"/>
          <w:b w:val="false"/>
          <w:sz w:val="20"/>
        </w:rPr>
      </w:pPr>
      <w:r>
        <w:rPr>
          <w:rFonts w:ascii="Times New Roman" w:hAnsi="Times New Roman"/>
          <w:b w:val="false"/>
          <w:sz w:val="20"/>
        </w:rPr>
        <w:t>(d)</w:t>
      </w:r>
    </w:p>
    <w:p>
      <w:pPr>
        <w:pStyle w:val="TextBody"/>
        <w:jc w:val="both"/>
        <w:rPr>
          <w:rFonts w:ascii="Times New Roman;serif" w:hAnsi="Times New Roman;serif"/>
          <w:b w:val="false"/>
          <w:sz w:val="20"/>
        </w:rPr>
      </w:pPr>
      <w:r>
        <w:rPr>
          <w:rFonts w:ascii="Times New Roman;serif" w:hAnsi="Times New Roman;serif"/>
          <w:b w:val="false"/>
          <w:sz w:val="20"/>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spacing w:before="0" w:after="0"/>
        <w:jc w:val="both"/>
        <w:rPr/>
      </w:pPr>
      <w:r>
        <w:rPr/>
        <w:t> </w:t>
      </w:r>
    </w:p>
    <w:p>
      <w:pPr>
        <w:pStyle w:val="TextBody"/>
        <w:spacing w:before="0" w:after="0"/>
        <w:jc w:val="both"/>
        <w:rPr>
          <w:rFonts w:ascii="Times New Roman" w:hAnsi="Times New Roman"/>
          <w:b w:val="false"/>
          <w:sz w:val="20"/>
        </w:rPr>
      </w:pPr>
      <w:r>
        <w:rPr>
          <w:rFonts w:ascii="Times New Roman" w:hAnsi="Times New Roman"/>
          <w:b w:val="false"/>
          <w:sz w:val="20"/>
        </w:rPr>
        <w:t>5.</w:t>
      </w:r>
    </w:p>
    <w:p>
      <w:pPr>
        <w:pStyle w:val="TextBody"/>
        <w:jc w:val="both"/>
        <w:rPr>
          <w:rFonts w:ascii="Times New Roman;serif" w:hAnsi="Times New Roman;serif"/>
          <w:b w:val="false"/>
          <w:sz w:val="20"/>
        </w:rPr>
      </w:pPr>
      <w:r>
        <w:rPr>
          <w:rFonts w:ascii="Times New Roman;serif" w:hAnsi="Times New Roman;serif"/>
          <w:b w:val="false"/>
          <w:sz w:val="20"/>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spacing w:before="0" w:after="0"/>
        <w:jc w:val="left"/>
        <w:rPr/>
      </w:pPr>
      <w:r>
        <w:rPr/>
        <w:t> </w:t>
      </w:r>
    </w:p>
    <w:p>
      <w:pPr>
        <w:pStyle w:val="TextBody"/>
        <w:spacing w:before="0" w:after="0"/>
        <w:jc w:val="both"/>
        <w:rPr>
          <w:rFonts w:ascii="Times New Roman" w:hAnsi="Times New Roman"/>
          <w:b w:val="false"/>
          <w:sz w:val="20"/>
        </w:rPr>
      </w:pPr>
      <w:r>
        <w:rPr>
          <w:rFonts w:ascii="Times New Roman" w:hAnsi="Times New Roman"/>
          <w:b w:val="false"/>
          <w:sz w:val="20"/>
        </w:rPr>
        <w:t>(a)</w:t>
      </w:r>
    </w:p>
    <w:p>
      <w:pPr>
        <w:pStyle w:val="TextBody"/>
        <w:jc w:val="both"/>
        <w:rPr>
          <w:rFonts w:ascii="Times New Roman;serif" w:hAnsi="Times New Roman;serif"/>
          <w:b w:val="false"/>
          <w:sz w:val="20"/>
        </w:rPr>
      </w:pPr>
      <w:r>
        <w:rPr>
          <w:rFonts w:ascii="Times New Roman;serif" w:hAnsi="Times New Roman;serif"/>
          <w:b w:val="false"/>
          <w:sz w:val="20"/>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spacing w:before="0" w:after="0"/>
        <w:jc w:val="both"/>
        <w:rPr/>
      </w:pPr>
      <w:r>
        <w:rPr/>
        <w:t> </w:t>
      </w:r>
    </w:p>
    <w:p>
      <w:pPr>
        <w:pStyle w:val="TextBody"/>
        <w:spacing w:before="0" w:after="0"/>
        <w:jc w:val="both"/>
        <w:rPr>
          <w:rFonts w:ascii="Times New Roman" w:hAnsi="Times New Roman"/>
          <w:b w:val="false"/>
          <w:sz w:val="20"/>
        </w:rPr>
      </w:pPr>
      <w:r>
        <w:rPr>
          <w:rFonts w:ascii="Times New Roman" w:hAnsi="Times New Roman"/>
          <w:b w:val="false"/>
          <w:sz w:val="20"/>
        </w:rPr>
        <w:t>(b)</w:t>
      </w:r>
    </w:p>
    <w:p>
      <w:pPr>
        <w:pStyle w:val="TextBody"/>
        <w:jc w:val="both"/>
        <w:rPr>
          <w:rFonts w:ascii="Times New Roman;serif" w:hAnsi="Times New Roman;serif"/>
          <w:b w:val="false"/>
          <w:sz w:val="20"/>
        </w:rPr>
      </w:pPr>
      <w:r>
        <w:rPr>
          <w:rFonts w:ascii="Times New Roman;serif" w:hAnsi="Times New Roman;serif"/>
          <w:b w:val="false"/>
          <w:sz w:val="20"/>
        </w:rPr>
        <w:t>Any fraud, whether or not material, that involves management or other employees who have a significant role in the registrant's internal control over financial reporting.</w:t>
      </w:r>
    </w:p>
    <w:p>
      <w:pPr>
        <w:pStyle w:val="TextBody"/>
        <w:spacing w:before="0" w:after="0"/>
        <w:jc w:val="left"/>
        <w:rPr/>
      </w:pPr>
      <w:r>
        <w:rPr/>
        <w:t> </w:t>
      </w:r>
    </w:p>
    <w:tbl>
      <w:tblPr>
        <w:tblW w:w="4927" w:type="dxa"/>
        <w:jc w:val="left"/>
        <w:tblInd w:w="0" w:type="dxa"/>
        <w:tblCellMar>
          <w:top w:w="28" w:type="dxa"/>
          <w:left w:w="28" w:type="dxa"/>
          <w:bottom w:w="28" w:type="dxa"/>
          <w:right w:w="28" w:type="dxa"/>
        </w:tblCellMar>
      </w:tblPr>
      <w:tblGrid>
        <w:gridCol w:w="556"/>
        <w:gridCol w:w="146"/>
        <w:gridCol w:w="1291"/>
        <w:gridCol w:w="146"/>
        <w:gridCol w:w="631"/>
        <w:gridCol w:w="146"/>
        <w:gridCol w:w="2011"/>
      </w:tblGrid>
      <w:tr>
        <w:trPr/>
        <w:tc>
          <w:tcPr>
            <w:tcW w:w="55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291"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631"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011" w:type="dxa"/>
            <w:tcBorders/>
            <w:shd w:fill="auto" w:val="clear"/>
            <w:vAlign w:val="center"/>
          </w:tcPr>
          <w:p>
            <w:pPr>
              <w:pStyle w:val="TableContents"/>
              <w:spacing w:before="0" w:after="283"/>
              <w:rPr>
                <w:sz w:val="4"/>
                <w:szCs w:val="4"/>
              </w:rPr>
            </w:pPr>
            <w:r>
              <w:rPr>
                <w:sz w:val="4"/>
                <w:szCs w:val="4"/>
              </w:rPr>
            </w:r>
          </w:p>
        </w:tc>
      </w:tr>
      <w:tr>
        <w:trPr/>
        <w:tc>
          <w:tcPr>
            <w:tcW w:w="55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Date:</w:t>
            </w:r>
          </w:p>
        </w:tc>
        <w:tc>
          <w:tcPr>
            <w:tcW w:w="146" w:type="dxa"/>
            <w:tcBorders/>
            <w:shd w:fill="auto" w:val="clear"/>
            <w:vAlign w:val="center"/>
          </w:tcPr>
          <w:p>
            <w:pPr>
              <w:pStyle w:val="TableContents"/>
              <w:spacing w:before="0" w:after="0"/>
              <w:ind w:left="0" w:right="0" w:hanging="0"/>
              <w:jc w:val="left"/>
              <w:rPr/>
            </w:pPr>
            <w:r>
              <w:rPr/>
              <w:t> </w:t>
            </w:r>
          </w:p>
        </w:tc>
        <w:tc>
          <w:tcPr>
            <w:tcW w:w="12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April 27, 2023</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63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By:</w:t>
            </w:r>
          </w:p>
        </w:tc>
        <w:tc>
          <w:tcPr>
            <w:tcW w:w="146" w:type="dxa"/>
            <w:tcBorders/>
            <w:shd w:fill="auto" w:val="clear"/>
            <w:vAlign w:val="center"/>
          </w:tcPr>
          <w:p>
            <w:pPr>
              <w:pStyle w:val="TableContents"/>
              <w:spacing w:before="0" w:after="0"/>
              <w:ind w:left="0" w:right="0" w:hanging="0"/>
              <w:jc w:val="left"/>
              <w:rPr/>
            </w:pPr>
            <w:r>
              <w:rPr/>
              <w:t> </w:t>
            </w:r>
          </w:p>
        </w:tc>
        <w:tc>
          <w:tcPr>
            <w:tcW w:w="20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/s/ Natasha Fernandes</w:t>
            </w:r>
          </w:p>
        </w:tc>
      </w:tr>
      <w:tr>
        <w:trPr/>
        <w:tc>
          <w:tcPr>
            <w:tcW w:w="55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29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63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Name:</w:t>
            </w:r>
          </w:p>
        </w:tc>
        <w:tc>
          <w:tcPr>
            <w:tcW w:w="146" w:type="dxa"/>
            <w:tcBorders/>
            <w:shd w:fill="auto" w:val="clear"/>
            <w:vAlign w:val="center"/>
          </w:tcPr>
          <w:p>
            <w:pPr>
              <w:pStyle w:val="TableContents"/>
              <w:spacing w:before="0" w:after="0"/>
              <w:ind w:left="0" w:right="0" w:hanging="0"/>
              <w:jc w:val="left"/>
              <w:rPr/>
            </w:pPr>
            <w:r>
              <w:rPr/>
              <w:t> </w:t>
            </w:r>
          </w:p>
        </w:tc>
        <w:tc>
          <w:tcPr>
            <w:tcW w:w="201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Natasha Fernandes</w:t>
            </w:r>
          </w:p>
        </w:tc>
      </w:tr>
      <w:tr>
        <w:trPr/>
        <w:tc>
          <w:tcPr>
            <w:tcW w:w="55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29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63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Title:</w:t>
            </w:r>
          </w:p>
        </w:tc>
        <w:tc>
          <w:tcPr>
            <w:tcW w:w="146" w:type="dxa"/>
            <w:tcBorders/>
            <w:shd w:fill="auto" w:val="clear"/>
            <w:vAlign w:val="center"/>
          </w:tcPr>
          <w:p>
            <w:pPr>
              <w:pStyle w:val="TableContents"/>
              <w:spacing w:before="0" w:after="0"/>
              <w:ind w:left="0" w:right="0" w:hanging="0"/>
              <w:jc w:val="left"/>
              <w:rPr/>
            </w:pPr>
            <w:r>
              <w:rPr/>
              <w:t> </w:t>
            </w:r>
          </w:p>
        </w:tc>
        <w:tc>
          <w:tcPr>
            <w:tcW w:w="201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Chief Financial Officer</w:t>
            </w:r>
          </w:p>
        </w:tc>
      </w:tr>
      <w:tr>
        <w:trPr/>
        <w:tc>
          <w:tcPr>
            <w:tcW w:w="55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29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63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011" w:type="dxa"/>
            <w:tcBorders/>
            <w:shd w:fill="auto" w:val="clear"/>
            <w:vAlign w:val="center"/>
          </w:tcPr>
          <w:p>
            <w:pPr>
              <w:pStyle w:val="TableContents"/>
              <w:spacing w:before="0" w:after="0"/>
              <w:ind w:left="0" w:right="0" w:hanging="0"/>
              <w:jc w:val="left"/>
              <w:rPr/>
            </w:pPr>
            <w:r>
              <w:rPr/>
              <w:t> </w:t>
            </w:r>
          </w:p>
        </w:tc>
      </w:tr>
    </w:tbl>
    <w:p>
      <w:pPr>
        <w:pStyle w:val="TextBody"/>
        <w:spacing w:before="0" w:after="0"/>
        <w:jc w:val="left"/>
        <w:rPr/>
      </w:pPr>
      <w:r>
        <w:rPr/>
        <w:t> </w:t>
      </w:r>
    </w:p>
    <w:p>
      <w:pPr>
        <w:pStyle w:val="HorizontalLine"/>
        <w:rPr/>
      </w:pPr>
      <w:r>
        <w:rPr/>
      </w:r>
      <w:r>
        <w:br w:type="page"/>
      </w:r>
    </w:p>
    <w:p>
      <w:pPr>
        <w:pStyle w:val="TextBody"/>
        <w:spacing w:before="0" w:after="0"/>
        <w:jc w:val="center"/>
        <w:rPr>
          <w:rFonts w:ascii="Times New Roman;serif" w:hAnsi="Times New Roman;serif"/>
          <w:b/>
          <w:sz w:val="28"/>
        </w:rPr>
      </w:pPr>
      <w:bookmarkStart w:id="28" w:name="imax-ex32_1.htm"/>
      <w:bookmarkStart w:id="29" w:name="ksimaxex32_1"/>
      <w:bookmarkEnd w:id="28"/>
      <w:bookmarkEnd w:id="29"/>
      <w:r>
        <w:rPr>
          <w:rFonts w:ascii="Times New Roman;serif" w:hAnsi="Times New Roman;serif"/>
          <w:b/>
          <w:sz w:val="28"/>
        </w:rPr>
        <w:t>IMAX CORPORATION</w:t>
      </w:r>
    </w:p>
    <w:p>
      <w:pPr>
        <w:pStyle w:val="TextBody"/>
        <w:spacing w:before="0" w:after="0"/>
        <w:jc w:val="center"/>
        <w:rPr>
          <w:rFonts w:ascii="Times New Roman;serif" w:hAnsi="Times New Roman;serif"/>
          <w:b w:val="false"/>
          <w:sz w:val="28"/>
        </w:rPr>
      </w:pPr>
      <w:r>
        <w:rPr>
          <w:rFonts w:ascii="Times New Roman;serif" w:hAnsi="Times New Roman;serif"/>
          <w:b w:val="false"/>
          <w:sz w:val="28"/>
        </w:rPr>
        <w:t>Exhibit 32.1</w:t>
      </w:r>
    </w:p>
    <w:p>
      <w:pPr>
        <w:pStyle w:val="TextBody"/>
        <w:spacing w:before="0" w:after="0"/>
        <w:jc w:val="both"/>
        <w:rPr/>
      </w:pPr>
      <w:r>
        <w:rPr/>
        <w:t> </w:t>
      </w:r>
    </w:p>
    <w:p>
      <w:pPr>
        <w:pStyle w:val="TextBody"/>
        <w:spacing w:before="0" w:after="0"/>
        <w:jc w:val="center"/>
        <w:rPr>
          <w:rFonts w:ascii="Times New Roman" w:hAnsi="Times New Roman"/>
          <w:sz w:val="20"/>
        </w:rPr>
      </w:pPr>
      <w:r>
        <w:rPr>
          <w:rFonts w:ascii="Times New Roman;serif" w:hAnsi="Times New Roman;serif"/>
          <w:b/>
          <w:sz w:val="22"/>
        </w:rPr>
        <w:t>CERTIFICATIONS</w:t>
      </w:r>
      <w:r>
        <w:rPr>
          <w:rFonts w:ascii="Times New Roman" w:hAnsi="Times New Roman"/>
          <w:sz w:val="20"/>
        </w:rPr>
        <w:t xml:space="preserve"> </w:t>
      </w:r>
    </w:p>
    <w:p>
      <w:pPr>
        <w:pStyle w:val="TextBody"/>
        <w:spacing w:before="0" w:after="0"/>
        <w:jc w:val="center"/>
        <w:rPr>
          <w:rFonts w:ascii="Times New Roman;serif" w:hAnsi="Times New Roman;serif"/>
          <w:b/>
          <w:sz w:val="22"/>
        </w:rPr>
      </w:pPr>
      <w:r>
        <w:rPr>
          <w:rFonts w:ascii="Times New Roman;serif" w:hAnsi="Times New Roman;serif"/>
          <w:b/>
          <w:sz w:val="22"/>
        </w:rPr>
        <w:t>Pursuant to Section 906 of the Sarbanes-Oxley Act of 2002</w:t>
      </w:r>
    </w:p>
    <w:p>
      <w:pPr>
        <w:pStyle w:val="TextBody"/>
        <w:spacing w:before="0" w:after="0"/>
        <w:jc w:val="center"/>
        <w:rPr>
          <w:rFonts w:ascii="Times New Roman;serif" w:hAnsi="Times New Roman;serif"/>
          <w:b/>
          <w:sz w:val="22"/>
        </w:rPr>
      </w:pPr>
      <w:r>
        <w:rPr>
          <w:rFonts w:ascii="Times New Roman;serif" w:hAnsi="Times New Roman;serif"/>
          <w:b/>
          <w:sz w:val="22"/>
        </w:rPr>
        <w:t>(Subsections (A) and (B) of Section 1350, Chapter 63 of Title 18, United States Code)</w:t>
      </w:r>
    </w:p>
    <w:p>
      <w:pPr>
        <w:pStyle w:val="TextBody"/>
        <w:spacing w:before="0" w:after="0"/>
        <w:jc w:val="center"/>
        <w:rPr/>
      </w:pPr>
      <w:r>
        <w:rPr/>
        <w:t> </w:t>
      </w:r>
    </w:p>
    <w:p>
      <w:pPr>
        <w:pStyle w:val="TextBody"/>
        <w:spacing w:before="0" w:after="0"/>
        <w:jc w:val="center"/>
        <w:rPr/>
      </w:pPr>
      <w:r>
        <w:rPr/>
        <w:t> </w:t>
      </w:r>
    </w:p>
    <w:p>
      <w:pPr>
        <w:pStyle w:val="TextBody"/>
        <w:spacing w:before="0" w:after="0"/>
        <w:jc w:val="both"/>
        <w:rPr>
          <w:rFonts w:ascii="Times New Roman;serif" w:hAnsi="Times New Roman;serif"/>
          <w:b w:val="false"/>
          <w:sz w:val="20"/>
        </w:rPr>
      </w:pPr>
      <w:r>
        <w:rPr>
          <w:rFonts w:ascii="Times New Roman;serif" w:hAnsi="Times New Roman;serif"/>
          <w:b w:val="false"/>
          <w:sz w:val="20"/>
        </w:rPr>
        <w:t>Pursuant to section 906 of the Sarbanes-Oxley Act of 2002 (subsections (a) and (b) of section 1350, chapter 63 of title 18, United States Code), I, Richard L. Gelfond, Chief Executive Officer &amp; Director of IMAX Corporation, a Canadian corporation (the “Company”), hereby certify, to my knowledge, that:</w:t>
      </w:r>
    </w:p>
    <w:p>
      <w:pPr>
        <w:pStyle w:val="TextBody"/>
        <w:spacing w:before="0" w:after="0"/>
        <w:jc w:val="both"/>
        <w:rPr/>
      </w:pPr>
      <w:r>
        <w:rPr/>
        <w:t> </w:t>
      </w:r>
    </w:p>
    <w:p>
      <w:pPr>
        <w:pStyle w:val="TextBody"/>
        <w:spacing w:before="0" w:after="0"/>
        <w:jc w:val="both"/>
        <w:rPr>
          <w:rFonts w:ascii="Times New Roman;serif" w:hAnsi="Times New Roman;serif"/>
          <w:b w:val="false"/>
          <w:sz w:val="20"/>
        </w:rPr>
      </w:pPr>
      <w:r>
        <w:rPr>
          <w:rFonts w:ascii="Times New Roman;serif" w:hAnsi="Times New Roman;serif"/>
          <w:b w:val="false"/>
          <w:sz w:val="20"/>
        </w:rPr>
        <w:t>The Quarterly Report on Form 10-Q for the quarter ended March 31, 2023 (the “Form 10-Q”) of the Company fully complies with the requirements of section 13(a) or 15(d) of the Securities Exchange Act of 1934, and information contained in the Form 10-Q fairly presents, in all material respects, the financial condition and results of operations of the Company.</w:t>
      </w:r>
    </w:p>
    <w:p>
      <w:pPr>
        <w:pStyle w:val="TextBody"/>
        <w:spacing w:before="0" w:after="0"/>
        <w:jc w:val="left"/>
        <w:rPr/>
      </w:pPr>
      <w:r>
        <w:rPr/>
        <w:t> </w:t>
      </w:r>
    </w:p>
    <w:tbl>
      <w:tblPr>
        <w:tblW w:w="4987" w:type="dxa"/>
        <w:jc w:val="left"/>
        <w:tblInd w:w="0" w:type="dxa"/>
        <w:tblCellMar>
          <w:top w:w="28" w:type="dxa"/>
          <w:left w:w="28" w:type="dxa"/>
          <w:bottom w:w="28" w:type="dxa"/>
          <w:right w:w="28" w:type="dxa"/>
        </w:tblCellMar>
      </w:tblPr>
      <w:tblGrid>
        <w:gridCol w:w="556"/>
        <w:gridCol w:w="146"/>
        <w:gridCol w:w="1291"/>
        <w:gridCol w:w="146"/>
        <w:gridCol w:w="631"/>
        <w:gridCol w:w="146"/>
        <w:gridCol w:w="2071"/>
      </w:tblGrid>
      <w:tr>
        <w:trPr/>
        <w:tc>
          <w:tcPr>
            <w:tcW w:w="55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291"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631"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071" w:type="dxa"/>
            <w:tcBorders/>
            <w:shd w:fill="auto" w:val="clear"/>
            <w:vAlign w:val="center"/>
          </w:tcPr>
          <w:p>
            <w:pPr>
              <w:pStyle w:val="TableContents"/>
              <w:spacing w:before="0" w:after="283"/>
              <w:rPr>
                <w:sz w:val="4"/>
                <w:szCs w:val="4"/>
              </w:rPr>
            </w:pPr>
            <w:r>
              <w:rPr>
                <w:sz w:val="4"/>
                <w:szCs w:val="4"/>
              </w:rPr>
            </w:r>
          </w:p>
        </w:tc>
      </w:tr>
      <w:tr>
        <w:trPr/>
        <w:tc>
          <w:tcPr>
            <w:tcW w:w="55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Date:</w:t>
            </w:r>
          </w:p>
        </w:tc>
        <w:tc>
          <w:tcPr>
            <w:tcW w:w="146" w:type="dxa"/>
            <w:tcBorders/>
            <w:shd w:fill="auto" w:val="clear"/>
            <w:vAlign w:val="center"/>
          </w:tcPr>
          <w:p>
            <w:pPr>
              <w:pStyle w:val="TableContents"/>
              <w:spacing w:before="0" w:after="0"/>
              <w:ind w:left="0" w:right="0" w:hanging="0"/>
              <w:jc w:val="left"/>
              <w:rPr/>
            </w:pPr>
            <w:r>
              <w:rPr/>
              <w:t> </w:t>
            </w:r>
          </w:p>
        </w:tc>
        <w:tc>
          <w:tcPr>
            <w:tcW w:w="12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April 27, 2023</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63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By:</w:t>
            </w:r>
          </w:p>
        </w:tc>
        <w:tc>
          <w:tcPr>
            <w:tcW w:w="146" w:type="dxa"/>
            <w:tcBorders/>
            <w:shd w:fill="auto" w:val="clear"/>
            <w:vAlign w:val="center"/>
          </w:tcPr>
          <w:p>
            <w:pPr>
              <w:pStyle w:val="TableContents"/>
              <w:spacing w:before="0" w:after="0"/>
              <w:ind w:left="0" w:right="0" w:hanging="0"/>
              <w:jc w:val="left"/>
              <w:rPr/>
            </w:pPr>
            <w:r>
              <w:rPr/>
              <w:t> </w:t>
            </w:r>
          </w:p>
        </w:tc>
        <w:tc>
          <w:tcPr>
            <w:tcW w:w="207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/s/ Richard L. Gelfond</w:t>
            </w:r>
          </w:p>
        </w:tc>
      </w:tr>
      <w:tr>
        <w:trPr/>
        <w:tc>
          <w:tcPr>
            <w:tcW w:w="55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29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63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Name:</w:t>
            </w:r>
          </w:p>
        </w:tc>
        <w:tc>
          <w:tcPr>
            <w:tcW w:w="146" w:type="dxa"/>
            <w:tcBorders/>
            <w:shd w:fill="auto" w:val="clear"/>
            <w:vAlign w:val="center"/>
          </w:tcPr>
          <w:p>
            <w:pPr>
              <w:pStyle w:val="TableContents"/>
              <w:spacing w:before="0" w:after="0"/>
              <w:ind w:left="0" w:right="0" w:hanging="0"/>
              <w:jc w:val="left"/>
              <w:rPr/>
            </w:pPr>
            <w:r>
              <w:rPr/>
              <w:t> </w:t>
            </w:r>
          </w:p>
        </w:tc>
        <w:tc>
          <w:tcPr>
            <w:tcW w:w="207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Richard L. Gelfond</w:t>
            </w:r>
          </w:p>
        </w:tc>
      </w:tr>
      <w:tr>
        <w:trPr/>
        <w:tc>
          <w:tcPr>
            <w:tcW w:w="55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29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63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Title:</w:t>
            </w:r>
          </w:p>
        </w:tc>
        <w:tc>
          <w:tcPr>
            <w:tcW w:w="146" w:type="dxa"/>
            <w:tcBorders/>
            <w:shd w:fill="auto" w:val="clear"/>
            <w:vAlign w:val="center"/>
          </w:tcPr>
          <w:p>
            <w:pPr>
              <w:pStyle w:val="TableContents"/>
              <w:spacing w:before="0" w:after="0"/>
              <w:ind w:left="0" w:right="0" w:hanging="0"/>
              <w:jc w:val="left"/>
              <w:rPr/>
            </w:pPr>
            <w:r>
              <w:rPr/>
              <w:t> </w:t>
            </w:r>
          </w:p>
        </w:tc>
        <w:tc>
          <w:tcPr>
            <w:tcW w:w="207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Chief Executive Officer</w:t>
            </w:r>
          </w:p>
        </w:tc>
      </w:tr>
    </w:tbl>
    <w:p>
      <w:pPr>
        <w:pStyle w:val="TextBody"/>
        <w:spacing w:before="0" w:after="0"/>
        <w:jc w:val="left"/>
        <w:rPr/>
      </w:pPr>
      <w:r>
        <w:rPr/>
        <w:t> </w:t>
      </w:r>
    </w:p>
    <w:p>
      <w:pPr>
        <w:pStyle w:val="TextBody"/>
        <w:spacing w:before="0" w:after="0"/>
        <w:jc w:val="left"/>
        <w:rPr/>
      </w:pPr>
      <w:r>
        <w:rPr/>
        <w:t> </w:t>
      </w:r>
    </w:p>
    <w:p>
      <w:pPr>
        <w:pStyle w:val="HorizontalLine"/>
        <w:rPr/>
      </w:pPr>
      <w:r>
        <w:rPr/>
      </w:r>
      <w:r>
        <w:br w:type="page"/>
      </w:r>
    </w:p>
    <w:p>
      <w:pPr>
        <w:pStyle w:val="TextBody"/>
        <w:spacing w:before="0" w:after="0"/>
        <w:jc w:val="center"/>
        <w:rPr>
          <w:rFonts w:ascii="Times New Roman;serif" w:hAnsi="Times New Roman;serif"/>
          <w:b/>
          <w:sz w:val="28"/>
        </w:rPr>
      </w:pPr>
      <w:bookmarkStart w:id="30" w:name="imax-ex32_2.htm"/>
      <w:bookmarkStart w:id="31" w:name="ksimaxex32_2"/>
      <w:bookmarkEnd w:id="30"/>
      <w:bookmarkEnd w:id="31"/>
      <w:r>
        <w:rPr>
          <w:rFonts w:ascii="Times New Roman;serif" w:hAnsi="Times New Roman;serif"/>
          <w:b/>
          <w:sz w:val="28"/>
        </w:rPr>
        <w:t>IMAX CORPORATION</w:t>
      </w:r>
    </w:p>
    <w:p>
      <w:pPr>
        <w:pStyle w:val="TextBody"/>
        <w:spacing w:before="0" w:after="0"/>
        <w:jc w:val="center"/>
        <w:rPr>
          <w:rFonts w:ascii="Times New Roman;serif" w:hAnsi="Times New Roman;serif"/>
          <w:b w:val="false"/>
          <w:sz w:val="28"/>
        </w:rPr>
      </w:pPr>
      <w:r>
        <w:rPr>
          <w:rFonts w:ascii="Times New Roman;serif" w:hAnsi="Times New Roman;serif"/>
          <w:b w:val="false"/>
          <w:sz w:val="28"/>
        </w:rPr>
        <w:t>Exhibit 32.2</w:t>
      </w:r>
    </w:p>
    <w:p>
      <w:pPr>
        <w:pStyle w:val="TextBody"/>
        <w:spacing w:before="0" w:after="0"/>
        <w:jc w:val="both"/>
        <w:rPr/>
      </w:pPr>
      <w:r>
        <w:rPr/>
        <w:t> </w:t>
      </w:r>
    </w:p>
    <w:p>
      <w:pPr>
        <w:pStyle w:val="TextBody"/>
        <w:spacing w:before="0" w:after="0"/>
        <w:jc w:val="center"/>
        <w:rPr>
          <w:rFonts w:ascii="Times New Roman" w:hAnsi="Times New Roman"/>
          <w:sz w:val="20"/>
        </w:rPr>
      </w:pPr>
      <w:r>
        <w:rPr>
          <w:rFonts w:ascii="Times New Roman;serif" w:hAnsi="Times New Roman;serif"/>
          <w:b/>
          <w:sz w:val="22"/>
        </w:rPr>
        <w:t>CERTIFICATIONS</w:t>
      </w:r>
      <w:r>
        <w:rPr>
          <w:rFonts w:ascii="Times New Roman" w:hAnsi="Times New Roman"/>
          <w:sz w:val="20"/>
        </w:rPr>
        <w:t xml:space="preserve"> </w:t>
      </w:r>
    </w:p>
    <w:p>
      <w:pPr>
        <w:pStyle w:val="TextBody"/>
        <w:spacing w:before="0" w:after="0"/>
        <w:jc w:val="center"/>
        <w:rPr>
          <w:rFonts w:ascii="Times New Roman;serif" w:hAnsi="Times New Roman;serif"/>
          <w:b/>
          <w:sz w:val="22"/>
        </w:rPr>
      </w:pPr>
      <w:r>
        <w:rPr>
          <w:rFonts w:ascii="Times New Roman;serif" w:hAnsi="Times New Roman;serif"/>
          <w:b/>
          <w:sz w:val="22"/>
        </w:rPr>
        <w:t>Pursuant to Section 906 of the Sarbanes-Oxley Act of 2002</w:t>
      </w:r>
    </w:p>
    <w:p>
      <w:pPr>
        <w:pStyle w:val="TextBody"/>
        <w:spacing w:before="0" w:after="0"/>
        <w:jc w:val="center"/>
        <w:rPr>
          <w:rFonts w:ascii="Times New Roman;serif" w:hAnsi="Times New Roman;serif"/>
          <w:b/>
          <w:sz w:val="22"/>
        </w:rPr>
      </w:pPr>
      <w:r>
        <w:rPr>
          <w:rFonts w:ascii="Times New Roman;serif" w:hAnsi="Times New Roman;serif"/>
          <w:b/>
          <w:sz w:val="22"/>
        </w:rPr>
        <w:t>(Subsections (A) and (B) of Section 1350, Chapter 63 of Title 18, United States Code)</w:t>
      </w:r>
    </w:p>
    <w:p>
      <w:pPr>
        <w:pStyle w:val="TextBody"/>
        <w:spacing w:before="0" w:after="0"/>
        <w:jc w:val="center"/>
        <w:rPr/>
      </w:pPr>
      <w:r>
        <w:rPr/>
        <w:t> </w:t>
      </w:r>
    </w:p>
    <w:p>
      <w:pPr>
        <w:pStyle w:val="TextBody"/>
        <w:spacing w:before="0" w:after="0"/>
        <w:jc w:val="center"/>
        <w:rPr/>
      </w:pPr>
      <w:r>
        <w:rPr/>
        <w:t> </w:t>
      </w:r>
    </w:p>
    <w:p>
      <w:pPr>
        <w:pStyle w:val="TextBody"/>
        <w:spacing w:before="0" w:after="0"/>
        <w:jc w:val="both"/>
        <w:rPr>
          <w:rFonts w:ascii="Times New Roman;serif" w:hAnsi="Times New Roman;serif"/>
          <w:b w:val="false"/>
          <w:sz w:val="20"/>
        </w:rPr>
      </w:pPr>
      <w:r>
        <w:rPr>
          <w:rFonts w:ascii="Times New Roman;serif" w:hAnsi="Times New Roman;serif"/>
          <w:b w:val="false"/>
          <w:sz w:val="20"/>
        </w:rPr>
        <w:t>Pursuant to section 906 of the Sarbanes-Oxley Act of 2002 (subsections (a) and (b) of section 1350, chapter 63 of title 18, United States Code), I, Natasha Fernandes, Chief Financial Officer of IMAX Corporation, a Canadian corporation (the “Company”), hereby certify, to my knowledge, that:</w:t>
      </w:r>
    </w:p>
    <w:p>
      <w:pPr>
        <w:pStyle w:val="TextBody"/>
        <w:spacing w:before="0" w:after="0"/>
        <w:jc w:val="both"/>
        <w:rPr/>
      </w:pPr>
      <w:r>
        <w:rPr/>
        <w:t> </w:t>
      </w:r>
    </w:p>
    <w:p>
      <w:pPr>
        <w:pStyle w:val="TextBody"/>
        <w:spacing w:before="0" w:after="0"/>
        <w:jc w:val="both"/>
        <w:rPr>
          <w:rFonts w:ascii="Times New Roman;serif" w:hAnsi="Times New Roman;serif"/>
          <w:b w:val="false"/>
          <w:sz w:val="20"/>
        </w:rPr>
      </w:pPr>
      <w:r>
        <w:rPr>
          <w:rFonts w:ascii="Times New Roman;serif" w:hAnsi="Times New Roman;serif"/>
          <w:b w:val="false"/>
          <w:sz w:val="20"/>
        </w:rPr>
        <w:t>The Quarterly Report on Form 10-Q for the quarter ended March 31, 2023 (the “Form 10-Q”) of the Company fully complies with the requirements of section 13(a) or 15(d) of the Securities Exchange Act of 1934, and information contained in the Form 10-Q fairly presents, in all material respects, the financial condition and results of operations of the Company.</w:t>
      </w:r>
    </w:p>
    <w:p>
      <w:pPr>
        <w:pStyle w:val="TextBody"/>
        <w:spacing w:before="0" w:after="0"/>
        <w:jc w:val="left"/>
        <w:rPr/>
      </w:pPr>
      <w:r>
        <w:rPr/>
        <w:t> </w:t>
      </w:r>
    </w:p>
    <w:tbl>
      <w:tblPr>
        <w:tblW w:w="4927" w:type="dxa"/>
        <w:jc w:val="left"/>
        <w:tblInd w:w="0" w:type="dxa"/>
        <w:tblCellMar>
          <w:top w:w="28" w:type="dxa"/>
          <w:left w:w="28" w:type="dxa"/>
          <w:bottom w:w="28" w:type="dxa"/>
          <w:right w:w="28" w:type="dxa"/>
        </w:tblCellMar>
      </w:tblPr>
      <w:tblGrid>
        <w:gridCol w:w="556"/>
        <w:gridCol w:w="146"/>
        <w:gridCol w:w="1291"/>
        <w:gridCol w:w="146"/>
        <w:gridCol w:w="631"/>
        <w:gridCol w:w="146"/>
        <w:gridCol w:w="2011"/>
      </w:tblGrid>
      <w:tr>
        <w:trPr/>
        <w:tc>
          <w:tcPr>
            <w:tcW w:w="55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291"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631"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011" w:type="dxa"/>
            <w:tcBorders/>
            <w:shd w:fill="auto" w:val="clear"/>
            <w:vAlign w:val="center"/>
          </w:tcPr>
          <w:p>
            <w:pPr>
              <w:pStyle w:val="TableContents"/>
              <w:spacing w:before="0" w:after="283"/>
              <w:rPr>
                <w:sz w:val="4"/>
                <w:szCs w:val="4"/>
              </w:rPr>
            </w:pPr>
            <w:r>
              <w:rPr>
                <w:sz w:val="4"/>
                <w:szCs w:val="4"/>
              </w:rPr>
            </w:r>
          </w:p>
        </w:tc>
      </w:tr>
      <w:tr>
        <w:trPr/>
        <w:tc>
          <w:tcPr>
            <w:tcW w:w="55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Date:</w:t>
            </w:r>
          </w:p>
        </w:tc>
        <w:tc>
          <w:tcPr>
            <w:tcW w:w="146" w:type="dxa"/>
            <w:tcBorders/>
            <w:shd w:fill="auto" w:val="clear"/>
            <w:vAlign w:val="center"/>
          </w:tcPr>
          <w:p>
            <w:pPr>
              <w:pStyle w:val="TableContents"/>
              <w:spacing w:before="0" w:after="0"/>
              <w:ind w:left="0" w:right="0" w:hanging="0"/>
              <w:jc w:val="left"/>
              <w:rPr/>
            </w:pPr>
            <w:r>
              <w:rPr/>
              <w:t> </w:t>
            </w:r>
          </w:p>
        </w:tc>
        <w:tc>
          <w:tcPr>
            <w:tcW w:w="12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April 27, 2023</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63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By:</w:t>
            </w:r>
          </w:p>
        </w:tc>
        <w:tc>
          <w:tcPr>
            <w:tcW w:w="146" w:type="dxa"/>
            <w:tcBorders/>
            <w:shd w:fill="auto" w:val="clear"/>
            <w:vAlign w:val="center"/>
          </w:tcPr>
          <w:p>
            <w:pPr>
              <w:pStyle w:val="TableContents"/>
              <w:spacing w:before="0" w:after="0"/>
              <w:ind w:left="0" w:right="0" w:hanging="0"/>
              <w:jc w:val="left"/>
              <w:rPr/>
            </w:pPr>
            <w:r>
              <w:rPr/>
              <w:t> </w:t>
            </w:r>
          </w:p>
        </w:tc>
        <w:tc>
          <w:tcPr>
            <w:tcW w:w="20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/s/ Natasha Fernandes</w:t>
            </w:r>
          </w:p>
        </w:tc>
      </w:tr>
      <w:tr>
        <w:trPr/>
        <w:tc>
          <w:tcPr>
            <w:tcW w:w="55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29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63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Name:</w:t>
            </w:r>
          </w:p>
        </w:tc>
        <w:tc>
          <w:tcPr>
            <w:tcW w:w="146" w:type="dxa"/>
            <w:tcBorders/>
            <w:shd w:fill="auto" w:val="clear"/>
            <w:vAlign w:val="center"/>
          </w:tcPr>
          <w:p>
            <w:pPr>
              <w:pStyle w:val="TableContents"/>
              <w:spacing w:before="0" w:after="0"/>
              <w:ind w:left="0" w:right="0" w:hanging="0"/>
              <w:jc w:val="left"/>
              <w:rPr/>
            </w:pPr>
            <w:r>
              <w:rPr/>
              <w:t> </w:t>
            </w:r>
          </w:p>
        </w:tc>
        <w:tc>
          <w:tcPr>
            <w:tcW w:w="201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Natasha Fernandes</w:t>
            </w:r>
          </w:p>
        </w:tc>
      </w:tr>
      <w:tr>
        <w:trPr/>
        <w:tc>
          <w:tcPr>
            <w:tcW w:w="55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29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63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Title:</w:t>
            </w:r>
          </w:p>
        </w:tc>
        <w:tc>
          <w:tcPr>
            <w:tcW w:w="146" w:type="dxa"/>
            <w:tcBorders/>
            <w:shd w:fill="auto" w:val="clear"/>
            <w:vAlign w:val="center"/>
          </w:tcPr>
          <w:p>
            <w:pPr>
              <w:pStyle w:val="TableContents"/>
              <w:spacing w:before="0" w:after="0"/>
              <w:ind w:left="0" w:right="0" w:hanging="0"/>
              <w:jc w:val="left"/>
              <w:rPr/>
            </w:pPr>
            <w:r>
              <w:rPr/>
              <w:t> </w:t>
            </w:r>
          </w:p>
        </w:tc>
        <w:tc>
          <w:tcPr>
            <w:tcW w:w="201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Chief Financial Officer</w:t>
            </w:r>
          </w:p>
        </w:tc>
      </w:tr>
      <w:tr>
        <w:trPr/>
        <w:tc>
          <w:tcPr>
            <w:tcW w:w="55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29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63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011" w:type="dxa"/>
            <w:tcBorders/>
            <w:shd w:fill="auto" w:val="clear"/>
            <w:vAlign w:val="center"/>
          </w:tcPr>
          <w:p>
            <w:pPr>
              <w:pStyle w:val="TableContents"/>
              <w:spacing w:before="0" w:after="0"/>
              <w:ind w:left="0" w:right="0" w:hanging="0"/>
              <w:jc w:val="left"/>
              <w:rPr/>
            </w:pPr>
            <w:r>
              <w:rPr/>
              <w:t> </w:t>
            </w:r>
          </w:p>
        </w:tc>
      </w:tr>
    </w:tbl>
    <w:p>
      <w:pPr>
        <w:pStyle w:val="TextBody"/>
        <w:spacing w:before="0" w:after="0"/>
        <w:jc w:val="left"/>
        <w:rPr/>
      </w:pPr>
      <w:r>
        <w:rPr/>
        <w:t> </w:t>
      </w:r>
    </w:p>
    <w:p>
      <w:pPr>
        <w:pStyle w:val="HorizontalLine"/>
        <w:pBdr>
          <w:bottom w:val="double" w:sz="2" w:space="0" w:color="808080"/>
        </w:pBdr>
        <w:spacing w:before="0" w:after="283"/>
        <w:rPr/>
      </w:pPr>
      <w:r>
        <w:rPr/>
      </w:r>
    </w:p>
    <w:sectPr>
      <w:type w:val="nextPage"/>
      <w:pgSz w:w="11906" w:h="16838"/>
      <w:pgMar w:left="1134" w:right="567" w:header="0" w:top="567" w:footer="0" w:bottom="567" w:gutter="0"/>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Liberation Sans Unicode MS">
    <w:charset w:val="00"/>
    <w:family w:val="auto"/>
    <w:pitch w:val="variable"/>
  </w:font>
  <w:font w:name="Liberation Sans">
    <w:altName w:val="Arial"/>
    <w:charset w:val="00"/>
    <w:family w:val="swiss"/>
    <w:pitch w:val="variable"/>
  </w:font>
  <w:font w:name="Times New Roman">
    <w:altName w:val="serif"/>
    <w:charset w:val="00"/>
    <w:family w:val="auto"/>
    <w:pitch w:val="default"/>
  </w:font>
  <w:font w:name="Times New Roman">
    <w:charset w:val="00"/>
    <w:family w:val="auto"/>
    <w:pitch w:val="default"/>
  </w:font>
  <w:font w:name="Calibri">
    <w:altName w:val="sans-serif"/>
    <w:charset w:val="00"/>
    <w:family w:val="auto"/>
    <w:pitch w:val="default"/>
  </w:font>
</w:fonts>
</file>

<file path=word/settings.xml><?xml version="1.0" encoding="utf-8"?>
<w:settings xmlns:w="http://schemas.openxmlformats.org/wordprocessingml/2006/main">
  <w:zoom w:percent="100"/>
  <w:defaultTabStop w:val="1134"/>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WenQuanYi Zen Hei Sharp" w:cs="DejaVu Sans"/>
        <w:sz w:val="24"/>
        <w:szCs w:val="24"/>
        <w:lang w:val="en-US" w:eastAsia="zh-CN" w:bidi="hi-IN"/>
      </w:rPr>
    </w:rPrDefault>
    <w:pPrDefault>
      <w:pPr/>
    </w:pPrDefault>
  </w:docDefaults>
  <w:style w:type="paragraph" w:styleId="Normal">
    <w:name w:val="Normal"/>
    <w:qFormat/>
    <w:pPr>
      <w:widowControl w:val="false"/>
      <w:kinsoku w:val="true"/>
      <w:overflowPunct w:val="true"/>
      <w:autoSpaceDE w:val="true"/>
      <w:bidi w:val="0"/>
    </w:pPr>
    <w:rPr>
      <w:rFonts w:ascii="Liberation Serif" w:hAnsi="Liberation Serif" w:eastAsia="WenQuanYi Zen Hei Sharp" w:cs="DejaVu Sans"/>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Internet 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DejaVu Sans"/>
    </w:rPr>
  </w:style>
  <w:style w:type="paragraph" w:styleId="Caption">
    <w:name w:val="Caption"/>
    <w:basedOn w:val="Normal"/>
    <w:qFormat/>
    <w:pPr>
      <w:suppressLineNumbers/>
      <w:spacing w:before="120" w:after="120"/>
    </w:pPr>
    <w:rPr>
      <w:rFonts w:cs="DejaVu Sans"/>
      <w:i/>
      <w:iCs/>
      <w:sz w:val="24"/>
      <w:szCs w:val="24"/>
    </w:rPr>
  </w:style>
  <w:style w:type="paragraph" w:styleId="List">
    <w:name w:val="List"/>
    <w:basedOn w:val="TextBody"/>
    <w:pPr/>
    <w:rPr>
      <w:rFonts w:cs="DejaVu Sans"/>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sec.gov/Archives/edgar/data/921582/000119312523032615/d392349dex31.htm" TargetMode="External"/><Relationship Id="rId3" Type="http://schemas.openxmlformats.org/officeDocument/2006/relationships/hyperlink" Target="https://www.sec.gov/Archives/edgar/data/921582/000119312523032615/d392349dex31.htm" TargetMode="External"/><Relationship Id="rId4" Type="http://schemas.openxmlformats.org/officeDocument/2006/relationships/hyperlink" Target="https://www.sec.gov/Archives/edgar/data/921582/000095017023003801/imax-ex10_37.htm" TargetMode="External"/><Relationship Id="rId5" Type="http://schemas.openxmlformats.org/officeDocument/2006/relationships/image" Target="media/image1.jpeg"/><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LibreOffice/6.2.2.2$Linux_X86_64 LibreOffice_project/2b840030fec2aae0fd2658d8d4f9548af4e3518d</Application>
  <Pages>12</Pages>
  <Words>36567</Words>
  <CharactersWithSpaces>240880</CharactersWithSpaces>
  <Paragraphs>11351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