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290.xml.htm"/>
      <w:bookmarkStart w:id="1" w:name="ksmarketforms7329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MacMillan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931 MANNING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M6G 2X5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IMAX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IMAX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4"/>
        <w:gridCol w:w="902"/>
        <w:gridCol w:w="771"/>
        <w:gridCol w:w="599"/>
        <w:gridCol w:w="349"/>
        <w:gridCol w:w="892"/>
        <w:gridCol w:w="458"/>
        <w:gridCol w:w="756"/>
        <w:gridCol w:w="1168"/>
        <w:gridCol w:w="1001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(opening balance)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38,028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41,418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42.12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39,569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666"/>
        <w:gridCol w:w="66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upon vesting of restricted share units into common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is the economic equivalent of one common share of IMAX Corporation.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Mr. MacMillan is reporting the withholding of common shares to satisfy the tax withholding obligations in connection with the delivery of common shares upon conversion of the restricted share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restricted share unit represents a contingent right to receive one common share of IMAX Corporation.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Mr. MacMillan received a grant of restricted share units in connection with his membership on the IMAX Corporation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restricted share units vest and convert to common shares on the date of grant, June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Pursuant to Instruction 4(C)(iii), this response has been left blank.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MacMillan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9363" TargetMode="External"/><Relationship Id="rId5" Type="http://schemas.openxmlformats.org/officeDocument/2006/relationships/hyperlink" Target="http://www.sec.gov/cgi-bin/browse-edgar?action=getcompany&amp;CIK=00009215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729</Words>
  <Characters>3939</Characters>
  <CharactersWithSpaces>4580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