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240" w:hanging="192"/>
        <w:spacing w:after="0"/>
        <w:tabs>
          <w:tab w:leader="none" w:pos="2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7"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31" w:lineRule="exact"/>
        <w:rPr>
          <w:sz w:val="24"/>
          <w:szCs w:val="24"/>
          <w:color w:val="auto"/>
        </w:rPr>
      </w:pPr>
    </w:p>
    <w:p>
      <w:pPr>
        <w:ind w:left="240" w:hanging="192"/>
        <w:spacing w:after="0"/>
        <w:tabs>
          <w:tab w:leader="none" w:pos="2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4"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Commission file Number 001-35066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65405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IMAX Corporation</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5" w:lineRule="exact"/>
        <w:rPr>
          <w:sz w:val="24"/>
          <w:szCs w:val="24"/>
          <w:color w:val="auto"/>
        </w:rPr>
      </w:pPr>
    </w:p>
    <w:tbl>
      <w:tblPr>
        <w:tblLayout w:type="fixed"/>
        <w:tblInd w:w="1300" w:type="dxa"/>
        <w:tblCellMar>
          <w:top w:w="0" w:type="dxa"/>
          <w:left w:w="0" w:type="dxa"/>
          <w:bottom w:w="0" w:type="dxa"/>
          <w:right w:w="0" w:type="dxa"/>
        </w:tblCellMar>
      </w:tblPr>
      <w:tr>
        <w:trPr>
          <w:trHeight w:val="219"/>
        </w:trPr>
        <w:tc>
          <w:tcPr>
            <w:tcW w:w="4440" w:type="dxa"/>
            <w:vAlign w:val="bottom"/>
          </w:tcPr>
          <w:p>
            <w:pPr>
              <w:jc w:val="center"/>
              <w:ind w:right="1311"/>
              <w:spacing w:after="0"/>
              <w:rPr>
                <w:sz w:val="20"/>
                <w:szCs w:val="20"/>
                <w:color w:val="auto"/>
              </w:rPr>
            </w:pPr>
            <w:r>
              <w:rPr>
                <w:rFonts w:ascii="Arial" w:cs="Arial" w:eastAsia="Arial" w:hAnsi="Arial"/>
                <w:sz w:val="18"/>
                <w:szCs w:val="18"/>
                <w:b w:val="1"/>
                <w:bCs w:val="1"/>
                <w:color w:val="auto"/>
                <w:w w:val="92"/>
              </w:rPr>
              <w:t>Canada</w:t>
            </w:r>
          </w:p>
        </w:tc>
        <w:tc>
          <w:tcPr>
            <w:tcW w:w="3980" w:type="dxa"/>
            <w:vAlign w:val="bottom"/>
          </w:tcPr>
          <w:p>
            <w:pPr>
              <w:jc w:val="right"/>
              <w:ind w:right="771"/>
              <w:spacing w:after="0"/>
              <w:rPr>
                <w:sz w:val="20"/>
                <w:szCs w:val="20"/>
                <w:color w:val="auto"/>
              </w:rPr>
            </w:pPr>
            <w:r>
              <w:rPr>
                <w:rFonts w:ascii="Arial" w:cs="Arial" w:eastAsia="Arial" w:hAnsi="Arial"/>
                <w:sz w:val="18"/>
                <w:szCs w:val="18"/>
                <w:b w:val="1"/>
                <w:bCs w:val="1"/>
                <w:color w:val="auto"/>
              </w:rPr>
              <w:t>98-0140269</w:t>
            </w:r>
          </w:p>
        </w:tc>
      </w:tr>
      <w:tr>
        <w:trPr>
          <w:trHeight w:val="215"/>
        </w:trPr>
        <w:tc>
          <w:tcPr>
            <w:tcW w:w="4440" w:type="dxa"/>
            <w:vAlign w:val="bottom"/>
          </w:tcPr>
          <w:p>
            <w:pPr>
              <w:jc w:val="center"/>
              <w:ind w:right="1311"/>
              <w:spacing w:after="0"/>
              <w:rPr>
                <w:sz w:val="20"/>
                <w:szCs w:val="20"/>
                <w:color w:val="auto"/>
              </w:rPr>
            </w:pPr>
            <w:r>
              <w:rPr>
                <w:rFonts w:ascii="Arial" w:cs="Arial" w:eastAsia="Arial" w:hAnsi="Arial"/>
                <w:sz w:val="18"/>
                <w:szCs w:val="18"/>
                <w:i w:val="1"/>
                <w:iCs w:val="1"/>
                <w:color w:val="auto"/>
                <w:w w:val="92"/>
              </w:rPr>
              <w:t>(State or other jurisdiction of</w:t>
            </w:r>
          </w:p>
        </w:tc>
        <w:tc>
          <w:tcPr>
            <w:tcW w:w="3980" w:type="dxa"/>
            <w:vAlign w:val="bottom"/>
          </w:tcPr>
          <w:p>
            <w:pPr>
              <w:jc w:val="center"/>
              <w:ind w:left="1331"/>
              <w:spacing w:after="0"/>
              <w:rPr>
                <w:sz w:val="20"/>
                <w:szCs w:val="20"/>
                <w:color w:val="auto"/>
              </w:rPr>
            </w:pPr>
            <w:r>
              <w:rPr>
                <w:rFonts w:ascii="Arial" w:cs="Arial" w:eastAsia="Arial" w:hAnsi="Arial"/>
                <w:sz w:val="18"/>
                <w:szCs w:val="18"/>
                <w:i w:val="1"/>
                <w:iCs w:val="1"/>
                <w:color w:val="auto"/>
                <w:w w:val="90"/>
              </w:rPr>
              <w:t>(I.R.S. Employer</w:t>
            </w:r>
          </w:p>
        </w:tc>
      </w:tr>
      <w:tr>
        <w:trPr>
          <w:trHeight w:val="229"/>
        </w:trPr>
        <w:tc>
          <w:tcPr>
            <w:tcW w:w="4440" w:type="dxa"/>
            <w:vAlign w:val="bottom"/>
          </w:tcPr>
          <w:p>
            <w:pPr>
              <w:jc w:val="center"/>
              <w:ind w:right="1311"/>
              <w:spacing w:after="0"/>
              <w:rPr>
                <w:sz w:val="20"/>
                <w:szCs w:val="20"/>
                <w:color w:val="auto"/>
              </w:rPr>
            </w:pPr>
            <w:r>
              <w:rPr>
                <w:rFonts w:ascii="Arial" w:cs="Arial" w:eastAsia="Arial" w:hAnsi="Arial"/>
                <w:sz w:val="18"/>
                <w:szCs w:val="18"/>
                <w:i w:val="1"/>
                <w:iCs w:val="1"/>
                <w:color w:val="auto"/>
                <w:w w:val="93"/>
              </w:rPr>
              <w:t>incorporation or organization)</w:t>
            </w:r>
          </w:p>
        </w:tc>
        <w:tc>
          <w:tcPr>
            <w:tcW w:w="3980" w:type="dxa"/>
            <w:vAlign w:val="bottom"/>
          </w:tcPr>
          <w:p>
            <w:pPr>
              <w:jc w:val="center"/>
              <w:ind w:left="1331"/>
              <w:spacing w:after="0"/>
              <w:rPr>
                <w:sz w:val="20"/>
                <w:szCs w:val="20"/>
                <w:color w:val="auto"/>
              </w:rPr>
            </w:pPr>
            <w:r>
              <w:rPr>
                <w:rFonts w:ascii="Arial" w:cs="Arial" w:eastAsia="Arial" w:hAnsi="Arial"/>
                <w:sz w:val="18"/>
                <w:szCs w:val="18"/>
                <w:i w:val="1"/>
                <w:iCs w:val="1"/>
                <w:color w:val="auto"/>
                <w:w w:val="93"/>
              </w:rPr>
              <w:t>Identification Number)</w:t>
            </w:r>
          </w:p>
        </w:tc>
      </w:tr>
      <w:tr>
        <w:trPr>
          <w:trHeight w:val="277"/>
        </w:trPr>
        <w:tc>
          <w:tcPr>
            <w:tcW w:w="4440" w:type="dxa"/>
            <w:vAlign w:val="bottom"/>
          </w:tcPr>
          <w:p>
            <w:pPr>
              <w:jc w:val="center"/>
              <w:ind w:right="1311"/>
              <w:spacing w:after="0"/>
              <w:rPr>
                <w:sz w:val="20"/>
                <w:szCs w:val="20"/>
                <w:color w:val="auto"/>
              </w:rPr>
            </w:pPr>
            <w:r>
              <w:rPr>
                <w:rFonts w:ascii="Arial" w:cs="Arial" w:eastAsia="Arial" w:hAnsi="Arial"/>
                <w:sz w:val="18"/>
                <w:szCs w:val="18"/>
                <w:b w:val="1"/>
                <w:bCs w:val="1"/>
                <w:color w:val="auto"/>
                <w:w w:val="90"/>
              </w:rPr>
              <w:t>2525 Speakman Drive,</w:t>
            </w:r>
          </w:p>
        </w:tc>
        <w:tc>
          <w:tcPr>
            <w:tcW w:w="3980" w:type="dxa"/>
            <w:vAlign w:val="bottom"/>
          </w:tcPr>
          <w:p>
            <w:pPr>
              <w:jc w:val="center"/>
              <w:ind w:left="1311"/>
              <w:spacing w:after="0"/>
              <w:rPr>
                <w:sz w:val="20"/>
                <w:szCs w:val="20"/>
                <w:color w:val="auto"/>
              </w:rPr>
            </w:pPr>
            <w:r>
              <w:rPr>
                <w:rFonts w:ascii="Arial" w:cs="Arial" w:eastAsia="Arial" w:hAnsi="Arial"/>
                <w:sz w:val="18"/>
                <w:szCs w:val="18"/>
                <w:b w:val="1"/>
                <w:bCs w:val="1"/>
                <w:color w:val="auto"/>
                <w:w w:val="90"/>
              </w:rPr>
              <w:t>902 Broadway, Floor 20</w:t>
            </w:r>
          </w:p>
        </w:tc>
      </w:tr>
      <w:tr>
        <w:trPr>
          <w:trHeight w:val="215"/>
        </w:trPr>
        <w:tc>
          <w:tcPr>
            <w:tcW w:w="4440" w:type="dxa"/>
            <w:vAlign w:val="bottom"/>
          </w:tcPr>
          <w:p>
            <w:pPr>
              <w:jc w:val="center"/>
              <w:ind w:right="1311"/>
              <w:spacing w:after="0"/>
              <w:rPr>
                <w:sz w:val="20"/>
                <w:szCs w:val="20"/>
                <w:color w:val="auto"/>
              </w:rPr>
            </w:pPr>
            <w:r>
              <w:rPr>
                <w:rFonts w:ascii="Arial" w:cs="Arial" w:eastAsia="Arial" w:hAnsi="Arial"/>
                <w:sz w:val="18"/>
                <w:szCs w:val="18"/>
                <w:b w:val="1"/>
                <w:bCs w:val="1"/>
                <w:color w:val="auto"/>
                <w:w w:val="91"/>
              </w:rPr>
              <w:t>Mississauga, Ontario, Canada L5K 1B1</w:t>
            </w:r>
          </w:p>
        </w:tc>
        <w:tc>
          <w:tcPr>
            <w:tcW w:w="3980" w:type="dxa"/>
            <w:vAlign w:val="bottom"/>
          </w:tcPr>
          <w:p>
            <w:pPr>
              <w:jc w:val="center"/>
              <w:ind w:left="1331"/>
              <w:spacing w:after="0"/>
              <w:rPr>
                <w:sz w:val="20"/>
                <w:szCs w:val="20"/>
                <w:color w:val="auto"/>
              </w:rPr>
            </w:pPr>
            <w:r>
              <w:rPr>
                <w:rFonts w:ascii="Arial" w:cs="Arial" w:eastAsia="Arial" w:hAnsi="Arial"/>
                <w:sz w:val="18"/>
                <w:szCs w:val="18"/>
                <w:b w:val="1"/>
                <w:bCs w:val="1"/>
                <w:color w:val="auto"/>
                <w:w w:val="92"/>
              </w:rPr>
              <w:t>New York, New York, USA 10010</w:t>
            </w:r>
          </w:p>
        </w:tc>
      </w:tr>
      <w:tr>
        <w:trPr>
          <w:trHeight w:val="233"/>
        </w:trPr>
        <w:tc>
          <w:tcPr>
            <w:tcW w:w="4440" w:type="dxa"/>
            <w:vAlign w:val="bottom"/>
          </w:tcPr>
          <w:p>
            <w:pPr>
              <w:jc w:val="center"/>
              <w:ind w:right="1311"/>
              <w:spacing w:after="0"/>
              <w:rPr>
                <w:sz w:val="20"/>
                <w:szCs w:val="20"/>
                <w:color w:val="auto"/>
              </w:rPr>
            </w:pPr>
            <w:r>
              <w:rPr>
                <w:rFonts w:ascii="Arial" w:cs="Arial" w:eastAsia="Arial" w:hAnsi="Arial"/>
                <w:sz w:val="18"/>
                <w:szCs w:val="18"/>
                <w:b w:val="1"/>
                <w:bCs w:val="1"/>
                <w:color w:val="auto"/>
                <w:w w:val="90"/>
              </w:rPr>
              <w:t>(905) 403-6500</w:t>
            </w:r>
          </w:p>
        </w:tc>
        <w:tc>
          <w:tcPr>
            <w:tcW w:w="3980" w:type="dxa"/>
            <w:vAlign w:val="bottom"/>
          </w:tcPr>
          <w:p>
            <w:pPr>
              <w:jc w:val="right"/>
              <w:ind w:right="631"/>
              <w:spacing w:after="0"/>
              <w:rPr>
                <w:sz w:val="20"/>
                <w:szCs w:val="20"/>
                <w:color w:val="auto"/>
              </w:rPr>
            </w:pPr>
            <w:r>
              <w:rPr>
                <w:rFonts w:ascii="Arial" w:cs="Arial" w:eastAsia="Arial" w:hAnsi="Arial"/>
                <w:sz w:val="18"/>
                <w:szCs w:val="18"/>
                <w:b w:val="1"/>
                <w:bCs w:val="1"/>
                <w:color w:val="auto"/>
              </w:rPr>
              <w:t>(212) 821-0100</w:t>
            </w:r>
          </w:p>
        </w:tc>
      </w:tr>
    </w:tbl>
    <w:p>
      <w:pPr>
        <w:jc w:val="center"/>
        <w:ind w:right="100"/>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74"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600" w:type="dxa"/>
            <w:vAlign w:val="bottom"/>
          </w:tcPr>
          <w:p>
            <w:pPr>
              <w:spacing w:after="0"/>
              <w:rPr>
                <w:sz w:val="20"/>
                <w:szCs w:val="20"/>
                <w:color w:val="auto"/>
              </w:rPr>
            </w:pPr>
          </w:p>
        </w:tc>
        <w:tc>
          <w:tcPr>
            <w:tcW w:w="31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600" w:type="dxa"/>
            <w:vAlign w:val="bottom"/>
          </w:tcPr>
          <w:p>
            <w:pPr>
              <w:spacing w:after="0"/>
              <w:rPr>
                <w:sz w:val="20"/>
                <w:szCs w:val="20"/>
                <w:color w:val="auto"/>
              </w:rPr>
            </w:pPr>
          </w:p>
        </w:tc>
        <w:tc>
          <w:tcPr>
            <w:tcW w:w="31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IMAX</w:t>
            </w:r>
          </w:p>
        </w:tc>
        <w:tc>
          <w:tcPr>
            <w:tcW w:w="3960" w:type="dxa"/>
            <w:vAlign w:val="bottom"/>
          </w:tcPr>
          <w:p>
            <w:pPr>
              <w:ind w:left="460"/>
              <w:spacing w:after="0"/>
              <w:rPr>
                <w:sz w:val="20"/>
                <w:szCs w:val="20"/>
                <w:color w:val="auto"/>
              </w:rPr>
            </w:pPr>
            <w:r>
              <w:rPr>
                <w:rFonts w:ascii="Arial" w:cs="Arial" w:eastAsia="Arial" w:hAnsi="Arial"/>
                <w:sz w:val="18"/>
                <w:szCs w:val="18"/>
                <w:b w:val="1"/>
                <w:bCs w:val="1"/>
                <w:color w:val="auto"/>
              </w:rPr>
              <w:t>The New York Stock Exchange</w:t>
            </w:r>
          </w:p>
        </w:tc>
      </w:tr>
      <w:tr>
        <w:trPr>
          <w:trHeight w:val="294"/>
        </w:trPr>
        <w:tc>
          <w:tcPr>
            <w:tcW w:w="3580" w:type="dxa"/>
            <w:vAlign w:val="bottom"/>
          </w:tcPr>
          <w:p>
            <w:pPr>
              <w:spacing w:after="0"/>
              <w:rPr>
                <w:sz w:val="24"/>
                <w:szCs w:val="24"/>
                <w:color w:val="auto"/>
              </w:rPr>
            </w:pPr>
          </w:p>
        </w:tc>
        <w:tc>
          <w:tcPr>
            <w:tcW w:w="7720" w:type="dxa"/>
            <w:vAlign w:val="bottom"/>
            <w:gridSpan w:val="5"/>
          </w:tcPr>
          <w:p>
            <w:pPr>
              <w:jc w:val="center"/>
              <w:ind w:right="3637"/>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r>
      <w:tr>
        <w:trPr>
          <w:trHeight w:val="205"/>
        </w:trPr>
        <w:tc>
          <w:tcPr>
            <w:tcW w:w="3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None</w:t>
            </w:r>
          </w:p>
        </w:tc>
        <w:tc>
          <w:tcPr>
            <w:tcW w:w="3960" w:type="dxa"/>
            <w:vAlign w:val="bottom"/>
          </w:tcPr>
          <w:p>
            <w:pPr>
              <w:spacing w:after="0"/>
              <w:rPr>
                <w:sz w:val="17"/>
                <w:szCs w:val="17"/>
                <w:color w:val="auto"/>
              </w:rPr>
            </w:pPr>
          </w:p>
        </w:tc>
      </w:tr>
      <w:tr>
        <w:trPr>
          <w:trHeight w:val="205"/>
        </w:trPr>
        <w:tc>
          <w:tcPr>
            <w:tcW w:w="3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gridSpan w:val="3"/>
          </w:tcPr>
          <w:p>
            <w:pPr>
              <w:jc w:val="center"/>
              <w:ind w:right="360"/>
              <w:spacing w:after="0"/>
              <w:rPr>
                <w:sz w:val="20"/>
                <w:szCs w:val="20"/>
                <w:color w:val="auto"/>
              </w:rPr>
            </w:pPr>
            <w:r>
              <w:rPr>
                <w:rFonts w:ascii="Arial" w:cs="Arial" w:eastAsia="Arial" w:hAnsi="Arial"/>
                <w:sz w:val="16"/>
                <w:szCs w:val="16"/>
                <w:i w:val="1"/>
                <w:iCs w:val="1"/>
                <w:color w:val="auto"/>
                <w:w w:val="92"/>
              </w:rPr>
              <w:t>(Title of class)</w:t>
            </w:r>
          </w:p>
        </w:tc>
        <w:tc>
          <w:tcPr>
            <w:tcW w:w="3960" w:type="dxa"/>
            <w:vAlign w:val="bottom"/>
          </w:tcPr>
          <w:p>
            <w:pPr>
              <w:spacing w:after="0"/>
              <w:rPr>
                <w:sz w:val="17"/>
                <w:szCs w:val="17"/>
                <w:color w:val="auto"/>
              </w:rPr>
            </w:pPr>
          </w:p>
        </w:tc>
      </w:tr>
      <w:tr>
        <w:trPr>
          <w:trHeight w:val="278"/>
        </w:trPr>
        <w:tc>
          <w:tcPr>
            <w:tcW w:w="7340" w:type="dxa"/>
            <w:vAlign w:val="bottom"/>
            <w:gridSpan w:val="5"/>
          </w:tcPr>
          <w:p>
            <w:pPr>
              <w:ind w:left="200"/>
              <w:spacing w:after="0" w:line="161" w:lineRule="exact"/>
              <w:rPr>
                <w:sz w:val="20"/>
                <w:szCs w:val="20"/>
                <w:color w:val="auto"/>
              </w:rPr>
            </w:pPr>
            <w:r>
              <w:rPr>
                <w:rFonts w:ascii="Arial" w:cs="Arial" w:eastAsia="Arial" w:hAnsi="Arial"/>
                <w:sz w:val="14"/>
                <w:szCs w:val="14"/>
                <w:color w:val="auto"/>
                <w:w w:val="92"/>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2"/>
              </w:rPr>
              <w:t>☒</w:t>
            </w:r>
          </w:p>
        </w:tc>
        <w:tc>
          <w:tcPr>
            <w:tcW w:w="396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30" w:lineRule="exact"/>
        <w:rPr>
          <w:sz w:val="24"/>
          <w:szCs w:val="24"/>
          <w:color w:val="auto"/>
        </w:rPr>
      </w:pPr>
    </w:p>
    <w:p>
      <w:pPr>
        <w:ind w:left="240"/>
        <w:spacing w:after="0" w:line="161" w:lineRule="exact"/>
        <w:tabs>
          <w:tab w:leader="none" w:pos="760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8" w:lineRule="exact"/>
        <w:rPr>
          <w:sz w:val="24"/>
          <w:szCs w:val="24"/>
          <w:color w:val="auto"/>
        </w:rPr>
      </w:pPr>
    </w:p>
    <w:p>
      <w:pPr>
        <w:jc w:val="both"/>
        <w:ind w:right="100" w:firstLine="22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right="100" w:firstLine="225"/>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left="2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052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640" w:type="dxa"/>
            <w:vAlign w:val="bottom"/>
          </w:tcPr>
          <w:p>
            <w:pPr>
              <w:spacing w:after="0"/>
              <w:rPr>
                <w:sz w:val="15"/>
                <w:szCs w:val="15"/>
                <w:color w:val="auto"/>
              </w:rPr>
            </w:pPr>
          </w:p>
        </w:tc>
      </w:tr>
      <w:tr>
        <w:trPr>
          <w:trHeight w:val="24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5"/>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5"/>
        </w:trPr>
        <w:tc>
          <w:tcPr>
            <w:tcW w:w="19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920" w:type="dxa"/>
            <w:vAlign w:val="bottom"/>
          </w:tcPr>
          <w:p>
            <w:pPr>
              <w:ind w:left="28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4" w:lineRule="exact"/>
        <w:rPr>
          <w:sz w:val="24"/>
          <w:szCs w:val="24"/>
          <w:color w:val="auto"/>
        </w:rPr>
      </w:pPr>
    </w:p>
    <w:p>
      <w:pPr>
        <w:jc w:val="both"/>
        <w:ind w:right="100" w:firstLine="22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right="120" w:firstLine="225"/>
        <w:spacing w:after="0" w:line="17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240"/>
        <w:spacing w:after="0" w:line="161" w:lineRule="exact"/>
        <w:tabs>
          <w:tab w:leader="none" w:pos="6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0" w:lineRule="exact"/>
        <w:rPr>
          <w:sz w:val="24"/>
          <w:szCs w:val="24"/>
          <w:color w:val="auto"/>
        </w:rPr>
      </w:pPr>
    </w:p>
    <w:p>
      <w:pPr>
        <w:jc w:val="both"/>
        <w:ind w:right="100" w:firstLine="225"/>
        <w:spacing w:after="0" w:line="238" w:lineRule="auto"/>
        <w:rPr>
          <w:sz w:val="20"/>
          <w:szCs w:val="20"/>
          <w:color w:val="auto"/>
        </w:rPr>
      </w:pPr>
      <w:r>
        <w:rPr>
          <w:rFonts w:ascii="Arial" w:cs="Arial" w:eastAsia="Arial" w:hAnsi="Arial"/>
          <w:sz w:val="14"/>
          <w:szCs w:val="14"/>
          <w:color w:val="auto"/>
        </w:rPr>
        <w:t>The aggregate market value of the common shares of the registrant held by non-affiliates of the registrant, computed by reference to the last sale price of such shares as of the close of trading on June 30, 2021 was $1,069.2 million.</w:t>
      </w:r>
    </w:p>
    <w:p>
      <w:pPr>
        <w:spacing w:after="0" w:line="47" w:lineRule="exact"/>
        <w:rPr>
          <w:sz w:val="24"/>
          <w:szCs w:val="24"/>
          <w:color w:val="auto"/>
        </w:rPr>
      </w:pPr>
    </w:p>
    <w:p>
      <w:pPr>
        <w:ind w:left="240"/>
        <w:spacing w:after="0"/>
        <w:rPr>
          <w:sz w:val="20"/>
          <w:szCs w:val="20"/>
          <w:color w:val="auto"/>
        </w:rPr>
      </w:pPr>
      <w:r>
        <w:rPr>
          <w:rFonts w:ascii="Arial" w:cs="Arial" w:eastAsia="Arial" w:hAnsi="Arial"/>
          <w:sz w:val="14"/>
          <w:szCs w:val="14"/>
          <w:color w:val="auto"/>
        </w:rPr>
        <w:t>As of January 31, 2022, there were 58,575,134 common shares of the registrant outstanding.</w:t>
      </w:r>
    </w:p>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Document Incorporated by Reference</w:t>
      </w:r>
    </w:p>
    <w:p>
      <w:pPr>
        <w:spacing w:after="0" w:line="88" w:lineRule="exact"/>
        <w:rPr>
          <w:sz w:val="24"/>
          <w:szCs w:val="24"/>
          <w:color w:val="auto"/>
        </w:rPr>
      </w:pPr>
    </w:p>
    <w:p>
      <w:pPr>
        <w:jc w:val="both"/>
        <w:ind w:right="100" w:firstLine="225"/>
        <w:spacing w:after="0" w:line="236" w:lineRule="auto"/>
        <w:rPr>
          <w:sz w:val="20"/>
          <w:szCs w:val="20"/>
          <w:color w:val="auto"/>
        </w:rPr>
      </w:pPr>
      <w:r>
        <w:rPr>
          <w:rFonts w:ascii="Arial" w:cs="Arial" w:eastAsia="Arial" w:hAnsi="Arial"/>
          <w:sz w:val="14"/>
          <w:szCs w:val="14"/>
          <w:color w:val="auto"/>
        </w:rPr>
        <w:t>Portions of the registrant’s definitive Proxy Statement to be filed within 120 days of the close of IMAX Corporation’s fiscal year ended December 31, 2021, with the Securities and Exchange Commission pursuant to Regulation 14A involving the election of directors and the annual meeting of the stockholders of the registrant (the “Proxy Statement”) are incorporated by reference in Part III of this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76835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473075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9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rPr>
              <w:t>IMAX CORPORATION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88"/>
              </w:rPr>
              <w:t>December 31, 2021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15"/>
          </w:tcPr>
          <w:p>
            <w:pPr>
              <w:jc w:val="center"/>
              <w:ind w:right="3660"/>
              <w:spacing w:after="0"/>
              <w:rPr>
                <w:sz w:val="20"/>
                <w:szCs w:val="20"/>
                <w:color w:val="auto"/>
              </w:rPr>
            </w:pPr>
            <w:r>
              <w:rPr>
                <w:rFonts w:ascii="Arial" w:cs="Arial" w:eastAsia="Arial" w:hAnsi="Arial"/>
                <w:sz w:val="18"/>
                <w:szCs w:val="18"/>
                <w:b w:val="1"/>
                <w:bCs w:val="1"/>
                <w:color w:val="auto"/>
                <w:w w:val="88"/>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40" w:type="dxa"/>
            <w:vAlign w:val="bottom"/>
            <w:gridSpan w:val="9"/>
            <w:vMerge w:val="restart"/>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EE"/>
            </w:tcBorders>
            <w:gridSpan w:val="2"/>
            <w:vMerge w:val="continue"/>
          </w:tcPr>
          <w:p>
            <w:pPr>
              <w:spacing w:after="0"/>
              <w:rPr>
                <w:sz w:val="14"/>
                <w:szCs w:val="14"/>
                <w:color w:val="auto"/>
              </w:rPr>
            </w:pPr>
          </w:p>
        </w:tc>
        <w:tc>
          <w:tcPr>
            <w:tcW w:w="4440" w:type="dxa"/>
            <w:vAlign w:val="bottom"/>
            <w:gridSpan w:val="9"/>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5"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460" w:type="dxa"/>
            <w:vAlign w:val="bottom"/>
            <w:gridSpan w:val="26"/>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200" w:type="dxa"/>
            <w:vAlign w:val="bottom"/>
            <w:gridSpan w:val="2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1B.</w:t>
            </w:r>
          </w:p>
        </w:tc>
        <w:tc>
          <w:tcPr>
            <w:tcW w:w="9100" w:type="dxa"/>
            <w:vAlign w:val="bottom"/>
            <w:gridSpan w:val="27"/>
          </w:tcPr>
          <w:p>
            <w:pPr>
              <w:spacing w:after="0" w:line="195"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7080" w:type="dxa"/>
            <w:vAlign w:val="bottom"/>
            <w:gridSpan w:val="18"/>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100" w:type="dxa"/>
            <w:vAlign w:val="bottom"/>
            <w:gridSpan w:val="27"/>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9100" w:type="dxa"/>
            <w:vAlign w:val="bottom"/>
            <w:gridSpan w:val="27"/>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gridSpan w:val="12"/>
          </w:tcPr>
          <w:p>
            <w:pPr>
              <w:jc w:val="center"/>
              <w:ind w:right="4420"/>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0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Selected Financial Data</w:t>
              </w:r>
            </w:hyperlink>
          </w:p>
        </w:tc>
        <w:tc>
          <w:tcPr>
            <w:tcW w:w="6320" w:type="dxa"/>
            <w:vAlign w:val="bottom"/>
            <w:tcBorders>
              <w:top w:val="single" w:sz="8" w:color="0000EE"/>
            </w:tcBorders>
            <w:gridSpan w:val="20"/>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tcBorders>
              <w:bottom w:val="single" w:sz="8" w:color="0000EE"/>
            </w:tcBorders>
            <w:gridSpan w:val="23"/>
          </w:tcPr>
          <w:p>
            <w:pPr>
              <w:spacing w:after="0" w:line="195"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gridSpan w:val="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7A.</w:t>
            </w:r>
          </w:p>
        </w:tc>
        <w:tc>
          <w:tcPr>
            <w:tcW w:w="4280" w:type="dxa"/>
            <w:vAlign w:val="bottom"/>
            <w:tcBorders>
              <w:bottom w:val="single" w:sz="8" w:color="0000EE"/>
            </w:tcBorders>
            <w:gridSpan w:val="17"/>
          </w:tcPr>
          <w:p>
            <w:pPr>
              <w:spacing w:after="0" w:line="195"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Quantitative and Qualitative Disclosures about Market Risk</w:t>
              </w:r>
            </w:hyperlink>
          </w:p>
        </w:tc>
        <w:tc>
          <w:tcPr>
            <w:tcW w:w="4820" w:type="dxa"/>
            <w:vAlign w:val="bottom"/>
            <w:gridSpan w:val="10"/>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8.</w:t>
            </w:r>
          </w:p>
        </w:tc>
        <w:tc>
          <w:tcPr>
            <w:tcW w:w="9100" w:type="dxa"/>
            <w:vAlign w:val="bottom"/>
            <w:gridSpan w:val="27"/>
          </w:tcPr>
          <w:p>
            <w:pPr>
              <w:spacing w:after="0" w:line="195"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9.</w:t>
            </w:r>
          </w:p>
        </w:tc>
        <w:tc>
          <w:tcPr>
            <w:tcW w:w="6440" w:type="dxa"/>
            <w:vAlign w:val="bottom"/>
            <w:tcBorders>
              <w:bottom w:val="single" w:sz="8" w:color="0000EE"/>
            </w:tcBorders>
            <w:gridSpan w:val="24"/>
          </w:tcPr>
          <w:p>
            <w:pPr>
              <w:spacing w:after="0" w:line="195"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Changes in and Disagreements with Accountants on Accounting and Financial Disclosure</w:t>
              </w:r>
            </w:hyperlink>
          </w:p>
        </w:tc>
        <w:tc>
          <w:tcPr>
            <w:tcW w:w="2660" w:type="dxa"/>
            <w:vAlign w:val="bottom"/>
            <w:gridSpan w:val="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9A.</w:t>
            </w:r>
          </w:p>
        </w:tc>
        <w:tc>
          <w:tcPr>
            <w:tcW w:w="9100" w:type="dxa"/>
            <w:vAlign w:val="bottom"/>
            <w:gridSpan w:val="27"/>
          </w:tcPr>
          <w:p>
            <w:pPr>
              <w:spacing w:after="0" w:line="195" w:lineRule="exact"/>
              <w:rPr>
                <w:rFonts w:ascii="Arial" w:cs="Arial" w:eastAsia="Arial" w:hAnsi="Arial"/>
                <w:sz w:val="18"/>
                <w:szCs w:val="18"/>
                <w:color w:val="0000EE"/>
              </w:rPr>
            </w:pPr>
            <w:hyperlink w:anchor="page142">
              <w:r>
                <w:rPr>
                  <w:rFonts w:ascii="Arial" w:cs="Arial" w:eastAsia="Arial" w:hAnsi="Arial"/>
                  <w:sz w:val="18"/>
                  <w:szCs w:val="18"/>
                  <w:color w:val="0000EE"/>
                </w:rPr>
                <w:t>Controls and Procedures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PART III</w:t>
              </w:r>
            </w:hyperlink>
          </w:p>
        </w:tc>
        <w:tc>
          <w:tcPr>
            <w:tcW w:w="436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00" w:type="dxa"/>
            <w:vAlign w:val="bottom"/>
            <w:gridSpan w:val="27"/>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Directors, Executive Officers and Corporate Governance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11.</w:t>
            </w:r>
          </w:p>
        </w:tc>
        <w:tc>
          <w:tcPr>
            <w:tcW w:w="406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w:anchor="page143">
              <w:r>
                <w:rPr>
                  <w:rFonts w:ascii="Arial" w:cs="Arial" w:eastAsia="Arial" w:hAnsi="Arial"/>
                  <w:sz w:val="18"/>
                  <w:szCs w:val="18"/>
                  <w:color w:val="0000EE"/>
                </w:rPr>
                <w:t>Executive Compensation</w:t>
              </w:r>
            </w:hyperlink>
          </w:p>
        </w:tc>
        <w:tc>
          <w:tcPr>
            <w:tcW w:w="5040" w:type="dxa"/>
            <w:vAlign w:val="bottom"/>
            <w:gridSpan w:val="1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12.</w:t>
            </w:r>
          </w:p>
        </w:tc>
        <w:tc>
          <w:tcPr>
            <w:tcW w:w="9100" w:type="dxa"/>
            <w:vAlign w:val="bottom"/>
            <w:gridSpan w:val="27"/>
          </w:tcPr>
          <w:p>
            <w:pPr>
              <w:spacing w:after="0" w:line="195" w:lineRule="exact"/>
              <w:rPr>
                <w:rFonts w:ascii="Arial" w:cs="Arial" w:eastAsia="Arial" w:hAnsi="Arial"/>
                <w:sz w:val="18"/>
                <w:szCs w:val="18"/>
                <w:color w:val="0000EE"/>
              </w:rPr>
            </w:pPr>
            <w:hyperlink w:anchor="page143">
              <w:r>
                <w:rPr>
                  <w:rFonts w:ascii="Arial" w:cs="Arial" w:eastAsia="Arial" w:hAnsi="Arial"/>
                  <w:sz w:val="18"/>
                  <w:szCs w:val="18"/>
                  <w:color w:val="0000EE"/>
                </w:rPr>
                <w:t>Security Ownership of Certain Beneficial Owners and Management and Related Stockholder Matters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13.</w:t>
            </w:r>
          </w:p>
        </w:tc>
        <w:tc>
          <w:tcPr>
            <w:tcW w:w="5420" w:type="dxa"/>
            <w:vAlign w:val="bottom"/>
            <w:tcBorders>
              <w:top w:val="single" w:sz="8" w:color="0000EE"/>
              <w:bottom w:val="single" w:sz="8" w:color="0000EE"/>
            </w:tcBorders>
            <w:gridSpan w:val="22"/>
          </w:tcPr>
          <w:p>
            <w:pPr>
              <w:spacing w:after="0" w:line="195"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Certain Relationships and Related Transactions, and Director Independence</w:t>
              </w:r>
            </w:hyperlink>
          </w:p>
        </w:tc>
        <w:tc>
          <w:tcPr>
            <w:tcW w:w="1820" w:type="dxa"/>
            <w:vAlign w:val="bottom"/>
            <w:tcBorders>
              <w:top w:val="single" w:sz="8" w:color="0000EE"/>
            </w:tcBorders>
            <w:gridSpan w:val="3"/>
          </w:tcPr>
          <w:p>
            <w:pPr>
              <w:spacing w:after="0"/>
              <w:rPr>
                <w:sz w:val="16"/>
                <w:szCs w:val="16"/>
                <w:color w:val="auto"/>
              </w:rPr>
            </w:pPr>
          </w:p>
        </w:tc>
        <w:tc>
          <w:tcPr>
            <w:tcW w:w="1860" w:type="dxa"/>
            <w:vAlign w:val="bottom"/>
            <w:gridSpan w:val="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14.</w:t>
            </w:r>
          </w:p>
        </w:tc>
        <w:tc>
          <w:tcPr>
            <w:tcW w:w="9100" w:type="dxa"/>
            <w:vAlign w:val="bottom"/>
            <w:gridSpan w:val="27"/>
          </w:tcPr>
          <w:p>
            <w:pPr>
              <w:spacing w:after="0" w:line="195" w:lineRule="exact"/>
              <w:rPr>
                <w:rFonts w:ascii="Arial" w:cs="Arial" w:eastAsia="Arial" w:hAnsi="Arial"/>
                <w:sz w:val="18"/>
                <w:szCs w:val="18"/>
                <w:color w:val="0000EE"/>
              </w:rPr>
            </w:pPr>
            <w:hyperlink w:anchor="page143">
              <w:r>
                <w:rPr>
                  <w:rFonts w:ascii="Arial" w:cs="Arial" w:eastAsia="Arial" w:hAnsi="Arial"/>
                  <w:sz w:val="18"/>
                  <w:szCs w:val="18"/>
                  <w:color w:val="0000EE"/>
                </w:rPr>
                <w:t>Principal Accounting Fees and Services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44">
              <w:r>
                <w:rPr>
                  <w:rFonts w:ascii="Arial" w:cs="Arial" w:eastAsia="Arial" w:hAnsi="Arial"/>
                  <w:sz w:val="18"/>
                  <w:szCs w:val="18"/>
                  <w:b w:val="1"/>
                  <w:bCs w:val="1"/>
                  <w:color w:val="0000EE"/>
                  <w:w w:val="98"/>
                </w:rPr>
                <w:t>PART IV</w:t>
              </w:r>
            </w:hyperlink>
          </w:p>
        </w:tc>
        <w:tc>
          <w:tcPr>
            <w:tcW w:w="438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Exhibits, Financial Statement Schedules</w:t>
              </w:r>
            </w:hyperlink>
          </w:p>
        </w:tc>
        <w:tc>
          <w:tcPr>
            <w:tcW w:w="622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5"/>
        </w:trPr>
        <w:tc>
          <w:tcPr>
            <w:tcW w:w="1260" w:type="dxa"/>
            <w:vAlign w:val="bottom"/>
            <w:gridSpan w:val="2"/>
          </w:tcPr>
          <w:p>
            <w:pPr>
              <w:spacing w:after="0" w:line="195" w:lineRule="exact"/>
              <w:rPr>
                <w:sz w:val="20"/>
                <w:szCs w:val="20"/>
                <w:color w:val="auto"/>
              </w:rPr>
            </w:pPr>
            <w:r>
              <w:rPr>
                <w:rFonts w:ascii="Arial" w:cs="Arial" w:eastAsia="Arial" w:hAnsi="Arial"/>
                <w:sz w:val="18"/>
                <w:szCs w:val="18"/>
                <w:color w:val="auto"/>
              </w:rPr>
              <w:t>Item 16.</w:t>
            </w:r>
          </w:p>
        </w:tc>
        <w:tc>
          <w:tcPr>
            <w:tcW w:w="9100" w:type="dxa"/>
            <w:vAlign w:val="bottom"/>
            <w:gridSpan w:val="27"/>
          </w:tcPr>
          <w:p>
            <w:pPr>
              <w:spacing w:after="0" w:line="195" w:lineRule="exact"/>
              <w:rPr>
                <w:rFonts w:ascii="Arial" w:cs="Arial" w:eastAsia="Arial" w:hAnsi="Arial"/>
                <w:sz w:val="18"/>
                <w:szCs w:val="18"/>
                <w:color w:val="0000EE"/>
              </w:rPr>
            </w:pPr>
            <w:hyperlink w:anchor="page147">
              <w:r>
                <w:rPr>
                  <w:rFonts w:ascii="Arial" w:cs="Arial" w:eastAsia="Arial" w:hAnsi="Arial"/>
                  <w:sz w:val="18"/>
                  <w:szCs w:val="18"/>
                  <w:color w:val="0000EE"/>
                </w:rPr>
                <w:t>Form 10-K Summary</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5"/>
        </w:trPr>
        <w:tc>
          <w:tcPr>
            <w:tcW w:w="820" w:type="dxa"/>
            <w:vAlign w:val="bottom"/>
            <w:tcBorders>
              <w:bottom w:val="single" w:sz="8" w:color="0000EE"/>
            </w:tcBorders>
          </w:tcPr>
          <w:p>
            <w:pPr>
              <w:spacing w:after="0" w:line="195" w:lineRule="exact"/>
              <w:rPr>
                <w:rFonts w:ascii="Arial" w:cs="Arial" w:eastAsia="Arial" w:hAnsi="Arial"/>
                <w:sz w:val="18"/>
                <w:szCs w:val="18"/>
                <w:b w:val="1"/>
                <w:bCs w:val="1"/>
                <w:color w:val="0000EE"/>
                <w:w w:val="85"/>
              </w:rPr>
            </w:pPr>
            <w:hyperlink w:anchor="page148">
              <w:r>
                <w:rPr>
                  <w:rFonts w:ascii="Arial" w:cs="Arial" w:eastAsia="Arial" w:hAnsi="Arial"/>
                  <w:sz w:val="18"/>
                  <w:szCs w:val="18"/>
                  <w:b w:val="1"/>
                  <w:bCs w:val="1"/>
                  <w:color w:val="0000EE"/>
                  <w:w w:val="85"/>
                </w:rPr>
                <w:t>Signatures</w:t>
              </w:r>
            </w:hyperlink>
          </w:p>
        </w:tc>
        <w:tc>
          <w:tcPr>
            <w:tcW w:w="44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DATA</w:t>
      </w:r>
    </w:p>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Unless otherwise indicated, all dollar amounts in this document are expressed in United States (“U.S.”) Dollars. The following table sets forth, for the periods indicated, certain exchange rates based on the noon buying rate in the City of New York for cable transfers in foreign currencies as certified for customs purposes by the Bank of Canada (the “Noon Buying Rate”). Such rates quoted are the number of U.S. Dollars per one Canadian Dollar and are the inverse of rates quoted by the Bank of Canada for Canadian Dollars per U.S. $1.00. The average exchange rate is based on the average of the exchange rates on the last day of each month during such periods. The Noon Buying Rate on December 31, 2021 was U.S. $0.7888.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w w:val="97"/>
              </w:rPr>
              <w:t>Years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4"/>
        </w:trPr>
        <w:tc>
          <w:tcPr>
            <w:tcW w:w="51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r>
      <w:tr>
        <w:trPr>
          <w:trHeight w:val="222"/>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Exchange rate at end of period</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0.7888</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0.7854</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0.7699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0.7330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0.7971</w:t>
            </w:r>
          </w:p>
        </w:tc>
      </w:tr>
      <w:tr>
        <w:trPr>
          <w:trHeight w:val="228"/>
        </w:trPr>
        <w:tc>
          <w:tcPr>
            <w:tcW w:w="5180" w:type="dxa"/>
            <w:vAlign w:val="bottom"/>
          </w:tcPr>
          <w:p>
            <w:pPr>
              <w:spacing w:after="0"/>
              <w:rPr>
                <w:sz w:val="20"/>
                <w:szCs w:val="20"/>
                <w:color w:val="auto"/>
              </w:rPr>
            </w:pPr>
            <w:r>
              <w:rPr>
                <w:rFonts w:ascii="Arial" w:cs="Arial" w:eastAsia="Arial" w:hAnsi="Arial"/>
                <w:sz w:val="18"/>
                <w:szCs w:val="18"/>
                <w:color w:val="auto"/>
              </w:rPr>
              <w:t>Average exchange rate during period</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0.7977</w:t>
            </w:r>
          </w:p>
        </w:tc>
        <w:tc>
          <w:tcPr>
            <w:tcW w:w="12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0.7455</w:t>
            </w: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0.7536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0.7718</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0.7712</w:t>
            </w:r>
          </w:p>
        </w:tc>
      </w:tr>
      <w:tr>
        <w:trPr>
          <w:trHeight w:val="228"/>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High exchange rate during period</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0.8306</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0.7863</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0.7699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0.8138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0.8245</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Low exchange rate during period</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0.7727</w:t>
            </w:r>
          </w:p>
        </w:tc>
        <w:tc>
          <w:tcPr>
            <w:tcW w:w="12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0.6898</w:t>
            </w:r>
          </w:p>
        </w:tc>
        <w:tc>
          <w:tcPr>
            <w:tcW w:w="14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0.7353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0.7330</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0.7276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86" w:lineRule="exact"/>
        <w:rPr>
          <w:sz w:val="20"/>
          <w:szCs w:val="20"/>
          <w:color w:val="auto"/>
        </w:rPr>
      </w:pPr>
    </w:p>
    <w:p>
      <w:pPr>
        <w:jc w:val="both"/>
        <w:ind w:firstLine="224"/>
        <w:spacing w:after="0" w:line="282" w:lineRule="auto"/>
        <w:rPr>
          <w:sz w:val="20"/>
          <w:szCs w:val="20"/>
          <w:color w:val="auto"/>
        </w:rPr>
      </w:pPr>
      <w:r>
        <w:rPr>
          <w:rFonts w:ascii="Arial" w:cs="Arial" w:eastAsia="Arial" w:hAnsi="Arial"/>
          <w:sz w:val="16"/>
          <w:szCs w:val="16"/>
          <w:color w:val="auto"/>
        </w:rPr>
        <w:t>Certain statements included in this annual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Arial" w:cs="Arial" w:eastAsia="Arial" w:hAnsi="Arial"/>
          <w:sz w:val="13"/>
          <w:szCs w:val="13"/>
          <w:color w:val="auto"/>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the failure to convert theater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IMAX</w:t>
      </w:r>
      <w:r>
        <w:rPr>
          <w:rFonts w:ascii="Arial" w:cs="Arial" w:eastAsia="Arial" w:hAnsi="Arial"/>
          <w:sz w:val="15"/>
          <w:szCs w:val="15"/>
          <w:color w:val="auto"/>
        </w:rPr>
        <w:t>®</w:t>
      </w:r>
      <w:r>
        <w:rPr>
          <w:rFonts w:ascii="Arial" w:cs="Arial" w:eastAsia="Arial" w:hAnsi="Arial"/>
          <w:sz w:val="18"/>
          <w:szCs w:val="18"/>
          <w:color w:val="auto"/>
        </w:rPr>
        <w:t>, IMAX</w:t>
      </w:r>
      <w:r>
        <w:rPr>
          <w:rFonts w:ascii="Arial" w:cs="Arial" w:eastAsia="Arial" w:hAnsi="Arial"/>
          <w:sz w:val="15"/>
          <w:szCs w:val="15"/>
          <w:color w:val="auto"/>
        </w:rPr>
        <w:t>®</w:t>
      </w:r>
      <w:r>
        <w:rPr>
          <w:rFonts w:ascii="Arial" w:cs="Arial" w:eastAsia="Arial" w:hAnsi="Arial"/>
          <w:sz w:val="18"/>
          <w:szCs w:val="18"/>
          <w:color w:val="auto"/>
        </w:rPr>
        <w:t xml:space="preserve"> Dome, IMAX</w:t>
      </w:r>
      <w:r>
        <w:rPr>
          <w:rFonts w:ascii="Arial" w:cs="Arial" w:eastAsia="Arial" w:hAnsi="Arial"/>
          <w:sz w:val="15"/>
          <w:szCs w:val="15"/>
          <w:color w:val="auto"/>
        </w:rPr>
        <w:t>®</w:t>
      </w:r>
      <w:r>
        <w:rPr>
          <w:rFonts w:ascii="Arial" w:cs="Arial" w:eastAsia="Arial" w:hAnsi="Arial"/>
          <w:sz w:val="18"/>
          <w:szCs w:val="18"/>
          <w:color w:val="auto"/>
        </w:rPr>
        <w:t xml:space="preserve"> 3D, IMAX</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IMAX DMR</w:t>
      </w:r>
      <w:r>
        <w:rPr>
          <w:rFonts w:ascii="Arial" w:cs="Arial" w:eastAsia="Arial" w:hAnsi="Arial"/>
          <w:sz w:val="15"/>
          <w:szCs w:val="15"/>
          <w:color w:val="auto"/>
        </w:rPr>
        <w:t>®</w:t>
      </w:r>
      <w:r>
        <w:rPr>
          <w:rFonts w:ascii="Arial" w:cs="Arial" w:eastAsia="Arial" w:hAnsi="Arial"/>
          <w:sz w:val="18"/>
          <w:szCs w:val="18"/>
          <w:color w:val="auto"/>
        </w:rPr>
        <w:t>, DMR</w:t>
      </w:r>
      <w:r>
        <w:rPr>
          <w:rFonts w:ascii="Arial" w:cs="Arial" w:eastAsia="Arial" w:hAnsi="Arial"/>
          <w:sz w:val="15"/>
          <w:szCs w:val="15"/>
          <w:color w:val="auto"/>
        </w:rPr>
        <w:t>®</w:t>
      </w:r>
      <w:r>
        <w:rPr>
          <w:rFonts w:ascii="Arial" w:cs="Arial" w:eastAsia="Arial" w:hAnsi="Arial"/>
          <w:sz w:val="18"/>
          <w:szCs w:val="18"/>
          <w:color w:val="auto"/>
        </w:rPr>
        <w:t>, IMAX Enhanced</w:t>
      </w:r>
      <w:r>
        <w:rPr>
          <w:rFonts w:ascii="Arial" w:cs="Arial" w:eastAsia="Arial" w:hAnsi="Arial"/>
          <w:sz w:val="15"/>
          <w:szCs w:val="15"/>
          <w:color w:val="auto"/>
        </w:rPr>
        <w:t>TM</w:t>
      </w:r>
      <w:r>
        <w:rPr>
          <w:rFonts w:ascii="Arial" w:cs="Arial" w:eastAsia="Arial" w:hAnsi="Arial"/>
          <w:sz w:val="18"/>
          <w:szCs w:val="18"/>
          <w:color w:val="auto"/>
        </w:rPr>
        <w:t>, IMAX nXos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are trademarks and trade names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that are registered or otherwise protected under laws of various jurisdictions.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is a Canadian corporation that was formed in March 1994 as a result of an amalgamation between WGIM Acquisition Corp. and the former IMAX Corporation (“Predecessor IMAX”). Predecessor IMAX was incorporated in 1967.</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the Company indirectly owns 71.11% of IMAX China Holding, Inc. (“IMAX China”), whose shares trade on the Hong Kong Stock Exchange. IMAX China is a consolidated subsidiary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13"/>
          <w:szCs w:val="13"/>
          <w:color w:val="auto"/>
        </w:rPr>
        <w:t>®</w:t>
      </w:r>
      <w:r>
        <w:rPr>
          <w:rFonts w:ascii="Arial" w:cs="Arial" w:eastAsia="Arial" w:hAnsi="Arial"/>
          <w:sz w:val="16"/>
          <w:szCs w:val="16"/>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21" w:lineRule="exact"/>
        <w:rPr>
          <w:sz w:val="20"/>
          <w:szCs w:val="20"/>
          <w:color w:val="auto"/>
        </w:rPr>
      </w:pPr>
    </w:p>
    <w:p>
      <w:pPr>
        <w:jc w:val="both"/>
        <w:ind w:right="20" w:firstLine="225"/>
        <w:spacing w:after="0" w:line="339" w:lineRule="auto"/>
        <w:rPr>
          <w:sz w:val="20"/>
          <w:szCs w:val="20"/>
          <w:color w:val="auto"/>
        </w:rPr>
      </w:pPr>
      <w:r>
        <w:rPr>
          <w:rFonts w:ascii="Arial" w:cs="Arial" w:eastAsia="Arial" w:hAnsi="Arial"/>
          <w:sz w:val="16"/>
          <w:szCs w:val="16"/>
          <w:color w:val="auto"/>
        </w:rPr>
        <w:t>The Company leverages its proprietary technology and engineering in all aspects of its business, which principally consists of the digital remastering of films and other content into the IMAX format (“IMAX DMR”</w:t>
      </w:r>
      <w:r>
        <w:rPr>
          <w:rFonts w:ascii="Arial" w:cs="Arial" w:eastAsia="Arial" w:hAnsi="Arial"/>
          <w:sz w:val="13"/>
          <w:szCs w:val="13"/>
          <w:color w:val="auto"/>
        </w:rPr>
        <w:t>®</w:t>
      </w:r>
      <w:r>
        <w:rPr>
          <w:rFonts w:ascii="Arial" w:cs="Arial" w:eastAsia="Arial" w:hAnsi="Arial"/>
          <w:sz w:val="16"/>
          <w:szCs w:val="16"/>
          <w:color w:val="auto"/>
        </w:rPr>
        <w:t>) and the sale or lease of premium IMAX theater systems (“IMAX Theater Systems”).</w:t>
      </w:r>
    </w:p>
    <w:p>
      <w:pPr>
        <w:spacing w:after="0" w:line="84"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IMAX Theater Systems are based on proprietary and patented image, audio and other technology developed over the course of the Company’s history since its founding in 1968. The customers for IMAX Theater Systems are principally theater exhibitors that operate commercial multiplex theaters, and, to a much lesser extent, museums, science centers and destination entertainment sites. The Company generally does not own the theaters in the IMAX network, and is not an exhibitor, but instead sells or leases the IMAX Theater System to the exhibitor along with a license to use its trademarks.</w:t>
      </w:r>
    </w:p>
    <w:p>
      <w:pPr>
        <w:spacing w:after="0" w:line="127"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7"/>
          <w:szCs w:val="17"/>
          <w:color w:val="auto"/>
        </w:rPr>
        <w:t>As of December 31, 2021, there were 1,683 IMAX Theater Systems operating in 87 countries and territories, including 1,599 commercial multiplexes, 12 commercial destinations, and 72 institutional locations. This compares to 1,650 IMAX Theater Systems operating in 84 countries and territories as of December 31, 2020 including 1,562 commercial multiplexes, 12 commercial destinations, and 76 institutional locations. (See the table below under “Marketing and Customers” for additional information on the composition of the IMAX network.)</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2" w:lineRule="exact"/>
        <w:rPr>
          <w:sz w:val="20"/>
          <w:szCs w:val="20"/>
          <w:color w:val="auto"/>
        </w:rPr>
      </w:pPr>
    </w:p>
    <w:p>
      <w:pPr>
        <w:ind w:left="580" w:hanging="358"/>
        <w:spacing w:after="0" w:line="27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71" w:lineRule="exact"/>
        <w:rPr>
          <w:rFonts w:ascii="Arial" w:cs="Arial" w:eastAsia="Arial" w:hAnsi="Arial"/>
          <w:sz w:val="18"/>
          <w:szCs w:val="18"/>
          <w:color w:val="auto"/>
        </w:rPr>
      </w:pPr>
    </w:p>
    <w:p>
      <w:pPr>
        <w:ind w:left="580" w:hanging="35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222" w:lineRule="exact"/>
        <w:rPr>
          <w:rFonts w:ascii="Arial" w:cs="Arial" w:eastAsia="Arial" w:hAnsi="Arial"/>
          <w:sz w:val="18"/>
          <w:szCs w:val="18"/>
          <w:color w:val="auto"/>
        </w:rPr>
      </w:pPr>
    </w:p>
    <w:p>
      <w:pPr>
        <w:ind w:left="580" w:hanging="35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225"/>
        <w:spacing w:after="0" w:line="302" w:lineRule="auto"/>
        <w:rPr>
          <w:sz w:val="20"/>
          <w:szCs w:val="20"/>
          <w:color w:val="auto"/>
        </w:rPr>
      </w:pPr>
      <w:r>
        <w:rPr>
          <w:rFonts w:ascii="Arial" w:cs="Arial" w:eastAsia="Arial" w:hAnsi="Arial"/>
          <w:sz w:val="17"/>
          <w:szCs w:val="17"/>
          <w:color w:val="auto"/>
        </w:rPr>
        <w:t>In addition, certain movies shown in IMAX theaters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theaters worldwide, movies filmed with IMAX cameras have an IMAX-exclusive 1.43 film aspect ratio, with up to 67% more image.</w:t>
      </w:r>
    </w:p>
    <w:p>
      <w:pPr>
        <w:spacing w:after="0" w:line="119"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3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blockbuster films and foreign local language movie studios.</w:t>
      </w:r>
    </w:p>
    <w:p>
      <w:pPr>
        <w:spacing w:after="0" w:line="14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a premier global technology platform for entertainment and events, the Company strives to remain at the forefront of advancements in cinema technology. The Company offers a suite of IMAX Laser Theater Systems, which deliver increased resolution, sharper and brighter images, deeper contrast and the widest range of colors available to filmmakers today. The Company further believes that its suite of IMAX Laser Theater Systems are helping facilitate the next major renewal and upgrade cycle for the global IMAX network.</w:t>
      </w:r>
    </w:p>
    <w:p>
      <w:pPr>
        <w:spacing w:after="0" w:line="160"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December 31, 2021, 68 theaters in the IMAX network were configured to enable the streaming of live events with additional theaters expected to go-live throughout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86"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late 2021 and early 2022, some governments reinstituted capacity restrictions and safety protocols on large public gatherings, leading to the temporary closure of theaters or the imposition of capacity restrictions in certain markets. As of December 31, 2021, 95% of the theaters in the global IMAX commercial multiplex network were open at various capacities. For additional information regarding the impact of the COVID-19 pandemic on the Company’s business, refer to “Management’s Discussion and Analysis of Financial Condition and Results of Operations – Impact of COVID-19 Pandemic” and Note 2 of Notes to Consolidated Financial Statements in Part II, Item 8.</w:t>
      </w:r>
    </w:p>
    <w:p>
      <w:pPr>
        <w:spacing w:after="0" w:line="15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 “Management’s Discussion and Analysis of Financial Condition and Results of Operations – Impact of COVID-19 Pandemic” and Note 2 of Notes to Consolidated Financial Statements in Part II, Item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NETWORK</w:t>
      </w:r>
    </w:p>
    <w:p>
      <w:pPr>
        <w:spacing w:after="0" w:line="18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The Company believes the IMAX network is one of the most extensive premium networks in the world with 1,683 IMAX Theater Systems </w:t>
      </w:r>
      <w:r>
        <w:rPr>
          <w:rFonts w:ascii="Arial" w:cs="Arial" w:eastAsia="Arial" w:hAnsi="Arial"/>
          <w:sz w:val="18"/>
          <w:szCs w:val="18"/>
          <w:color w:val="auto"/>
        </w:rPr>
        <w:t>operating in</w:t>
      </w:r>
      <w:r>
        <w:rPr>
          <w:rFonts w:ascii="Arial" w:cs="Arial" w:eastAsia="Arial" w:hAnsi="Arial"/>
          <w:sz w:val="17"/>
          <w:szCs w:val="17"/>
          <w:color w:val="auto"/>
        </w:rPr>
        <w:t xml:space="preserve"> 87 </w:t>
      </w:r>
      <w:r>
        <w:rPr>
          <w:rFonts w:ascii="Arial" w:cs="Arial" w:eastAsia="Arial" w:hAnsi="Arial"/>
          <w:sz w:val="18"/>
          <w:szCs w:val="18"/>
          <w:color w:val="auto"/>
        </w:rPr>
        <w:t>countries and territories, including</w:t>
      </w:r>
      <w:r>
        <w:rPr>
          <w:rFonts w:ascii="Arial" w:cs="Arial" w:eastAsia="Arial" w:hAnsi="Arial"/>
          <w:sz w:val="17"/>
          <w:szCs w:val="17"/>
          <w:color w:val="auto"/>
        </w:rPr>
        <w:t xml:space="preserve"> 1,599 commercial multiplexes, 12 commercial destinations </w:t>
      </w:r>
      <w:r>
        <w:rPr>
          <w:rFonts w:ascii="Arial" w:cs="Arial" w:eastAsia="Arial" w:hAnsi="Arial"/>
          <w:sz w:val="18"/>
          <w:szCs w:val="18"/>
          <w:color w:val="auto"/>
        </w:rPr>
        <w:t>and</w:t>
      </w:r>
      <w:r>
        <w:rPr>
          <w:rFonts w:ascii="Arial" w:cs="Arial" w:eastAsia="Arial" w:hAnsi="Arial"/>
          <w:sz w:val="17"/>
          <w:szCs w:val="17"/>
          <w:color w:val="auto"/>
        </w:rPr>
        <w:t xml:space="preserve"> 72 </w:t>
      </w:r>
      <w:r>
        <w:rPr>
          <w:rFonts w:ascii="Arial" w:cs="Arial" w:eastAsia="Arial" w:hAnsi="Arial"/>
          <w:sz w:val="18"/>
          <w:szCs w:val="18"/>
          <w:color w:val="auto"/>
        </w:rPr>
        <w:t>institutional locations</w:t>
      </w:r>
      <w:r>
        <w:rPr>
          <w:rFonts w:ascii="Arial" w:cs="Arial" w:eastAsia="Arial" w:hAnsi="Arial"/>
          <w:sz w:val="17"/>
          <w:szCs w:val="17"/>
          <w:color w:val="auto"/>
        </w:rPr>
        <w:t xml:space="preserve"> as of December 31, 2021. </w:t>
      </w:r>
      <w:r>
        <w:rPr>
          <w:rFonts w:ascii="Arial" w:cs="Arial" w:eastAsia="Arial" w:hAnsi="Arial"/>
          <w:sz w:val="18"/>
          <w:szCs w:val="18"/>
          <w:color w:val="auto"/>
        </w:rPr>
        <w:t>(See the table below under “IMAX Network and Backlog” in Part II, Item 7, “Management’s Discussion and Analysis of Financial</w:t>
      </w:r>
      <w:r>
        <w:rPr>
          <w:rFonts w:ascii="Arial" w:cs="Arial" w:eastAsia="Arial" w:hAnsi="Arial"/>
          <w:sz w:val="17"/>
          <w:szCs w:val="17"/>
          <w:color w:val="auto"/>
        </w:rPr>
        <w:t xml:space="preserve"> </w:t>
      </w:r>
      <w:r>
        <w:rPr>
          <w:rFonts w:ascii="Arial" w:cs="Arial" w:eastAsia="Arial" w:hAnsi="Arial"/>
          <w:sz w:val="18"/>
          <w:szCs w:val="18"/>
          <w:color w:val="auto"/>
        </w:rPr>
        <w:t>Condition and Results of Operations”, for additional information on the composition of the IMAX network.)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jc w:val="both"/>
        <w:ind w:firstLine="225"/>
        <w:spacing w:after="0" w:line="253" w:lineRule="auto"/>
        <w:rPr>
          <w:sz w:val="20"/>
          <w:szCs w:val="20"/>
          <w:color w:val="auto"/>
        </w:rPr>
      </w:pPr>
      <w:r>
        <w:rPr>
          <w:rFonts w:ascii="Arial" w:cs="Arial" w:eastAsia="Arial" w:hAnsi="Arial"/>
          <w:sz w:val="18"/>
          <w:szCs w:val="18"/>
          <w:color w:val="auto"/>
        </w:rPr>
        <w:t>The Company currently believes that over time its commercial multiplex network could grow to approximately 3,318 IMAX theaters worldwide from the 1,599 operating as of December 31, 2021. The Company believes that the majority of its future growth will come from international markets. As of December 31, 2021, 74% of IMAX Theater Systems in operation were located within international markets (defined as all countries other than the United States and Canada), compared to 73% as of December 31, 2020. Accordingly, the box office results and revenues derived from international markets continue to exceed those derived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w:t>
      </w:r>
    </w:p>
    <w:p>
      <w:pPr>
        <w:spacing w:after="0" w:line="164"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Greater China is the Company’s largest market, measured by revenues, with approximately 44% and 38% of consolidated revenues generated from its Greater China operations in the years ended December 31, 2021 and 2020, respectively. As of December 31, 2021, the Company had 783 theaters operating in Greater China and an additional 215 theaters in backlog. The Company’s backlog in Greater China represents 44% of its total current backlog, including upgrades in system type. The Company’s largest single international partnership is in China with Wanda Film (“Wanda”). As of December 31, 2021, through the Company’s partnership with Wanda, there are 369 IMAX Theater Systems operational in Greater China, of which 355 are under the parties’ joint revenue sharing arrangement.</w:t>
      </w:r>
    </w:p>
    <w:p>
      <w:pPr>
        <w:spacing w:after="0" w:line="14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w:t>
      </w:r>
    </w:p>
    <w:p>
      <w:pPr>
        <w:spacing w:after="0" w:line="147" w:lineRule="exact"/>
        <w:rPr>
          <w:sz w:val="20"/>
          <w:szCs w:val="20"/>
          <w:color w:val="auto"/>
        </w:rPr>
      </w:pPr>
    </w:p>
    <w:p>
      <w:pPr>
        <w:jc w:val="both"/>
        <w:ind w:firstLine="225"/>
        <w:spacing w:after="0" w:line="339" w:lineRule="auto"/>
        <w:rPr>
          <w:sz w:val="20"/>
          <w:szCs w:val="20"/>
          <w:color w:val="auto"/>
        </w:rPr>
      </w:pPr>
      <w:r>
        <w:rPr>
          <w:rFonts w:ascii="Arial" w:cs="Arial" w:eastAsia="Arial" w:hAnsi="Arial"/>
          <w:sz w:val="16"/>
          <w:szCs w:val="16"/>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18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believes it is the world’s largest designer and manufacturer of specialty premium projection and sound system components for large-format theaters around the world, and it is also a significant distributor of large-format films. IMAX Theater Systems include specialized IMAX projectors, advanced sound systems and specialty screens.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principal products and services are as follows:</w:t>
      </w:r>
    </w:p>
    <w:p>
      <w:pPr>
        <w:spacing w:after="0" w:line="222" w:lineRule="exact"/>
        <w:rPr>
          <w:sz w:val="20"/>
          <w:szCs w:val="20"/>
          <w:color w:val="auto"/>
        </w:rPr>
      </w:pPr>
    </w:p>
    <w:p>
      <w:pPr>
        <w:ind w:left="900" w:hanging="450"/>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IMAX DMR – The digital remastering of films and other content into IMAX formats for distribution to the IMAX network.</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IMAX Theater Systems – The sale or lease of premium IMAX Theater Systems to exhibitor customers.</w:t>
      </w:r>
    </w:p>
    <w:p>
      <w:pPr>
        <w:spacing w:after="0" w:line="235" w:lineRule="exact"/>
        <w:rPr>
          <w:rFonts w:ascii="Arial" w:cs="Arial" w:eastAsia="Arial" w:hAnsi="Arial"/>
          <w:sz w:val="18"/>
          <w:szCs w:val="18"/>
          <w:color w:val="auto"/>
        </w:rPr>
      </w:pPr>
    </w:p>
    <w:p>
      <w:pPr>
        <w:ind w:left="900" w:hanging="450"/>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IMAX Maintenance – The provision of preventative and emergency maintenance services to the IMAX network.</w:t>
      </w:r>
    </w:p>
    <w:p>
      <w:pPr>
        <w:spacing w:after="0" w:line="222" w:lineRule="exact"/>
        <w:rPr>
          <w:rFonts w:ascii="Arial" w:cs="Arial" w:eastAsia="Arial" w:hAnsi="Arial"/>
          <w:sz w:val="18"/>
          <w:szCs w:val="18"/>
          <w:color w:val="auto"/>
        </w:rPr>
      </w:pPr>
    </w:p>
    <w:p>
      <w:pPr>
        <w:jc w:val="both"/>
        <w:ind w:left="900" w:hanging="450"/>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 Distribution and Post-Production – The distribution of large-format documentary films, primarily to institutional theaters, and, increasingly, the distribution of exclusive experiences ranging from live performances to interactive events with leading artists and creators, as well as the provision of film post-production services.</w:t>
      </w:r>
    </w:p>
    <w:p>
      <w:pPr>
        <w:spacing w:after="0" w:line="183" w:lineRule="exact"/>
        <w:rPr>
          <w:rFonts w:ascii="Arial" w:cs="Arial" w:eastAsia="Arial" w:hAnsi="Arial"/>
          <w:sz w:val="18"/>
          <w:szCs w:val="18"/>
          <w:color w:val="auto"/>
        </w:rPr>
      </w:pPr>
    </w:p>
    <w:p>
      <w:pPr>
        <w:jc w:val="both"/>
        <w:ind w:left="900" w:hanging="450"/>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New Business Initiatives and Other – Activities principally related to the expansion of the IMAX brand across </w:t>
      </w:r>
      <w:r>
        <w:rPr>
          <w:rFonts w:ascii="Arial" w:cs="Arial" w:eastAsia="Arial" w:hAnsi="Arial"/>
          <w:sz w:val="18"/>
          <w:szCs w:val="18"/>
          <w:color w:val="212529"/>
        </w:rPr>
        <w:t>new lines of business and new</w:t>
      </w:r>
      <w:r>
        <w:rPr>
          <w:rFonts w:ascii="Arial" w:cs="Arial" w:eastAsia="Arial" w:hAnsi="Arial"/>
          <w:sz w:val="18"/>
          <w:szCs w:val="18"/>
          <w:color w:val="auto"/>
        </w:rPr>
        <w:t xml:space="preserve"> </w:t>
      </w:r>
      <w:r>
        <w:rPr>
          <w:rFonts w:ascii="Arial" w:cs="Arial" w:eastAsia="Arial" w:hAnsi="Arial"/>
          <w:sz w:val="18"/>
          <w:szCs w:val="18"/>
          <w:color w:val="212529"/>
        </w:rPr>
        <w:t xml:space="preserve">initiatives </w:t>
      </w:r>
      <w:r>
        <w:rPr>
          <w:rFonts w:ascii="Arial" w:cs="Arial" w:eastAsia="Arial" w:hAnsi="Arial"/>
          <w:sz w:val="18"/>
          <w:szCs w:val="18"/>
          <w:color w:val="000000"/>
        </w:rPr>
        <w:t>that are in the development and/or start-up phases. Other activities include after-market sales of IMAX Theater System parts and 3D</w:t>
      </w:r>
      <w:r>
        <w:rPr>
          <w:rFonts w:ascii="Arial" w:cs="Arial" w:eastAsia="Arial" w:hAnsi="Arial"/>
          <w:sz w:val="18"/>
          <w:szCs w:val="18"/>
          <w:color w:val="212529"/>
        </w:rPr>
        <w:t xml:space="preserve"> </w:t>
      </w:r>
      <w:r>
        <w:rPr>
          <w:rFonts w:ascii="Arial" w:cs="Arial" w:eastAsia="Arial" w:hAnsi="Arial"/>
          <w:sz w:val="18"/>
          <w:szCs w:val="18"/>
          <w:color w:val="000000"/>
        </w:rPr>
        <w:t>glasses.</w:t>
      </w:r>
    </w:p>
    <w:p>
      <w:pPr>
        <w:spacing w:after="0" w:line="157"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8"/>
          <w:szCs w:val="18"/>
          <w:color w:val="auto"/>
        </w:rPr>
        <w:t xml:space="preserve">These product lines do not fully reflect the nature and sources of revenue, or the manner in which management reviews financial information. The Company’s segment information is provided in </w:t>
      </w:r>
      <w:r>
        <w:rPr>
          <w:rFonts w:ascii="Arial" w:cs="Arial" w:eastAsia="Arial" w:hAnsi="Arial"/>
          <w:sz w:val="19"/>
          <w:szCs w:val="19"/>
          <w:color w:val="auto"/>
        </w:rPr>
        <w:t>Part II, 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9"/>
          <w:szCs w:val="19"/>
          <w:color w:val="auto"/>
        </w:rPr>
        <w:t xml:space="preserve">Operations” </w:t>
      </w:r>
      <w:r>
        <w:rPr>
          <w:rFonts w:ascii="Arial" w:cs="Arial" w:eastAsia="Arial" w:hAnsi="Arial"/>
          <w:sz w:val="17"/>
          <w:szCs w:val="17"/>
          <w:color w:val="auto"/>
        </w:rPr>
        <w:t>and Note 21 of Notes to Consolidated Financial Statements in Part II, Item 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IMAX DMR</w:t>
      </w:r>
    </w:p>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 xml:space="preserve">IMAX DMR is a proprietary technology that digitally remasters films into IMAX formats. IMAX DMR digitally enhances the image resolution of films for projection on IMAX screens while maintaining or enhancing the visual clarity and sound quality to levels for which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is known. In addition, the original soundtrack of a film to be exhibited in IMAX theaters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DMR process involves:</w:t>
      </w:r>
    </w:p>
    <w:p>
      <w:pPr>
        <w:spacing w:after="0" w:line="222" w:lineRule="exact"/>
        <w:rPr>
          <w:sz w:val="20"/>
          <w:szCs w:val="20"/>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certain instances, scanning, at the highest possible resolution, each individual frame of the movie and converting it into a digital image;</w:t>
      </w:r>
    </w:p>
    <w:p>
      <w:pPr>
        <w:spacing w:after="0" w:line="233"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optimizing the image using proprietary image enhancement tools;</w:t>
      </w:r>
    </w:p>
    <w:p>
      <w:pPr>
        <w:spacing w:after="0" w:line="222" w:lineRule="exact"/>
        <w:rPr>
          <w:rFonts w:ascii="Arial" w:cs="Arial" w:eastAsia="Arial" w:hAnsi="Arial"/>
          <w:sz w:val="18"/>
          <w:szCs w:val="18"/>
          <w:color w:val="auto"/>
        </w:rPr>
      </w:pPr>
    </w:p>
    <w:p>
      <w:pPr>
        <w:ind w:left="900" w:right="20" w:hanging="450"/>
        <w:spacing w:after="0" w:line="27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enhancing the digital image using techniques such as sharpening, color correction, grain and noise removal and the elimination of unsteadiness and removal of unwanted artifacts;</w:t>
      </w:r>
    </w:p>
    <w:p>
      <w:pPr>
        <w:spacing w:after="0" w:line="171" w:lineRule="exact"/>
        <w:rPr>
          <w:rFonts w:ascii="Arial" w:cs="Arial" w:eastAsia="Arial" w:hAnsi="Arial"/>
          <w:sz w:val="18"/>
          <w:szCs w:val="18"/>
          <w:color w:val="auto"/>
        </w:rPr>
      </w:pPr>
    </w:p>
    <w:p>
      <w:pPr>
        <w:ind w:left="900" w:hanging="45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recording the enhanced digital image into an IMAX digital cinema package (“DCP”) format or onto IMAX 15/70-format film; and</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specially remastering the soundtrack to take full advantage of the unique sound system of IMAX Theater Systems.</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w:t>
      </w:r>
      <w:r>
        <w:rPr>
          <w:rFonts w:ascii="Arial" w:cs="Arial" w:eastAsia="Arial" w:hAnsi="Arial"/>
          <w:sz w:val="19"/>
          <w:szCs w:val="19"/>
          <w:color w:val="auto"/>
        </w:rPr>
        <w:t>In select IMAX theaters worldwide, movies filmed with IMAX cameras have an IMAX-exclusive 1.43 film</w:t>
      </w:r>
      <w:r>
        <w:rPr>
          <w:rFonts w:ascii="Arial" w:cs="Arial" w:eastAsia="Arial" w:hAnsi="Arial"/>
          <w:sz w:val="18"/>
          <w:szCs w:val="18"/>
          <w:color w:val="auto"/>
        </w:rPr>
        <w:t xml:space="preserve"> </w:t>
      </w:r>
      <w:r>
        <w:rPr>
          <w:rFonts w:ascii="Arial" w:cs="Arial" w:eastAsia="Arial" w:hAnsi="Arial"/>
          <w:sz w:val="19"/>
          <w:szCs w:val="19"/>
          <w:color w:val="auto"/>
        </w:rPr>
        <w:t>aspect ratio, with up to 67% more image.</w:t>
      </w:r>
    </w:p>
    <w:p>
      <w:pPr>
        <w:spacing w:after="0" w:line="159"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 xml:space="preserve">In 2021, 63 IMAX films were released to the Company’s global theater network, including films such as </w:t>
      </w:r>
      <w:r>
        <w:rPr>
          <w:rFonts w:ascii="Arial" w:cs="Arial" w:eastAsia="Arial" w:hAnsi="Arial"/>
          <w:sz w:val="16"/>
          <w:szCs w:val="16"/>
          <w:i w:val="1"/>
          <w:iCs w:val="1"/>
          <w:color w:val="auto"/>
        </w:rPr>
        <w:t>Spider-Man: No Way Home</w:t>
      </w:r>
      <w:r>
        <w:rPr>
          <w:rFonts w:ascii="Arial" w:cs="Arial" w:eastAsia="Arial" w:hAnsi="Arial"/>
          <w:sz w:val="16"/>
          <w:szCs w:val="16"/>
          <w:color w:val="auto"/>
        </w:rPr>
        <w:t xml:space="preserve">, </w:t>
      </w:r>
      <w:r>
        <w:rPr>
          <w:rFonts w:ascii="Arial" w:cs="Arial" w:eastAsia="Arial" w:hAnsi="Arial"/>
          <w:sz w:val="16"/>
          <w:szCs w:val="16"/>
          <w:i w:val="1"/>
          <w:iCs w:val="1"/>
          <w:color w:val="auto"/>
        </w:rPr>
        <w:t>No Time to Die</w:t>
      </w:r>
      <w:r>
        <w:rPr>
          <w:rFonts w:ascii="Arial" w:cs="Arial" w:eastAsia="Arial" w:hAnsi="Arial"/>
          <w:sz w:val="16"/>
          <w:szCs w:val="16"/>
          <w:color w:val="auto"/>
        </w:rPr>
        <w:t xml:space="preserve">, </w:t>
      </w:r>
      <w:r>
        <w:rPr>
          <w:rFonts w:ascii="Arial" w:cs="Arial" w:eastAsia="Arial" w:hAnsi="Arial"/>
          <w:sz w:val="16"/>
          <w:szCs w:val="16"/>
          <w:i w:val="1"/>
          <w:iCs w:val="1"/>
          <w:color w:val="auto"/>
        </w:rPr>
        <w:t>Dune</w:t>
      </w:r>
      <w:r>
        <w:rPr>
          <w:rFonts w:ascii="Arial" w:cs="Arial" w:eastAsia="Arial" w:hAnsi="Arial"/>
          <w:sz w:val="16"/>
          <w:szCs w:val="16"/>
          <w:color w:val="auto"/>
        </w:rPr>
        <w:t>,</w:t>
      </w:r>
      <w:r>
        <w:rPr>
          <w:rFonts w:ascii="Arial" w:cs="Arial" w:eastAsia="Arial" w:hAnsi="Arial"/>
          <w:sz w:val="16"/>
          <w:szCs w:val="16"/>
          <w:i w:val="1"/>
          <w:iCs w:val="1"/>
          <w:color w:val="auto"/>
        </w:rPr>
        <w:t xml:space="preserve"> F9</w:t>
      </w:r>
      <w:r>
        <w:rPr>
          <w:rFonts w:ascii="Arial" w:cs="Arial" w:eastAsia="Arial" w:hAnsi="Arial"/>
          <w:sz w:val="16"/>
          <w:szCs w:val="16"/>
          <w:color w:val="auto"/>
        </w:rPr>
        <w:t>,</w:t>
      </w:r>
      <w:r>
        <w:rPr>
          <w:rFonts w:ascii="Arial" w:cs="Arial" w:eastAsia="Arial" w:hAnsi="Arial"/>
          <w:sz w:val="16"/>
          <w:szCs w:val="16"/>
          <w:i w:val="1"/>
          <w:iCs w:val="1"/>
          <w:color w:val="auto"/>
        </w:rPr>
        <w:t xml:space="preserve"> The Battle at Lake Changjin</w:t>
      </w:r>
      <w:r>
        <w:rPr>
          <w:rFonts w:ascii="Arial" w:cs="Arial" w:eastAsia="Arial" w:hAnsi="Arial"/>
          <w:sz w:val="16"/>
          <w:szCs w:val="16"/>
          <w:color w:val="auto"/>
        </w:rPr>
        <w:t>,</w:t>
      </w:r>
      <w:r>
        <w:rPr>
          <w:rFonts w:ascii="Arial" w:cs="Arial" w:eastAsia="Arial" w:hAnsi="Arial"/>
          <w:sz w:val="16"/>
          <w:szCs w:val="16"/>
          <w:i w:val="1"/>
          <w:iCs w:val="1"/>
          <w:color w:val="auto"/>
        </w:rPr>
        <w:t xml:space="preserve"> Detective Chinatown 3</w:t>
      </w:r>
      <w:r>
        <w:rPr>
          <w:rFonts w:ascii="Arial" w:cs="Arial" w:eastAsia="Arial" w:hAnsi="Arial"/>
          <w:sz w:val="16"/>
          <w:szCs w:val="16"/>
          <w:color w:val="auto"/>
        </w:rPr>
        <w:t>,</w:t>
      </w:r>
      <w:r>
        <w:rPr>
          <w:rFonts w:ascii="Arial" w:cs="Arial" w:eastAsia="Arial" w:hAnsi="Arial"/>
          <w:sz w:val="16"/>
          <w:szCs w:val="16"/>
          <w:i w:val="1"/>
          <w:iCs w:val="1"/>
          <w:color w:val="auto"/>
        </w:rPr>
        <w:t xml:space="preserve"> Godzilla vs. Kong</w:t>
      </w:r>
      <w:r>
        <w:rPr>
          <w:rFonts w:ascii="Arial" w:cs="Arial" w:eastAsia="Arial" w:hAnsi="Arial"/>
          <w:sz w:val="16"/>
          <w:szCs w:val="16"/>
          <w:color w:val="auto"/>
        </w:rPr>
        <w:t>,</w:t>
      </w:r>
      <w:r>
        <w:rPr>
          <w:rFonts w:ascii="Arial" w:cs="Arial" w:eastAsia="Arial" w:hAnsi="Arial"/>
          <w:sz w:val="16"/>
          <w:szCs w:val="16"/>
          <w:i w:val="1"/>
          <w:iCs w:val="1"/>
          <w:color w:val="auto"/>
        </w:rPr>
        <w:t xml:space="preserve"> Shang-Chi and the Legend of the Ten Rings</w:t>
      </w:r>
      <w:r>
        <w:rPr>
          <w:rFonts w:ascii="Arial" w:cs="Arial" w:eastAsia="Arial" w:hAnsi="Arial"/>
          <w:sz w:val="16"/>
          <w:szCs w:val="16"/>
          <w:color w:val="auto"/>
        </w:rPr>
        <w:t>,</w:t>
      </w:r>
      <w:r>
        <w:rPr>
          <w:rFonts w:ascii="Arial" w:cs="Arial" w:eastAsia="Arial" w:hAnsi="Arial"/>
          <w:sz w:val="16"/>
          <w:szCs w:val="16"/>
          <w:i w:val="1"/>
          <w:iCs w:val="1"/>
          <w:color w:val="auto"/>
        </w:rPr>
        <w:t xml:space="preserve"> The Eternals, </w:t>
      </w:r>
      <w:r>
        <w:rPr>
          <w:rFonts w:ascii="Arial" w:cs="Arial" w:eastAsia="Arial" w:hAnsi="Arial"/>
          <w:sz w:val="16"/>
          <w:szCs w:val="16"/>
          <w:color w:val="auto"/>
        </w:rPr>
        <w:t>and</w:t>
      </w:r>
      <w:r>
        <w:rPr>
          <w:rFonts w:ascii="Arial" w:cs="Arial" w:eastAsia="Arial" w:hAnsi="Arial"/>
          <w:sz w:val="16"/>
          <w:szCs w:val="16"/>
          <w:i w:val="1"/>
          <w:iCs w:val="1"/>
          <w:color w:val="auto"/>
        </w:rPr>
        <w:t xml:space="preserve"> Black Widow</w:t>
      </w:r>
      <w:r>
        <w:rPr>
          <w:rFonts w:ascii="Arial" w:cs="Arial" w:eastAsia="Arial" w:hAnsi="Arial"/>
          <w:sz w:val="16"/>
          <w:szCs w:val="16"/>
          <w:color w:val="auto"/>
        </w:rPr>
        <w:t>. The films released in 2021 include 10 with IMAX DNA and 32 local language films released in China (21), Japan (9), Russia (1) and South Korea</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(1). In 2020, 31 IMAX films were released to the Company’s global theater network, including five with IMAX DNA, and 17 local language films released in China (10), Russia (3), Japan (3), and South Korea (1). In 2019, 60 IMAX films were released to the Company’s global theater network, including six with IMAX DNA, and 18 local language films released in China (14), Japan (1), South Korea (1), India (1) and Russia (1).</w:t>
      </w:r>
    </w:p>
    <w:p>
      <w:pPr>
        <w:spacing w:after="0" w:line="13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its slate of Hollywood films with appealing local language IMAX films released in select markets, particularly in China. The Company expects to announce additional local language IMAX films to be released to its global theater network in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ind w:firstLine="225"/>
        <w:spacing w:after="0" w:line="274" w:lineRule="auto"/>
        <w:rPr>
          <w:sz w:val="20"/>
          <w:szCs w:val="20"/>
          <w:color w:val="auto"/>
        </w:rPr>
      </w:pPr>
      <w:r>
        <w:rPr>
          <w:rFonts w:ascii="Arial" w:cs="Arial" w:eastAsia="Arial" w:hAnsi="Arial"/>
          <w:sz w:val="18"/>
          <w:szCs w:val="18"/>
          <w:color w:val="auto"/>
        </w:rPr>
        <w:t>To date, in 2022, eight titles have been released to the global IMAX theater network, including one released in connection with a live performance/interactive event, and the Company has announced the following 18 titles to be released later in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Scheduled</w:t>
            </w:r>
          </w:p>
        </w:tc>
        <w:tc>
          <w:tcPr>
            <w:tcW w:w="2240" w:type="dxa"/>
            <w:vAlign w:val="bottom"/>
          </w:tcPr>
          <w:p>
            <w:pPr>
              <w:spacing w:after="0"/>
              <w:rPr>
                <w:sz w:val="18"/>
                <w:szCs w:val="18"/>
                <w:color w:val="auto"/>
              </w:rPr>
            </w:pPr>
          </w:p>
        </w:tc>
      </w:tr>
      <w:tr>
        <w:trPr>
          <w:trHeight w:val="220"/>
        </w:trPr>
        <w:tc>
          <w:tcPr>
            <w:tcW w:w="15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439"/>
              <w:spacing w:after="0"/>
              <w:rPr>
                <w:sz w:val="20"/>
                <w:szCs w:val="20"/>
                <w:color w:val="auto"/>
              </w:rPr>
            </w:pPr>
            <w:r>
              <w:rPr>
                <w:rFonts w:ascii="Arial" w:cs="Arial" w:eastAsia="Arial" w:hAnsi="Arial"/>
                <w:sz w:val="16"/>
                <w:szCs w:val="16"/>
                <w:b w:val="1"/>
                <w:bCs w:val="1"/>
                <w:color w:val="auto"/>
                <w:w w:val="97"/>
              </w:rPr>
              <w:t>Title</w:t>
            </w:r>
          </w:p>
        </w:tc>
        <w:tc>
          <w:tcPr>
            <w:tcW w:w="220" w:type="dxa"/>
            <w:vAlign w:val="bottom"/>
            <w:tcBorders>
              <w:bottom w:val="single" w:sz="8" w:color="CFF0FC"/>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Studio</w:t>
            </w:r>
          </w:p>
        </w:tc>
        <w:tc>
          <w:tcPr>
            <w:tcW w:w="2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5"/>
                <w:szCs w:val="15"/>
                <w:b w:val="1"/>
                <w:bCs w:val="1"/>
                <w:color w:val="auto"/>
                <w:w w:val="91"/>
              </w:rPr>
              <w:t>Release Date</w:t>
            </w:r>
            <w:r>
              <w:rPr>
                <w:rFonts w:ascii="Arial" w:cs="Arial" w:eastAsia="Arial" w:hAnsi="Arial"/>
                <w:sz w:val="25"/>
                <w:szCs w:val="25"/>
                <w:b w:val="1"/>
                <w:bCs w:val="1"/>
                <w:color w:val="auto"/>
                <w:w w:val="91"/>
                <w:vertAlign w:val="superscript"/>
              </w:rPr>
              <w:t>(1)</w:t>
            </w:r>
          </w:p>
        </w:tc>
        <w:tc>
          <w:tcPr>
            <w:tcW w:w="200" w:type="dxa"/>
            <w:vAlign w:val="bottom"/>
            <w:tcBorders>
              <w:bottom w:val="single" w:sz="8" w:color="CFF0FC"/>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IMAX DNA</w:t>
            </w:r>
          </w:p>
        </w:tc>
      </w:tr>
      <w:tr>
        <w:trPr>
          <w:trHeight w:val="20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20"/>
              <w:spacing w:after="0"/>
              <w:rPr>
                <w:sz w:val="20"/>
                <w:szCs w:val="20"/>
                <w:color w:val="auto"/>
              </w:rPr>
            </w:pPr>
            <w:r>
              <w:rPr>
                <w:rFonts w:ascii="Arial" w:cs="Arial" w:eastAsia="Arial" w:hAnsi="Arial"/>
                <w:sz w:val="16"/>
                <w:szCs w:val="16"/>
                <w:i w:val="1"/>
                <w:iCs w:val="1"/>
                <w:color w:val="auto"/>
                <w:w w:val="89"/>
              </w:rPr>
              <w:t>The Batman</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March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93"/>
              </w:rPr>
              <w:t>Notre-Dame Brûle</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Pathe</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March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8"/>
              </w:rPr>
              <w:t>Morbius</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Sony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89"/>
              </w:rPr>
              <w:t>Ambulance</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4540" w:type="dxa"/>
            <w:vAlign w:val="bottom"/>
            <w:gridSpan w:val="3"/>
            <w:shd w:val="clear" w:color="auto" w:fill="CFF0FC"/>
          </w:tcPr>
          <w:p>
            <w:pPr>
              <w:jc w:val="center"/>
              <w:ind w:right="220"/>
              <w:spacing w:after="0"/>
              <w:rPr>
                <w:sz w:val="20"/>
                <w:szCs w:val="20"/>
                <w:color w:val="auto"/>
              </w:rPr>
            </w:pPr>
            <w:r>
              <w:rPr>
                <w:rFonts w:ascii="Arial" w:cs="Arial" w:eastAsia="Arial" w:hAnsi="Arial"/>
                <w:sz w:val="16"/>
                <w:szCs w:val="16"/>
                <w:i w:val="1"/>
                <w:iCs w:val="1"/>
                <w:color w:val="auto"/>
                <w:w w:val="90"/>
              </w:rPr>
              <w:t>Fantastic Beasts: The Secrets of Dumbledore</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Doctor Strange In The Multiverse of Madness</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1"/>
              </w:rPr>
              <w:t>Top Gun: Maverick</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Paramount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3"/>
              </w:rPr>
              <w:t>May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4"/>
              </w:rPr>
              <w:t>Jurassic World: Dominion</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June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7"/>
              </w:rPr>
              <w:t>Lightyear</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8"/>
              </w:rPr>
              <w:t>June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Expanded Aspect Ratio</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3"/>
              </w:rPr>
              <w:t>Minions: The Rise Of Gru</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4540" w:type="dxa"/>
            <w:vAlign w:val="bottom"/>
            <w:gridSpan w:val="3"/>
            <w:shd w:val="clear" w:color="auto" w:fill="CFF0FC"/>
          </w:tcPr>
          <w:p>
            <w:pPr>
              <w:jc w:val="center"/>
              <w:ind w:right="220"/>
              <w:spacing w:after="0"/>
              <w:rPr>
                <w:sz w:val="20"/>
                <w:szCs w:val="20"/>
                <w:color w:val="auto"/>
              </w:rPr>
            </w:pPr>
            <w:r>
              <w:rPr>
                <w:rFonts w:ascii="Arial" w:cs="Arial" w:eastAsia="Arial" w:hAnsi="Arial"/>
                <w:sz w:val="16"/>
                <w:szCs w:val="16"/>
                <w:i w:val="1"/>
                <w:iCs w:val="1"/>
                <w:color w:val="auto"/>
                <w:w w:val="95"/>
              </w:rPr>
              <w:t>Thor: Love &amp; Thunder</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20"/>
              <w:spacing w:after="0"/>
              <w:rPr>
                <w:sz w:val="20"/>
                <w:szCs w:val="20"/>
                <w:color w:val="auto"/>
              </w:rPr>
            </w:pPr>
            <w:r>
              <w:rPr>
                <w:rFonts w:ascii="Arial" w:cs="Arial" w:eastAsia="Arial" w:hAnsi="Arial"/>
                <w:sz w:val="16"/>
                <w:szCs w:val="16"/>
                <w:i w:val="1"/>
                <w:iCs w:val="1"/>
                <w:color w:val="auto"/>
                <w:w w:val="88"/>
              </w:rPr>
              <w:t>Nope</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20"/>
              <w:spacing w:after="0"/>
              <w:rPr>
                <w:sz w:val="20"/>
                <w:szCs w:val="20"/>
                <w:color w:val="auto"/>
              </w:rPr>
            </w:pPr>
            <w:r>
              <w:rPr>
                <w:rFonts w:ascii="Arial" w:cs="Arial" w:eastAsia="Arial" w:hAnsi="Arial"/>
                <w:sz w:val="16"/>
                <w:szCs w:val="16"/>
                <w:i w:val="1"/>
                <w:iCs w:val="1"/>
                <w:color w:val="auto"/>
                <w:w w:val="91"/>
              </w:rPr>
              <w:t>Black Adam</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Spider-Man: Into the Spiderverse Sequel</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Sony Pictures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October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89"/>
              </w:rPr>
              <w:t>The Flash</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Black Panther 2: Wakanda Forever</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1"/>
              </w:rPr>
              <w:t>Creed 3</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MGM</w:t>
            </w:r>
          </w:p>
        </w:tc>
        <w:tc>
          <w:tcPr>
            <w:tcW w:w="17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09"/>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93"/>
              </w:rPr>
              <w:t>Avatar 2</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December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140"/>
        </w:trPr>
        <w:tc>
          <w:tcPr>
            <w:tcW w:w="1520" w:type="dxa"/>
            <w:vAlign w:val="bottom"/>
            <w:tcBorders>
              <w:bottom w:val="single" w:sz="8" w:color="auto"/>
            </w:tcBorders>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r>
    </w:tbl>
    <w:p>
      <w:pPr>
        <w:spacing w:after="0" w:line="160" w:lineRule="exact"/>
        <w:rPr>
          <w:sz w:val="20"/>
          <w:szCs w:val="20"/>
          <w:color w:val="auto"/>
        </w:rPr>
      </w:pPr>
    </w:p>
    <w:p>
      <w:pPr>
        <w:jc w:val="both"/>
        <w:ind w:left="360" w:hanging="353"/>
        <w:spacing w:after="0" w:line="257"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scheduled release dates in the table above are subject to change, including as a result of the impact of the COVID-19 pandemic, may vary by territory, and may not reflect the date(s) of limited premiere events. 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4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Theater Systems</w:t>
      </w:r>
    </w:p>
    <w:p>
      <w:pPr>
        <w:spacing w:after="0" w:line="186"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The Company’s primary products are its various digital projection systems, which are either sold or leased to exhibitor customers along with a license for the use of the globally recognized IMAX brand. The Company’s digital projection systems include a projector that offers superior image quality and stability and a digital theater control system; a digital audio system delivering up to 12,000 watts of sound; a screen with a proprietary coating technology, and, in certain situations, 3D glasses cleaning equipment. IMAX’s digital projection systems also operate without the need for analog film prints. The Company’s digital projection systems provide a premium and differentiated experience to moviegoers that is consistent with what they have come to expect from the IMAX brand, while providing exhibitor customers with the compelling economics and flexibility that digital technology affords.</w:t>
      </w:r>
    </w:p>
    <w:p>
      <w:pPr>
        <w:spacing w:after="0" w:line="12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part of the arrangement to sell or lease an IMAX Theater System, the Company provides extensive advice on theater planning and design, and supervision of installation services. The terms of each sale or lease arrangement vary according to the configuration of the IMAX Theater System, as well as the cinema and film distribution markets relevant to the geographic location of the customer.</w:t>
      </w:r>
    </w:p>
    <w:p>
      <w:pPr>
        <w:spacing w:after="0" w:line="15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Revenue from the sale or lease of an IMAX Theater System may be recognized at a different time from when cash is collected from the exhibitor customer. (See “Critical Accounting Policies and Estimates” in Part II, Item 7 and Note 20 of Notes to Consolidated Financial Statements in Part II, Item 8 for further discussion on the Company’s revenue recognition policies.)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 w:name="page9"/>
    <w:bookmarkEnd w:id="8"/>
    <w:p>
      <w:pPr>
        <w:ind w:left="240"/>
        <w:spacing w:after="0"/>
        <w:rPr>
          <w:sz w:val="20"/>
          <w:szCs w:val="20"/>
          <w:color w:val="auto"/>
        </w:rPr>
      </w:pPr>
      <w:r>
        <w:rPr>
          <w:rFonts w:ascii="Arial" w:cs="Arial" w:eastAsia="Arial" w:hAnsi="Arial"/>
          <w:sz w:val="16"/>
          <w:szCs w:val="16"/>
          <w:color w:val="auto"/>
        </w:rPr>
        <w:t>The following table presents the number of IMAX Theater Systems that are open and in backlog, by configuration, as of December 31, 2021 and 2020: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2021</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December 31, 2020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46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Theater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Network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New</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Upgrade</w:t>
            </w: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Network</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New</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Upgrade</w:t>
            </w:r>
          </w:p>
        </w:tc>
      </w:tr>
      <w:tr>
        <w:trPr>
          <w:trHeight w:val="170"/>
        </w:trPr>
        <w:tc>
          <w:tcPr>
            <w:tcW w:w="46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Backlog</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Backlog</w:t>
            </w: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Base</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Backlog</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Backlog</w:t>
            </w:r>
          </w:p>
        </w:tc>
      </w:tr>
      <w:tr>
        <w:trPr>
          <w:trHeight w:val="222"/>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IMAX Laser Theater Systems</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92</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IMAX Xenon Theater Systems</w:t>
            </w:r>
          </w:p>
        </w:tc>
        <w:tc>
          <w:tcPr>
            <w:tcW w:w="900" w:type="dxa"/>
            <w:vAlign w:val="bottom"/>
          </w:tcPr>
          <w:p>
            <w:pPr>
              <w:jc w:val="right"/>
              <w:spacing w:after="0"/>
              <w:rPr>
                <w:sz w:val="20"/>
                <w:szCs w:val="20"/>
                <w:color w:val="auto"/>
              </w:rPr>
            </w:pPr>
            <w:r>
              <w:rPr>
                <w:rFonts w:ascii="Arial" w:cs="Arial" w:eastAsia="Arial" w:hAnsi="Arial"/>
                <w:sz w:val="18"/>
                <w:szCs w:val="18"/>
                <w:color w:val="auto"/>
              </w:rPr>
              <w:t>1,372</w:t>
            </w:r>
          </w:p>
        </w:tc>
        <w:tc>
          <w:tcPr>
            <w:tcW w:w="1160" w:type="dxa"/>
            <w:vAlign w:val="bottom"/>
            <w:gridSpan w:val="3"/>
          </w:tcPr>
          <w:p>
            <w:pPr>
              <w:jc w:val="right"/>
              <w:ind w:right="38"/>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1,377</w:t>
            </w:r>
          </w:p>
        </w:tc>
        <w:tc>
          <w:tcPr>
            <w:tcW w:w="1100" w:type="dxa"/>
            <w:vAlign w:val="bottom"/>
            <w:gridSpan w:val="2"/>
          </w:tcPr>
          <w:p>
            <w:pPr>
              <w:jc w:val="right"/>
              <w:ind w:right="38"/>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IMAX Film Theater Systems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Laser Theater Systems</w:t>
      </w:r>
    </w:p>
    <w:p>
      <w:pPr>
        <w:spacing w:after="0" w:line="182"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In 2014, the Company introduced its first laser-based digital projection system. Since then, the Company has continued research and development aimed at creating more affordable laser-based solutions with various screen sizes for its commercial multiplex customers. Beginning in late-2021, the Company began offering an additional laser-based theater system product to provide a broader array of customers with an opportunity to replace and upgrade IMAX Xenon Theater Systems. The Company believes that IMAX Laser Theater Systems present greater brightness and clarity, higher contrast, a wider color gamut and deeper blacks, consume less power and last longer than other digital projection technologies, and are capable of illuminating the largest screens in the IMAX network.</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Xenon Theater Systems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 2008, the Company introduced its digital IMAX Xenon Theater System. Prior to 2008, all of the IMAX Theater Systems offered by the Company were film-based and required analog film prints. The Company believes that IMAX Xenon Theater Systems deliver higher quality imagery when compared with IMAX Film Theater Systems.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Film Theater Systems</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IMAX Film Theater Systems include various configurations, including 2D and 3D systems, and screen sizes. Following the introduction of the digital IMAX Xenon Theater System in 2008, the number of IMAX Film Theater Systems in the IMAX network has decreased significantly.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information about the Company’s theater system backlog as of December 31, 2021 and 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3"/>
              </w:rPr>
              <w:t>Dollar Value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96"/>
              </w:rPr>
              <w:t>Dollar Value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0"/>
        </w:trPr>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86"/>
              </w:rPr>
              <w:t>Systems</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i w:val="1"/>
                <w:iCs w:val="1"/>
                <w:color w:val="auto"/>
                <w:w w:val="89"/>
              </w:rPr>
              <w:t>(in thousands)</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6"/>
              </w:rPr>
              <w:t>Systems</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i w:val="1"/>
                <w:iCs w:val="1"/>
                <w:color w:val="auto"/>
                <w:w w:val="89"/>
              </w:rPr>
              <w:t>(in thousands)</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5"/>
        </w:trPr>
        <w:tc>
          <w:tcPr>
            <w:tcW w:w="1420" w:type="dxa"/>
            <w:vAlign w:val="bottom"/>
            <w:tcBorders>
              <w:bottom w:val="single" w:sz="8" w:color="CFF0FC"/>
            </w:tcBorders>
          </w:tcPr>
          <w:p>
            <w:pPr>
              <w:spacing w:after="0"/>
              <w:rPr>
                <w:sz w:val="16"/>
                <w:szCs w:val="16"/>
                <w:color w:val="auto"/>
              </w:rPr>
            </w:pPr>
          </w:p>
        </w:tc>
        <w:tc>
          <w:tcPr>
            <w:tcW w:w="8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5"/>
              </w:rPr>
              <w:t>Upgrade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Upgrade</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New</w:t>
            </w:r>
          </w:p>
        </w:tc>
        <w:tc>
          <w:tcPr>
            <w:tcW w:w="3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Upgrade</w:t>
            </w:r>
          </w:p>
        </w:tc>
        <w:tc>
          <w:tcPr>
            <w:tcW w:w="2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New</w:t>
            </w:r>
          </w:p>
        </w:tc>
        <w:tc>
          <w:tcPr>
            <w:tcW w:w="3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Upgrade</w:t>
            </w:r>
          </w:p>
        </w:tc>
        <w:tc>
          <w:tcPr>
            <w:tcW w:w="200" w:type="dxa"/>
            <w:vAlign w:val="bottom"/>
            <w:tcBorders>
              <w:bottom w:val="single" w:sz="8" w:color="CFF0FC"/>
            </w:tcBorders>
          </w:tcPr>
          <w:p>
            <w:pPr>
              <w:spacing w:after="0"/>
              <w:rPr>
                <w:sz w:val="16"/>
                <w:szCs w:val="16"/>
                <w:color w:val="auto"/>
              </w:rPr>
            </w:pPr>
          </w:p>
        </w:tc>
      </w:tr>
      <w:tr>
        <w:trPr>
          <w:trHeight w:val="207"/>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$ 190,280</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11,532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94"/>
              </w:rPr>
              <w:t>$ 200,296</w:t>
            </w:r>
          </w:p>
        </w:tc>
        <w:tc>
          <w:tcPr>
            <w:tcW w:w="3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7"/>
              </w:rPr>
              <w:t>13,135</w:t>
            </w:r>
          </w:p>
        </w:tc>
        <w:tc>
          <w:tcPr>
            <w:tcW w:w="200" w:type="dxa"/>
            <w:vAlign w:val="bottom"/>
            <w:shd w:val="clear" w:color="auto" w:fill="CFF0FC"/>
          </w:tcPr>
          <w:p>
            <w:pPr>
              <w:spacing w:after="0"/>
              <w:rPr>
                <w:sz w:val="19"/>
                <w:szCs w:val="19"/>
                <w:color w:val="auto"/>
              </w:rPr>
            </w:pPr>
          </w:p>
        </w:tc>
      </w:tr>
      <w:tr>
        <w:trPr>
          <w:trHeight w:val="214"/>
        </w:trPr>
        <w:tc>
          <w:tcPr>
            <w:tcW w:w="2240" w:type="dxa"/>
            <w:vAlign w:val="bottom"/>
            <w:gridSpan w:val="2"/>
          </w:tcPr>
          <w:p>
            <w:pPr>
              <w:spacing w:after="0"/>
              <w:rPr>
                <w:sz w:val="20"/>
                <w:szCs w:val="20"/>
                <w:color w:val="auto"/>
              </w:rPr>
            </w:pPr>
            <w:r>
              <w:rPr>
                <w:rFonts w:ascii="Arial" w:cs="Arial" w:eastAsia="Arial" w:hAnsi="Arial"/>
                <w:sz w:val="18"/>
                <w:szCs w:val="18"/>
                <w:color w:val="auto"/>
                <w:w w:val="99"/>
              </w:rPr>
              <w:t>Hybrid joint revenue sharing</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91,704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00" w:type="dxa"/>
            <w:vAlign w:val="bottom"/>
            <w:gridSpan w:val="2"/>
          </w:tcPr>
          <w:p>
            <w:pPr>
              <w:jc w:val="right"/>
              <w:ind w:right="44"/>
              <w:spacing w:after="0"/>
              <w:rPr>
                <w:sz w:val="20"/>
                <w:szCs w:val="20"/>
                <w:color w:val="auto"/>
              </w:rPr>
            </w:pPr>
            <w:r>
              <w:rPr>
                <w:rFonts w:ascii="Arial" w:cs="Arial" w:eastAsia="Arial" w:hAnsi="Arial"/>
                <w:sz w:val="18"/>
                <w:szCs w:val="18"/>
                <w:color w:val="auto"/>
              </w:rPr>
              <w:t>99,911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r>
      <w:tr>
        <w:trPr>
          <w:trHeight w:val="214"/>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joint revenue</w:t>
            </w: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sharing arrangements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gridSpan w:val="2"/>
            <w:shd w:val="clear" w:color="auto" w:fill="CFF0FC"/>
          </w:tcPr>
          <w:p>
            <w:pPr>
              <w:jc w:val="center"/>
              <w:ind w:right="100"/>
              <w:spacing w:after="0"/>
              <w:rPr>
                <w:sz w:val="20"/>
                <w:szCs w:val="20"/>
                <w:color w:val="auto"/>
              </w:rPr>
            </w:pPr>
            <w:r>
              <w:rPr>
                <w:rFonts w:ascii="Arial" w:cs="Arial" w:eastAsia="Arial" w:hAnsi="Arial"/>
                <w:sz w:val="15"/>
                <w:szCs w:val="15"/>
                <w:color w:val="auto"/>
                <w:w w:val="97"/>
              </w:rPr>
              <w:t>(2)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w:t>
            </w:r>
          </w:p>
        </w:tc>
        <w:tc>
          <w:tcPr>
            <w:tcW w:w="8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FF0FC"/>
          </w:tcPr>
          <w:p>
            <w:pPr>
              <w:jc w:val="center"/>
              <w:ind w:right="84"/>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6"/>
              </w:rPr>
              <w:t>(1)</w:t>
            </w:r>
          </w:p>
        </w:tc>
        <w:tc>
          <w:tcPr>
            <w:tcW w:w="90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FF0FC"/>
          </w:tcPr>
          <w:p>
            <w:pPr>
              <w:jc w:val="center"/>
              <w:ind w:right="84"/>
              <w:spacing w:after="0"/>
              <w:rPr>
                <w:sz w:val="20"/>
                <w:szCs w:val="20"/>
                <w:color w:val="auto"/>
              </w:rPr>
            </w:pPr>
            <w:r>
              <w:rPr>
                <w:rFonts w:ascii="Arial" w:cs="Arial" w:eastAsia="Arial" w:hAnsi="Arial"/>
                <w:sz w:val="15"/>
                <w:szCs w:val="15"/>
                <w:color w:val="auto"/>
                <w:w w:val="97"/>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2"/>
        </w:trPr>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$ 282,184</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21,817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8"/>
                <w:szCs w:val="18"/>
                <w:color w:val="auto"/>
                <w:w w:val="84"/>
              </w:rPr>
              <w:t>$ 300,407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24,195</w:t>
            </w:r>
          </w:p>
        </w:tc>
        <w:tc>
          <w:tcPr>
            <w:tcW w:w="20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8"/>
        </w:trPr>
        <w:tc>
          <w:tcPr>
            <w:tcW w:w="14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60" w:lineRule="exact"/>
        <w:rPr>
          <w:sz w:val="20"/>
          <w:szCs w:val="20"/>
          <w:color w:val="auto"/>
        </w:rPr>
      </w:pPr>
    </w:p>
    <w:p>
      <w:pPr>
        <w:ind w:left="360" w:hanging="353"/>
        <w:spacing w:after="0" w:line="274"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44 IMAX Theater Systems (2020 ― 46) where the customer has the option to convert from a joint revenue sharing arrangement to a sales arrangement.</w:t>
      </w:r>
    </w:p>
    <w:p>
      <w:pPr>
        <w:spacing w:after="0" w:line="131" w:lineRule="exact"/>
        <w:rPr>
          <w:rFonts w:ascii="Arial" w:cs="Arial" w:eastAsia="Arial" w:hAnsi="Arial"/>
          <w:sz w:val="18"/>
          <w:szCs w:val="18"/>
          <w:color w:val="auto"/>
        </w:rPr>
      </w:pPr>
    </w:p>
    <w:p>
      <w:pPr>
        <w:jc w:val="both"/>
        <w:ind w:left="360" w:hanging="353"/>
        <w:spacing w:after="0" w:line="284"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 w:name="page10"/>
    <w:bookmarkEnd w:id="9"/>
    <w:p>
      <w:pPr>
        <w:jc w:val="both"/>
        <w:ind w:firstLine="225"/>
        <w:spacing w:after="0" w:line="252" w:lineRule="auto"/>
        <w:rPr>
          <w:sz w:val="20"/>
          <w:szCs w:val="20"/>
          <w:color w:val="auto"/>
        </w:rPr>
      </w:pPr>
      <w:r>
        <w:rPr>
          <w:rFonts w:ascii="Arial" w:cs="Arial" w:eastAsia="Arial" w:hAnsi="Arial"/>
          <w:sz w:val="18"/>
          <w:szCs w:val="18"/>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theaters in which the Company has an equity interest, operating leases, and long-term conditional theater commitments. The Company believes that the contractual obligations for IMAX Theater System installations that are listed in backlog are valid and binding commitments.</w:t>
      </w:r>
    </w:p>
    <w:p>
      <w:pPr>
        <w:spacing w:after="0" w:line="16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49" w:lineRule="exact"/>
        <w:rPr>
          <w:sz w:val="20"/>
          <w:szCs w:val="20"/>
          <w:color w:val="auto"/>
        </w:rPr>
      </w:pPr>
    </w:p>
    <w:p>
      <w:pPr>
        <w:jc w:val="both"/>
        <w:ind w:firstLine="224"/>
        <w:spacing w:after="0" w:line="339"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Maintenance</w:t>
      </w:r>
    </w:p>
    <w:p>
      <w:pPr>
        <w:spacing w:after="0" w:line="200"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IMAX Theater System arrangements also include a requirement for the Company to provide maintenance services over the life of the arrangement in exchange for an extended warranty and annual maintenance fee paid by the theater owner or operator. Under these arrangements, the Company provides preventative and emergency maintenance services to ensure that each presentation is up to the highest IMAX quality standard. Annual maintenance fees are paid throughout the duration of the term of the theater agreements. (See “Maintenance and Extended Warranty Services”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6"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w:t>
      </w:r>
    </w:p>
    <w:p>
      <w:pPr>
        <w:spacing w:after="0" w:line="15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ownership rights to the films distributed by the Company may be held by the film’s sponsors, third-party film investors and/or the Company. As of December 31, 2021, the Company has distribution rights with respect to 53 films, which cover subjects such as space, wildlife, music, sports, history, and natural wonders.</w:t>
      </w:r>
    </w:p>
    <w:p>
      <w:pPr>
        <w:spacing w:after="0" w:line="143"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December 31, 2021, 68 theaters in the IMAX network were configured to enable the streaming of live events with additional theaters expected to go-live throughout 2022.</w:t>
      </w:r>
    </w:p>
    <w:p>
      <w:pPr>
        <w:spacing w:after="0" w:line="10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 xml:space="preserve">In the fourth quarter of 2021, the Company distributed a Kanye West and Drake concert to 35 IMAX theaters across the United States and Canada through a partnership with Amazon Music. In the fourth quarter of 2021, the Company also held special screenings of Joel Coen’s </w:t>
      </w:r>
      <w:r>
        <w:rPr>
          <w:rFonts w:ascii="Arial" w:cs="Arial" w:eastAsia="Arial" w:hAnsi="Arial"/>
          <w:sz w:val="17"/>
          <w:szCs w:val="17"/>
          <w:i w:val="1"/>
          <w:iCs w:val="1"/>
          <w:color w:val="auto"/>
        </w:rPr>
        <w:t>The Tragedy of Macbeth</w:t>
      </w:r>
      <w:r>
        <w:rPr>
          <w:rFonts w:ascii="Arial" w:cs="Arial" w:eastAsia="Arial" w:hAnsi="Arial"/>
          <w:sz w:val="17"/>
          <w:szCs w:val="17"/>
          <w:color w:val="auto"/>
        </w:rPr>
        <w:t xml:space="preserve">, including a live Q&amp;A with Mr. Coen and actress Frances McDormand streamed from the IMAX theater in Lincoln Square, New York, and </w:t>
      </w:r>
      <w:r>
        <w:rPr>
          <w:rFonts w:ascii="Arial" w:cs="Arial" w:eastAsia="Arial" w:hAnsi="Arial"/>
          <w:sz w:val="17"/>
          <w:szCs w:val="17"/>
          <w:i w:val="1"/>
          <w:iCs w:val="1"/>
          <w:color w:val="auto"/>
        </w:rPr>
        <w:t>West Side Story</w:t>
      </w:r>
      <w:r>
        <w:rPr>
          <w:rFonts w:ascii="Arial" w:cs="Arial" w:eastAsia="Arial" w:hAnsi="Arial"/>
          <w:sz w:val="17"/>
          <w:szCs w:val="17"/>
          <w:color w:val="auto"/>
        </w:rPr>
        <w:t xml:space="preserve">, featuring a live Q&amp;A with director Steven Spielberg and his cast, which was streamed from the IMAX theater of Century City, California. Also, in the first quarter of 2022, the Company partnered with Disney to hold a special screening of </w:t>
      </w:r>
      <w:r>
        <w:rPr>
          <w:rFonts w:ascii="Arial" w:cs="Arial" w:eastAsia="Arial" w:hAnsi="Arial"/>
          <w:sz w:val="17"/>
          <w:szCs w:val="17"/>
          <w:i w:val="1"/>
          <w:iCs w:val="1"/>
          <w:color w:val="auto"/>
        </w:rPr>
        <w:t>The Beatles: Get Back – The Rooftop Concert</w:t>
      </w:r>
      <w:r>
        <w:rPr>
          <w:rFonts w:ascii="Arial" w:cs="Arial" w:eastAsia="Arial" w:hAnsi="Arial"/>
          <w:sz w:val="17"/>
          <w:szCs w:val="17"/>
          <w:color w:val="auto"/>
        </w:rPr>
        <w:t>, featuring a live Q&amp;A with director and producer Peter Jackson streaming to 68 IMAX theaters worldwide.</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Through its Film Post-Production segment, the Company provides film post-production and quality control services for large-format films, whether produced by IMAX or third parties, and digital post-production services.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New Business Initiatives</w:t>
      </w:r>
    </w:p>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 xml:space="preserve">The New Business Initiatives segment includes activities related to the </w:t>
      </w:r>
      <w:r>
        <w:rPr>
          <w:rFonts w:ascii="Arial" w:cs="Arial" w:eastAsia="Arial" w:hAnsi="Arial"/>
          <w:sz w:val="18"/>
          <w:szCs w:val="18"/>
          <w:color w:val="212529"/>
        </w:rPr>
        <w:t>expansion of the IMAX brand across new lines of business and initiatives, which</w:t>
      </w:r>
      <w:r>
        <w:rPr>
          <w:rFonts w:ascii="Arial" w:cs="Arial" w:eastAsia="Arial" w:hAnsi="Arial"/>
          <w:sz w:val="18"/>
          <w:szCs w:val="18"/>
          <w:color w:val="auto"/>
        </w:rPr>
        <w:t xml:space="preserve"> </w:t>
      </w:r>
      <w:r>
        <w:rPr>
          <w:rFonts w:ascii="Arial" w:cs="Arial" w:eastAsia="Arial" w:hAnsi="Arial"/>
          <w:sz w:val="18"/>
          <w:szCs w:val="18"/>
          <w:color w:val="212529"/>
        </w:rPr>
        <w:t>seek to leverage the Company’s proprietary, innovative technologies, its leadership position in the entertainment technology space, its unique relationship with content creators, and its brand.</w:t>
      </w:r>
    </w:p>
    <w:p>
      <w:pPr>
        <w:spacing w:after="0" w:line="143"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212529"/>
        </w:rPr>
        <w:t>In September 2018, the Company launched IMAX Enhanced</w:t>
      </w:r>
      <w:r>
        <w:rPr>
          <w:rFonts w:ascii="Arial" w:cs="Arial" w:eastAsia="Arial" w:hAnsi="Arial"/>
          <w:sz w:val="14"/>
          <w:szCs w:val="14"/>
          <w:color w:val="000000"/>
        </w:rPr>
        <w:t>TM</w:t>
      </w:r>
      <w:r>
        <w:rPr>
          <w:rFonts w:ascii="Arial" w:cs="Arial" w:eastAsia="Arial" w:hAnsi="Arial"/>
          <w:sz w:val="17"/>
          <w:szCs w:val="17"/>
          <w:color w:val="212529"/>
        </w:rPr>
        <w:t xml:space="preserve">, a new initiative to bring </w:t>
      </w:r>
      <w:r>
        <w:rPr>
          <w:rFonts w:ascii="Arial" w:cs="Arial" w:eastAsia="Arial" w:hAnsi="Arial"/>
          <w:sz w:val="17"/>
          <w:szCs w:val="17"/>
          <w:i w:val="1"/>
          <w:iCs w:val="1"/>
          <w:color w:val="212529"/>
        </w:rPr>
        <w:t>The</w:t>
      </w:r>
      <w:r>
        <w:rPr>
          <w:rFonts w:ascii="Arial" w:cs="Arial" w:eastAsia="Arial" w:hAnsi="Arial"/>
          <w:sz w:val="17"/>
          <w:szCs w:val="17"/>
          <w:color w:val="212529"/>
        </w:rPr>
        <w:t xml:space="preserve"> IMAX </w:t>
      </w:r>
      <w:r>
        <w:rPr>
          <w:rFonts w:ascii="Arial" w:cs="Arial" w:eastAsia="Arial" w:hAnsi="Arial"/>
          <w:sz w:val="17"/>
          <w:szCs w:val="17"/>
          <w:i w:val="1"/>
          <w:iCs w:val="1"/>
          <w:color w:val="212529"/>
        </w:rPr>
        <w:t>Experience</w:t>
      </w:r>
      <w:r>
        <w:rPr>
          <w:rFonts w:ascii="Arial" w:cs="Arial" w:eastAsia="Arial" w:hAnsi="Arial"/>
          <w:sz w:val="17"/>
          <w:szCs w:val="17"/>
          <w:color w:val="212529"/>
        </w:rPr>
        <w:t xml:space="preserve"> into the home, in partnership with audio leader DTS (an Xperi subsidiary). IMAX Enhanced provides end-to-end premium technology across streaming content and best-in-class entertainment devices, offering consumers high-fidelity playback of image and sound in the home and beyond, including the following features:</w:t>
      </w:r>
    </w:p>
    <w:p>
      <w:pPr>
        <w:spacing w:after="0" w:line="125" w:lineRule="exact"/>
        <w:rPr>
          <w:sz w:val="20"/>
          <w:szCs w:val="20"/>
          <w:color w:val="auto"/>
        </w:rPr>
      </w:pPr>
    </w:p>
    <w:p>
      <w:pPr>
        <w:ind w:left="900" w:hanging="450"/>
        <w:spacing w:after="0" w:line="248" w:lineRule="auto"/>
        <w:tabs>
          <w:tab w:leader="none" w:pos="900" w:val="left"/>
        </w:tabs>
        <w:numPr>
          <w:ilvl w:val="0"/>
          <w:numId w:val="8"/>
        </w:numPr>
        <w:rPr>
          <w:rFonts w:ascii="Arial" w:cs="Arial" w:eastAsia="Arial" w:hAnsi="Arial"/>
          <w:sz w:val="20"/>
          <w:szCs w:val="20"/>
          <w:color w:val="auto"/>
        </w:rPr>
      </w:pPr>
      <w:r>
        <w:rPr>
          <w:rFonts w:ascii="Arial" w:cs="Arial" w:eastAsia="Arial" w:hAnsi="Arial"/>
          <w:sz w:val="18"/>
          <w:szCs w:val="18"/>
          <w:color w:val="auto"/>
        </w:rPr>
        <w:t xml:space="preserve">IMAX’s expanded aspect ratio, which is available on select titles and streaming platforms, including Disney+ and features the full scale and scope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as the filmmakers intended;</w:t>
      </w:r>
    </w:p>
    <w:p>
      <w:pPr>
        <w:spacing w:after="0" w:line="152" w:lineRule="exact"/>
        <w:rPr>
          <w:rFonts w:ascii="Arial" w:cs="Arial" w:eastAsia="Arial" w:hAnsi="Arial"/>
          <w:sz w:val="20"/>
          <w:szCs w:val="20"/>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IMAX’s proprietary remastering technology, which produces a more vivid, higher-fidelity 4K HDR images on today’s best televisions; and</w:t>
      </w:r>
    </w:p>
    <w:p>
      <w:pPr>
        <w:spacing w:after="0" w:line="207" w:lineRule="exact"/>
        <w:rPr>
          <w:rFonts w:ascii="Arial" w:cs="Arial" w:eastAsia="Arial" w:hAnsi="Arial"/>
          <w:sz w:val="17"/>
          <w:szCs w:val="17"/>
          <w:color w:val="auto"/>
        </w:rPr>
      </w:pPr>
    </w:p>
    <w:p>
      <w:pPr>
        <w:ind w:left="900" w:hanging="450"/>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IMAX signature sound, which is specially recreated and calibrated for the home by DTS to unlock more immersive audio.</w:t>
      </w:r>
    </w:p>
    <w:p>
      <w:pPr>
        <w:spacing w:after="0" w:line="19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212529"/>
        </w:rPr>
        <w:t>To be certified as IMAX Enhanced, leading consumer electronics manufacturers spanning 4K/8K televisions, projectors, A/V receivers, loudspeakers, soundbars and smartphones must meet a carefully prescribed set of audiovisual performance standards, set by a certification committee of IMAX and DTS engineers, along with some of Hollywood’s leading technical specialists.</w:t>
      </w:r>
    </w:p>
    <w:p>
      <w:pPr>
        <w:spacing w:after="0" w:line="15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212529"/>
        </w:rPr>
        <w:t>At present, certified global device partners include Sony Electronics, Hisense, TCL, Phillips, Xiaomi, Sound United and Honor, among others. More than 150 IMAX Enhanced titles are now available across six of the biggest streaming platforms worldwide, including Disney+, Sony Bravia CORE, Tencent Video, iQiyi, Tsutaya TV and Rakuten TV.</w:t>
      </w:r>
    </w:p>
    <w:p>
      <w:pPr>
        <w:spacing w:after="0" w:line="143"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212529"/>
        </w:rPr>
        <w:t xml:space="preserve">The Company’s collaboration with Disney, which was announced in November 2021, allows fans to stream 14 Marvel titles in IMAX’s Expanded Aspect Ratio at home on Disney+. The 14 titles available on Disney+ include </w:t>
      </w:r>
      <w:r>
        <w:rPr>
          <w:rFonts w:ascii="Arial" w:cs="Arial" w:eastAsia="Arial" w:hAnsi="Arial"/>
          <w:sz w:val="16"/>
          <w:szCs w:val="16"/>
          <w:i w:val="1"/>
          <w:iCs w:val="1"/>
          <w:color w:val="212529"/>
        </w:rPr>
        <w:t>Shang-Chi and The Legend of The Ten Rings</w:t>
      </w:r>
      <w:r>
        <w:rPr>
          <w:rFonts w:ascii="Arial" w:cs="Arial" w:eastAsia="Arial" w:hAnsi="Arial"/>
          <w:sz w:val="16"/>
          <w:szCs w:val="16"/>
          <w:color w:val="212529"/>
        </w:rPr>
        <w:t xml:space="preserve"> and </w:t>
      </w:r>
      <w:r>
        <w:rPr>
          <w:rFonts w:ascii="Arial" w:cs="Arial" w:eastAsia="Arial" w:hAnsi="Arial"/>
          <w:sz w:val="16"/>
          <w:szCs w:val="16"/>
          <w:i w:val="1"/>
          <w:iCs w:val="1"/>
          <w:color w:val="212529"/>
        </w:rPr>
        <w:t>Eternals</w:t>
      </w:r>
      <w:r>
        <w:rPr>
          <w:rFonts w:ascii="Arial" w:cs="Arial" w:eastAsia="Arial" w:hAnsi="Arial"/>
          <w:sz w:val="16"/>
          <w:szCs w:val="16"/>
          <w:color w:val="212529"/>
        </w:rPr>
        <w:t xml:space="preserve">, as well as </w:t>
      </w:r>
      <w:r>
        <w:rPr>
          <w:rFonts w:ascii="Arial" w:cs="Arial" w:eastAsia="Arial" w:hAnsi="Arial"/>
          <w:sz w:val="16"/>
          <w:szCs w:val="16"/>
          <w:i w:val="1"/>
          <w:iCs w:val="1"/>
          <w:color w:val="212529"/>
        </w:rPr>
        <w:t>Iron</w:t>
      </w:r>
      <w:r>
        <w:rPr>
          <w:rFonts w:ascii="Arial" w:cs="Arial" w:eastAsia="Arial" w:hAnsi="Arial"/>
          <w:sz w:val="16"/>
          <w:szCs w:val="16"/>
          <w:color w:val="212529"/>
        </w:rPr>
        <w:t xml:space="preserve"> </w:t>
      </w:r>
      <w:r>
        <w:rPr>
          <w:rFonts w:ascii="Arial" w:cs="Arial" w:eastAsia="Arial" w:hAnsi="Arial"/>
          <w:sz w:val="16"/>
          <w:szCs w:val="16"/>
          <w:i w:val="1"/>
          <w:iCs w:val="1"/>
          <w:color w:val="212529"/>
        </w:rPr>
        <w:t>Man</w:t>
      </w:r>
      <w:r>
        <w:rPr>
          <w:rFonts w:ascii="Arial" w:cs="Arial" w:eastAsia="Arial" w:hAnsi="Arial"/>
          <w:sz w:val="16"/>
          <w:szCs w:val="16"/>
          <w:color w:val="212529"/>
        </w:rPr>
        <w:t>,</w:t>
      </w:r>
      <w:r>
        <w:rPr>
          <w:rFonts w:ascii="Arial" w:cs="Arial" w:eastAsia="Arial" w:hAnsi="Arial"/>
          <w:sz w:val="16"/>
          <w:szCs w:val="16"/>
          <w:i w:val="1"/>
          <w:iCs w:val="1"/>
          <w:color w:val="212529"/>
        </w:rPr>
        <w:t xml:space="preserve"> Guardians of the Galaxy</w:t>
      </w:r>
      <w:r>
        <w:rPr>
          <w:rFonts w:ascii="Arial" w:cs="Arial" w:eastAsia="Arial" w:hAnsi="Arial"/>
          <w:sz w:val="16"/>
          <w:szCs w:val="16"/>
          <w:color w:val="212529"/>
        </w:rPr>
        <w:t>,</w:t>
      </w:r>
      <w:r>
        <w:rPr>
          <w:rFonts w:ascii="Arial" w:cs="Arial" w:eastAsia="Arial" w:hAnsi="Arial"/>
          <w:sz w:val="16"/>
          <w:szCs w:val="16"/>
          <w:i w:val="1"/>
          <w:iCs w:val="1"/>
          <w:color w:val="212529"/>
        </w:rPr>
        <w:t xml:space="preserve"> Guardians of the Galaxy Vol. 2</w:t>
      </w:r>
      <w:r>
        <w:rPr>
          <w:rFonts w:ascii="Arial" w:cs="Arial" w:eastAsia="Arial" w:hAnsi="Arial"/>
          <w:sz w:val="16"/>
          <w:szCs w:val="16"/>
          <w:color w:val="212529"/>
        </w:rPr>
        <w:t>,</w:t>
      </w:r>
      <w:r>
        <w:rPr>
          <w:rFonts w:ascii="Arial" w:cs="Arial" w:eastAsia="Arial" w:hAnsi="Arial"/>
          <w:sz w:val="16"/>
          <w:szCs w:val="16"/>
          <w:i w:val="1"/>
          <w:iCs w:val="1"/>
          <w:color w:val="212529"/>
        </w:rPr>
        <w:t xml:space="preserve"> Captain America: Civil War</w:t>
      </w:r>
      <w:r>
        <w:rPr>
          <w:rFonts w:ascii="Arial" w:cs="Arial" w:eastAsia="Arial" w:hAnsi="Arial"/>
          <w:sz w:val="16"/>
          <w:szCs w:val="16"/>
          <w:color w:val="212529"/>
        </w:rPr>
        <w:t>,</w:t>
      </w:r>
      <w:r>
        <w:rPr>
          <w:rFonts w:ascii="Arial" w:cs="Arial" w:eastAsia="Arial" w:hAnsi="Arial"/>
          <w:sz w:val="16"/>
          <w:szCs w:val="16"/>
          <w:i w:val="1"/>
          <w:iCs w:val="1"/>
          <w:color w:val="212529"/>
        </w:rPr>
        <w:t xml:space="preserve"> Doctor Strange</w:t>
      </w:r>
      <w:r>
        <w:rPr>
          <w:rFonts w:ascii="Arial" w:cs="Arial" w:eastAsia="Arial" w:hAnsi="Arial"/>
          <w:sz w:val="16"/>
          <w:szCs w:val="16"/>
          <w:color w:val="212529"/>
        </w:rPr>
        <w:t>,</w:t>
      </w:r>
      <w:r>
        <w:rPr>
          <w:rFonts w:ascii="Arial" w:cs="Arial" w:eastAsia="Arial" w:hAnsi="Arial"/>
          <w:sz w:val="16"/>
          <w:szCs w:val="16"/>
          <w:i w:val="1"/>
          <w:iCs w:val="1"/>
          <w:color w:val="212529"/>
        </w:rPr>
        <w:t xml:space="preserve"> Thor: Ragnarok</w:t>
      </w:r>
      <w:r>
        <w:rPr>
          <w:rFonts w:ascii="Arial" w:cs="Arial" w:eastAsia="Arial" w:hAnsi="Arial"/>
          <w:sz w:val="16"/>
          <w:szCs w:val="16"/>
          <w:color w:val="212529"/>
        </w:rPr>
        <w:t>,</w:t>
      </w:r>
      <w:r>
        <w:rPr>
          <w:rFonts w:ascii="Arial" w:cs="Arial" w:eastAsia="Arial" w:hAnsi="Arial"/>
          <w:sz w:val="16"/>
          <w:szCs w:val="16"/>
          <w:i w:val="1"/>
          <w:iCs w:val="1"/>
          <w:color w:val="212529"/>
        </w:rPr>
        <w:t xml:space="preserve"> Black Panther</w:t>
      </w:r>
      <w:r>
        <w:rPr>
          <w:rFonts w:ascii="Arial" w:cs="Arial" w:eastAsia="Arial" w:hAnsi="Arial"/>
          <w:sz w:val="16"/>
          <w:szCs w:val="16"/>
          <w:color w:val="212529"/>
        </w:rPr>
        <w:t>,</w:t>
      </w:r>
      <w:r>
        <w:rPr>
          <w:rFonts w:ascii="Arial" w:cs="Arial" w:eastAsia="Arial" w:hAnsi="Arial"/>
          <w:sz w:val="16"/>
          <w:szCs w:val="16"/>
          <w:i w:val="1"/>
          <w:iCs w:val="1"/>
          <w:color w:val="212529"/>
        </w:rPr>
        <w:t xml:space="preserve"> Avengers: Infinity War</w:t>
      </w:r>
      <w:r>
        <w:rPr>
          <w:rFonts w:ascii="Arial" w:cs="Arial" w:eastAsia="Arial" w:hAnsi="Arial"/>
          <w:sz w:val="16"/>
          <w:szCs w:val="16"/>
          <w:color w:val="212529"/>
        </w:rPr>
        <w:t>,</w:t>
      </w:r>
      <w:r>
        <w:rPr>
          <w:rFonts w:ascii="Arial" w:cs="Arial" w:eastAsia="Arial" w:hAnsi="Arial"/>
          <w:sz w:val="16"/>
          <w:szCs w:val="16"/>
          <w:i w:val="1"/>
          <w:iCs w:val="1"/>
          <w:color w:val="212529"/>
        </w:rPr>
        <w:t xml:space="preserve"> Ant-Man and The Wasp</w:t>
      </w:r>
      <w:r>
        <w:rPr>
          <w:rFonts w:ascii="Arial" w:cs="Arial" w:eastAsia="Arial" w:hAnsi="Arial"/>
          <w:sz w:val="16"/>
          <w:szCs w:val="16"/>
          <w:color w:val="212529"/>
        </w:rPr>
        <w:t>,</w:t>
      </w:r>
      <w:r>
        <w:rPr>
          <w:rFonts w:ascii="Arial" w:cs="Arial" w:eastAsia="Arial" w:hAnsi="Arial"/>
          <w:sz w:val="16"/>
          <w:szCs w:val="16"/>
          <w:i w:val="1"/>
          <w:iCs w:val="1"/>
          <w:color w:val="212529"/>
        </w:rPr>
        <w:t xml:space="preserve"> Captain Marvel</w:t>
      </w:r>
      <w:r>
        <w:rPr>
          <w:rFonts w:ascii="Arial" w:cs="Arial" w:eastAsia="Arial" w:hAnsi="Arial"/>
          <w:sz w:val="16"/>
          <w:szCs w:val="16"/>
          <w:color w:val="212529"/>
        </w:rPr>
        <w:t>,</w:t>
      </w:r>
      <w:r>
        <w:rPr>
          <w:rFonts w:ascii="Arial" w:cs="Arial" w:eastAsia="Arial" w:hAnsi="Arial"/>
          <w:sz w:val="16"/>
          <w:szCs w:val="16"/>
          <w:i w:val="1"/>
          <w:iCs w:val="1"/>
          <w:color w:val="212529"/>
        </w:rPr>
        <w:t xml:space="preserve"> Avengers: Endgame</w:t>
      </w:r>
      <w:r>
        <w:rPr>
          <w:rFonts w:ascii="Arial" w:cs="Arial" w:eastAsia="Arial" w:hAnsi="Arial"/>
          <w:sz w:val="16"/>
          <w:szCs w:val="16"/>
          <w:color w:val="212529"/>
        </w:rPr>
        <w:t>, and</w:t>
      </w:r>
      <w:r>
        <w:rPr>
          <w:rFonts w:ascii="Arial" w:cs="Arial" w:eastAsia="Arial" w:hAnsi="Arial"/>
          <w:sz w:val="16"/>
          <w:szCs w:val="16"/>
          <w:i w:val="1"/>
          <w:iCs w:val="1"/>
          <w:color w:val="212529"/>
        </w:rPr>
        <w:t xml:space="preserve"> Black Widow </w:t>
      </w:r>
      <w:r>
        <w:rPr>
          <w:rFonts w:ascii="Arial" w:cs="Arial" w:eastAsia="Arial" w:hAnsi="Arial"/>
          <w:sz w:val="16"/>
          <w:szCs w:val="16"/>
          <w:color w:val="212529"/>
        </w:rPr>
        <w:t>(content availability varies by region).</w:t>
      </w:r>
      <w:r>
        <w:rPr>
          <w:rFonts w:ascii="Arial" w:cs="Arial" w:eastAsia="Arial" w:hAnsi="Arial"/>
          <w:sz w:val="16"/>
          <w:szCs w:val="16"/>
          <w:i w:val="1"/>
          <w:iCs w:val="1"/>
          <w:color w:val="212529"/>
        </w:rPr>
        <w:t xml:space="preserve"> </w:t>
      </w:r>
      <w:r>
        <w:rPr>
          <w:rFonts w:ascii="Arial" w:cs="Arial" w:eastAsia="Arial" w:hAnsi="Arial"/>
          <w:sz w:val="16"/>
          <w:szCs w:val="16"/>
          <w:color w:val="000000"/>
        </w:rPr>
        <w:t>The launch of</w:t>
      </w:r>
      <w:r>
        <w:rPr>
          <w:rFonts w:ascii="Arial" w:cs="Arial" w:eastAsia="Arial" w:hAnsi="Arial"/>
          <w:sz w:val="16"/>
          <w:szCs w:val="16"/>
          <w:i w:val="1"/>
          <w:iCs w:val="1"/>
          <w:color w:val="212529"/>
        </w:rPr>
        <w:t xml:space="preserve"> </w:t>
      </w:r>
      <w:r>
        <w:rPr>
          <w:rFonts w:ascii="Arial" w:cs="Arial" w:eastAsia="Arial" w:hAnsi="Arial"/>
          <w:sz w:val="16"/>
          <w:szCs w:val="16"/>
          <w:i w:val="1"/>
          <w:iCs w:val="1"/>
          <w:color w:val="000000"/>
        </w:rPr>
        <w:t>IMAX</w:t>
      </w:r>
      <w:r>
        <w:rPr>
          <w:rFonts w:ascii="Arial" w:cs="Arial" w:eastAsia="Arial" w:hAnsi="Arial"/>
          <w:sz w:val="16"/>
          <w:szCs w:val="16"/>
          <w:i w:val="1"/>
          <w:iCs w:val="1"/>
          <w:color w:val="212529"/>
        </w:rPr>
        <w:t xml:space="preserve"> </w:t>
      </w:r>
      <w:r>
        <w:rPr>
          <w:rFonts w:ascii="Arial" w:cs="Arial" w:eastAsia="Arial" w:hAnsi="Arial"/>
          <w:sz w:val="16"/>
          <w:szCs w:val="16"/>
          <w:i w:val="1"/>
          <w:iCs w:val="1"/>
          <w:color w:val="000000"/>
        </w:rPr>
        <w:t xml:space="preserve">Enhanced on Disney+ </w:t>
      </w:r>
      <w:r>
        <w:rPr>
          <w:rFonts w:ascii="Arial" w:cs="Arial" w:eastAsia="Arial" w:hAnsi="Arial"/>
          <w:sz w:val="16"/>
          <w:szCs w:val="16"/>
          <w:color w:val="000000"/>
        </w:rPr>
        <w:t>served as a focal point of Disney’s “Disney+ Day” two-year anniversary event, earning significant positive media coverage and</w:t>
      </w:r>
      <w:r>
        <w:rPr>
          <w:rFonts w:ascii="Arial" w:cs="Arial" w:eastAsia="Arial" w:hAnsi="Arial"/>
          <w:sz w:val="16"/>
          <w:szCs w:val="16"/>
          <w:i w:val="1"/>
          <w:iCs w:val="1"/>
          <w:color w:val="000000"/>
        </w:rPr>
        <w:t xml:space="preserve"> </w:t>
      </w:r>
      <w:r>
        <w:rPr>
          <w:rFonts w:ascii="Arial" w:cs="Arial" w:eastAsia="Arial" w:hAnsi="Arial"/>
          <w:sz w:val="16"/>
          <w:szCs w:val="16"/>
          <w:color w:val="000000"/>
        </w:rPr>
        <w:t>providing strong brand exposure for IMAX by expanding the Company’s in-home entertainment footprint to more than 80 million subscribers.</w:t>
      </w:r>
    </w:p>
    <w:p>
      <w:pPr>
        <w:spacing w:after="0" w:line="12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 xml:space="preserve">IMAX Enhanced and the </w:t>
      </w:r>
      <w:r>
        <w:rPr>
          <w:rFonts w:ascii="Arial" w:cs="Arial" w:eastAsia="Arial" w:hAnsi="Arial"/>
          <w:sz w:val="18"/>
          <w:szCs w:val="18"/>
          <w:color w:val="212529"/>
        </w:rPr>
        <w:t>collaboration with Disney</w:t>
      </w:r>
      <w:r>
        <w:rPr>
          <w:rFonts w:ascii="Arial" w:cs="Arial" w:eastAsia="Arial" w:hAnsi="Arial"/>
          <w:sz w:val="18"/>
          <w:szCs w:val="18"/>
          <w:color w:val="auto"/>
        </w:rPr>
        <w:t xml:space="preserve"> is part of the Company’s next evolutionary step to grow beyond Hollywood blockbusters and extend the IMAX brand and technology further into the streaming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derives a small portion of its revenues from other sources including one owned and operated IMAX theater in Sacramento, California; a commercial arrangement with one theater resulting in the sharing of profits and losses; the provision of management services to three other theaters; renting its proprietary 2D and 3D large-format film and digital cameras to third-party production companies; and also offering production advice and technical assistance to both documentary and Hollywood filmmakers.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markets IMAX Theater Systems through a direct sales force and marketing staff located in offices in Canada, the United States, Greater China, Europe, and Asia. In addition, the Company has agreements with consultants, business brokers and real estate professionals to locate potential customers and theater sites for the Company on a commission basis.</w:t>
      </w:r>
    </w:p>
    <w:p>
      <w:pPr>
        <w:spacing w:after="0" w:line="143"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Commercial multiplex theaters are the largest part of the IMAX network, comprising 1,599 IMAX theaters, or 95%, of the 1,683 IMAX theaters in the IMAX network as of December 31, 2021. The Company’s institutional customers include science and natural history museums, zoos, aquaria, and other educational and cultural centers. The Company also sells or leases IMAX Theater Systems to commercial destinations such as theme parks, private home theaters, tourist destination sites, fairs and expositions. As of December 31, 2021, approximately 74% of all open IMAX theaters were in locations outside of the United States and Canada.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6"/>
          <w:szCs w:val="16"/>
          <w:color w:val="auto"/>
        </w:rPr>
        <w:t>The following table provides detailed information about the IMAX network by theater type and geographic location as of December 31, 2021 and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6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Commercial</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Institutional</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Institutional</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Multiplex</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Destination</w:t>
            </w:r>
          </w:p>
        </w:tc>
        <w:tc>
          <w:tcPr>
            <w:tcW w:w="9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394</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China</w:t>
            </w:r>
            <w:r>
              <w:rPr>
                <w:rFonts w:ascii="Arial" w:cs="Arial" w:eastAsia="Arial" w:hAnsi="Arial"/>
                <w:sz w:val="15"/>
                <w:szCs w:val="15"/>
                <w:color w:val="auto"/>
              </w:rPr>
              <w:t>(1)</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Western Europe</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Russia &amp; the CIS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r>
              <w:rPr>
                <w:rFonts w:ascii="Arial" w:cs="Arial" w:eastAsia="Arial" w:hAnsi="Arial"/>
                <w:sz w:val="15"/>
                <w:szCs w:val="15"/>
                <w:color w:val="auto"/>
              </w:rPr>
              <w:t>(2)</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(3)</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1,599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2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0" w:hanging="353"/>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2" w:lineRule="exact"/>
        <w:rPr>
          <w:rFonts w:ascii="Arial" w:cs="Arial" w:eastAsia="Arial" w:hAnsi="Arial"/>
          <w:sz w:val="18"/>
          <w:szCs w:val="18"/>
          <w:color w:val="auto"/>
        </w:rPr>
      </w:pPr>
    </w:p>
    <w:p>
      <w:pPr>
        <w:ind w:left="360" w:hanging="353"/>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2" w:lineRule="exact"/>
        <w:rPr>
          <w:rFonts w:ascii="Arial" w:cs="Arial" w:eastAsia="Arial" w:hAnsi="Arial"/>
          <w:sz w:val="18"/>
          <w:szCs w:val="18"/>
          <w:color w:val="auto"/>
        </w:rPr>
      </w:pPr>
    </w:p>
    <w:p>
      <w:pPr>
        <w:ind w:left="360" w:hanging="353"/>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Period-to-period changes in the table above are reported net of the effect of permanently closed theaters.</w:t>
      </w:r>
    </w:p>
    <w:p>
      <w:pPr>
        <w:spacing w:after="0" w:line="18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information on revenue breakdown by geographic area, see Note 21 of Notes to Consolidated Financial Statements in Part II, Item 8. See “Risk Factors – The Company conducts business internationally, which exposes it to uncertainties and risks that could negatively affect its operations, sales and future growth prospects” and “Risk Factors – The Company faces risks in connection with its significant presence in China and the continued expansion of its business there” in Item 1A. As of December 31, 2021, the Company’s largest customer, Wanda, is based in China and represents 22% of the Company’s network of theaters, 4% of the Company’s theater system backlog and 10% of its revenues. As of December 31, 2020, Wanda and AMC, which was then controlled by Wanda, represented 35% of the Company’s network of theaters, 19% of the Company’s theater backlog and 16% of its revenue. Wanda sold its controlling interest in AMC in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6"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 xml:space="preserve">The out-of-home entertainment industry is very competitive, and the Company faces a number of competitive challenges. For instance, exhibitors and entertainment technology companies have introduced their own branded, large-screen 3D auditoriums or other proprietary theater systems, some of which include laser-based projectors, and in many cases, have marketed those auditoriums or theater systems as having similar quality or attributes to an IMAX Theater System. The Company believes that all of these alternative formats deliver images and experiences that are inferior to </w:t>
      </w:r>
      <w:r>
        <w:rPr>
          <w:rFonts w:ascii="Arial" w:cs="Arial" w:eastAsia="Arial" w:hAnsi="Arial"/>
          <w:sz w:val="16"/>
          <w:szCs w:val="16"/>
          <w:i w:val="1"/>
          <w:iCs w:val="1"/>
          <w:color w:val="auto"/>
        </w:rPr>
        <w:t>The</w:t>
      </w:r>
      <w:r>
        <w:rPr>
          <w:rFonts w:ascii="Arial" w:cs="Arial" w:eastAsia="Arial" w:hAnsi="Arial"/>
          <w:sz w:val="16"/>
          <w:szCs w:val="16"/>
          <w:color w:val="auto"/>
        </w:rPr>
        <w:t xml:space="preserve"> IMAX </w:t>
      </w:r>
      <w:r>
        <w:rPr>
          <w:rFonts w:ascii="Arial" w:cs="Arial" w:eastAsia="Arial" w:hAnsi="Arial"/>
          <w:sz w:val="16"/>
          <w:szCs w:val="16"/>
          <w:i w:val="1"/>
          <w:iCs w:val="1"/>
          <w:color w:val="auto"/>
        </w:rPr>
        <w:t>Experience</w:t>
      </w:r>
      <w:r>
        <w:rPr>
          <w:rFonts w:ascii="Arial" w:cs="Arial" w:eastAsia="Arial" w:hAnsi="Arial"/>
          <w:sz w:val="16"/>
          <w:szCs w:val="16"/>
          <w:color w:val="auto"/>
        </w:rPr>
        <w:t>.</w:t>
      </w:r>
    </w:p>
    <w:p>
      <w:pPr>
        <w:spacing w:after="0" w:line="11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may continue to face competition in the future from companies in the entertainment industry with new technologies and/or substantially greater capital resources to develop and support them. The Company also faces in-home competition from a number of alternative motion picture distribution channels such as subscription streaming services, transactional video-on-demand (both rentals and sales), advertiser-supported video-on-demand, pay-per-view, internet, and broadcast and cable television. During the COVID-19 pandemic, when theaters were closed in many global markets, certain movie studios released several high-profile films directly or concurrently to streaming platforms rather than exclusively to theaters within the traditional theatrical release window. While there can be no assurances whether or when this practice will end once the effects of the COVID-19 pandemic fully recede, several Hollywood studios have recently reiterated their commitment to maintaining exclusive theatrical release windows. The Company further competes for the public’s leisure time and disposable income with other forms of entertainment, including gaming, sporting events, concerts, live theater, social media and restaurants.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2" w:name="page13"/>
    <w:bookmarkEnd w:id="12"/>
    <w:p>
      <w:pPr>
        <w:jc w:val="both"/>
        <w:ind w:firstLine="225"/>
        <w:spacing w:after="0" w:line="268" w:lineRule="auto"/>
        <w:rPr>
          <w:sz w:val="20"/>
          <w:szCs w:val="20"/>
          <w:color w:val="auto"/>
        </w:rPr>
      </w:pPr>
      <w:r>
        <w:rPr>
          <w:rFonts w:ascii="Arial" w:cs="Arial" w:eastAsia="Arial" w:hAnsi="Arial"/>
          <w:sz w:val="17"/>
          <w:szCs w:val="17"/>
          <w:color w:val="auto"/>
        </w:rPr>
        <w:t>The Company believes that its competitive strengths include the value of the IMAX brand name, the premium IMAX consumer experience, the design, quality and historic reliability rate of IMAX Theater Systems (including the quality of the sound system components included with an IMAX Theater System), the return on investment of an IMAX Theater System for exhibitors, the number and quality of IMAX films that it distributes, the relationships the Company maintains with prominent Hollywood and international filmmakers and other content creators (a number of whom desire to film their movies and events with IMAX cameras), the availability of Hollywood and international event films to IMAX theaters through IMAX DMR technology, the availability of unique and innovative events and experiences such as distributed concerts, special theatrical screenings, and live Q&amp;A sessions with top content creators, consumer loyalty and the level of the Company’s service and maintenance and extended warranty efforts. The Company believes that its laser-based projection systems further increase the technological superiority of the consumer experience it delivers. As a result, the Company believes that virtually all of the best performing premium theaters in the world are IMAX theaters.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Exhibitor Consolidation</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Company’s primary customers are commercial multiplex exhibitors. The commercial exhibition industry has undergone significant consolidation, including AMC Entertainment Holdings Inc.’s (“AMC”) acquisition of Carmike Cinemas and Odeon &amp; UCI Cinemas Group (“Odeon”), which includes Nordic Cinema Group (“Nordic”), in 2016. In recent years, the commercial exhibition industry has continued to consolidate, as evidenced by Cineworld Group’s acquisition of Regal Entertainment Group (“Regal”) in 2018.</w:t>
      </w:r>
    </w:p>
    <w:p>
      <w:pPr>
        <w:spacing w:after="0" w:line="147"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believes that the consolidation of the commercial exhibition industry has helped facilitate the growth of the IMAX network. The Company has historically enjoyed strong relationships with large commercial exhibitor chains, which have greater capital to purchase, lease or otherwise acquire IMAX Theater Systems. As larger commercial chains such as AMC have purchased smaller chains, those smaller chains have in turn become part of the IMAX network. For instance, following AMC’s acquisition of Odeon and Nordic, the Company and AMC entered into an agreement for 25 new IMAX Theater Systems across the Odeon and Nordic network. The Company believes that continued consolidation could facilitate further signings and other strategic benefits going forward.</w:t>
      </w:r>
    </w:p>
    <w:p>
      <w:pPr>
        <w:spacing w:after="0" w:line="16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However, exhibitor consolidation has also resulted in individual exhibitor chains constituting a material portion of the Company’s revenue and network. Continued industry consolidation, as well as consolidation in the movie studio industry, may present risks to the Company. (See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IMAX BRAND</w:t>
      </w:r>
    </w:p>
    <w:p>
      <w:pPr>
        <w:spacing w:after="0" w:line="186"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 xml:space="preserve">IMAX is a premier global technology platform for entertainment and events. The Company relies on its brand to communicate its leadership and singular goal of creating entertainment experiences that exceed all expectations. Top filmmakers, studios, and other content creators use the IMAX brand to message that a film will connect with audiences in unique and extraordinary ways. In 2020, IMAX launched the “Filmed in IMAX” program, a partnership with the world's leading camera manufacturers to meet filmmaker demand for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Through the program, IMAX will certify high-end, best-in-class digital cameras with leading brands including ARRI, Panavision, RED Digital Cinema and Sony to work in the IMAX format when paired with its proprietary post-production process.</w:t>
      </w:r>
    </w:p>
    <w:p>
      <w:pPr>
        <w:spacing w:after="0" w:line="162"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 xml:space="preserve">The IMAX brand is a promise to deliver what today’s movie audiences crave — a memorable, more emotionally engaging, more thrilling and shareable experience. From 2015 to 2019, the Company commissioned leading third-party research firms to conduct multiple consumer research studies in eleven countries. The studies show that the IMAX brand has near universal awareness, creates a special experience for the audience, and is one of the most differentiated movie-going brands. On a standardized measure of brand equity, the IMAX brand ranged from two to 10 times more powerful than other entertainment technology brands. The Company believes that its strong brand equity supports consumers’ predisposition to choose IMAX over competing brands and to pay a premium for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now and into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RESEARCH AND DEVELOPMENT</w:t>
      </w:r>
    </w:p>
    <w:p>
      <w:pPr>
        <w:spacing w:after="0" w:line="20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believes that it is a premier global technology platform for entertainment and events with significant proprietary expertise in digital and film-based projection and sound system component design, engineering, and imaging technology, particularly in laser-based technology. The Company rolled out its flagship laser-based projection system at the end of 2014, which is capable of illuminating the largest screens in the Company’s network. This laser-based projection system provides greater brightness and clarity, higher contrast, a wider color gamut and deeper blacks, while consuming less power and lasting longer than existing digital technology, to ensure that the Company continues to provide the highest quality, premier movie going experience available to consumers. Since then, the Company has continued research and development aimed at creating more affordable laser-based solutions with various screen sizes for its commercial multiplex customers. Beginning in late 2021, the Company began offering an additional laser-based theater system product to provide a broader array of customers with an opportunity to replace and upgrade IMAX Xenon Theater Systems.</w:t>
      </w:r>
    </w:p>
    <w:p>
      <w:pPr>
        <w:spacing w:after="0" w:line="12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34 of the Company’s employees were connected with research and development projects, as compared to 45 employees as of December 31, 2020.</w:t>
      </w:r>
    </w:p>
    <w:p>
      <w:pPr>
        <w:spacing w:after="0" w:line="141" w:lineRule="exact"/>
        <w:rPr>
          <w:sz w:val="20"/>
          <w:szCs w:val="20"/>
          <w:color w:val="auto"/>
        </w:rPr>
      </w:pPr>
    </w:p>
    <w:p>
      <w:pPr>
        <w:jc w:val="right"/>
        <w:ind w:right="8340"/>
        <w:spacing w:after="0"/>
        <w:rPr>
          <w:sz w:val="20"/>
          <w:szCs w:val="20"/>
          <w:color w:val="auto"/>
        </w:rPr>
      </w:pPr>
      <w:r>
        <w:rPr>
          <w:rFonts w:ascii="Arial" w:cs="Arial" w:eastAsia="Arial" w:hAnsi="Arial"/>
          <w:sz w:val="18"/>
          <w:szCs w:val="18"/>
          <w:b w:val="1"/>
          <w:bCs w:val="1"/>
          <w:color w:val="auto"/>
        </w:rPr>
        <w:t>MANUFACTURING AND SERVICE</w:t>
      </w:r>
    </w:p>
    <w:p>
      <w:pPr>
        <w:spacing w:after="0" w:line="186" w:lineRule="exact"/>
        <w:rPr>
          <w:sz w:val="20"/>
          <w:szCs w:val="20"/>
          <w:color w:val="auto"/>
        </w:rPr>
      </w:pPr>
    </w:p>
    <w:p>
      <w:pPr>
        <w:jc w:val="right"/>
        <w:ind w:right="8320"/>
        <w:spacing w:after="0"/>
        <w:rPr>
          <w:sz w:val="20"/>
          <w:szCs w:val="20"/>
          <w:color w:val="auto"/>
        </w:rPr>
      </w:pPr>
      <w:r>
        <w:rPr>
          <w:rFonts w:ascii="Arial" w:cs="Arial" w:eastAsia="Arial" w:hAnsi="Arial"/>
          <w:sz w:val="16"/>
          <w:szCs w:val="16"/>
          <w:b w:val="1"/>
          <w:bCs w:val="1"/>
          <w:i w:val="1"/>
          <w:iCs w:val="1"/>
          <w:color w:val="auto"/>
        </w:rPr>
        <w:t>Projector Component Manufacturing</w:t>
      </w:r>
    </w:p>
    <w:p>
      <w:pPr>
        <w:spacing w:after="0" w:line="20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The Company assembles IMAX Theater System projectors at its facility in Mississauga, Ontario, Canada (near Toronto). With few exceptions, the Company develops and designs all of the key elements of the proprietary technology involved in this component.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including both IMAX Laser Theater Systems and IMAX Xenon Theater Systems, have had reliability rates based on scheduled shows of approximately 99%.</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Sound System Component Manufacturing</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Company develops, designs, and assembles the key elements of the theater sound system component. The standard IMAX theater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Screen and Other Components</w:t>
      </w:r>
    </w:p>
    <w:p>
      <w:pPr>
        <w:spacing w:after="0" w:line="19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The Company purchases its screen component and glasses cleaning equipment from third parties. The standard screen system component consists of a projection screen manufactured to IMAX specifications and a frame to hang the projection screen. The proprietary glasses cleaning machine is a stand-alone unit that is connected to the theater’s water and electrical supply to automate the cleaning of 3D glasses.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Maintenance and Extended Warranty Services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provides ongoing maintenance and extended warranty services to IMAX Theater Systems. These arrangements are usually for a separate fee, although the Company sometimes includes free service in the initial year of an arrangement. The maintenance and extended warranty arrangements include service, maintenance and replacement parts for IMAX Theater Systems.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jc w:val="both"/>
        <w:ind w:firstLine="225"/>
        <w:spacing w:after="0" w:line="252" w:lineRule="auto"/>
        <w:rPr>
          <w:sz w:val="20"/>
          <w:szCs w:val="20"/>
          <w:color w:val="auto"/>
        </w:rPr>
      </w:pPr>
      <w:r>
        <w:rPr>
          <w:rFonts w:ascii="Arial" w:cs="Arial" w:eastAsia="Arial" w:hAnsi="Arial"/>
          <w:sz w:val="18"/>
          <w:szCs w:val="18"/>
          <w:color w:val="auto"/>
        </w:rPr>
        <w:t>To support the IMAX network, the Company has personnel stationed in major markets throughout the world who provide periodic and emergency maintenance and extended warranty services on existing IMAX Theater Systems. The Company provides various levels of maintenance and warranty services, which are priced accordingly. Under full-service programs, Company personnel typically visit each theater every six months to provide preventative maintenance, cleaning and inspection services and emergency visits to resolve problems and issues with the theater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 For both IMAX Laser Theater Systems and IMAX Xenon Theater Systems, the Company provides pre-emptive maintenance, remote system monitoring and a network operations center that provides continuous access to product experts.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86"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Company’s inventions cover various aspects of its proprietary technology and many of these inventions are protected by Letters of Patent or applications filed throughout the world, most significantly in the United States, Canada, China, Belgium, Japan, France, Germany, and the United Kingdom. The subject matter covered by these patents and applications includes theater design and geometry, audio and display technology, mechanisms employed in projectors and projection equipment (including 3D projection equipment), stereoscopic (3D) imaging, digitally re-mastering 35mm films into large-format, dynamic range and contrast of projectors, seaming or superimposing images from multiple projectors, and other inventions relating to imaging technology, digital projectors and laser projection. Included in the Company’s patent portfolio are more than 40 patent and patent families acquired from The Eastman Kodak Company covering laser projection technology. The Company has been and will continue to be diligent in the protection of its proprietary interests.</w:t>
      </w:r>
    </w:p>
    <w:p>
      <w:pPr>
        <w:spacing w:after="0" w:line="12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of December 31, 2021, the Company holds 107 patents, has 9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for improvements to the IMAX projection system components expire between 2022 and 2038.</w:t>
      </w:r>
    </w:p>
    <w:p>
      <w:pPr>
        <w:spacing w:after="0" w:line="16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Arial" w:cs="Arial" w:eastAsia="Arial" w:hAnsi="Arial"/>
          <w:sz w:val="14"/>
          <w:szCs w:val="14"/>
          <w:color w:val="auto"/>
        </w:rPr>
        <w:t>®</w:t>
      </w:r>
      <w:r>
        <w:rPr>
          <w:rFonts w:ascii="Arial" w:cs="Arial" w:eastAsia="Arial" w:hAnsi="Arial"/>
          <w:sz w:val="17"/>
          <w:szCs w:val="17"/>
          <w:color w:val="auto"/>
        </w:rPr>
        <w:t>, IMAX</w:t>
      </w:r>
      <w:r>
        <w:rPr>
          <w:rFonts w:ascii="Arial" w:cs="Arial" w:eastAsia="Arial" w:hAnsi="Arial"/>
          <w:sz w:val="14"/>
          <w:szCs w:val="14"/>
          <w:color w:val="auto"/>
        </w:rPr>
        <w:t>®</w:t>
      </w:r>
      <w:r>
        <w:rPr>
          <w:rFonts w:ascii="Arial" w:cs="Arial" w:eastAsia="Arial" w:hAnsi="Arial"/>
          <w:sz w:val="17"/>
          <w:szCs w:val="17"/>
          <w:color w:val="auto"/>
        </w:rPr>
        <w:t xml:space="preserve"> Dome, IMAX</w:t>
      </w:r>
      <w:r>
        <w:rPr>
          <w:rFonts w:ascii="Arial" w:cs="Arial" w:eastAsia="Arial" w:hAnsi="Arial"/>
          <w:sz w:val="14"/>
          <w:szCs w:val="14"/>
          <w:color w:val="auto"/>
        </w:rPr>
        <w:t>®</w:t>
      </w:r>
      <w:r>
        <w:rPr>
          <w:rFonts w:ascii="Arial" w:cs="Arial" w:eastAsia="Arial" w:hAnsi="Arial"/>
          <w:sz w:val="17"/>
          <w:szCs w:val="17"/>
          <w:color w:val="auto"/>
        </w:rPr>
        <w:t xml:space="preserve"> 3D, IMAX</w:t>
      </w:r>
      <w:r>
        <w:rPr>
          <w:rFonts w:ascii="Arial" w:cs="Arial" w:eastAsia="Arial" w:hAnsi="Arial"/>
          <w:sz w:val="14"/>
          <w:szCs w:val="14"/>
          <w:color w:val="auto"/>
        </w:rPr>
        <w:t>®</w:t>
      </w:r>
      <w:r>
        <w:rPr>
          <w:rFonts w:ascii="Arial" w:cs="Arial" w:eastAsia="Arial" w:hAnsi="Arial"/>
          <w:sz w:val="17"/>
          <w:szCs w:val="17"/>
          <w:color w:val="auto"/>
        </w:rPr>
        <w:t xml:space="preserve"> 3D Dome, Experience It In IMAX</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An</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4"/>
          <w:szCs w:val="14"/>
          <w:color w:val="auto"/>
        </w:rPr>
        <w:t>®</w:t>
      </w:r>
      <w:r>
        <w:rPr>
          <w:rFonts w:ascii="Arial" w:cs="Arial" w:eastAsia="Arial" w:hAnsi="Arial"/>
          <w:sz w:val="17"/>
          <w:szCs w:val="17"/>
          <w:i w:val="1"/>
          <w:iCs w:val="1"/>
          <w:color w:val="auto"/>
        </w:rPr>
        <w:t>, An</w:t>
      </w:r>
      <w:r>
        <w:rPr>
          <w:rFonts w:ascii="Arial" w:cs="Arial" w:eastAsia="Arial" w:hAnsi="Arial"/>
          <w:sz w:val="17"/>
          <w:szCs w:val="17"/>
          <w:color w:val="auto"/>
        </w:rPr>
        <w:t xml:space="preserve"> IMAX </w:t>
      </w:r>
      <w:r>
        <w:rPr>
          <w:rFonts w:ascii="Arial" w:cs="Arial" w:eastAsia="Arial" w:hAnsi="Arial"/>
          <w:sz w:val="17"/>
          <w:szCs w:val="17"/>
          <w:i w:val="1"/>
          <w:iCs w:val="1"/>
          <w:color w:val="auto"/>
        </w:rPr>
        <w:t>3D Experience</w:t>
      </w:r>
      <w:r>
        <w:rPr>
          <w:rFonts w:ascii="Arial" w:cs="Arial" w:eastAsia="Arial" w:hAnsi="Arial"/>
          <w:sz w:val="14"/>
          <w:szCs w:val="14"/>
          <w:color w:val="auto"/>
        </w:rPr>
        <w:t>®</w:t>
      </w:r>
      <w:r>
        <w:rPr>
          <w:rFonts w:ascii="Arial" w:cs="Arial" w:eastAsia="Arial" w:hAnsi="Arial"/>
          <w:sz w:val="17"/>
          <w:szCs w:val="17"/>
          <w:color w:val="auto"/>
        </w:rPr>
        <w:t>, IMAX DMR</w:t>
      </w:r>
      <w:r>
        <w:rPr>
          <w:rFonts w:ascii="Arial" w:cs="Arial" w:eastAsia="Arial" w:hAnsi="Arial"/>
          <w:sz w:val="14"/>
          <w:szCs w:val="14"/>
          <w:color w:val="auto"/>
        </w:rPr>
        <w:t>®</w:t>
      </w:r>
      <w:r>
        <w:rPr>
          <w:rFonts w:ascii="Arial" w:cs="Arial" w:eastAsia="Arial" w:hAnsi="Arial"/>
          <w:sz w:val="17"/>
          <w:szCs w:val="17"/>
          <w:color w:val="auto"/>
        </w:rPr>
        <w:t>, DMR</w:t>
      </w:r>
      <w:r>
        <w:rPr>
          <w:rFonts w:ascii="Arial" w:cs="Arial" w:eastAsia="Arial" w:hAnsi="Arial"/>
          <w:sz w:val="14"/>
          <w:szCs w:val="14"/>
          <w:color w:val="auto"/>
        </w:rPr>
        <w:t>®</w:t>
      </w:r>
      <w:r>
        <w:rPr>
          <w:rFonts w:ascii="Arial" w:cs="Arial" w:eastAsia="Arial" w:hAnsi="Arial"/>
          <w:sz w:val="17"/>
          <w:szCs w:val="17"/>
          <w:color w:val="auto"/>
        </w:rPr>
        <w:t>, IMAX nXos</w:t>
      </w:r>
      <w:r>
        <w:rPr>
          <w:rFonts w:ascii="Arial" w:cs="Arial" w:eastAsia="Arial" w:hAnsi="Arial"/>
          <w:sz w:val="14"/>
          <w:szCs w:val="14"/>
          <w:color w:val="auto"/>
        </w:rPr>
        <w:t>®</w:t>
      </w:r>
      <w:r>
        <w:rPr>
          <w:rFonts w:ascii="Arial" w:cs="Arial" w:eastAsia="Arial" w:hAnsi="Arial"/>
          <w:sz w:val="17"/>
          <w:szCs w:val="17"/>
          <w:color w:val="auto"/>
        </w:rPr>
        <w:t xml:space="preserve"> and Films to the Fullest</w:t>
      </w:r>
      <w:r>
        <w:rPr>
          <w:rFonts w:ascii="Arial" w:cs="Arial" w:eastAsia="Arial" w:hAnsi="Arial"/>
          <w:sz w:val="14"/>
          <w:szCs w:val="14"/>
          <w:color w:val="auto"/>
        </w:rPr>
        <w:t>®</w:t>
      </w:r>
      <w:r>
        <w:rPr>
          <w:rFonts w:ascii="Arial" w:cs="Arial" w:eastAsia="Arial" w:hAnsi="Arial"/>
          <w:sz w:val="17"/>
          <w:szCs w:val="17"/>
          <w:color w:val="auto"/>
        </w:rPr>
        <w:t>. These trademarks are widely protected by registration or common law throughout the world.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6"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The Company is a globally diverse brand with the mission to connect the world through extraordinary experiences that inspire us to reimagine what’s possible, together. The Company has the power to inspire, ignite and involve its teams, customers and partners across the 1,683 IMAX Theater Systems in its network to transcend the ordinary. However, the Company understands that these experiences are only made possible through its employees’ diverse range of unique abilities and perspectives and its ability to attract, retain, and engage a talented, inclusive and respected workforce.</w:t>
      </w:r>
    </w:p>
    <w:p>
      <w:pPr>
        <w:spacing w:after="0" w:line="130"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The Company is committed to acquiring talent and developing internal talent to create a high-performing, diverse workforce. In order to achieve this objective, the Company offers competitive pay programs and benefits to its people globally. Please see “—Total Rewards” below for additional information regarding the Company’s compensation practices. The Company supports and develops its employees through a variety of training and development programs that build and strengthen leadership and professional skills, including an education reimbursement program, career development planning, and in-house learning opportunities that support its people as they grow in their careers. In addition, to promote a safe and inclusive environment for its employees, the Company provides specific annual compliance and trainings on cultivating respect in the workplace and harassment prevention.</w:t>
      </w:r>
    </w:p>
    <w:p>
      <w:pPr>
        <w:spacing w:after="0" w:line="12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obtains and reviews employee feedback to monitor employee satisfaction and engagement on an annual basis. The most recent employee survey resulted in the participation of over 81% of the global workforce, and an engagement score 5 points higher than the cross-industry and cross-country benchmark provided by a third-party employee engagement platform, showcasing a highly engaged and dedicated workforce. The survey also provides management with insightful feedback to help build, drive, and measure the success of people initiatives in the future. Following this year’s survey, focus groups were conducted to engage employees further to help the Company plan and execute programs with respect to people initiatives by highlighting potential opportunities, such as increasing communication throughout the business, building supportive resources for the managers, and building programs to highlight career development opportunities.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color w:val="auto"/>
        </w:rPr>
        <w:t>As of December 31, 2021, the Company had 665 full-time employees, of whom 147 employees were based outside of North America.</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Total Rewards</w:t>
      </w:r>
    </w:p>
    <w:p>
      <w:pPr>
        <w:spacing w:after="0" w:line="182"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The Company continues to have a total rewards mindset that encompasses all that is provided to its employees in the form of financial and nonfinancial compensation, benefits, well-being, and growth opportunities. The goal of these total rewards programs is to provide employees with market competitive offerings, opportunities and experiences that evolve over time.</w:t>
      </w:r>
    </w:p>
    <w:p>
      <w:pPr>
        <w:spacing w:after="0" w:line="143"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As the Company continues to evolve as an organization, it continues to modernize its total rewards programs to improve the employee experience and adequately reflect a diverse, multigenerational, and talented workforce.</w:t>
      </w:r>
    </w:p>
    <w:p>
      <w:pPr>
        <w:spacing w:after="0" w:line="14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structure of the Company’s total rewards programs balances base compensation, incentive compensation for both short-term and long-term performance and a focus on total well-being. In addition:</w:t>
      </w:r>
    </w:p>
    <w:p>
      <w:pPr>
        <w:spacing w:after="0" w:line="131" w:lineRule="exact"/>
        <w:rPr>
          <w:sz w:val="20"/>
          <w:szCs w:val="20"/>
          <w:color w:val="auto"/>
        </w:rPr>
      </w:pPr>
    </w:p>
    <w:p>
      <w:pPr>
        <w:jc w:val="both"/>
        <w:ind w:left="900" w:hanging="450"/>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comprehensive benefit program is a valuable piece of the Company’s total rewards package. All active, full-time employees are eligible to participate in the Company’s benefit program, which includes medical, dental and vision coverage for employees and their families; provides income protection should employees become disabled and/or unable to work; and offers life and accidental death and dismemberment insurance. The Company provides parental leaves to all new parents for birth, adoption, or foster placement. The Company also maintains additional benefit programs to support the financial, mental, and physical well-being of its employees.</w:t>
      </w:r>
    </w:p>
    <w:p>
      <w:pPr>
        <w:spacing w:after="0" w:line="121" w:lineRule="exact"/>
        <w:rPr>
          <w:rFonts w:ascii="Arial" w:cs="Arial" w:eastAsia="Arial" w:hAnsi="Arial"/>
          <w:sz w:val="16"/>
          <w:szCs w:val="16"/>
          <w:color w:val="auto"/>
        </w:rPr>
      </w:pPr>
    </w:p>
    <w:p>
      <w:pPr>
        <w:jc w:val="both"/>
        <w:ind w:left="900" w:hanging="450"/>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employee salaries and wages are competitive and consistent with employee positions, performance, skill levels, experience, knowledge and geographic location. Many employees are also eligible to receive long-term equity-based incentive compensation, which aligns the interests of the Company’s employees with that of its shareholders.</w:t>
      </w:r>
    </w:p>
    <w:p>
      <w:pPr>
        <w:spacing w:after="0" w:line="143" w:lineRule="exact"/>
        <w:rPr>
          <w:rFonts w:ascii="Arial" w:cs="Arial" w:eastAsia="Arial" w:hAnsi="Arial"/>
          <w:sz w:val="18"/>
          <w:szCs w:val="18"/>
          <w:color w:val="auto"/>
        </w:rPr>
      </w:pPr>
    </w:p>
    <w:p>
      <w:pPr>
        <w:jc w:val="both"/>
        <w:ind w:left="900" w:hanging="450"/>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partners with multiple external industry experts to support and independently evaluate its total rewards programs. Job function relative to salaries and wages are evaluated and benchmarked annually. The Company receives advice from such experts relating to global benefits offerings and employee compensation to ensure alignment with its peers within the industry.</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82"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Company believes that a culture of diversity and inclusion is a competitive advantage that fuels innovation and strengthens a company’s reputation. The Company is committed to Diversity, Equity, and Inclusion (“DE&amp;I”), and its culture is defined by its core values of Inspire, Ignite, and Involve. The Company’s focus with respect to DE&amp;I is to attract, retain, and engage a talented, inclusive and respected workforce. As a part of its ongoing commitment to expanding its diverse and inclusive workforce, the Company has assembled a DE&amp;I council of employees across levels, tenures and demographic backgrounds to assist the Company in executing the four key pillars of its global DE&amp;I strategy, which includes the following objectives:</w:t>
      </w:r>
    </w:p>
    <w:p>
      <w:pPr>
        <w:spacing w:after="0" w:line="135" w:lineRule="exact"/>
        <w:rPr>
          <w:sz w:val="20"/>
          <w:szCs w:val="20"/>
          <w:color w:val="auto"/>
        </w:rPr>
      </w:pPr>
    </w:p>
    <w:p>
      <w:pPr>
        <w:ind w:left="900" w:hanging="450"/>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Raise awareness and educate those around the Company on issues that are important to its people and its audiences.</w:t>
      </w:r>
    </w:p>
    <w:p>
      <w:pPr>
        <w:spacing w:after="0" w:line="18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Empower the Company’s people and leadership to be champions of diversity, equity and inclusion by rewarding positive behaviors and encouraging frequent feedback and input.</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Communicate and connect using inclusive and concise messages.</w:t>
      </w:r>
    </w:p>
    <w:p>
      <w:pPr>
        <w:spacing w:after="0" w:line="182" w:lineRule="exact"/>
        <w:rPr>
          <w:rFonts w:ascii="Arial" w:cs="Arial" w:eastAsia="Arial" w:hAnsi="Arial"/>
          <w:sz w:val="18"/>
          <w:szCs w:val="18"/>
          <w:color w:val="auto"/>
        </w:rPr>
      </w:pPr>
    </w:p>
    <w:p>
      <w:pPr>
        <w:ind w:left="900" w:right="20" w:hanging="450"/>
        <w:spacing w:after="0" w:line="27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that equal opportunity and diversity of people is non-negotiable in how the Company attracts, selects, supports, develops and rewards its people, and in whom IMAX chooses to partner with.</w:t>
      </w:r>
    </w:p>
    <w:p>
      <w:pPr>
        <w:spacing w:after="0" w:line="13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In 2021, the DE&amp;I council hosted multiple Company-wide events and launched educational awareness campaigns that represent, support and spark dialogue among the diverse communities that make up IMAX’s workforce. As of December 31, 2021, women represented approximately 36% of the Company’s global workforce. The Company currently has one female director on the Board of Directors (13%) and five female members on the Company’s management team of 17 (29%). Moreover, four members of the Company’s management team identify as ethnically diverse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6" w:name="page17"/>
    <w:bookmarkEnd w:id="16"/>
    <w:p>
      <w:pPr>
        <w:ind w:left="160"/>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196" w:lineRule="exact"/>
        <w:rPr>
          <w:sz w:val="20"/>
          <w:szCs w:val="20"/>
          <w:color w:val="auto"/>
        </w:rPr>
      </w:pPr>
    </w:p>
    <w:p>
      <w:pPr>
        <w:jc w:val="both"/>
        <w:ind w:firstLine="225"/>
        <w:spacing w:after="0" w:line="339" w:lineRule="auto"/>
        <w:rPr>
          <w:sz w:val="20"/>
          <w:szCs w:val="20"/>
          <w:color w:val="auto"/>
        </w:rPr>
      </w:pPr>
      <w:r>
        <w:rPr>
          <w:rFonts w:ascii="Arial" w:cs="Arial" w:eastAsia="Arial" w:hAnsi="Arial"/>
          <w:sz w:val="16"/>
          <w:szCs w:val="16"/>
          <w:color w:val="auto"/>
        </w:rPr>
        <w:t>Recognizing the various employee health and safety risks associated with the delivery of the world’s most immersive movie-going experience, the Company has implemented a global program for workplace safety that ensures it has the necessary controls in place to keep its employees and visitors safe.</w:t>
      </w:r>
    </w:p>
    <w:p>
      <w:pPr>
        <w:spacing w:after="0" w:line="84"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Employee health and safety is one of the Company’s top priorities. Risks to the health and safety of the Company’s employees are present in day-to-day office work, building renovation, manufacturing, logistics, training, testing, research and development, and during the designing, installation and service of the Company’s theaters around the world. Every employee at each IMAX location, workplace, business unit and department is responsible for participating in workplace safety planning activities and managers are responsible for employee health and safety program implementation for their business function. This effort is supported by a cross-functional Health and Safety team dedicated to employee health and safety and business continuity.</w:t>
      </w:r>
    </w:p>
    <w:p>
      <w:pPr>
        <w:spacing w:after="0" w:line="12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This continuous focus on and commitment to the health and safety of the Company’s employees has remained central to the Company’s continued response to COVID-19. Specifically, the Company:</w:t>
      </w:r>
    </w:p>
    <w:p>
      <w:pPr>
        <w:spacing w:after="0" w:line="145" w:lineRule="exact"/>
        <w:rPr>
          <w:sz w:val="20"/>
          <w:szCs w:val="20"/>
          <w:color w:val="auto"/>
        </w:rPr>
      </w:pPr>
    </w:p>
    <w:p>
      <w:pPr>
        <w:ind w:left="900" w:hanging="45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instituted a cross-functional Pandemic Response team to support decision making and implementation of COVID-19 response programs;</w:t>
      </w:r>
    </w:p>
    <w:p>
      <w:pPr>
        <w:spacing w:after="0" w:line="193" w:lineRule="exact"/>
        <w:rPr>
          <w:rFonts w:ascii="Arial" w:cs="Arial" w:eastAsia="Arial" w:hAnsi="Arial"/>
          <w:sz w:val="17"/>
          <w:szCs w:val="17"/>
          <w:color w:val="auto"/>
        </w:rPr>
      </w:pPr>
    </w:p>
    <w:p>
      <w:pPr>
        <w:ind w:left="900" w:hanging="4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adopted mandatory vaccination policies in its facilities in the United States and Canada;</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supported a virtual workplace and scheduling flexibility to provide a safe working environment;</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developed an illness reporting process to encourage those who were ill to stay home and focus on their health;</w:t>
      </w:r>
    </w:p>
    <w:p>
      <w:pPr>
        <w:spacing w:after="0" w:line="18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communication with the introduction of a dedicated resource page on its intranet for information related to the understanding of COVID-19, local resources, and access to mental well-being support; and</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work locations reopened, the Company took the following actions in accordance with health guidance of applicable jurisdictions:</w:t>
      </w:r>
    </w:p>
    <w:p>
      <w:pPr>
        <w:spacing w:after="0" w:line="113" w:lineRule="exact"/>
        <w:rPr>
          <w:sz w:val="20"/>
          <w:szCs w:val="20"/>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increased cleaning protocol;</w:t>
      </w:r>
    </w:p>
    <w:p>
      <w:pPr>
        <w:spacing w:after="0" w:line="206" w:lineRule="exact"/>
        <w:rPr>
          <w:rFonts w:ascii="Courier New" w:cs="Courier New" w:eastAsia="Courier New" w:hAnsi="Courier New"/>
          <w:sz w:val="18"/>
          <w:szCs w:val="18"/>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upgraded air filtration and ventilation systems;</w:t>
      </w:r>
    </w:p>
    <w:p>
      <w:pPr>
        <w:spacing w:after="0" w:line="206" w:lineRule="exact"/>
        <w:rPr>
          <w:rFonts w:ascii="Courier New" w:cs="Courier New" w:eastAsia="Courier New" w:hAnsi="Courier New"/>
          <w:sz w:val="18"/>
          <w:szCs w:val="18"/>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provided access to personal protective equipment;</w:t>
      </w:r>
    </w:p>
    <w:p>
      <w:pPr>
        <w:spacing w:after="0" w:line="206" w:lineRule="exact"/>
        <w:rPr>
          <w:rFonts w:ascii="Courier New" w:cs="Courier New" w:eastAsia="Courier New" w:hAnsi="Courier New"/>
          <w:sz w:val="18"/>
          <w:szCs w:val="18"/>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mandated daily health screenings;</w:t>
      </w:r>
    </w:p>
    <w:p>
      <w:pPr>
        <w:spacing w:after="0" w:line="206" w:lineRule="exact"/>
        <w:rPr>
          <w:rFonts w:ascii="Courier New" w:cs="Courier New" w:eastAsia="Courier New" w:hAnsi="Courier New"/>
          <w:sz w:val="18"/>
          <w:szCs w:val="18"/>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required social distancing and implemented flow of traffic requirements in the building; and</w:t>
      </w:r>
    </w:p>
    <w:p>
      <w:pPr>
        <w:spacing w:after="0" w:line="206" w:lineRule="exact"/>
        <w:rPr>
          <w:rFonts w:ascii="Courier New" w:cs="Courier New" w:eastAsia="Courier New" w:hAnsi="Courier New"/>
          <w:sz w:val="18"/>
          <w:szCs w:val="18"/>
          <w:color w:val="auto"/>
        </w:rPr>
      </w:pPr>
    </w:p>
    <w:p>
      <w:pPr>
        <w:ind w:left="1720" w:hanging="371"/>
        <w:spacing w:after="0"/>
        <w:tabs>
          <w:tab w:leader="none" w:pos="17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modified workspaces to allow for social distancing and plexiglass protections where necessary.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Form 10-K, except where expressly indicated.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0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Before you make an investment decision with respect to the Company’s common stock, you should carefully consider all of the information included in this Form 10-K and the Company’s subsequent periodic filings with the SEC. In particular, you should carefully consider the risk factors described below and the risks and uncertainties related to "Forward Looking Statements," any of which could have a material adverse effect on the Company’s business, results of operations, financial condition and the actual outcome of matters as to which forward looking statements are made in this annual report. The following risk factors, which are not ranked in any particular order, should be read in conjunction with the balance of this annual report, including the Consolidated Financial Statements and related notes. The risks described below are not the only ones the Company faces. Additional risks that the Company deems immaterial or that are currently unknown to the Company may also impair its business or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186"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8"/>
          <w:szCs w:val="18"/>
          <w:b w:val="1"/>
          <w:bCs w:val="1"/>
          <w:i w:val="1"/>
          <w:iCs w:val="1"/>
          <w:color w:val="212529"/>
        </w:rPr>
        <w:t>The Company has experienced a significant decrease in its revenues, earnings, and cash flows due to the COVID-19 pandemic and its business, financial condition and results of operations may continue to be significantly harmed in future reporting periods.</w:t>
      </w:r>
    </w:p>
    <w:p>
      <w:pPr>
        <w:spacing w:after="0" w:line="172"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 xml:space="preserve">The impact of the COVID-19 pandemic is complex and continuously evolving, resulting in significant disruption to the Company’s business and the global economy. At various points during the pandemic, authorities around the world imposed measures intended to control the spread of </w:t>
      </w:r>
      <w:r>
        <w:rPr>
          <w:rFonts w:ascii="Arial" w:cs="Arial" w:eastAsia="Arial" w:hAnsi="Arial"/>
          <w:sz w:val="16"/>
          <w:szCs w:val="16"/>
          <w:color w:val="212529"/>
        </w:rPr>
        <w:t>COVID-19,</w:t>
      </w:r>
      <w:r>
        <w:rPr>
          <w:rFonts w:ascii="Arial" w:cs="Arial" w:eastAsia="Arial" w:hAnsi="Arial"/>
          <w:sz w:val="16"/>
          <w:szCs w:val="16"/>
          <w:color w:val="auto"/>
        </w:rPr>
        <w:t xml:space="preserve"> </w:t>
      </w:r>
      <w:r>
        <w:rPr>
          <w:rFonts w:ascii="Arial" w:cs="Arial" w:eastAsia="Arial" w:hAnsi="Arial"/>
          <w:sz w:val="16"/>
          <w:szCs w:val="16"/>
          <w:color w:val="212529"/>
        </w:rPr>
        <w:t xml:space="preserve">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w:t>
      </w:r>
      <w:r>
        <w:rPr>
          <w:rFonts w:ascii="Arial" w:cs="Arial" w:eastAsia="Arial" w:hAnsi="Arial"/>
          <w:sz w:val="16"/>
          <w:szCs w:val="16"/>
          <w:color w:val="000000"/>
        </w:rPr>
        <w:t>originally</w:t>
      </w:r>
      <w:r>
        <w:rPr>
          <w:rFonts w:ascii="Arial" w:cs="Arial" w:eastAsia="Arial" w:hAnsi="Arial"/>
          <w:sz w:val="16"/>
          <w:szCs w:val="16"/>
          <w:color w:val="212529"/>
        </w:rPr>
        <w:t xml:space="preserve"> </w:t>
      </w:r>
      <w:r>
        <w:rPr>
          <w:rFonts w:ascii="Arial" w:cs="Arial" w:eastAsia="Arial" w:hAnsi="Arial"/>
          <w:sz w:val="16"/>
          <w:szCs w:val="16"/>
          <w:color w:val="000000"/>
        </w:rPr>
        <w:t>scheduled for release in 2020 and early 2021</w:t>
      </w:r>
      <w:r>
        <w:rPr>
          <w:rFonts w:ascii="Arial" w:cs="Arial" w:eastAsia="Arial" w:hAnsi="Arial"/>
          <w:sz w:val="16"/>
          <w:szCs w:val="16"/>
          <w:color w:val="212529"/>
        </w:rPr>
        <w:t>, including many scheduled to be shown in IMAX theaters</w:t>
      </w:r>
      <w:r>
        <w:rPr>
          <w:rFonts w:ascii="Arial" w:cs="Arial" w:eastAsia="Arial" w:hAnsi="Arial"/>
          <w:sz w:val="16"/>
          <w:szCs w:val="16"/>
          <w:color w:val="000000"/>
        </w:rPr>
        <w:t>, while several other films were released directly or concurrently to streaming platforms</w:t>
      </w:r>
      <w:r>
        <w:rPr>
          <w:rFonts w:ascii="Arial" w:cs="Arial" w:eastAsia="Arial" w:hAnsi="Arial"/>
          <w:sz w:val="16"/>
          <w:szCs w:val="16"/>
          <w:color w:val="212529"/>
        </w:rPr>
        <w:t>.</w:t>
      </w:r>
      <w:r>
        <w:rPr>
          <w:rFonts w:ascii="Arial" w:cs="Arial" w:eastAsia="Arial" w:hAnsi="Arial"/>
          <w:sz w:val="16"/>
          <w:szCs w:val="16"/>
          <w:color w:val="000000"/>
        </w:rPr>
        <w:t xml:space="preserve"> Beginning in the third quarter of 2020, stay-at-home orders and capacity restrictions were lifted in many key markets and movie theaters throughout the IMAX network gradually reopened. However, following the emergence of the Omicron variant and the rise of COVID-19 cases in late 2021 and early 2022, some governments reinstituted capacity restrictions and safety protocols on large public gatherings, leading to the temporary closure of theaters or the imposition of capacity restrictions in certain markets. As such, there is no assurance that movie theaters will remain open if there is a continued rise of or resurgence in COVID-19 cases in certain jurisdictions. As of December 31, 2021, 95% of the theaters in the global IMAX commercial multiplex network were open at various capacities, spanning 75 countries. This included 99% of Domestic theaters (i.e., in the United States and Canada), 95% of the theaters in Greater China and 91% of the theaters in Rest of World markets.</w:t>
      </w:r>
    </w:p>
    <w:p>
      <w:pPr>
        <w:spacing w:after="0" w:line="170" w:lineRule="exact"/>
        <w:rPr>
          <w:sz w:val="20"/>
          <w:szCs w:val="20"/>
          <w:color w:val="auto"/>
        </w:rPr>
      </w:pPr>
    </w:p>
    <w:p>
      <w:pPr>
        <w:jc w:val="both"/>
        <w:ind w:firstLine="289"/>
        <w:spacing w:after="0" w:line="270" w:lineRule="auto"/>
        <w:rPr>
          <w:sz w:val="20"/>
          <w:szCs w:val="20"/>
          <w:color w:val="auto"/>
        </w:rPr>
      </w:pPr>
      <w:r>
        <w:rPr>
          <w:rFonts w:ascii="Arial" w:cs="Arial" w:eastAsia="Arial" w:hAnsi="Arial"/>
          <w:sz w:val="17"/>
          <w:szCs w:val="17"/>
          <w:color w:val="212529"/>
        </w:rPr>
        <w:t xml:space="preserve">The COVID-19 pandemic resulted in significantly lower levels of revenues, earnings, and operating cash flows for the Company during </w:t>
      </w:r>
      <w:r>
        <w:rPr>
          <w:rFonts w:ascii="Arial" w:cs="Arial" w:eastAsia="Arial" w:hAnsi="Arial"/>
          <w:sz w:val="17"/>
          <w:szCs w:val="17"/>
          <w:color w:val="000000"/>
        </w:rPr>
        <w:t>2020 and, to a</w:t>
      </w:r>
      <w:r>
        <w:rPr>
          <w:rFonts w:ascii="Arial" w:cs="Arial" w:eastAsia="Arial" w:hAnsi="Arial"/>
          <w:sz w:val="17"/>
          <w:szCs w:val="17"/>
          <w:color w:val="212529"/>
        </w:rPr>
        <w:t xml:space="preserve"> </w:t>
      </w:r>
      <w:r>
        <w:rPr>
          <w:rFonts w:ascii="Arial" w:cs="Arial" w:eastAsia="Arial" w:hAnsi="Arial"/>
          <w:sz w:val="17"/>
          <w:szCs w:val="17"/>
          <w:color w:val="000000"/>
        </w:rPr>
        <w:t>lesser extent, during 2021, when compared to periods prior to the onset of the pandemic, as gross box office (“GBO”) results from theaters in the IMAX network declined, the installation of certain theater systems was delayed, and maintenance fees were generally not recognized for theaters that were closed or operating with reduced capacities</w:t>
      </w:r>
      <w:r>
        <w:rPr>
          <w:rFonts w:ascii="Arial" w:cs="Arial" w:eastAsia="Arial" w:hAnsi="Arial"/>
          <w:sz w:val="17"/>
          <w:szCs w:val="17"/>
          <w:color w:val="212529"/>
        </w:rPr>
        <w:t>. Given the uncertainty around when movie-going will return to historical levels, there is no guarantee that the effects of</w:t>
      </w:r>
      <w:r>
        <w:rPr>
          <w:rFonts w:ascii="Arial" w:cs="Arial" w:eastAsia="Arial" w:hAnsi="Arial"/>
          <w:sz w:val="17"/>
          <w:szCs w:val="17"/>
          <w:color w:val="000000"/>
        </w:rPr>
        <w:t xml:space="preserve"> </w:t>
      </w:r>
      <w:r>
        <w:rPr>
          <w:rFonts w:ascii="Arial" w:cs="Arial" w:eastAsia="Arial" w:hAnsi="Arial"/>
          <w:sz w:val="17"/>
          <w:szCs w:val="17"/>
          <w:color w:val="212529"/>
        </w:rPr>
        <w:t>the COVID-19 pandemic will end even after theaters are reopened. The timing and extent of a recovery of consumer behavior and willingness to spend discretionary income on movie-going may delay the Company’s ability to generate significant revenue from GBO generated by its exhibitor customers until consumer behavior normalizes and consumer spending recovers.</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8"/>
          <w:szCs w:val="18"/>
          <w:color w:val="auto"/>
        </w:rPr>
        <w:t>In 2020 and 2021, the Company applied for and received wage subsidies, tax credits and other financial support under COVID-19 relief legislation that has been enacted in the countries in which it operates. There are no guarantees that the Company will apply for or receive such benefits in the future or that the Company will receive any additional material financial support through these or other programs that may be created, expanded, or implemented by governments in the countries in which the Company operates.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 w:name="page19"/>
    <w:bookmarkEnd w:id="18"/>
    <w:p>
      <w:pPr>
        <w:jc w:val="both"/>
        <w:ind w:firstLine="289"/>
        <w:spacing w:after="0" w:line="267" w:lineRule="auto"/>
        <w:rPr>
          <w:sz w:val="20"/>
          <w:szCs w:val="20"/>
          <w:color w:val="auto"/>
        </w:rPr>
      </w:pPr>
      <w:r>
        <w:rPr>
          <w:rFonts w:ascii="Arial" w:cs="Arial" w:eastAsia="Arial" w:hAnsi="Arial"/>
          <w:sz w:val="17"/>
          <w:szCs w:val="17"/>
          <w:color w:val="212529"/>
        </w:rPr>
        <w:t xml:space="preserve">As a result of the financial difficulties faced by certain of the Company’s exhibition customers arising out of pandemic-related theater closures, the Company has experienced and may continue to experience delays in collecting payments due under existing theater sale or lease arrangements. In response, beginning in the second quarter of 2020 through the fourth quarter of 2021, the Company provided temporary relief to certain exhibitor customers by waiving or reducing maintenance fees during periods when theaters were closed or operating with reduced capacities and, in certain situations, by providing extended payment terms on annual minimum payment obligations in exchange for a corresponding or longer extension of the term of the underlying sale or lease arrangement. However, certain of the Company’s </w:t>
      </w:r>
      <w:r>
        <w:rPr>
          <w:rFonts w:ascii="Arial" w:cs="Arial" w:eastAsia="Arial" w:hAnsi="Arial"/>
          <w:sz w:val="17"/>
          <w:szCs w:val="17"/>
          <w:color w:val="000000"/>
        </w:rPr>
        <w:t>exhibitor partners that had reopened theaters have temporarily suspended operations of their theater</w:t>
      </w:r>
      <w:r>
        <w:rPr>
          <w:rFonts w:ascii="Arial" w:cs="Arial" w:eastAsia="Arial" w:hAnsi="Arial"/>
          <w:sz w:val="17"/>
          <w:szCs w:val="17"/>
          <w:color w:val="212529"/>
        </w:rPr>
        <w:t xml:space="preserve"> </w:t>
      </w:r>
      <w:r>
        <w:rPr>
          <w:rFonts w:ascii="Arial" w:cs="Arial" w:eastAsia="Arial" w:hAnsi="Arial"/>
          <w:sz w:val="17"/>
          <w:szCs w:val="17"/>
          <w:color w:val="000000"/>
        </w:rPr>
        <w:t xml:space="preserve">network in certain jurisdictions and other exhibitor partners have reduced their theaters’ operating hours, which may exacerbate existing financial difficulties. The Company’s exhibitor partners may continue to experience operational and/or financial difficulties if the COVID-19 pandemic continues or consumers change their behavior and consumption patterns in response to the prolonged suspension of movie-going, or for other reasons, which would further increase the risks associated with payments due under existing agreements with the Company. </w:t>
      </w:r>
      <w:r>
        <w:rPr>
          <w:rFonts w:ascii="Arial" w:cs="Arial" w:eastAsia="Arial" w:hAnsi="Arial"/>
          <w:sz w:val="17"/>
          <w:szCs w:val="17"/>
          <w:color w:val="212529"/>
        </w:rPr>
        <w:t>The ability of such partners to make payments cannot</w:t>
      </w:r>
      <w:r>
        <w:rPr>
          <w:rFonts w:ascii="Arial" w:cs="Arial" w:eastAsia="Arial" w:hAnsi="Arial"/>
          <w:sz w:val="17"/>
          <w:szCs w:val="17"/>
          <w:color w:val="000000"/>
        </w:rPr>
        <w:t xml:space="preserve"> </w:t>
      </w:r>
      <w:r>
        <w:rPr>
          <w:rFonts w:ascii="Arial" w:cs="Arial" w:eastAsia="Arial" w:hAnsi="Arial"/>
          <w:sz w:val="17"/>
          <w:szCs w:val="17"/>
          <w:color w:val="212529"/>
        </w:rPr>
        <w:t>be guaranteed and is subject to changing economic circumstances. Further, the Company has had to delay certain theater system installations from backlog and may be required to further delay or cancel such installations in the future. As a result, the Company’s future revenues and cash flows may be adversely affected.</w:t>
      </w:r>
    </w:p>
    <w:p>
      <w:pPr>
        <w:spacing w:after="0" w:line="179" w:lineRule="exact"/>
        <w:rPr>
          <w:sz w:val="20"/>
          <w:szCs w:val="20"/>
          <w:color w:val="auto"/>
        </w:rPr>
      </w:pPr>
    </w:p>
    <w:p>
      <w:pPr>
        <w:jc w:val="both"/>
        <w:ind w:firstLine="289"/>
        <w:spacing w:after="0" w:line="283"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the adverse impact of the COVID-19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spread and severity of variants of the virus, the progress made on administering vaccines and developing treatment and the effectiveness of such vaccines and treatments, the progress </w:t>
      </w:r>
      <w:r>
        <w:rPr>
          <w:rFonts w:ascii="Arial" w:cs="Arial" w:eastAsia="Arial" w:hAnsi="Arial"/>
          <w:sz w:val="16"/>
          <w:szCs w:val="16"/>
          <w:color w:val="000000"/>
        </w:rPr>
        <w:t>towards the resumption of normal operations</w:t>
      </w:r>
      <w:r>
        <w:rPr>
          <w:rFonts w:ascii="Arial" w:cs="Arial" w:eastAsia="Arial" w:hAnsi="Arial"/>
          <w:sz w:val="16"/>
          <w:szCs w:val="16"/>
          <w:color w:val="212529"/>
        </w:rPr>
        <w:t xml:space="preserve">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our exhibitor partners, the continuing impact of the pandemic on global economic conditions and ongoing government responses to the pandemic. Such events are highly uncertain and cannot be accurately forecast. Moreover, there can be no guarantees that the Company’s liquidity needs will not increase materially as the COVID-19 pandemic continues. In addition, liquidity needs as well as other changes to the Company’s business and operations may impact the Company’s ability to maintain compliance with certain covenants under the Company’s credit agreement with Wells </w:t>
      </w:r>
      <w:r>
        <w:rPr>
          <w:rFonts w:ascii="Arial" w:cs="Arial" w:eastAsia="Arial" w:hAnsi="Arial"/>
          <w:sz w:val="16"/>
          <w:szCs w:val="16"/>
          <w:color w:val="000000"/>
        </w:rPr>
        <w:t>Fargo Bank</w:t>
      </w:r>
      <w:r>
        <w:rPr>
          <w:rFonts w:ascii="Arial" w:cs="Arial" w:eastAsia="Arial" w:hAnsi="Arial"/>
          <w:sz w:val="16"/>
          <w:szCs w:val="16"/>
          <w:color w:val="212529"/>
        </w:rPr>
        <w:t xml:space="preserve"> (see Note 14 of Notes to Consolidated Financial Statements in Part II, Item 8). The Company may also be subject to impairment losses based on long-term estimated projections. </w:t>
      </w:r>
      <w:r>
        <w:rPr>
          <w:rFonts w:ascii="Arial" w:cs="Arial" w:eastAsia="Arial" w:hAnsi="Arial"/>
          <w:sz w:val="16"/>
          <w:szCs w:val="16"/>
          <w:color w:val="000000"/>
        </w:rPr>
        <w:t>These estimates and the</w:t>
      </w:r>
      <w:r>
        <w:rPr>
          <w:rFonts w:ascii="Arial" w:cs="Arial" w:eastAsia="Arial" w:hAnsi="Arial"/>
          <w:sz w:val="16"/>
          <w:szCs w:val="16"/>
          <w:color w:val="212529"/>
        </w:rPr>
        <w:t xml:space="preserve"> </w:t>
      </w:r>
      <w:r>
        <w:rPr>
          <w:rFonts w:ascii="Arial" w:cs="Arial" w:eastAsia="Arial" w:hAnsi="Arial"/>
          <w:sz w:val="16"/>
          <w:szCs w:val="16"/>
          <w:color w:val="000000"/>
        </w:rPr>
        <w:t xml:space="preserve">likelihood of future changes in these estimates depend on a number of underlying variables and a range of possible outcomes. Actual results may differ materially from management’s estimates, especially due to the uncertainties associated with the COVID-19 pandemic. </w:t>
      </w:r>
      <w:r>
        <w:rPr>
          <w:rFonts w:ascii="Arial" w:cs="Arial" w:eastAsia="Arial" w:hAnsi="Arial"/>
          <w:sz w:val="16"/>
          <w:szCs w:val="16"/>
          <w:color w:val="212529"/>
        </w:rPr>
        <w:t>If business conditions deteriorate</w:t>
      </w:r>
      <w:r>
        <w:rPr>
          <w:rFonts w:ascii="Arial" w:cs="Arial" w:eastAsia="Arial" w:hAnsi="Arial"/>
          <w:sz w:val="16"/>
          <w:szCs w:val="16"/>
          <w:color w:val="000000"/>
        </w:rPr>
        <w:t xml:space="preserve"> </w:t>
      </w:r>
      <w:r>
        <w:rPr>
          <w:rFonts w:ascii="Arial" w:cs="Arial" w:eastAsia="Arial" w:hAnsi="Arial"/>
          <w:sz w:val="16"/>
          <w:szCs w:val="16"/>
          <w:color w:val="212529"/>
        </w:rPr>
        <w:t>further, or should they remain depressed for a more prolonged period of time, management’s estimates of operating results and future cash flows for reporting units may be insufficient to support the goodwill assigned to them, thus requiring impairment charges. Estimates related to future expected credit losses and deferred tax assets, as well as the recoverability of equipment supporting joint revenue sharing arrangements and the realization of variable consideration assets, could also be materially impacted by changes in estimates in the future.</w:t>
      </w:r>
    </w:p>
    <w:p>
      <w:pPr>
        <w:spacing w:after="0" w:line="135" w:lineRule="exact"/>
        <w:rPr>
          <w:sz w:val="20"/>
          <w:szCs w:val="20"/>
          <w:color w:val="auto"/>
        </w:rPr>
      </w:pPr>
    </w:p>
    <w:p>
      <w:pPr>
        <w:jc w:val="both"/>
        <w:ind w:firstLine="289"/>
        <w:spacing w:after="0" w:line="269" w:lineRule="auto"/>
        <w:rPr>
          <w:sz w:val="20"/>
          <w:szCs w:val="20"/>
          <w:color w:val="auto"/>
        </w:rPr>
      </w:pPr>
      <w:r>
        <w:rPr>
          <w:rFonts w:ascii="Arial" w:cs="Arial" w:eastAsia="Arial" w:hAnsi="Arial"/>
          <w:sz w:val="17"/>
          <w:szCs w:val="17"/>
          <w:color w:val="212529"/>
        </w:rPr>
        <w:t xml:space="preserve">The COVID-19 pandemic and public health measures implemented to contain it may also have the effect of heightening many of the other risks described in this Form 10-K, including, but not limited to, risks relating to harm to the Company’s key personnel, diverting management’s resources and time to addressing the impacts of COVID-19, which may negatively affect the Company’s ability to implement its business plan and pursue certain opportunities, potential impairments, the effectiveness of the Company’s internal control of financial reporting, cybersecurity and data privacy risks due to employees working from home, and risks of increased indebtedness under the Company’s revolving credit facility with </w:t>
      </w:r>
      <w:r>
        <w:rPr>
          <w:rFonts w:ascii="Arial" w:cs="Arial" w:eastAsia="Arial" w:hAnsi="Arial"/>
          <w:sz w:val="17"/>
          <w:szCs w:val="17"/>
          <w:color w:val="000000"/>
        </w:rPr>
        <w:t>Wells Fargo Bank</w:t>
      </w:r>
      <w:r>
        <w:rPr>
          <w:rFonts w:ascii="Arial" w:cs="Arial" w:eastAsia="Arial" w:hAnsi="Arial"/>
          <w:sz w:val="17"/>
          <w:szCs w:val="17"/>
          <w:color w:val="212529"/>
        </w:rPr>
        <w:t>, including the Company’s ability to seek waivers of covenants or to refinance any of the Company’s borrowings, among others (see Note 14 of Notes to Consolidated Financial Statements in Part II, Item 8). The longer the COVID-19 pandemic and associated protective measures persist, the more severe the extent of the adverse impact of the pandemic on the Company is likely to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right="20" w:firstLine="225"/>
        <w:spacing w:after="0" w:line="274" w:lineRule="auto"/>
        <w:rPr>
          <w:sz w:val="20"/>
          <w:szCs w:val="20"/>
          <w:color w:val="auto"/>
        </w:rPr>
      </w:pPr>
      <w:r>
        <w:rPr>
          <w:rFonts w:ascii="Arial" w:cs="Arial" w:eastAsia="Arial" w:hAnsi="Arial"/>
          <w:sz w:val="18"/>
          <w:szCs w:val="18"/>
          <w:b w:val="1"/>
          <w:bCs w:val="1"/>
          <w:i w:val="1"/>
          <w:iCs w:val="1"/>
          <w:color w:val="auto"/>
        </w:rPr>
        <w:t>General political, social and economic conditions can affect the Company’s business by reducing both revenues generated from existing IMAX Theater Systems and the demand for new IMAX Theater Systems.</w:t>
      </w:r>
    </w:p>
    <w:p>
      <w:pPr>
        <w:spacing w:after="0" w:line="145"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Company’s success depends in part on general political, social and economic conditions and the willingness of consumers to purchase tickets to IMAX movies. If movie-going becomes less popular globally, the Company’s business could be adversely affected, especially if such a decline occurs in Greater China. In addition, the Company’s operations could be adversely affected if consumers' discretionary income globally or in a particular geography falls as a result of an economic downturn resulting from the COVID-19 pandemic or otherwise, as a result of increased inflation, or for any other reason. Such adverse impact on consumer’s discretionary income could result in a shift in consumer demand away from movie-going. In recent years, the majority of the Company’s revenue has been directly derived from the box office results of its exhibitor partners. Accordingly, a decline in attendance at commercial IMAX theaters could materially and adversely affect several sources of key revenue streams for the Company.</w:t>
      </w:r>
    </w:p>
    <w:p>
      <w:pPr>
        <w:spacing w:after="0" w:line="127"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also depends on the sale and lease of IMAX Theater Systems to commercial movie exhibitors to generate revenue. Commercial movie exhibitors generate revenues from consumer attendance at their theaters, which depends on the willingness of consumers to visit movie theaters and spend discretionary income at movie theaters. In the event of declining box office and concession revenues, commercial exhibitors may be less willing to invest capital in new IMAX theaters. In addition, a significant portion of theaters in the Company’s backlog are expected to be installed in newly built multiplexes. An economic downturn could impact developers’ ability to secure financing and complete the buildout of these locations, thereby negatively impacting the Company’s ability to grow its theater network.</w:t>
      </w:r>
    </w:p>
    <w:p>
      <w:pPr>
        <w:spacing w:after="0" w:line="149"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b w:val="1"/>
          <w:bCs w:val="1"/>
          <w:i w:val="1"/>
          <w:iCs w:val="1"/>
          <w:color w:val="auto"/>
        </w:rPr>
        <w:t>The success of the IMAX network is directly related to the availability and success of IMAX DMR films, and other films released to the IMAX network, as well as the continued purchase or lease of IMAX Theater Systems and other support by movie exhibitors, for which there can be no guarantee.</w:t>
      </w:r>
    </w:p>
    <w:p>
      <w:pPr>
        <w:spacing w:after="0" w:line="157"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An important factor affecting the growth and success of the IMAX network is the availability and strategic selection of films for IMAX theaters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In 2021, 63 IMAX films were released to the Company’s global theater network. There is no guarantee that filmmakers and studios will continue to release films to the IMAX network, or that the films selected for release to the IMAX network will be commercially successful. 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Theater Systems. The commercial success of films released to IMAX theaters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theater network.</w:t>
      </w:r>
    </w:p>
    <w:p>
      <w:pPr>
        <w:spacing w:after="0" w:line="142"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In addition, as the Company’s international network has expanded, the Company has signed deals with studios in other countries to convert their films to the Company’s format and release them to IMAX theaters.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spacing w:after="0" w:line="11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depends principally on commercial movie exhibitors to purchase or lease IMAX Theater Systems, to supply box office revenue under joint revenue sharing arrangements and under its sales and sales-type lease agreements and to supply venues in which to exhibit IMAX films. The Company can make no assurances that exhibitors will continue to do any of these things.</w:t>
      </w:r>
    </w:p>
    <w:p>
      <w:pPr>
        <w:spacing w:after="0" w:line="157"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Company is unable to predict the pace at which exhibitors will purchase or lease IMAX Theater Systems or enter into joint revenue sharing arrangements with the Company, or whether any of the Company’s existing exhibitor customers will continue to do any of the foregoing. If exhibitors choose to reduce their levels of expansion, negotiate less favorable economic terms, or decide not to enter into transactions with the Company, the Company’s revenues would not increase at an anticipated rate and motion picture studios may be less willing to convert their films into the Company’s format for exhibition in commercial IMAX theaters. As a result, the Company’s future revenues and cash flows could be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0" w:name="page21"/>
    <w:bookmarkEnd w:id="20"/>
    <w:p>
      <w:pPr>
        <w:jc w:val="both"/>
        <w:ind w:right="20" w:firstLine="225"/>
        <w:spacing w:after="0" w:line="274" w:lineRule="auto"/>
        <w:rPr>
          <w:sz w:val="20"/>
          <w:szCs w:val="20"/>
          <w:color w:val="auto"/>
        </w:rPr>
      </w:pPr>
      <w:r>
        <w:rPr>
          <w:rFonts w:ascii="Arial" w:cs="Arial" w:eastAsia="Arial" w:hAnsi="Arial"/>
          <w:sz w:val="18"/>
          <w:szCs w:val="18"/>
          <w:b w:val="1"/>
          <w:bCs w:val="1"/>
          <w:i w:val="1"/>
          <w:iCs w:val="1"/>
          <w:color w:val="auto"/>
        </w:rPr>
        <w:t>The Company is undertaking brand extensions and new business initiatives, and the Company’s investments and efforts in such business evolution may not be successful.</w:t>
      </w:r>
    </w:p>
    <w:p>
      <w:pPr>
        <w:spacing w:after="0" w:line="145"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 is undertaking brand extensions and new business initiatives. These initiatives represent new areas of growth for the Company and could include the offering of new products and services that may not be accepted by the market. The Company has recently explored initiatives in the fields of original content and in-home entertainment technology, both of which are intensely competitive businesses and which are dependent on consumer demand, over which the Company has no control. The Company is also exploring new technologies to connect the IMAX network to facilitate bringing more unique content, including broadcasts of live events, to IMAX theater audiences. If any new brand extensions and business initiatives in which the Company invests or attempts to develop does not progress as planned, the Company may be adversely affected by investment expenses that have not led to the anticipated results, by write-downs of its assets, by the distraction of management from its core business or by damage to its brand or reputation.</w:t>
      </w:r>
    </w:p>
    <w:p>
      <w:pPr>
        <w:spacing w:after="0" w:line="12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In addition, these initiatives may involve the formation of joint ventures and business alliances. While the Company seeks to employ the optimal structure for each such business alliance, the alliance may require a high level of cooperation with and reliance on the Company’s partners and there is a possibility that the Company may have disagreements with a relevant partner with respect to financing, technological management, product development, management strategies or otherwise. Any such disagreement may cause the joint venture or business alliance to be terminated.</w:t>
      </w:r>
    </w:p>
    <w:p>
      <w:pPr>
        <w:spacing w:after="0" w:line="131" w:lineRule="exact"/>
        <w:rPr>
          <w:sz w:val="20"/>
          <w:szCs w:val="20"/>
          <w:color w:val="auto"/>
        </w:rPr>
      </w:pPr>
    </w:p>
    <w:p>
      <w:pPr>
        <w:jc w:val="both"/>
        <w:ind w:firstLine="225"/>
        <w:spacing w:after="0" w:line="338" w:lineRule="auto"/>
        <w:rPr>
          <w:sz w:val="20"/>
          <w:szCs w:val="20"/>
          <w:color w:val="auto"/>
        </w:rPr>
      </w:pPr>
      <w:r>
        <w:rPr>
          <w:rFonts w:ascii="Arial" w:cs="Arial" w:eastAsia="Arial" w:hAnsi="Arial"/>
          <w:sz w:val="15"/>
          <w:szCs w:val="15"/>
          <w:b w:val="1"/>
          <w:bCs w:val="1"/>
          <w:i w:val="1"/>
          <w:iCs w:val="1"/>
          <w:color w:val="auto"/>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affect the Company’s financial performance.</w:t>
      </w:r>
    </w:p>
    <w:p>
      <w:pPr>
        <w:spacing w:after="0" w:line="103"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robust procedures, internal policies and technological security measures to safeguard such content and information, as well as a cyber-security insurance policy, the Company’s information technology systems, and the information technology systems of our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The Company’s information technology infrastructure may be vulnerable to such attacks, including through the use of malware, software bugs, computer viruses, ransomware, social engineering, and denial of service. It is possible that such attacks could compromise the Company’s security measures or the security measures of parties with whom the Company does business. Because the techniques that may be used to circumvent the Company’s safeguards change frequently and may be difficult to detect, the Company may be unable to anticipate any new techniques or implement sufficient preventive security measures. The Company seeks to monitor such attempts and incidents and to prevent their recurrence through modifications to the Company’s internal procedures and information technology infrastructure and provides information security training and compliance program to its employees on an annual basis, but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of the Company’s business and products, and significant legal and financial exposure, each of which could potentially have an adverse effect on the Company’s business.</w:t>
      </w:r>
    </w:p>
    <w:p>
      <w:pPr>
        <w:spacing w:after="0" w:line="152"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In addition, a variety of laws and regulations at the international, national, and state level govern the Company’s collection, use, protection and processing of personal data. These laws, including the General Data Protection Regulation and the California Consumer Privacy Act,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and damage to the Company’s reputation, among other negative consequences, any of which could have a material adverse effect on its financial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THE COMPANY’S INTERNATIONAL OPERATIONS</w:t>
      </w:r>
    </w:p>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3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A significant portion of the GBO generated by the Company’s exhibitor customers and its revenues are generated by customers located outside the United States and Canada. Approximately 70%, 77%, and 66% of the Company’s revenues were derived outside of the United States and Canada in 2021, 2020 and 2019, respectively. As of December 31, 2021, approximately 74% of IMAX Theater Systems in backlog are scheduled to be installed in international markets. The Company’s network spanned 87 different countries as of December 31, 2021,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139" w:lineRule="exact"/>
        <w:rPr>
          <w:sz w:val="20"/>
          <w:szCs w:val="20"/>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restrictions on access to markets, both for IMAX Theater Systems and films;</w:t>
      </w:r>
    </w:p>
    <w:p>
      <w:pPr>
        <w:spacing w:after="0" w:line="182" w:lineRule="exact"/>
        <w:rPr>
          <w:rFonts w:ascii="Arial" w:cs="Arial" w:eastAsia="Arial" w:hAnsi="Arial"/>
          <w:sz w:val="18"/>
          <w:szCs w:val="18"/>
          <w:color w:val="auto"/>
        </w:rPr>
      </w:pPr>
    </w:p>
    <w:p>
      <w:pPr>
        <w:ind w:left="900" w:right="20" w:hanging="450"/>
        <w:spacing w:after="0" w:line="27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unusual or burdensome foreign laws or regulatory requirements or unexpected changes to those laws or requirements, including censorship of content that may restrict what films the Company’s theaters can present;</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value of various foreign currencies versus the U.S. Dollar and potential currency devaluations;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tariffs, trade protection measures, import or export licensing requirements, trade embargoes, sanctions, and other trade barriers;</w:t>
      </w:r>
    </w:p>
    <w:p>
      <w:pPr>
        <w:spacing w:after="0" w:line="193" w:lineRule="exact"/>
        <w:rPr>
          <w:rFonts w:ascii="Arial" w:cs="Arial" w:eastAsia="Arial" w:hAnsi="Arial"/>
          <w:sz w:val="17"/>
          <w:szCs w:val="17"/>
          <w:color w:val="auto"/>
        </w:rPr>
      </w:pPr>
    </w:p>
    <w:p>
      <w:pPr>
        <w:ind w:left="900" w:right="20" w:hanging="450"/>
        <w:spacing w:after="0" w:line="27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foreign exchange controls in foreign jurisdictions;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foreign distributors and their sales channels;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local partners, including in connection with joint revenue sharing arrangements;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8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complete installations of IMAX Theater Systems, including as a result of material disruptions or delays in the Company’s supply chains, or collect full payment on installations thereof;</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practices that can present challenges to compliance with applicable anti-corruption and bribery laws;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establishing market-appropriate pricing;</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accurate and/or less reliable box office reporting;</w:t>
      </w:r>
    </w:p>
    <w:p>
      <w:pPr>
        <w:spacing w:after="0" w:line="18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recognition of intellectual property rights;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contractual rights;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ind w:left="900" w:hanging="450"/>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requirements to provide performance bonds and letters of credit to international customers to secure system component deliveries;</w:t>
      </w:r>
    </w:p>
    <w:p>
      <w:pPr>
        <w:spacing w:after="0" w:line="193" w:lineRule="exact"/>
        <w:rPr>
          <w:rFonts w:ascii="Arial" w:cs="Arial" w:eastAsia="Arial" w:hAnsi="Arial"/>
          <w:sz w:val="17"/>
          <w:szCs w:val="17"/>
          <w:color w:val="auto"/>
        </w:rPr>
      </w:pPr>
    </w:p>
    <w:p>
      <w:pPr>
        <w:ind w:left="900" w:hanging="450"/>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harm to the IMAX brand from operating in countries with records of controversial government action, including human rights abuses; and</w:t>
      </w:r>
    </w:p>
    <w:p>
      <w:pPr>
        <w:spacing w:after="0" w:line="193" w:lineRule="exact"/>
        <w:rPr>
          <w:rFonts w:ascii="Arial" w:cs="Arial" w:eastAsia="Arial" w:hAnsi="Arial"/>
          <w:sz w:val="17"/>
          <w:szCs w:val="17"/>
          <w:color w:val="auto"/>
        </w:rPr>
      </w:pPr>
    </w:p>
    <w:p>
      <w:pPr>
        <w:ind w:left="900" w:hanging="450"/>
        <w:spacing w:after="0" w:line="27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economic and social instability, which could result in adverse consequences for the Company’s interests in different regions of the world (including with respect to Russia, in connection with its conflict with Ukraine).</w:t>
      </w:r>
    </w:p>
    <w:p>
      <w:pPr>
        <w:spacing w:after="0" w:line="13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Company faces risks in connection with its significant presence in China and the continued expansion of its business there.</w:t>
      </w:r>
    </w:p>
    <w:p>
      <w:pPr>
        <w:spacing w:after="0" w:line="194"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Greater China is the Company’s largest market by revenue, with approximately 44% of overall revenues generated from its Greater China operations in 2021. As of December 31, 2021, the Company had 783 theaters operating in Greater China with an additional 215 theaters in backlog, which represent 44% of the Company’s current backlog. Of the IMAX Theater Systems currently scheduled to be installed in Greater China, 67% are under joint revenue sharing arrangements, which further increases the Company’s ongoing exposure to box office performance in this market.</w:t>
      </w:r>
    </w:p>
    <w:p>
      <w:pPr>
        <w:spacing w:after="0" w:line="13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China market faces a number of risks, including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worsening of U.S.–China political tensions could exacerbate any or all of these risks, and adverse developments in any of these areas could impact the Company’s future revenues and cash flows and could cause the Company to fail to achieve anticipated growth.</w:t>
      </w:r>
    </w:p>
    <w:p>
      <w:pPr>
        <w:spacing w:after="0" w:line="16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in the PRC, as well as other requirements concerning operations of foreign businesses in the PRC, are evolving, and their enactment timetable, interpretation and implementation involve significant uncertainties. To the extent any PRC laws and regulations become applicable to the Company, it may be subject to the risks and uncertainties associated with the legal system in the PRC, including with respect to the enforcement of laws and the possibility of changes of rules and regulations with little or no advance notice.</w:t>
      </w:r>
    </w:p>
    <w:p>
      <w:pPr>
        <w:spacing w:after="0" w:line="143"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Certain risks and uncertainties of doing business in China are solely within the control of the Chinese government, and Chinese law regulates both the scope of the Company’s continued expansion in China and the business conducted by it within China. For instance, the Chinese government regulates the number, timing, and terms of Hollywood films released to the China market. A number of prominent Hollywood films were denied release dates in China in 2020 and 2021, including several films released in IMAX format in other markets. The Company cannot provide assurance that the Chinese government will continue to permit the release of Hollywood IMAX films in China or that the timing or number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b w:val="1"/>
          <w:bCs w:val="1"/>
          <w:i w:val="1"/>
          <w:iCs w:val="1"/>
          <w:color w:val="auto"/>
        </w:rPr>
        <w:t>The Company may experience adverse effects due to exchange rate fluctuations.</w:t>
      </w:r>
    </w:p>
    <w:p>
      <w:pPr>
        <w:spacing w:after="0" w:line="196"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A substantial portion of the Company’s revenues are denominated in U.S. Dollars, while a substantial portion of its expenses are denominated in Canadian Dollars. The Company also generates revenues in Chinese Yuan Renminbi, Euros and Japanese Yen. While the Company periodically enters into forward contracts to hedge its exposure to exchange rate fluctuations between the U.S. and the Canadian Dollar, the Company may not be successful in reducing its exposure to these fluctuations. The use of derivative contracts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 In addition, because IMAX films generate box office revenue in 87 different countries, unfavorable exchange rates between applicable local currencies and the U.S. Dollar could affect the GBO generated by exhibitors and the Company’s reported revenues, further impacting the Company’s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THE COMPANY’S INDUSTRY AND COMPETITIVE ENVIRONMENT</w:t>
      </w:r>
    </w:p>
    <w:p>
      <w:pPr>
        <w:spacing w:after="0" w:line="18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b w:val="1"/>
          <w:bCs w:val="1"/>
          <w:i w:val="1"/>
          <w:iCs w:val="1"/>
          <w:color w:val="auto"/>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spacing w:after="0" w:line="144"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Company’s primary customers are commercial multiplex exhibitors. The commercial exhibition industry has undergone significant consolidation, including AMC’s acquisition of Carmike Cinemas and Odeon &amp; UCI Cinemas Group, which includes Nordic Cinema Group, in 2016. In recent years, the industry has continued to consolidate, as evidenced by Cineworld Group’s acquisition of Regal Entertainment Group in 2018. Exhibitor concentration has resulted in certain exhibitor chains constituting a material portion of the Company’s network and revenue. For instance, although Wanda sold its controlling interest in AMC in 2021, it continues to be the Company’s largest exhibitor customer, representing approximately 10% of the Company’s total revenues in 2021. As of December 31, 2021, through the Company’s partnership with Wanda, there are 369 IMAX Theater Systems operational in Greater China and Wanda represented approximately 22% of the commercial network and 4% of the Company’s backlog. The share of the Company’s revenue that is generated by Wanda is expected to continue to grow as the number of Wanda theater systems currently in backlog are opened. No assurance can be given that significant customers such as Wanda will continue to purchase IMAX Theater Systems and/or enter into joint revenue sharing arrangements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spacing w:after="0" w:line="12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also receives revenues from studios releasing IMAX films. Hollywood studios have also experienced consolidation, as evidenced by the Walt Disney Company’s acquisition of certain studio assets from Twenty First Century Fox in 2019. Studio consolidation could result in individual studios comprising a greater percentage of the Company’s film slate and overall IMAX DMR revenue, and could expose the Company to the same risks described above in connection with exhibitor consolidation.</w:t>
      </w:r>
    </w:p>
    <w:p>
      <w:pPr>
        <w:spacing w:after="0" w:line="14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Failure to respond adequately or in a timely fashion to changes and advancements in digital technology could negatively affect the Company’s business.</w:t>
      </w:r>
    </w:p>
    <w:p>
      <w:pPr>
        <w:spacing w:after="0" w:line="14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There have been a number of advancements in the digital cinema field in recent years. In order to keep pace with these changes and in order to continue to provide an experience that is premium to and differentiated from conventional cinema experiences, the Company has made, and expects to continue to make, significant investments in digital technology in the form of research and development and the acquisition of third-party intellectual property and/or proprietary technology. A significant portion of the Company’s recent research and development efforts have been focused on its laser-based projection systems, which began rolling out to the largest theaters in the IMAX network at the end of 2014. Since then, the Company has continued research and development aimed at creating more affordable laser-based solutions with various screen sizes for its commercial multiplex customers.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will be developed within the timeframe expected.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b w:val="1"/>
          <w:bCs w:val="1"/>
          <w:i w:val="1"/>
          <w:iCs w:val="1"/>
          <w:color w:val="auto"/>
        </w:rPr>
        <w:t>The introduction of new, competing products and technologies could harm the Company’s business.</w:t>
      </w:r>
    </w:p>
    <w:p>
      <w:pPr>
        <w:spacing w:after="0" w:line="19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out-of-home entertainment industry is very competitive, and the Company faces a number of competitive challenges. The Company faces competition both in the form of technological advances in in-home entertainment, as well as those within the theater-going experience. For example, according to the National Association of Theater Owners and the Movie Theater Association of Canada, as of December 31, 2020, there were approximately 43,800 conventional-sized screens in North American commercial multiplexes. In addition, exhibitors and entertainment technology companies have introduced their own branded, large-screen 3D auditoriums or other proprietary theater systems, and in many cases have marketed those auditoriums or theater systems as having similar quality or attributes as an IMAX Theater System. The Company may continue to face competition in the future from companies in the entertainment industry with new technologies and/or substantially greater capital resources to develop and support them. If the Company is unable to continue to deliver a premium movie-going experience, or if other technologies surpass those of the Company, the Company may be unable to continue to produce theater systems which are premium to, or differentiated from, other theater systems.</w:t>
      </w:r>
    </w:p>
    <w:p>
      <w:pPr>
        <w:spacing w:after="0" w:line="143"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As noted above, the Company faces in-home competition from a number of alternative motion picture distribution channels such as home video, pay-per-view, streaming services, video-on-demand, internet, and broadcast and cable television. The average exclusive theatrical release window for Hollywood titles has decreased over the years and there can be no assurance that this release window, which is determined by the movie studios, will not shrink further, which could have an adverse impact on the Company’s business and results of operations. In addition, as a result of the COVID-19 pandemic and related movie theater closures, in 2020 and 2021, a number of films were released directly or concurrently to streaming services the same day as to theaters. In the third quarter of 2021, many major film studios recommitted to exclusive theatrical releases for blockbuster movies. However, there can be no assurance that direct or concurrent release to streaming services will not resume or increase in the future, intensifying in-home competition. The Company further competes for the public’s leisure time and disposable income with other forms of entertainment, including gaming, sporting events, concerts, live theater, social media, and restaurants.</w:t>
      </w:r>
    </w:p>
    <w:p>
      <w:pPr>
        <w:spacing w:after="0" w:line="14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If the Company is unable to continue to produce a differentiated theater experience, consumers may be unwilling to pay the price premiums associated with the cost of IMAX theater tickets and box office performance of IMAX films may decline. Declining box-office performance of IMAX films could materially and adversely harm the Company’s business and prospects.</w:t>
      </w:r>
    </w:p>
    <w:p>
      <w:pPr>
        <w:spacing w:after="0" w:line="157"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b w:val="1"/>
          <w:bCs w:val="1"/>
          <w:i w:val="1"/>
          <w:iCs w:val="1"/>
          <w:color w:val="auto"/>
        </w:rPr>
        <w:t>The Company may not be able to adequately protect its intellectual property, and competitors could misappropriate its technology or brand, which could weaken its competitive position.</w:t>
      </w:r>
    </w:p>
    <w:p>
      <w:pPr>
        <w:spacing w:after="0" w:line="13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depends on its proprietary knowledge regarding IMAX Theater Systems and digital and film technology.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future growth of the Company is anticipated to come from foreign jurisdictions. Finally, some of the underlying technologies of the Company’s products and system components are not covered by patents or patent applications.</w:t>
      </w:r>
    </w:p>
    <w:p>
      <w:pPr>
        <w:spacing w:after="0" w:line="143"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owns patents issued and patent applications pending, including those covering its digital projector, digital conversion technology and laser illumination technology. The Company’s patents are filed in the United States, often with corresponding patents or filed applications in other jurisdictions, such as Canada, China, Belgium, Japan, France, Germany, and the United Kingdom. The patent applications pending may not be issued or the patents may not provide the Company with any competitive advantage. The patent applications may also be challenged by third parties. Several of the Company’s issued patents for improvements to IMAX projection system components expire between 2022 and 2038. If the Company’s patent claims are rendered invalid or unenforceable, or narrowed in scope, the patent coverage afforded the Company’s products and services could be impaired, which could negatively affect its competitive position. In addition, competitors and other third parties may be able to circumvent or design around the Company’s patents and may develop and obtain patent protection for more effective technologies. If these developments were to occur, it could have an adverse effect on the Company’s sales or market position.</w:t>
      </w:r>
    </w:p>
    <w:p>
      <w:pPr>
        <w:spacing w:after="0" w:line="15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Any claims or litigation initiated by the Company to protect its proprietary technology could be time consuming, costly, and divert the attention of its technical and management resources. If the Company chooses to go to court to stop a third party from infringing its intellectual property, that third party may ask the court to rule that the Company’s intellectual property rights are invalid and/or should not be enforced against that third party.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5" w:name="page26"/>
    <w:bookmarkEnd w:id="25"/>
    <w:p>
      <w:pPr>
        <w:jc w:val="both"/>
        <w:ind w:firstLine="225"/>
        <w:spacing w:after="0" w:line="289" w:lineRule="auto"/>
        <w:rPr>
          <w:sz w:val="20"/>
          <w:szCs w:val="20"/>
          <w:color w:val="auto"/>
        </w:rPr>
      </w:pPr>
      <w:r>
        <w:rPr>
          <w:rFonts w:ascii="Arial" w:cs="Arial" w:eastAsia="Arial" w:hAnsi="Arial"/>
          <w:sz w:val="16"/>
          <w:szCs w:val="16"/>
          <w:color w:val="auto"/>
        </w:rPr>
        <w:t>The Company relies upon trade secrets and other confidential and proprietary know how to develop and maintain the Company’s competitive position. While it is the Company’s policy to enter into agreements imposing nondisclosure and confidentiality obligations upon its employees and third parties to protect the Company’s intellectual property, these obligations may be breached, may not provide meaningful protection for the Company’s trade secrets or proprietary know how, or adequate remedies may not be available in the event of an unauthorized access, use or disclosure of the Company’s trade secrets and know 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spacing w:after="0" w:line="14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IMAX brand stands for the highest quality and most immersive entertainment experiences.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or declared generic or determined to be infringing on other marks, it could have an adverse effect on the Company’s sales or market position.</w:t>
      </w:r>
    </w:p>
    <w:p>
      <w:pPr>
        <w:spacing w:after="0" w:line="15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b w:val="1"/>
          <w:bCs w:val="1"/>
          <w:i w:val="1"/>
          <w:iCs w:val="1"/>
          <w:color w:val="auto"/>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p>
    <w:p>
      <w:pPr>
        <w:spacing w:after="0" w:line="143"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Company’s commercial success will depend in part on not infringing, misappropriating, or violating the intellectual property rights of others. A third party could assert a claim against the Company for alleged infringement of its patent, copyright, trademark, or other intellectual property rights, including in relation to technologies that are important to the Company’s business. The Company 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w:t>
      </w:r>
    </w:p>
    <w:p>
      <w:pPr>
        <w:spacing w:after="0" w:line="162"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we enter into royalty or licensing arrangements with the prevailing party or are able to redesign our products and services to avoid infringement. Any such license may not be available on reasonable terms, if at all, and there can be no assurance that the Company would be able to redesign its services in a way that would not infringe the intellectual property rights of others. Any payments the Company is required to make and any injunction the Company is required to comply with as a result of any infringement could harm its reputation and financial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REVENUES, EARNINGS, AND FINANCIAL POSITION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Company’s operating results and cash flow can vary substantially from period to period and could increase the volatility of its share price.</w:t>
      </w:r>
    </w:p>
    <w:p>
      <w:pPr>
        <w:spacing w:after="0" w:line="219"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The Company’s operating results and cash flow can fluctuate substantially from period to period. In particular, fluctuations in IMAX Theater System installations and GBO performance of IMAX films can materially affect operating results. Factors that have affected the Company’s operating results and cash flow in the past, and are likely to affect its operating results and cash flow in the future, include, among other things:</w:t>
      </w:r>
    </w:p>
    <w:p>
      <w:pPr>
        <w:spacing w:after="0" w:line="125" w:lineRule="exact"/>
        <w:rPr>
          <w:sz w:val="20"/>
          <w:szCs w:val="20"/>
          <w:color w:val="auto"/>
        </w:rPr>
      </w:pPr>
    </w:p>
    <w:p>
      <w:pPr>
        <w:ind w:left="900" w:right="20" w:hanging="450"/>
        <w:spacing w:after="0" w:line="27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signing and installation of new IMAX Theater Systems (particularly for installations in newly-built multiplexes, which can result in delays that are beyond the Company’s control);</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commercial success of films distributed to the Company’s theater network;</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and acceptance of, the Company’s products and services;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6" w:name="page27"/>
    <w:bookmarkEnd w:id="26"/>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recognition of revenue of sales and sales-type leases;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classification of leases as sales-type versus operating;</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of orders received and that can be filled in the quarter;</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its sales backlog;</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signing of film distribution agreements;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performance of IMAX theaters operated by the Company’s customers;</w:t>
      </w:r>
    </w:p>
    <w:p>
      <w:pPr>
        <w:spacing w:after="0" w:line="182"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difficulties faced by customers, particularly customers in the commercial exhibition industry;</w:t>
      </w:r>
    </w:p>
    <w:p>
      <w:pPr>
        <w:spacing w:after="0" w:line="182" w:lineRule="exact"/>
        <w:rPr>
          <w:rFonts w:ascii="Arial" w:cs="Arial" w:eastAsia="Arial" w:hAnsi="Arial"/>
          <w:sz w:val="18"/>
          <w:szCs w:val="18"/>
          <w:color w:val="auto"/>
        </w:rPr>
      </w:pPr>
    </w:p>
    <w:p>
      <w:pPr>
        <w:ind w:left="900" w:right="20" w:hanging="450"/>
        <w:spacing w:after="0" w:line="27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magnitude and timing of spending in relation to the Company’s research and development efforts and related investments, as well as new business initiatives; and</w:t>
      </w:r>
    </w:p>
    <w:p>
      <w:pPr>
        <w:spacing w:after="0" w:line="131" w:lineRule="exact"/>
        <w:rPr>
          <w:rFonts w:ascii="Arial" w:cs="Arial" w:eastAsia="Arial" w:hAnsi="Arial"/>
          <w:sz w:val="18"/>
          <w:szCs w:val="18"/>
          <w:color w:val="auto"/>
        </w:rPr>
      </w:pPr>
    </w:p>
    <w:p>
      <w:pPr>
        <w:ind w:left="900" w:hanging="450"/>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and timing of joint revenue sharing arrangement installations, related capital expenditures, and timing of related cash receipts.</w:t>
      </w:r>
    </w:p>
    <w:p>
      <w:pPr>
        <w:spacing w:after="0" w:line="205"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Most of the Company’s operating expenses are fixed in the short term. The Company may be unable to rapidly adjust its spending to compensate for any unexpected shortfall in sales, joint revenue sharing arrangements revenue or IMAX DMR revenue, which would harm operating results for a particular period.</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Company’s theater system revenue can vary significantly from its cash flows under IMAX Theater System sales or lease agreements.</w:t>
      </w:r>
    </w:p>
    <w:p>
      <w:pPr>
        <w:spacing w:after="0" w:line="205"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The Company’s theater system revenue can vary significantly from the associated cash flows. The Company often provides financing to customers for IMAX Theater Systems on a long-term basis through long-term sale or lease arrangements. The terms of leases or financing receivables are typically 10 to 12 years. The sale and sales-type lease agreements for IMAX Theater Systems typically provide for three major sources of cash flow:</w:t>
      </w:r>
    </w:p>
    <w:p>
      <w:pPr>
        <w:spacing w:after="0" w:line="148" w:lineRule="exact"/>
        <w:rPr>
          <w:sz w:val="20"/>
          <w:szCs w:val="20"/>
          <w:color w:val="auto"/>
        </w:rPr>
      </w:pPr>
    </w:p>
    <w:p>
      <w:pPr>
        <w:ind w:left="900" w:hanging="450"/>
        <w:spacing w:after="0" w:line="27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initial fees, which are paid in installments generally commencing upon the signing of the agreement until installation of the IMAX Theater System;</w:t>
      </w:r>
    </w:p>
    <w:p>
      <w:pPr>
        <w:spacing w:after="0" w:line="171"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ongoing fees, which are paid monthly after the IMAX Theater System has been installed and are generally equal to the greater of a fixed minimum amount per annum and a percentage of box office receipts; and</w:t>
      </w:r>
    </w:p>
    <w:p>
      <w:pPr>
        <w:spacing w:after="0" w:line="171" w:lineRule="exact"/>
        <w:rPr>
          <w:rFonts w:ascii="Arial" w:cs="Arial" w:eastAsia="Arial" w:hAnsi="Arial"/>
          <w:sz w:val="18"/>
          <w:szCs w:val="18"/>
          <w:color w:val="auto"/>
        </w:rPr>
      </w:pPr>
    </w:p>
    <w:p>
      <w:pPr>
        <w:ind w:left="900" w:hanging="450"/>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ongoing annual maintenance and extended warranty fees, which are generally payable commencing in the second year of theater operations.</w:t>
      </w:r>
    </w:p>
    <w:p>
      <w:pPr>
        <w:spacing w:after="0" w:line="205"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Initial fees generally make up the vast majority of cash received under IMAX Theater System sales or sales-type lease agreements for a theater arrangement.</w:t>
      </w:r>
    </w:p>
    <w:p>
      <w:pPr>
        <w:spacing w:after="0" w:line="145"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For sales and sales-type leases, the revenue recorded is generally equal to the sum of initial fees and the present value of any future initial payments, and fixed minimum ongoing payments. Sales arrangements also include an estimate of future variable consideration due under the agreement. Cash received from initial fees in advance of meeting the revenue recognition criteria for the IMAX Theater Systems is recorded as deferred revenue.</w:t>
      </w:r>
    </w:p>
    <w:p>
      <w:pPr>
        <w:spacing w:after="0" w:line="108"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Leases that do not transfer substantially all of the benefits and risks of ownership to the customer are classified as operating leases. For these leases, initial fees and fixed minimum ongoing payments are recognized as revenue on a straight-line basis over the lease term. Contingent payments in excess of fixed minimum ongoing payments are recognized as revenue when reported by theater operators, provided collectability is reasonably assured.</w:t>
      </w:r>
    </w:p>
    <w:p>
      <w:pPr>
        <w:spacing w:after="0" w:line="10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under its lease and sale agreements if its customers default on their payment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b w:val="1"/>
          <w:bCs w:val="1"/>
          <w:i w:val="1"/>
          <w:iCs w:val="1"/>
          <w:color w:val="auto"/>
        </w:rPr>
        <w:t>The Company may not convert all of its backlog into revenue and cash flows.</w:t>
      </w:r>
    </w:p>
    <w:p>
      <w:pPr>
        <w:spacing w:after="0" w:line="19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As of December 31, 2021, the Company’s backlog included 489 IMAX Theater Systems, consisting of 173 IMAX Theater Systems under sales or lease arrangements and 316 IMAX Theater Systems under joint revenue sharing arrangements. The Company lists signed contracts for IMAX Theater Systems for which revenue has not been recognized as backlog prior to the time of revenue recognition. The total value of the backlog represents all signed IMAX Theater System sale or lease agreements that are expected to be recognized as revenue in the future and includes initial fees along with the estimated present value of contractual ongoing fees due over the term, and a variable consideration estimate for the IMAX Theater Systems under sales arrangements, but it excludes amounts allocated to maintenance and extended warranty revenues. Notwithstanding the legal obligation to do so, some of the Company’s customers with which it has signed contracts may not accept delivery of IMAX Theater Systems that are included in the Company’s backlog. An economic downturn may exacerbate the risk of customers not accepting delivery of IMAX Theater Systems. Any reduction in backlog could adversely affect the Company’s future revenues and cash flows. In addition, customers with theater system obligations in backlog sometimes request that the Company agree to modify or reduce such obligations, which the Company has agreed to do in the past under certain circumstances. Customer-requested delays in the installation of IMAX Theater Systems in backlog remain a recurring and unpredictable part of the Company’s business.</w:t>
      </w:r>
    </w:p>
    <w:p>
      <w:pPr>
        <w:spacing w:after="0" w:line="12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The Company’s inability to enter into renewals of new sales and lease agreements on favorable terms or at all would adversely affect its cash flows and operating results.</w:t>
      </w:r>
    </w:p>
    <w:p>
      <w:pPr>
        <w:spacing w:after="0" w:line="13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Approximately 9% of the Company’s sales and lease agreements are due to expire in the next 12 months. If these agreements are not renewed, or if the Company is unable to enter into new leases agreements comparable to those currently in effect in a timely manner, then the Company’s theater revenue could be adversely affected. Although the Company has not been informed by any client of its intention not to renew an expiring sales or lease agreement, there can be no assurance that the expiring sales and lease agreements will be renewed or new agreements will be entered into on favorable terms, in a timely manner or at all.</w:t>
      </w:r>
    </w:p>
    <w:p>
      <w:pPr>
        <w:spacing w:after="0" w:line="16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The Company’s revenues from existing customers are derived in part from financial reporting provided by its customers, which may be inaccurate or incomplete, resulting in lost or delayed revenues.</w:t>
      </w:r>
    </w:p>
    <w:p>
      <w:pPr>
        <w:spacing w:after="0" w:line="131"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The Company’s revenue under its joint revenue sharing arrangements, a portion of the Company’s payments under lease or sales arrangements and its film distribution fees are based upon financial reporting provided by its customers. If such reporting is inaccurate, incomplete, or withheld, the Company’s ability to receive the appropriate payments it is owed in a timely fashion may be impaired. The Company’s contractual ability to audit IMAX theaters may not rectify payments lost or delayed as a result of customers not fulfilling their contractual obligations with respect to financial reporting.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collection risk associated with payments to be received over the terms of the Company’s theater system agreements.</w:t>
      </w:r>
    </w:p>
    <w:p>
      <w:pPr>
        <w:spacing w:after="0" w:line="19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Company may be subject to impairment losses on its film assets if such assets do not meet management’s estimates of total revenues.</w:t>
      </w:r>
    </w:p>
    <w:p>
      <w:pPr>
        <w:spacing w:after="0" w:line="205"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amortizes its film assets, including IMAX DMR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be subject to impairment losses on its inventories if they become obsolete.</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records write-downs for excess and obsolete inventory based upon current estimates of future events and conditions, including the anticipated installation dates for the current backlog of theater system contracts, technological developments, signings in negotiation and anticipated market acceptance of the Company’s current and pending IMAX Theater Systems.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8" w:name="page29"/>
    <w:bookmarkEnd w:id="28"/>
    <w:p>
      <w:pPr>
        <w:ind w:left="240"/>
        <w:spacing w:after="0"/>
        <w:rPr>
          <w:sz w:val="20"/>
          <w:szCs w:val="20"/>
          <w:color w:val="auto"/>
        </w:rPr>
      </w:pPr>
      <w:r>
        <w:rPr>
          <w:rFonts w:ascii="Arial" w:cs="Arial" w:eastAsia="Arial" w:hAnsi="Arial"/>
          <w:sz w:val="16"/>
          <w:szCs w:val="16"/>
          <w:b w:val="1"/>
          <w:bCs w:val="1"/>
          <w:i w:val="1"/>
          <w:iCs w:val="1"/>
          <w:color w:val="auto"/>
        </w:rPr>
        <w:t>If the Company’s goodwill or long-lived assets become impaired, the Company may be required to record a significant charge to earnings.</w:t>
      </w:r>
    </w:p>
    <w:p>
      <w:pPr>
        <w:spacing w:after="0" w:line="219"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Under United States Generally Accepted Accounting Principles (“U.S. GAAP”), the Company reviews its long-lived assets for impairment when events or changes in circumstances indicate the carrying value may not be recoverable. Goodwill is required to be qualitatively assessed at least annually and when events or changes in circumstances arise or can be quantitatively tested for impairment. Factors that may be considered a change in circumstances include (but are not limited to) a decline in stock price and market capitalization, declines in future cash flows, and slower growth rates in the Company’s industry. The Company may be required to record a significant charge to earnings in its financial statements during the period in which any impairment of its goodwill or long-lived assets is determined.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SHARES</w:t>
      </w:r>
    </w:p>
    <w:p>
      <w:pPr>
        <w:spacing w:after="0" w:line="18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b w:val="1"/>
          <w:bCs w:val="1"/>
          <w:i w:val="1"/>
          <w:iCs w:val="1"/>
          <w:color w:val="auto"/>
        </w:rPr>
        <w:t>The market price for the Company’s common shares has historically been volatile and declines in market price, including as a result of a market downturn resulting from the COVID-19 pandemic or otherwise, may negatively affect its ability to raise capital, issue debt, secure customer business, and retain employees.</w:t>
      </w:r>
    </w:p>
    <w:p>
      <w:pPr>
        <w:spacing w:after="0" w:line="157"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its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12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Because the Company is incorporated in Canada, it may be difficult for plaintiffs to enforce against the Company liabilities based solely upon United States federal securities laws.</w:t>
      </w:r>
    </w:p>
    <w:p>
      <w:pPr>
        <w:spacing w:after="0" w:line="131"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United States plaintiffs to effect service within the United States upon those directors or officers who are not residents of the United States, or to obtain or enforce against them or the Company judgments of United States courts predicated solely upon civil liability under the United States federal securities laws. In addition, it may be difficult for plaintiffs to bring an original action outside of the United States against the Company to enforce liabilities based solely on United States federal securities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INDEBTEDNESS</w:t>
      </w:r>
    </w:p>
    <w:p>
      <w:pPr>
        <w:spacing w:after="0" w:line="22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b w:val="1"/>
          <w:bCs w:val="1"/>
          <w:i w:val="1"/>
          <w:iCs w:val="1"/>
          <w:color w:val="auto"/>
        </w:rPr>
        <w:t>The credit agreement governing the Company’s senior secured credit facility contains significant restrictions that limit its operating and financial flexibility.</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credit agreement governing the Company’s senior secured credit facility contains certain restrictive covenants that, among other things, limit its ability to:</w:t>
      </w:r>
    </w:p>
    <w:p>
      <w:pPr>
        <w:spacing w:after="0" w:line="172" w:lineRule="exact"/>
        <w:rPr>
          <w:sz w:val="20"/>
          <w:szCs w:val="20"/>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 stock;</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or sell stock of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9" w:name="page30"/>
    <w:bookmarkEnd w:id="29"/>
    <w:p>
      <w:pPr>
        <w:ind w:left="900" w:hanging="450"/>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dividend or other payment restrictions affecting restricted subsidiaries; and</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consolidate, amalgamate, or sell all or substantially all of its assets to another person.</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These restrictive covenants impose operating and financial restrictions on the Company that limit its ability to engage in acts that may be in the Company’s long-term best interests.</w:t>
      </w:r>
    </w:p>
    <w:p>
      <w:pPr>
        <w:spacing w:after="0" w:line="145" w:lineRule="exact"/>
        <w:rPr>
          <w:sz w:val="20"/>
          <w:szCs w:val="20"/>
          <w:color w:val="auto"/>
        </w:rPr>
      </w:pPr>
    </w:p>
    <w:p>
      <w:pPr>
        <w:jc w:val="both"/>
        <w:ind w:right="20" w:firstLine="285"/>
        <w:spacing w:after="0" w:line="274" w:lineRule="auto"/>
        <w:rPr>
          <w:sz w:val="20"/>
          <w:szCs w:val="20"/>
          <w:color w:val="auto"/>
        </w:rPr>
      </w:pPr>
      <w:r>
        <w:rPr>
          <w:rFonts w:ascii="Arial" w:cs="Arial" w:eastAsia="Arial" w:hAnsi="Arial"/>
          <w:sz w:val="18"/>
          <w:szCs w:val="18"/>
          <w:b w:val="1"/>
          <w:bCs w:val="1"/>
          <w:i w:val="1"/>
          <w:iCs w:val="1"/>
          <w:color w:val="212529"/>
        </w:rPr>
        <w:t xml:space="preserve">The </w:t>
      </w:r>
      <w:r>
        <w:rPr>
          <w:rFonts w:ascii="Arial" w:cs="Arial" w:eastAsia="Arial" w:hAnsi="Arial"/>
          <w:sz w:val="18"/>
          <w:szCs w:val="18"/>
          <w:b w:val="1"/>
          <w:bCs w:val="1"/>
          <w:i w:val="1"/>
          <w:iCs w:val="1"/>
          <w:color w:val="000000"/>
        </w:rPr>
        <w:t>Company’s indebtedness and liabilities could limit the cash flow available for its operations, expose the Company to risks that could adversely</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affect its business, financial condition, and results of operations.</w:t>
      </w:r>
    </w:p>
    <w:p>
      <w:pPr>
        <w:spacing w:after="0" w:line="172" w:lineRule="exact"/>
        <w:rPr>
          <w:sz w:val="20"/>
          <w:szCs w:val="20"/>
          <w:color w:val="auto"/>
        </w:rPr>
      </w:pPr>
    </w:p>
    <w:p>
      <w:pPr>
        <w:jc w:val="both"/>
        <w:ind w:firstLine="289"/>
        <w:spacing w:after="0" w:line="261"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December 31, 2021</w:t>
      </w:r>
      <w:r>
        <w:rPr>
          <w:rFonts w:ascii="Arial" w:cs="Arial" w:eastAsia="Arial" w:hAnsi="Arial"/>
          <w:sz w:val="18"/>
          <w:szCs w:val="18"/>
          <w:color w:val="212529"/>
        </w:rPr>
        <w:t>, the Company had approximately $361.5 million of consolidated indebtedness.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spacing w:after="0" w:line="184" w:lineRule="exact"/>
        <w:rPr>
          <w:sz w:val="20"/>
          <w:szCs w:val="20"/>
          <w:color w:val="auto"/>
        </w:rPr>
      </w:pPr>
    </w:p>
    <w:p>
      <w:pPr>
        <w:ind w:left="900" w:hanging="450"/>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its vulnerability to adverse economic and industry conditions;</w:t>
      </w:r>
    </w:p>
    <w:p>
      <w:pPr>
        <w:spacing w:after="0" w:line="222" w:lineRule="exact"/>
        <w:rPr>
          <w:rFonts w:ascii="Arial" w:cs="Arial" w:eastAsia="Arial" w:hAnsi="Arial"/>
          <w:sz w:val="18"/>
          <w:szCs w:val="18"/>
          <w:color w:val="auto"/>
        </w:rPr>
      </w:pPr>
    </w:p>
    <w:p>
      <w:pPr>
        <w:ind w:left="900" w:hanging="450"/>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its ability to obtain additional financing;</w:t>
      </w:r>
    </w:p>
    <w:p>
      <w:pPr>
        <w:spacing w:after="0" w:line="22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its cash flow from operations to service its indebtedness, which will reduce the amount of cash available for other purposes;</w:t>
      </w:r>
    </w:p>
    <w:p>
      <w:pPr>
        <w:spacing w:after="0" w:line="171" w:lineRule="exact"/>
        <w:rPr>
          <w:rFonts w:ascii="Arial" w:cs="Arial" w:eastAsia="Arial" w:hAnsi="Arial"/>
          <w:sz w:val="18"/>
          <w:szCs w:val="18"/>
          <w:color w:val="auto"/>
        </w:rPr>
      </w:pPr>
    </w:p>
    <w:p>
      <w:pPr>
        <w:ind w:left="900" w:hanging="450"/>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its flexibility to plan for, or react to, changes in its business;</w:t>
      </w:r>
    </w:p>
    <w:p>
      <w:pPr>
        <w:spacing w:after="0" w:line="222"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diluting the interests of its shareholders as a result of issuing common shares upon conversion of the 0.500% Convertible Senior Notes due 2026 (the “Convertible Notes”); and</w:t>
      </w:r>
    </w:p>
    <w:p>
      <w:pPr>
        <w:spacing w:after="0" w:line="171" w:lineRule="exact"/>
        <w:rPr>
          <w:rFonts w:ascii="Arial" w:cs="Arial" w:eastAsia="Arial" w:hAnsi="Arial"/>
          <w:sz w:val="18"/>
          <w:szCs w:val="18"/>
          <w:color w:val="auto"/>
        </w:rPr>
      </w:pPr>
    </w:p>
    <w:p>
      <w:pPr>
        <w:ind w:left="900" w:hanging="450"/>
        <w:spacing w:after="0" w:line="27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the Company at a possible competitive disadvantage with competitors that are less leveraged than the Company or have better access to capital.</w:t>
      </w:r>
    </w:p>
    <w:p>
      <w:pPr>
        <w:spacing w:after="0" w:line="131" w:lineRule="exact"/>
        <w:rPr>
          <w:sz w:val="20"/>
          <w:szCs w:val="20"/>
          <w:color w:val="auto"/>
        </w:rPr>
      </w:pPr>
    </w:p>
    <w:p>
      <w:pPr>
        <w:jc w:val="both"/>
        <w:ind w:firstLine="289"/>
        <w:spacing w:after="0" w:line="291" w:lineRule="auto"/>
        <w:rPr>
          <w:sz w:val="20"/>
          <w:szCs w:val="20"/>
          <w:color w:val="auto"/>
        </w:rPr>
      </w:pPr>
      <w:r>
        <w:rPr>
          <w:rFonts w:ascii="Arial" w:cs="Arial" w:eastAsia="Arial" w:hAnsi="Arial"/>
          <w:sz w:val="16"/>
          <w:szCs w:val="16"/>
          <w:color w:val="212529"/>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or to make payments under its indebtedness when due, then the Company would be in default under that indebtedness, which could, in turn, result in that and the Company’s other indebtedness becoming immediately payable in full. For a description of the Company outstanding indebtedness, see Note 14 of Notes to Consolidated Financial Statements in Part II, Item 8.</w:t>
      </w:r>
    </w:p>
    <w:p>
      <w:pPr>
        <w:spacing w:after="0" w:line="124" w:lineRule="exact"/>
        <w:rPr>
          <w:sz w:val="20"/>
          <w:szCs w:val="20"/>
          <w:color w:val="auto"/>
        </w:rPr>
      </w:pPr>
    </w:p>
    <w:p>
      <w:pPr>
        <w:jc w:val="both"/>
        <w:ind w:firstLine="289"/>
        <w:spacing w:after="0" w:line="261" w:lineRule="auto"/>
        <w:rPr>
          <w:sz w:val="20"/>
          <w:szCs w:val="20"/>
          <w:color w:val="auto"/>
        </w:rPr>
      </w:pPr>
      <w:r>
        <w:rPr>
          <w:rFonts w:ascii="Arial" w:cs="Arial" w:eastAsia="Arial" w:hAnsi="Arial"/>
          <w:sz w:val="18"/>
          <w:szCs w:val="18"/>
          <w:b w:val="1"/>
          <w:bCs w:val="1"/>
          <w:i w:val="1"/>
          <w:iCs w:val="1"/>
          <w:color w:val="212529"/>
        </w:rPr>
        <w:t>The Company may be unable to raise the funds necessary to repurchase the Convertible Notes for cash following a fundamental change, or to pay the cash amounts due upon conversion, and the Company’s other indebtedness may limit its ability to repurchase the Convertible Notes or pay cash upon their conversion.</w:t>
      </w:r>
    </w:p>
    <w:p>
      <w:pPr>
        <w:spacing w:after="0" w:line="157" w:lineRule="exact"/>
        <w:rPr>
          <w:sz w:val="20"/>
          <w:szCs w:val="20"/>
          <w:color w:val="auto"/>
        </w:rPr>
      </w:pPr>
    </w:p>
    <w:p>
      <w:pPr>
        <w:jc w:val="both"/>
        <w:ind w:firstLine="289"/>
        <w:spacing w:after="0" w:line="268" w:lineRule="auto"/>
        <w:rPr>
          <w:sz w:val="20"/>
          <w:szCs w:val="20"/>
          <w:color w:val="auto"/>
        </w:rPr>
      </w:pPr>
      <w:r>
        <w:rPr>
          <w:rFonts w:ascii="Arial" w:cs="Arial" w:eastAsia="Arial" w:hAnsi="Arial"/>
          <w:sz w:val="17"/>
          <w:szCs w:val="17"/>
          <w:color w:val="212529"/>
        </w:rPr>
        <w:t>Noteholders may, subject to a limited exception described in the indenture governing the Convertible Notes, require the Company to repurchase their Convertible Notes following a fundamental change at a cash repurchase price generally equal to the principal amount of the Convertible Notes to be repurchased, plus accrued and unpaid interest, if any. In addition, all conversions of Convertible Notes will be settled partially or entirely in cash. The Company may not have enough available cash or be able to obtain financing at the time it is required to repurchase the Convertible Notes or pay the cash amounts due upon conversion. In addition, applicable law, regulatory authorities and the agreements governing the Company’s other indebtedness may restrict the Company’s ability to repurchase the Convertible Notes or pay the cash amounts due upon conversion. The Company’s failure to repurchase Convertible Notes or pay the cash amounts due upon conversion when required will constitute a default under the indenture governing the Convertible Notes. A default under the indenture or the fundamental change itself could also lead to a default under agreements governing the Company’s other indebtedness, which may result in that other indebtedness becoming immediately payable in full. The Company may not have sufficient funds to satisfy all amounts due under its other indebtedness and the Convertible Notes.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 w:name="page31"/>
    <w:bookmarkEnd w:id="30"/>
    <w:p>
      <w:pPr>
        <w:ind w:left="30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the Company.</w:t>
      </w:r>
    </w:p>
    <w:p>
      <w:pPr>
        <w:spacing w:after="0" w:line="222"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212529"/>
        </w:rPr>
        <w:t xml:space="preserve">Certain provisions in the Convertible Notes and the related indenture could make a third-party attempt to acquire the Company more difficult or expensive. For example, if a takeover constitutes a fundamental change, then noteholders will have the right to require the Company to repurchase their Convertible Notes </w:t>
      </w:r>
      <w:r>
        <w:rPr>
          <w:rFonts w:ascii="Arial" w:cs="Arial" w:eastAsia="Arial" w:hAnsi="Arial"/>
          <w:sz w:val="16"/>
          <w:szCs w:val="16"/>
          <w:color w:val="000000"/>
        </w:rPr>
        <w:t>for cash. In addition, if a takeover constitutes a make-whole fundamental change, then the Company may be required to temporarily</w:t>
      </w:r>
      <w:r>
        <w:rPr>
          <w:rFonts w:ascii="Arial" w:cs="Arial" w:eastAsia="Arial" w:hAnsi="Arial"/>
          <w:sz w:val="16"/>
          <w:szCs w:val="16"/>
          <w:color w:val="212529"/>
        </w:rPr>
        <w:t xml:space="preserve"> </w:t>
      </w:r>
      <w:r>
        <w:rPr>
          <w:rFonts w:ascii="Arial" w:cs="Arial" w:eastAsia="Arial" w:hAnsi="Arial"/>
          <w:sz w:val="16"/>
          <w:szCs w:val="16"/>
          <w:color w:val="000000"/>
        </w:rPr>
        <w:t>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Company is subject to counterparty risk with respect to the Capped Call Transactions, and the capped call may not operate as planned.</w:t>
      </w:r>
    </w:p>
    <w:p>
      <w:pPr>
        <w:spacing w:after="0" w:line="245"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212529"/>
        </w:rPr>
        <w:t xml:space="preserve">In connection with the issuance of the Convertible Notes, the Company entered into privately negotiated capped call transactions with option counterparties (the “Capped Call Transactions”). </w:t>
      </w:r>
      <w:r>
        <w:rPr>
          <w:rFonts w:ascii="Arial" w:cs="Arial" w:eastAsia="Arial" w:hAnsi="Arial"/>
          <w:sz w:val="16"/>
          <w:szCs w:val="16"/>
          <w:color w:val="000000"/>
        </w:rPr>
        <w:t>The Capped Call Transactions are expected to reduce potential dilution resulting from the common shares</w:t>
      </w:r>
      <w:r>
        <w:rPr>
          <w:rFonts w:ascii="Arial" w:cs="Arial" w:eastAsia="Arial" w:hAnsi="Arial"/>
          <w:sz w:val="16"/>
          <w:szCs w:val="16"/>
          <w:color w:val="212529"/>
        </w:rPr>
        <w:t xml:space="preserve"> </w:t>
      </w:r>
      <w:r>
        <w:rPr>
          <w:rFonts w:ascii="Arial" w:cs="Arial" w:eastAsia="Arial" w:hAnsi="Arial"/>
          <w:sz w:val="16"/>
          <w:szCs w:val="16"/>
          <w:color w:val="000000"/>
        </w:rPr>
        <w:t>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spacing w:after="0" w:line="165"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212529"/>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GENERAL RISK FACTORS</w:t>
      </w:r>
    </w:p>
    <w:p>
      <w:pPr>
        <w:spacing w:after="0" w:line="186"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b w:val="1"/>
          <w:bCs w:val="1"/>
          <w:i w:val="1"/>
          <w:iCs w:val="1"/>
          <w:color w:val="auto"/>
        </w:rPr>
        <w:t>The loss of one or more of the Company’s key personnel, or its failure to attract and retain its employee population, could adversely affect its business.</w:t>
      </w:r>
    </w:p>
    <w:p>
      <w:pPr>
        <w:spacing w:after="0" w:line="14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spacing w:after="0" w:line="14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the ongoing COVID-19 pandemic, and workforce participation rates, may negatively affect the Company’s ability to retain and attract qualified employees. If the Company experiences high attrition rates in its employee population, the results of our operations may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1" w:name="page32"/>
    <w:bookmarkEnd w:id="31"/>
    <w:p>
      <w:pPr>
        <w:ind w:left="240"/>
        <w:spacing w:after="0"/>
        <w:rPr>
          <w:sz w:val="20"/>
          <w:szCs w:val="20"/>
          <w:color w:val="auto"/>
        </w:rPr>
      </w:pPr>
      <w:r>
        <w:rPr>
          <w:rFonts w:ascii="Arial" w:cs="Arial" w:eastAsia="Arial" w:hAnsi="Arial"/>
          <w:sz w:val="17"/>
          <w:szCs w:val="17"/>
          <w:b w:val="1"/>
          <w:bCs w:val="1"/>
          <w:i w:val="1"/>
          <w:iCs w:val="1"/>
          <w:color w:val="auto"/>
        </w:rPr>
        <w:t>Changes in accounting and changes in management’s estimates may affect the Company’s reported earnings and operating income.</w:t>
      </w:r>
    </w:p>
    <w:p>
      <w:pPr>
        <w:spacing w:after="0" w:line="20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(See “Critical Accounting Estimates” in Item 7.)</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Regulatory and market responses to climate change concerns may negatively impact our business and increase our operating costs.</w:t>
      </w:r>
    </w:p>
    <w:p>
      <w:pPr>
        <w:spacing w:after="0" w:line="194"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Growing public concern about climate change has resulted in the increased focus of local, state, regional, national and international regulatory bodies on climate change issues. As a result, climate change regulation and market reactions to climate change could adversely impact the Company’s business, including the potential for an increase in climate risk assessment. Such enhanced governmental and societal attention to climate matters, including expanding mandatory and voluntary reporting, diligence, and disclosure on topics such as climate change, carbon emissions, water usage, waste management, and risk oversight, could expand the nature, scope, and complexity of matters that the Company is required to control, assess, and report. Furthermore, legislative or regulatory efforts to combat climate change could result in increases in the cost of raw materials, taxes, transportation and utilities for the Company’s suppliers and vendors which would result in higher operating costs for the Company and potentially impact the availability of components used in the Company’s systems. These and other rapidly changing laws, regulations, policies, interpretations, and expectations may increase the cost of the Company’s compliance and alter the environment in which it does business, which could have a material adverse effect on the Company’s business, results of operations, and financial condition. In addition, the shift toward a lower-carbon economy, driven by policy regulations, low-carbon technology advancement, consumer sentiment, and/or liability risks, may negatively impact the Company’s business and operating costs. However, the Company is unable to predict at this time, the potential effects, if any, that any climate change initiatives may have on its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Company’s business and financial results could be adversely affected by weather conditions and natural disasters.</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Physical risks, including weather conditions and natural disasters, such as earthquakes, droughts, floods, hailstorms, heavy or prolonged precipitation, wildfires and others, could harm the Company’s business. Additionally, the physical impacts of climate change may cause these occurrences to increase in frequency, severity and duration. The 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Company’s principal executive offices are located in Mississauga, Ontario, Canada, New York, New York, and Playa Vista, California. As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Company’s principal facilities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Mississauga, Ontario</w:t>
            </w:r>
            <w:r>
              <w:rPr>
                <w:rFonts w:ascii="Arial" w:cs="Arial" w:eastAsia="Arial" w:hAnsi="Arial"/>
                <w:sz w:val="15"/>
                <w:szCs w:val="15"/>
                <w:color w:val="auto"/>
              </w:rPr>
              <w:t>(1)</w:t>
            </w:r>
          </w:p>
        </w:tc>
        <w:tc>
          <w:tcPr>
            <w:tcW w:w="500" w:type="dxa"/>
            <w:vAlign w:val="bottom"/>
          </w:tcPr>
          <w:p>
            <w:pPr>
              <w:spacing w:after="0"/>
              <w:rPr>
                <w:sz w:val="14"/>
                <w:szCs w:val="14"/>
                <w:color w:val="auto"/>
              </w:rPr>
            </w:pPr>
          </w:p>
        </w:tc>
        <w:tc>
          <w:tcPr>
            <w:tcW w:w="6380" w:type="dxa"/>
            <w:vAlign w:val="bottom"/>
            <w:gridSpan w:val="2"/>
          </w:tcPr>
          <w:p>
            <w:pPr>
              <w:ind w:left="2780"/>
              <w:spacing w:after="0"/>
              <w:rPr>
                <w:sz w:val="20"/>
                <w:szCs w:val="20"/>
                <w:color w:val="auto"/>
              </w:rPr>
            </w:pPr>
            <w:r>
              <w:rPr>
                <w:rFonts w:ascii="Arial" w:cs="Arial" w:eastAsia="Arial" w:hAnsi="Arial"/>
                <w:sz w:val="14"/>
                <w:szCs w:val="14"/>
                <w:b w:val="1"/>
                <w:bCs w:val="1"/>
                <w:color w:val="auto"/>
              </w:rPr>
              <w:t>Operation</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Own/Lease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21"/>
        </w:trPr>
        <w:tc>
          <w:tcPr>
            <w:tcW w:w="23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6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Headquarters, Administrative, Assembly, Research and Development,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and Maintenance Services</w:t>
            </w:r>
          </w:p>
        </w:tc>
        <w:tc>
          <w:tcPr>
            <w:tcW w:w="1060" w:type="dxa"/>
            <w:vAlign w:val="bottom"/>
            <w:gridSpan w:val="2"/>
          </w:tcPr>
          <w:p>
            <w:pPr>
              <w:spacing w:after="0"/>
              <w:rPr>
                <w:sz w:val="20"/>
                <w:szCs w:val="20"/>
                <w:color w:val="auto"/>
              </w:rPr>
            </w:pPr>
            <w:r>
              <w:rPr>
                <w:rFonts w:ascii="Arial" w:cs="Arial" w:eastAsia="Arial" w:hAnsi="Arial"/>
                <w:sz w:val="18"/>
                <w:szCs w:val="18"/>
                <w:color w:val="auto"/>
              </w:rPr>
              <w:t>Own</w:t>
            </w:r>
          </w:p>
        </w:tc>
        <w:tc>
          <w:tcPr>
            <w:tcW w:w="92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Playa Vista, California</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 Marketing, Film Production and Post-Production</w:t>
            </w:r>
          </w:p>
        </w:tc>
        <w:tc>
          <w:tcPr>
            <w:tcW w:w="1060" w:type="dxa"/>
            <w:vAlign w:val="bottom"/>
            <w:gridSpan w:val="2"/>
          </w:tcPr>
          <w:p>
            <w:pPr>
              <w:spacing w:after="0"/>
              <w:rPr>
                <w:sz w:val="20"/>
                <w:szCs w:val="20"/>
                <w:color w:val="auto"/>
              </w:rPr>
            </w:pPr>
            <w:r>
              <w:rPr>
                <w:rFonts w:ascii="Arial" w:cs="Arial" w:eastAsia="Arial" w:hAnsi="Arial"/>
                <w:sz w:val="18"/>
                <w:szCs w:val="18"/>
                <w:color w:val="auto"/>
              </w:rPr>
              <w:t>Own</w:t>
            </w:r>
          </w:p>
        </w:tc>
        <w:tc>
          <w:tcPr>
            <w:tcW w:w="92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Executive</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 Marketing, and Maintenance Services</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Shanghai, China</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 Marketing, Maintenance Services, and Administrative</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Dublin, Ireland</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 Marketing, Administrative, and Research and Development</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color w:val="auto"/>
              </w:rPr>
              <w:t>Moscow, Russia</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London, United Kingdom</w:t>
            </w:r>
          </w:p>
        </w:tc>
        <w:tc>
          <w:tcPr>
            <w:tcW w:w="6880" w:type="dxa"/>
            <w:vAlign w:val="bottom"/>
            <w:gridSpan w:val="3"/>
          </w:tcPr>
          <w:p>
            <w:pPr>
              <w:ind w:left="500"/>
              <w:spacing w:after="0"/>
              <w:rPr>
                <w:sz w:val="20"/>
                <w:szCs w:val="20"/>
                <w:color w:val="auto"/>
              </w:rPr>
            </w:pPr>
            <w:r>
              <w:rPr>
                <w:rFonts w:ascii="Arial" w:cs="Arial" w:eastAsia="Arial" w:hAnsi="Arial"/>
                <w:sz w:val="18"/>
                <w:szCs w:val="18"/>
                <w:color w:val="auto"/>
              </w:rPr>
              <w:t>Sales</w:t>
            </w:r>
          </w:p>
        </w:tc>
        <w:tc>
          <w:tcPr>
            <w:tcW w:w="1060" w:type="dxa"/>
            <w:vAlign w:val="bottom"/>
            <w:gridSpan w:val="2"/>
          </w:tcPr>
          <w:p>
            <w:pPr>
              <w:spacing w:after="0"/>
              <w:rPr>
                <w:sz w:val="20"/>
                <w:szCs w:val="20"/>
                <w:color w:val="auto"/>
              </w:rPr>
            </w:pPr>
            <w:r>
              <w:rPr>
                <w:rFonts w:ascii="Arial" w:cs="Arial" w:eastAsia="Arial" w:hAnsi="Arial"/>
                <w:sz w:val="18"/>
                <w:szCs w:val="18"/>
                <w:color w:val="auto"/>
              </w:rPr>
              <w:t>Lease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34"/>
        </w:trPr>
        <w:tc>
          <w:tcPr>
            <w:tcW w:w="14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0" w:right="20" w:hanging="353"/>
        <w:spacing w:after="0" w:line="274"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facility is subject to a charge in favor of Wells Fargo Bank in connection with a secured revolving credit facility. (See Note 14 of Notes to Consolidated Financial Statements in Part II, Item 8.)</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believes that its existing facilities and equipment are in good operating condition and are suitable for the conduct of its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16 of Notes to Consolidated Financial Statements in Part II, 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3" w:name="page34"/>
    <w:bookmarkEnd w:id="33"/>
    <w:p>
      <w:pPr>
        <w:ind w:left="5300"/>
        <w:spacing w:after="0"/>
        <w:rPr>
          <w:sz w:val="20"/>
          <w:szCs w:val="20"/>
          <w:color w:val="auto"/>
        </w:rPr>
      </w:pPr>
      <w:r>
        <w:rPr>
          <w:rFonts w:ascii="Arial" w:cs="Arial" w:eastAsia="Arial" w:hAnsi="Arial"/>
          <w:sz w:val="18"/>
          <w:szCs w:val="18"/>
          <w:b w:val="1"/>
          <w:bCs w:val="1"/>
          <w:color w:val="auto"/>
        </w:rPr>
        <w:t>PART II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common shares are traded on the NYSE under the symbol “IMAX”.</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January 31, 2022, the Company had approximately 224 registered holders of record of its common shares.</w:t>
      </w:r>
    </w:p>
    <w:p>
      <w:pPr>
        <w:spacing w:after="0" w:line="182" w:lineRule="exact"/>
        <w:rPr>
          <w:sz w:val="20"/>
          <w:szCs w:val="20"/>
          <w:color w:val="auto"/>
        </w:rPr>
      </w:pPr>
    </w:p>
    <w:p>
      <w:pPr>
        <w:jc w:val="both"/>
        <w:ind w:right="100" w:firstLine="225"/>
        <w:spacing w:after="0" w:line="255" w:lineRule="auto"/>
        <w:rPr>
          <w:sz w:val="20"/>
          <w:szCs w:val="20"/>
          <w:color w:val="auto"/>
        </w:rPr>
      </w:pPr>
      <w:r>
        <w:rPr>
          <w:rFonts w:ascii="Arial" w:cs="Arial" w:eastAsia="Arial" w:hAnsi="Arial"/>
          <w:sz w:val="18"/>
          <w:szCs w:val="18"/>
          <w:color w:val="auto"/>
        </w:rPr>
        <w:t>Over the last few years, the Company has not paid, nor does the Company have any current plans to pay, cash dividends on its common shares. The payment of dividends by the Company is subject to certain restrictions under the terms of the Company’s indebtedness (see Note 14 of Notes to Consolidated Financial Statements in Part II, Item 8). The payment of any future dividends will be determined by the Board of Directors in light of conditions then existing, including the Company’s financial condition and requirements, future prospects, restrictions in financing agreements, business conditions and other factors deemed relevant by the Board of Directors.</w:t>
      </w:r>
    </w:p>
    <w:p>
      <w:pPr>
        <w:spacing w:after="0" w:line="162" w:lineRule="exact"/>
        <w:rPr>
          <w:sz w:val="20"/>
          <w:szCs w:val="20"/>
          <w:color w:val="auto"/>
        </w:rPr>
      </w:pPr>
    </w:p>
    <w:p>
      <w:pPr>
        <w:jc w:val="both"/>
        <w:ind w:right="100" w:firstLine="225"/>
        <w:spacing w:after="0" w:line="254" w:lineRule="auto"/>
        <w:rPr>
          <w:sz w:val="20"/>
          <w:szCs w:val="20"/>
          <w:color w:val="auto"/>
        </w:rPr>
      </w:pPr>
      <w:r>
        <w:rPr>
          <w:rFonts w:ascii="Arial" w:cs="Arial" w:eastAsia="Arial" w:hAnsi="Arial"/>
          <w:sz w:val="18"/>
          <w:szCs w:val="18"/>
          <w:color w:val="auto"/>
        </w:rPr>
        <w:t>In 2020, the Company expanded its share-based compensation program to include the issuance of performance stock units (“PSUs”). 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information regarding the Company’s Equity Compensation Plan as of December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jc w:val="center"/>
              <w:ind w:right="4"/>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2"/>
              </w:rPr>
              <w:t>Number of Securities to</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 Average</w:t>
            </w:r>
          </w:p>
        </w:tc>
        <w:tc>
          <w:tcPr>
            <w:tcW w:w="18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8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8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9"/>
              </w:rPr>
              <w:t>be Issued Upon Exercise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Exercise Price of</w:t>
            </w:r>
          </w:p>
        </w:tc>
        <w:tc>
          <w:tcPr>
            <w:tcW w:w="18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8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92"/>
              </w:rPr>
              <w:t>of Outstanding Options,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Outstanding Options,</w:t>
            </w:r>
          </w:p>
        </w:tc>
        <w:tc>
          <w:tcPr>
            <w:tcW w:w="18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Warrants and Rights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57"/>
        </w:trPr>
        <w:tc>
          <w:tcPr>
            <w:tcW w:w="52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Plan Category</w:t>
            </w:r>
          </w:p>
        </w:tc>
        <w:tc>
          <w:tcPr>
            <w:tcW w:w="1880" w:type="dxa"/>
            <w:vAlign w:val="bottom"/>
          </w:tcPr>
          <w:p>
            <w:pPr>
              <w:jc w:val="center"/>
              <w:ind w:right="42"/>
              <w:spacing w:after="0" w:line="157"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rPr>
              <w:t>(b)</w:t>
            </w:r>
          </w:p>
        </w:tc>
        <w:tc>
          <w:tcPr>
            <w:tcW w:w="184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4380" w:type="dxa"/>
            <w:vAlign w:val="bottom"/>
            <w:tcBorders>
              <w:bottom w:val="single" w:sz="8" w:color="CFF0FC"/>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5,807,445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17.12</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5,866,199</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80" w:type="dxa"/>
            <w:vAlign w:val="bottom"/>
          </w:tcPr>
          <w:p>
            <w:pPr>
              <w:jc w:val="right"/>
              <w:ind w:right="42"/>
              <w:spacing w:after="0"/>
              <w:rPr>
                <w:sz w:val="20"/>
                <w:szCs w:val="20"/>
                <w:color w:val="auto"/>
              </w:rPr>
            </w:pPr>
            <w:r>
              <w:rPr>
                <w:rFonts w:ascii="Arial" w:cs="Arial" w:eastAsia="Arial" w:hAnsi="Arial"/>
                <w:sz w:val="18"/>
                <w:szCs w:val="18"/>
                <w:color w:val="auto"/>
              </w:rPr>
              <w:t>nil</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1840" w:type="dxa"/>
            <w:vAlign w:val="bottom"/>
          </w:tcPr>
          <w:p>
            <w:pPr>
              <w:jc w:val="right"/>
              <w:ind w:right="4"/>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22"/>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188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5,807,445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17.12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5,866,199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920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right="120" w:hanging="353"/>
        <w:spacing w:after="0" w:line="274"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securities to be issued upon exercise of outstanding options, warrants, and rights excludes 460,053 common shares that may be issued with respect to PSUs outstanding, assuming full achievement of the EBITDA and TSR targets.</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Performance Graph</w:t>
      </w:r>
    </w:p>
    <w:p>
      <w:pPr>
        <w:spacing w:after="0" w:line="18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following graph compares the total cumulative shareholder return for $100 invested on December 31, 2013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Avid Technologies, Inc., Cinemark Holdings, Inc., Cineplex Inc., Dolby Laboratories, Inc., Harmonic Inc., Lions Gate Entertainment Corp., The Marcus Corporation, World Wrestling Entertainment, Inc., and Zynga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111760</wp:posOffset>
            </wp:positionV>
            <wp:extent cx="6136005" cy="5045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36005" cy="504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 repurchase program when it commenced on July 1, 2017.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During the three months ended December 31, 2021, the Company repurchased 524,519 common shares at an average price of $17.70 per share for a total of $9.3 million, excluding commissions. As of December 31, 2021, the Company has $75.5 million available under its approved repurchase program.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December 31, 2021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327"/>
              <w:spacing w:after="0"/>
              <w:rPr>
                <w:sz w:val="20"/>
                <w:szCs w:val="20"/>
                <w:color w:val="auto"/>
              </w:rPr>
            </w:pPr>
            <w:r>
              <w:rPr>
                <w:rFonts w:ascii="Arial" w:cs="Arial" w:eastAsia="Arial" w:hAnsi="Arial"/>
                <w:sz w:val="14"/>
                <w:szCs w:val="14"/>
                <w:b w:val="1"/>
                <w:bCs w:val="1"/>
                <w:color w:val="auto"/>
                <w:w w:val="94"/>
              </w:rPr>
              <w:t>Total number of</w:t>
            </w:r>
          </w:p>
        </w:tc>
        <w:tc>
          <w:tcPr>
            <w:tcW w:w="156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Maximum value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 price paid</w:t>
            </w:r>
          </w:p>
        </w:tc>
        <w:tc>
          <w:tcPr>
            <w:tcW w:w="1840" w:type="dxa"/>
            <w:vAlign w:val="bottom"/>
            <w:gridSpan w:val="3"/>
          </w:tcPr>
          <w:p>
            <w:pPr>
              <w:jc w:val="center"/>
              <w:ind w:right="307"/>
              <w:spacing w:after="0" w:line="148" w:lineRule="exact"/>
              <w:rPr>
                <w:sz w:val="20"/>
                <w:szCs w:val="20"/>
                <w:color w:val="auto"/>
              </w:rPr>
            </w:pPr>
            <w:r>
              <w:rPr>
                <w:rFonts w:ascii="Arial" w:cs="Arial" w:eastAsia="Arial" w:hAnsi="Arial"/>
                <w:sz w:val="14"/>
                <w:szCs w:val="14"/>
                <w:b w:val="1"/>
                <w:bCs w:val="1"/>
                <w:color w:val="auto"/>
                <w:w w:val="88"/>
              </w:rPr>
              <w:t>shares purchased</w:t>
            </w:r>
          </w:p>
        </w:tc>
        <w:tc>
          <w:tcPr>
            <w:tcW w:w="1560" w:type="dxa"/>
            <w:vAlign w:val="bottom"/>
          </w:tcPr>
          <w:p>
            <w:pPr>
              <w:jc w:val="center"/>
              <w:ind w:right="181"/>
              <w:spacing w:after="0" w:line="148" w:lineRule="exact"/>
              <w:rPr>
                <w:sz w:val="20"/>
                <w:szCs w:val="20"/>
                <w:color w:val="auto"/>
              </w:rPr>
            </w:pPr>
            <w:r>
              <w:rPr>
                <w:rFonts w:ascii="Arial" w:cs="Arial" w:eastAsia="Arial" w:hAnsi="Arial"/>
                <w:sz w:val="14"/>
                <w:szCs w:val="14"/>
                <w:b w:val="1"/>
                <w:bCs w:val="1"/>
                <w:color w:val="auto"/>
                <w:w w:val="90"/>
              </w:rPr>
              <w:t>shares that may yet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40" w:type="dxa"/>
            <w:vAlign w:val="bottom"/>
            <w:gridSpan w:val="3"/>
          </w:tcPr>
          <w:p>
            <w:pPr>
              <w:jc w:val="center"/>
              <w:ind w:right="327"/>
              <w:spacing w:after="0" w:line="148" w:lineRule="exact"/>
              <w:rPr>
                <w:sz w:val="20"/>
                <w:szCs w:val="20"/>
                <w:color w:val="auto"/>
              </w:rPr>
            </w:pPr>
            <w:r>
              <w:rPr>
                <w:rFonts w:ascii="Arial" w:cs="Arial" w:eastAsia="Arial" w:hAnsi="Arial"/>
                <w:sz w:val="14"/>
                <w:szCs w:val="14"/>
                <w:b w:val="1"/>
                <w:bCs w:val="1"/>
                <w:color w:val="auto"/>
                <w:w w:val="93"/>
              </w:rPr>
              <w:t>as part of publicly</w:t>
            </w:r>
          </w:p>
        </w:tc>
        <w:tc>
          <w:tcPr>
            <w:tcW w:w="1560" w:type="dxa"/>
            <w:vAlign w:val="bottom"/>
          </w:tcPr>
          <w:p>
            <w:pPr>
              <w:jc w:val="center"/>
              <w:ind w:right="181"/>
              <w:spacing w:after="0" w:line="148"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156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840" w:type="dxa"/>
            <w:vAlign w:val="bottom"/>
            <w:gridSpan w:val="3"/>
          </w:tcPr>
          <w:p>
            <w:pPr>
              <w:jc w:val="center"/>
              <w:ind w:right="327"/>
              <w:spacing w:after="0"/>
              <w:rPr>
                <w:sz w:val="20"/>
                <w:szCs w:val="20"/>
                <w:color w:val="auto"/>
              </w:rPr>
            </w:pPr>
            <w:r>
              <w:rPr>
                <w:rFonts w:ascii="Arial" w:cs="Arial" w:eastAsia="Arial" w:hAnsi="Arial"/>
                <w:sz w:val="14"/>
                <w:szCs w:val="14"/>
                <w:b w:val="1"/>
                <w:bCs w:val="1"/>
                <w:color w:val="auto"/>
                <w:w w:val="91"/>
              </w:rPr>
              <w:t>announced program</w:t>
            </w:r>
          </w:p>
        </w:tc>
        <w:tc>
          <w:tcPr>
            <w:tcW w:w="156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the program</w:t>
            </w:r>
          </w:p>
        </w:tc>
        <w:tc>
          <w:tcPr>
            <w:tcW w:w="0" w:type="dxa"/>
            <w:vAlign w:val="bottom"/>
          </w:tcPr>
          <w:p>
            <w:pPr>
              <w:spacing w:after="0"/>
              <w:rPr>
                <w:sz w:val="1"/>
                <w:szCs w:val="1"/>
                <w:color w:val="auto"/>
              </w:rPr>
            </w:pPr>
          </w:p>
        </w:tc>
      </w:tr>
      <w:tr>
        <w:trPr>
          <w:trHeight w:val="222"/>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through October 31, 2021</w:t>
            </w:r>
          </w:p>
        </w:tc>
        <w:tc>
          <w:tcPr>
            <w:tcW w:w="15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84,757,657</w:t>
            </w:r>
          </w:p>
        </w:tc>
        <w:tc>
          <w:tcPr>
            <w:tcW w:w="0" w:type="dxa"/>
            <w:vAlign w:val="bottom"/>
          </w:tcPr>
          <w:p>
            <w:pPr>
              <w:spacing w:after="0"/>
              <w:rPr>
                <w:sz w:val="1"/>
                <w:szCs w:val="1"/>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8"/>
                <w:szCs w:val="18"/>
                <w:color w:val="auto"/>
              </w:rPr>
              <w:t>November 1 through November 30, 2021</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354,519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9"/>
                <w:szCs w:val="19"/>
                <w:color w:val="auto"/>
              </w:rPr>
            </w:pP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354,519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Arial" w:cs="Arial" w:eastAsia="Arial" w:hAnsi="Arial"/>
                <w:sz w:val="18"/>
                <w:szCs w:val="18"/>
                <w:color w:val="auto"/>
              </w:rPr>
              <w:t>78,232,431</w:t>
            </w:r>
          </w:p>
        </w:tc>
        <w:tc>
          <w:tcPr>
            <w:tcW w:w="0" w:type="dxa"/>
            <w:vAlign w:val="bottom"/>
          </w:tcPr>
          <w:p>
            <w:pPr>
              <w:spacing w:after="0"/>
              <w:rPr>
                <w:sz w:val="1"/>
                <w:szCs w:val="1"/>
                <w:color w:val="auto"/>
              </w:rPr>
            </w:pPr>
          </w:p>
        </w:tc>
      </w:tr>
      <w:tr>
        <w:trPr>
          <w:trHeight w:val="228"/>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December 1 through December 31, 2021</w:t>
            </w:r>
          </w:p>
        </w:tc>
        <w:tc>
          <w:tcPr>
            <w:tcW w:w="15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75,473,501</w:t>
            </w: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524,519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524,519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2021, IMAX China repurchased 3,095,700 common shares at an average price of HKD 12.58 per share (U.S. $1.61 per share) for a total of HKD 38.9 million or U.S. $5.0 million.</w:t>
      </w:r>
    </w:p>
    <w:p>
      <w:pPr>
        <w:spacing w:after="0" w:line="139"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total number of shares purchased during the year ended December 31, 2021, under both the Company and IMAX China’s repurchase plans, does not include any shares purchased in the administration of employee share-based compensation plans.</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(See Note 14 of Notes to Consolidated Financial Statements for a summary of the material terms and conditions of the Company’s revolving credit facility, which include a limitation of the amount of permitted share repurchases.)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Sales of Unregistered Securities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Note 14(b) of Notes to Consolidated Financial Statements in Part II, 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Reserved.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6" w:name="page37"/>
    <w:bookmarkEnd w:id="36"/>
    <w:p>
      <w:pPr>
        <w:ind w:right="3980"/>
        <w:spacing w:after="0" w:line="461"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13"/>
          <w:szCs w:val="13"/>
          <w:color w:val="auto"/>
        </w:rPr>
        <w:t>®</w:t>
      </w:r>
      <w:r>
        <w:rPr>
          <w:rFonts w:ascii="Arial" w:cs="Arial" w:eastAsia="Arial" w:hAnsi="Arial"/>
          <w:sz w:val="16"/>
          <w:szCs w:val="16"/>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21" w:lineRule="exact"/>
        <w:rPr>
          <w:sz w:val="20"/>
          <w:szCs w:val="20"/>
          <w:color w:val="auto"/>
        </w:rPr>
      </w:pPr>
    </w:p>
    <w:p>
      <w:pPr>
        <w:jc w:val="both"/>
        <w:ind w:right="20" w:firstLine="225"/>
        <w:spacing w:after="0" w:line="339" w:lineRule="auto"/>
        <w:rPr>
          <w:sz w:val="20"/>
          <w:szCs w:val="20"/>
          <w:color w:val="auto"/>
        </w:rPr>
      </w:pPr>
      <w:r>
        <w:rPr>
          <w:rFonts w:ascii="Arial" w:cs="Arial" w:eastAsia="Arial" w:hAnsi="Arial"/>
          <w:sz w:val="16"/>
          <w:szCs w:val="16"/>
          <w:color w:val="auto"/>
        </w:rPr>
        <w:t>The Company leverages its proprietary technology and engineering in all aspects of its business, which principally consists of the digital remastering of films and other content into the IMAX format (“IMAX DMR”</w:t>
      </w:r>
      <w:r>
        <w:rPr>
          <w:rFonts w:ascii="Arial" w:cs="Arial" w:eastAsia="Arial" w:hAnsi="Arial"/>
          <w:sz w:val="13"/>
          <w:szCs w:val="13"/>
          <w:color w:val="auto"/>
        </w:rPr>
        <w:t>®</w:t>
      </w:r>
      <w:r>
        <w:rPr>
          <w:rFonts w:ascii="Arial" w:cs="Arial" w:eastAsia="Arial" w:hAnsi="Arial"/>
          <w:sz w:val="16"/>
          <w:szCs w:val="16"/>
          <w:color w:val="auto"/>
        </w:rPr>
        <w:t>) and the sale or lease of premium IMAX theater systems (“IMAX Theater Systems”).</w:t>
      </w:r>
    </w:p>
    <w:p>
      <w:pPr>
        <w:spacing w:after="0" w:line="82"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20"/>
          <w:szCs w:val="20"/>
          <w:color w:val="auto"/>
        </w:rPr>
        <w:t xml:space="preserve">IMAX Theater Systems are based on proprietary and patented image, audio, and other technology developed over the course of the Company’s history since its founding in 1968. The customers </w:t>
      </w:r>
      <w:r>
        <w:rPr>
          <w:rFonts w:ascii="Arial" w:cs="Arial" w:eastAsia="Arial" w:hAnsi="Arial"/>
          <w:sz w:val="17"/>
          <w:szCs w:val="17"/>
          <w:color w:val="auto"/>
        </w:rPr>
        <w:t>for IMAX Theater Systems are principally</w:t>
      </w:r>
      <w:r>
        <w:rPr>
          <w:rFonts w:ascii="Arial" w:cs="Arial" w:eastAsia="Arial" w:hAnsi="Arial"/>
          <w:sz w:val="20"/>
          <w:szCs w:val="20"/>
          <w:color w:val="auto"/>
        </w:rPr>
        <w:t xml:space="preserve"> theater exhibitors that operate commercial multiplex theaters, </w:t>
      </w:r>
      <w:r>
        <w:rPr>
          <w:rFonts w:ascii="Arial" w:cs="Arial" w:eastAsia="Arial" w:hAnsi="Arial"/>
          <w:sz w:val="17"/>
          <w:szCs w:val="17"/>
          <w:color w:val="auto"/>
        </w:rPr>
        <w:t>and, to a much lesser extent,</w:t>
      </w:r>
      <w:r>
        <w:rPr>
          <w:rFonts w:ascii="Arial" w:cs="Arial" w:eastAsia="Arial" w:hAnsi="Arial"/>
          <w:sz w:val="20"/>
          <w:szCs w:val="20"/>
          <w:color w:val="auto"/>
        </w:rPr>
        <w:t xml:space="preserve"> museums, science centers and destination entertainment sites. The Company generally does not own the theaters in the IMAX network and is not an exhibitor, but instead sells or leases the IMAX Theater System to the exhibitor along with a license to use its trademarks.</w:t>
      </w:r>
    </w:p>
    <w:p>
      <w:pPr>
        <w:spacing w:after="0" w:line="16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of December 31, 2021, there were 1,683 IMAX Theater Systems operating in 87 countries and territories, including 1,599 commercial multiplexes, 12 commercial destinations, and 72 institutional locations. This compares to 1,650 IMAX Theater Systems operating in 84 countries and territories as of December 31, 2020, including 1,562 commercial multiplexes, 12 commercial destinations, and 76 institutional locations. (See the table below under “IMAX Network and Backlog” for additional information on the composition of the IMAX network.)</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2" w:lineRule="exact"/>
        <w:rPr>
          <w:sz w:val="20"/>
          <w:szCs w:val="20"/>
          <w:color w:val="auto"/>
        </w:rPr>
      </w:pPr>
    </w:p>
    <w:p>
      <w:pPr>
        <w:ind w:left="580" w:hanging="358"/>
        <w:spacing w:after="0" w:line="27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71" w:lineRule="exact"/>
        <w:rPr>
          <w:rFonts w:ascii="Arial" w:cs="Arial" w:eastAsia="Arial" w:hAnsi="Arial"/>
          <w:sz w:val="18"/>
          <w:szCs w:val="18"/>
          <w:color w:val="auto"/>
        </w:rPr>
      </w:pPr>
    </w:p>
    <w:p>
      <w:pPr>
        <w:ind w:left="580" w:hanging="358"/>
        <w:spacing w:after="0" w:line="27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71" w:lineRule="exact"/>
        <w:rPr>
          <w:rFonts w:ascii="Arial" w:cs="Arial" w:eastAsia="Arial" w:hAnsi="Arial"/>
          <w:sz w:val="18"/>
          <w:szCs w:val="18"/>
          <w:color w:val="auto"/>
        </w:rPr>
      </w:pPr>
    </w:p>
    <w:p>
      <w:pPr>
        <w:ind w:left="580" w:hanging="35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222" w:lineRule="exact"/>
        <w:rPr>
          <w:rFonts w:ascii="Arial" w:cs="Arial" w:eastAsia="Arial" w:hAnsi="Arial"/>
          <w:sz w:val="18"/>
          <w:szCs w:val="18"/>
          <w:color w:val="auto"/>
        </w:rPr>
      </w:pPr>
    </w:p>
    <w:p>
      <w:pPr>
        <w:ind w:left="580" w:hanging="35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2"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8"/>
          <w:szCs w:val="18"/>
          <w:color w:val="auto"/>
        </w:rPr>
        <w:t xml:space="preserve">In addition, certain movies shown in IMAX theaters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w:t>
      </w:r>
      <w:r>
        <w:rPr>
          <w:rFonts w:ascii="Arial" w:cs="Arial" w:eastAsia="Arial" w:hAnsi="Arial"/>
          <w:sz w:val="19"/>
          <w:szCs w:val="19"/>
          <w:color w:val="auto"/>
        </w:rPr>
        <w:t>In select IMAX theaters worldwide, movies filmed with IMAX</w:t>
      </w:r>
      <w:r>
        <w:rPr>
          <w:rFonts w:ascii="Arial" w:cs="Arial" w:eastAsia="Arial" w:hAnsi="Arial"/>
          <w:sz w:val="18"/>
          <w:szCs w:val="18"/>
          <w:color w:val="auto"/>
        </w:rPr>
        <w:t xml:space="preserve"> </w:t>
      </w:r>
      <w:r>
        <w:rPr>
          <w:rFonts w:ascii="Arial" w:cs="Arial" w:eastAsia="Arial" w:hAnsi="Arial"/>
          <w:sz w:val="19"/>
          <w:szCs w:val="19"/>
          <w:color w:val="auto"/>
        </w:rPr>
        <w:t>cameras have an IMAX-exclusive 1.43 film aspect ratio, with up to 67% more image.</w:t>
      </w:r>
    </w:p>
    <w:p>
      <w:pPr>
        <w:spacing w:after="0" w:line="15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225"/>
        <w:spacing w:after="0" w:line="255"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blockbuster films and foreign local language movie studios.</w:t>
      </w:r>
    </w:p>
    <w:p>
      <w:pPr>
        <w:spacing w:after="0" w:line="16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a premier global technology platform for entertainment and events, the Company strives to remain at the forefront of advancements in cinema technology. The Company offers a suite of IMAX Laser Theater Systems, which deliver increased resolution, sharper and brighter images, deeper contrast, and the widest range of colors available to filmmakers today. The Company further believes that its suite of IMAX Laser Theater Systems are helping facilitate the next major renewal and upgrade cycle for the global IMAX network.</w:t>
      </w:r>
    </w:p>
    <w:p>
      <w:pPr>
        <w:spacing w:after="0" w:line="147"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December 31, 2021, 68 theaters in the IMAX network were configured to enable the streaming of live events with additional theaters expected to go-live throughout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0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late 2021 and early 2022, some governments reinstituted capacity restrictions and safety protocols on large public gatherings, leading to the temporary closure of theaters or the imposition of capacity restrictions in certain markets. As of December 31, 2021, 95% of the theaters in the global IMAX commercial multiplex network were open at various capacities, spanning 75 countries. This included 99% of Domestic theaters (i.e., in the United States and Canada), 95% of the theaters in Greater China and 91% of the theaters in Rest of World markets.</w:t>
      </w:r>
    </w:p>
    <w:p>
      <w:pPr>
        <w:spacing w:after="0" w:line="12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COVID-19 pandemic resulted in significantly lower levels of revenues, earnings, and operating cash flows for the Company during 2020 and, to a lesser extent, during 2021, when compared to periods prior to the onset of the pandemic, as GBO results from the theaters in the IMAX network declined, the installation of certain theater systems was delayed, and maintenance fees were generally not recognized for theaters that were closed or operating with reduced capacities. In addition, as a result of the financial difficulties faced by certain of the Company’s exhibition customers arising out of pandemic-related theater closures, although improving, the Company has experienced and may continue to experience delays in collecting payments due under existing theater sale or lease arrangements. In response, beginning in the second quarter of 2020 through the fourth quarter of 2021, the Company provided temporary relief to certain exhibitor customers by waiving or reducing maintenance fees during periods when theaters were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43"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a result of the uncertainties associated with the pandemic, the Company took significant steps in 2020 and 2021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8" w:name="page39"/>
    <w:bookmarkEnd w:id="38"/>
    <w:p>
      <w:pPr>
        <w:jc w:val="both"/>
        <w:ind w:firstLine="225"/>
        <w:spacing w:after="0" w:line="252" w:lineRule="auto"/>
        <w:rPr>
          <w:sz w:val="20"/>
          <w:szCs w:val="20"/>
          <w:color w:val="auto"/>
        </w:rPr>
      </w:pPr>
      <w:r>
        <w:rPr>
          <w:rFonts w:ascii="Arial" w:cs="Arial" w:eastAsia="Arial" w:hAnsi="Arial"/>
          <w:sz w:val="18"/>
          <w:szCs w:val="18"/>
          <w:color w:val="auto"/>
        </w:rPr>
        <w:t>Also, in the first quarter of 2021, the Company issued $230.0 million of Convertible Notes. The net proceeds from the issuance of the Convertible Notes were approximately $223.7 million, after deducting the initial purchasers’ discounts and commissions, which were used in part to repay a portion of outstanding borrowings under the Credit Facility provided by the Company’s Credit Agreement with Wells Fargo. In addition, during 2021, the Company entered into amendments to its Credit Agreement which, among other things, suspend the Senior Secured Net Leverage Ratio financial covenant in the Credit Agreement through the first quarter of 2022 and once re-established, permits the Company to use EBITDA from the third and fourth quarters of 2019 in lieu of EBITDA for the corresponding quarters of 2021. As of December 31, 2021, the Company was in compliance with all of its requirements under the Credit Agreement, as amended. (Each defined term used, but not defined in this paragraph is defined in Note 14 of Notes to Consolidated Financial Statements. See Note 14 of Notes to Consolidated Financial Statements for a summary of the amendments to the Credit Agreement that the Company entered into in 2021.)</w:t>
      </w:r>
    </w:p>
    <w:p>
      <w:pPr>
        <w:spacing w:after="0" w:line="164"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In 2020 and 2021, the Company recognized a total of $10.9 million in wage subsidies, tax credits, and other financial support under COVID-19 relief legislation that has been enacted in the countries in which it operates, primarily under the Canada Emergency Wage Subsidy (“CEWS”) program. For the years ended December 31, 2021 and 2020, these benefits were recognized in the Consolidated Statements of Operations as reductions to Selling, General and Administrative Expenses ($2.9 million and $6.0 million, respectively), Costs and Expenses Applicable to Revenues ($0.9 million and $1.0 million, respectively), and Research and Development ($nil and $0.1 million, respectively). The CEWS program expired in October 2021.</w:t>
      </w:r>
    </w:p>
    <w:p>
      <w:pPr>
        <w:spacing w:after="0" w:line="121"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 xml:space="preserve">For the year ended December 31, 2021, GBO generated by IMAX films totaled $638.2 million, surpassing the total for 2020 by $379.0 million (146%), whereas conventional theaters saw an estimated 78% increase in box office. Moreover, during the fourth quarter of 2021, GBO generated by IMAX films totaled $277.5 million, surpassing the pre-pandemic total of $241.2 million for the fourth quarter of 2019, due to the performance of films such as </w:t>
      </w:r>
      <w:r>
        <w:rPr>
          <w:rFonts w:ascii="Arial" w:cs="Arial" w:eastAsia="Arial" w:hAnsi="Arial"/>
          <w:sz w:val="17"/>
          <w:szCs w:val="17"/>
          <w:i w:val="1"/>
          <w:iCs w:val="1"/>
          <w:color w:val="auto"/>
        </w:rPr>
        <w:t>Spider-Man: No Way Home</w:t>
      </w:r>
      <w:r>
        <w:rPr>
          <w:rFonts w:ascii="Arial" w:cs="Arial" w:eastAsia="Arial" w:hAnsi="Arial"/>
          <w:sz w:val="17"/>
          <w:szCs w:val="17"/>
          <w:color w:val="auto"/>
        </w:rPr>
        <w:t>,</w:t>
      </w:r>
      <w:r>
        <w:rPr>
          <w:rFonts w:ascii="Arial" w:cs="Arial" w:eastAsia="Arial" w:hAnsi="Arial"/>
          <w:sz w:val="17"/>
          <w:szCs w:val="17"/>
          <w:i w:val="1"/>
          <w:iCs w:val="1"/>
          <w:color w:val="auto"/>
        </w:rPr>
        <w:t xml:space="preserve"> No Time to Die</w:t>
      </w:r>
      <w:r>
        <w:rPr>
          <w:rFonts w:ascii="Arial" w:cs="Arial" w:eastAsia="Arial" w:hAnsi="Arial"/>
          <w:sz w:val="17"/>
          <w:szCs w:val="17"/>
          <w:color w:val="auto"/>
        </w:rPr>
        <w:t>, and</w:t>
      </w:r>
      <w:r>
        <w:rPr>
          <w:rFonts w:ascii="Arial" w:cs="Arial" w:eastAsia="Arial" w:hAnsi="Arial"/>
          <w:sz w:val="17"/>
          <w:szCs w:val="17"/>
          <w:i w:val="1"/>
          <w:iCs w:val="1"/>
          <w:color w:val="auto"/>
        </w:rPr>
        <w:t xml:space="preserve"> Dune</w:t>
      </w:r>
      <w:r>
        <w:rPr>
          <w:rFonts w:ascii="Arial" w:cs="Arial" w:eastAsia="Arial" w:hAnsi="Arial"/>
          <w:sz w:val="17"/>
          <w:szCs w:val="17"/>
          <w:color w:val="auto"/>
        </w:rPr>
        <w:t>. Included in this fourth quarter GBO performance is an all-time Company record for the month of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encouraged by these box office results and believes they indicate that moviegoers are returning to theaters, and in particular IMAX theaters, where and when theaters are open and they feel safe. Management is further encouraged by the return of the prevalence of exclusive theatrical windows and the strong pipeline of Hollywood movies scheduled to be released for theatrical exhibition in 2022. However, 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4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 “Management’s Discussion and Analysis of Financial Condition and Results of Operations – Impact of COVID-19 Pandemic” and Note 2 of Notes to Consolidated Financial Statements in Part II, Item 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SOURCES OF REVENUE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four categories: (i) IMAX Technology Network;</w:t>
      </w:r>
    </w:p>
    <w:p>
      <w:pPr>
        <w:spacing w:after="0" w:line="45" w:lineRule="exact"/>
        <w:rPr>
          <w:sz w:val="20"/>
          <w:szCs w:val="20"/>
          <w:color w:val="auto"/>
        </w:rPr>
      </w:pPr>
    </w:p>
    <w:p>
      <w:pPr>
        <w:jc w:val="both"/>
        <w:ind w:firstLine="7"/>
        <w:spacing w:after="0" w:line="253" w:lineRule="auto"/>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IMAX Technology Sales and Maintenance; (iii) Film Distribution and Post-Production; and (iv) New Business Initiatives. Within these four categories are the Company’s following reportable segments: (i) IMAX DMR; (ii) Joint Revenue Sharing Arrangements; (iii) IMAX Systems; (iv) IMAX Maintenance; (v) Other Theater Business; (vi) Film Distribution; (vii) Film Post-Production; and (viii) New Business Initiatives.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86" w:lineRule="exact"/>
        <w:rPr>
          <w:sz w:val="20"/>
          <w:szCs w:val="20"/>
          <w:color w:val="auto"/>
        </w:rPr>
      </w:pPr>
    </w:p>
    <w:p>
      <w:pPr>
        <w:jc w:val="both"/>
        <w:ind w:firstLine="225"/>
        <w:spacing w:after="0" w:line="339" w:lineRule="auto"/>
        <w:rPr>
          <w:sz w:val="20"/>
          <w:szCs w:val="20"/>
          <w:color w:val="auto"/>
        </w:rPr>
      </w:pPr>
      <w:r>
        <w:rPr>
          <w:rFonts w:ascii="Arial" w:cs="Arial" w:eastAsia="Arial" w:hAnsi="Arial"/>
          <w:sz w:val="16"/>
          <w:szCs w:val="16"/>
          <w:color w:val="auto"/>
        </w:rPr>
        <w:t>The IMAX Technology Network category earns revenue based on contingent box office receipts. Included in the IMAX Technology Network category are the IMAX DMR segment and contingent rent from the Joint Revenue Sharing Arrangement (“JRSA”), which are each described in more detail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DMR is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fee earned by the Company in a typical IMAX DMR arrangement averages approximately 12.5% of box office receipts (i.e., GBO receipts less applicable sales taxes), except for within Greater China, where the Company receives a lower percentage of net box office receipts for certain Hollywood films.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IMAX DMR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6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w:t>
      </w:r>
      <w:r>
        <w:rPr>
          <w:rFonts w:ascii="Arial" w:cs="Arial" w:eastAsia="Arial" w:hAnsi="Arial"/>
          <w:sz w:val="19"/>
          <w:szCs w:val="19"/>
          <w:color w:val="auto"/>
        </w:rPr>
        <w:t>In select IMAX theaters worldwide, movies filmed with IMAX cameras have an IMAX-exclusive 1.43 film</w:t>
      </w:r>
      <w:r>
        <w:rPr>
          <w:rFonts w:ascii="Arial" w:cs="Arial" w:eastAsia="Arial" w:hAnsi="Arial"/>
          <w:sz w:val="18"/>
          <w:szCs w:val="18"/>
          <w:color w:val="auto"/>
        </w:rPr>
        <w:t xml:space="preserve"> </w:t>
      </w:r>
      <w:r>
        <w:rPr>
          <w:rFonts w:ascii="Arial" w:cs="Arial" w:eastAsia="Arial" w:hAnsi="Arial"/>
          <w:sz w:val="19"/>
          <w:szCs w:val="19"/>
          <w:color w:val="auto"/>
        </w:rPr>
        <w:t>aspect ratio, with up to 67% more image.</w:t>
      </w:r>
    </w:p>
    <w:p>
      <w:pPr>
        <w:spacing w:after="0" w:line="14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 xml:space="preserve">In 2021, 63 IMAX films were released to the Company’s global theater network, including films such as </w:t>
      </w:r>
      <w:r>
        <w:rPr>
          <w:rFonts w:ascii="Arial" w:cs="Arial" w:eastAsia="Arial" w:hAnsi="Arial"/>
          <w:sz w:val="16"/>
          <w:szCs w:val="16"/>
          <w:i w:val="1"/>
          <w:iCs w:val="1"/>
          <w:color w:val="auto"/>
        </w:rPr>
        <w:t>Spider-Man: No Way Home</w:t>
      </w:r>
      <w:r>
        <w:rPr>
          <w:rFonts w:ascii="Arial" w:cs="Arial" w:eastAsia="Arial" w:hAnsi="Arial"/>
          <w:sz w:val="16"/>
          <w:szCs w:val="16"/>
          <w:color w:val="auto"/>
        </w:rPr>
        <w:t xml:space="preserve">, </w:t>
      </w:r>
      <w:r>
        <w:rPr>
          <w:rFonts w:ascii="Arial" w:cs="Arial" w:eastAsia="Arial" w:hAnsi="Arial"/>
          <w:sz w:val="16"/>
          <w:szCs w:val="16"/>
          <w:i w:val="1"/>
          <w:iCs w:val="1"/>
          <w:color w:val="auto"/>
        </w:rPr>
        <w:t>No Time to Die</w:t>
      </w:r>
      <w:r>
        <w:rPr>
          <w:rFonts w:ascii="Arial" w:cs="Arial" w:eastAsia="Arial" w:hAnsi="Arial"/>
          <w:sz w:val="16"/>
          <w:szCs w:val="16"/>
          <w:color w:val="auto"/>
        </w:rPr>
        <w:t xml:space="preserve">, </w:t>
      </w:r>
      <w:r>
        <w:rPr>
          <w:rFonts w:ascii="Arial" w:cs="Arial" w:eastAsia="Arial" w:hAnsi="Arial"/>
          <w:sz w:val="16"/>
          <w:szCs w:val="16"/>
          <w:i w:val="1"/>
          <w:iCs w:val="1"/>
          <w:color w:val="auto"/>
        </w:rPr>
        <w:t>Dune</w:t>
      </w:r>
      <w:r>
        <w:rPr>
          <w:rFonts w:ascii="Arial" w:cs="Arial" w:eastAsia="Arial" w:hAnsi="Arial"/>
          <w:sz w:val="16"/>
          <w:szCs w:val="16"/>
          <w:color w:val="auto"/>
        </w:rPr>
        <w:t>,</w:t>
      </w:r>
      <w:r>
        <w:rPr>
          <w:rFonts w:ascii="Arial" w:cs="Arial" w:eastAsia="Arial" w:hAnsi="Arial"/>
          <w:sz w:val="16"/>
          <w:szCs w:val="16"/>
          <w:i w:val="1"/>
          <w:iCs w:val="1"/>
          <w:color w:val="auto"/>
        </w:rPr>
        <w:t xml:space="preserve"> F9</w:t>
      </w:r>
      <w:r>
        <w:rPr>
          <w:rFonts w:ascii="Arial" w:cs="Arial" w:eastAsia="Arial" w:hAnsi="Arial"/>
          <w:sz w:val="16"/>
          <w:szCs w:val="16"/>
          <w:color w:val="auto"/>
        </w:rPr>
        <w:t>,</w:t>
      </w:r>
      <w:r>
        <w:rPr>
          <w:rFonts w:ascii="Arial" w:cs="Arial" w:eastAsia="Arial" w:hAnsi="Arial"/>
          <w:sz w:val="16"/>
          <w:szCs w:val="16"/>
          <w:i w:val="1"/>
          <w:iCs w:val="1"/>
          <w:color w:val="auto"/>
        </w:rPr>
        <w:t xml:space="preserve"> The Battle at Lake Changjin</w:t>
      </w:r>
      <w:r>
        <w:rPr>
          <w:rFonts w:ascii="Arial" w:cs="Arial" w:eastAsia="Arial" w:hAnsi="Arial"/>
          <w:sz w:val="16"/>
          <w:szCs w:val="16"/>
          <w:color w:val="auto"/>
        </w:rPr>
        <w:t>,</w:t>
      </w:r>
      <w:r>
        <w:rPr>
          <w:rFonts w:ascii="Arial" w:cs="Arial" w:eastAsia="Arial" w:hAnsi="Arial"/>
          <w:sz w:val="16"/>
          <w:szCs w:val="16"/>
          <w:i w:val="1"/>
          <w:iCs w:val="1"/>
          <w:color w:val="auto"/>
        </w:rPr>
        <w:t xml:space="preserve"> Detective Chinatown 3</w:t>
      </w:r>
      <w:r>
        <w:rPr>
          <w:rFonts w:ascii="Arial" w:cs="Arial" w:eastAsia="Arial" w:hAnsi="Arial"/>
          <w:sz w:val="16"/>
          <w:szCs w:val="16"/>
          <w:color w:val="auto"/>
        </w:rPr>
        <w:t>,</w:t>
      </w:r>
      <w:r>
        <w:rPr>
          <w:rFonts w:ascii="Arial" w:cs="Arial" w:eastAsia="Arial" w:hAnsi="Arial"/>
          <w:sz w:val="16"/>
          <w:szCs w:val="16"/>
          <w:i w:val="1"/>
          <w:iCs w:val="1"/>
          <w:color w:val="auto"/>
        </w:rPr>
        <w:t xml:space="preserve"> Godzilla vs. Kong</w:t>
      </w:r>
      <w:r>
        <w:rPr>
          <w:rFonts w:ascii="Arial" w:cs="Arial" w:eastAsia="Arial" w:hAnsi="Arial"/>
          <w:sz w:val="16"/>
          <w:szCs w:val="16"/>
          <w:color w:val="auto"/>
        </w:rPr>
        <w:t>,</w:t>
      </w:r>
      <w:r>
        <w:rPr>
          <w:rFonts w:ascii="Arial" w:cs="Arial" w:eastAsia="Arial" w:hAnsi="Arial"/>
          <w:sz w:val="16"/>
          <w:szCs w:val="16"/>
          <w:i w:val="1"/>
          <w:iCs w:val="1"/>
          <w:color w:val="auto"/>
        </w:rPr>
        <w:t xml:space="preserve"> Shang-Chi and the Legend of the Ten Rings</w:t>
      </w:r>
      <w:r>
        <w:rPr>
          <w:rFonts w:ascii="Arial" w:cs="Arial" w:eastAsia="Arial" w:hAnsi="Arial"/>
          <w:sz w:val="16"/>
          <w:szCs w:val="16"/>
          <w:color w:val="auto"/>
        </w:rPr>
        <w:t>,</w:t>
      </w:r>
      <w:r>
        <w:rPr>
          <w:rFonts w:ascii="Arial" w:cs="Arial" w:eastAsia="Arial" w:hAnsi="Arial"/>
          <w:sz w:val="16"/>
          <w:szCs w:val="16"/>
          <w:i w:val="1"/>
          <w:iCs w:val="1"/>
          <w:color w:val="auto"/>
        </w:rPr>
        <w:t xml:space="preserve"> The Eternals, </w:t>
      </w:r>
      <w:r>
        <w:rPr>
          <w:rFonts w:ascii="Arial" w:cs="Arial" w:eastAsia="Arial" w:hAnsi="Arial"/>
          <w:sz w:val="16"/>
          <w:szCs w:val="16"/>
          <w:color w:val="auto"/>
        </w:rPr>
        <w:t>and</w:t>
      </w:r>
      <w:r>
        <w:rPr>
          <w:rFonts w:ascii="Arial" w:cs="Arial" w:eastAsia="Arial" w:hAnsi="Arial"/>
          <w:sz w:val="16"/>
          <w:szCs w:val="16"/>
          <w:i w:val="1"/>
          <w:iCs w:val="1"/>
          <w:color w:val="auto"/>
        </w:rPr>
        <w:t xml:space="preserve"> Black Widow</w:t>
      </w:r>
      <w:r>
        <w:rPr>
          <w:rFonts w:ascii="Arial" w:cs="Arial" w:eastAsia="Arial" w:hAnsi="Arial"/>
          <w:sz w:val="16"/>
          <w:szCs w:val="16"/>
          <w:color w:val="auto"/>
        </w:rPr>
        <w:t>. The films released in 2021 include 10 with IMAX DNA and 32 local language films released in China (21), Japan (9), Russia (1) and South Korea</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(1). In 2020, 31 IMAX films were released to the Company’s global theater network, including five with IMAX DNA, and 17 local language films released in China (10), Russia (3), Japan (3), and South Korea (1). In 2019, 60 IMAX films were released to the Company’s global theater network, including six with IMAX DNA, and 18 local language films released in China (14), Japan (1), South Korea (1), India (1) and Russia (1).</w:t>
      </w:r>
    </w:p>
    <w:p>
      <w:pPr>
        <w:spacing w:after="0" w:line="13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its slate of Hollywood films with appealing local language IMAX films released in select markets, particularly in China. The Company expects to announce additional local language IMAX films to be released to its global theater network in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0" w:name="page41"/>
    <w:bookmarkEnd w:id="40"/>
    <w:p>
      <w:pPr>
        <w:ind w:firstLine="225"/>
        <w:spacing w:after="0" w:line="274" w:lineRule="auto"/>
        <w:rPr>
          <w:sz w:val="20"/>
          <w:szCs w:val="20"/>
          <w:color w:val="auto"/>
        </w:rPr>
      </w:pPr>
      <w:r>
        <w:rPr>
          <w:rFonts w:ascii="Arial" w:cs="Arial" w:eastAsia="Arial" w:hAnsi="Arial"/>
          <w:sz w:val="18"/>
          <w:szCs w:val="18"/>
          <w:color w:val="auto"/>
        </w:rPr>
        <w:t>To date, in 2022, eight titles have been released to the global IMAX theater network, including one released in connection with a live performance/interactive event, and the Company has announced the following 18 titles to be released later in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Scheduled</w:t>
            </w:r>
          </w:p>
        </w:tc>
        <w:tc>
          <w:tcPr>
            <w:tcW w:w="2240" w:type="dxa"/>
            <w:vAlign w:val="bottom"/>
          </w:tcPr>
          <w:p>
            <w:pPr>
              <w:spacing w:after="0"/>
              <w:rPr>
                <w:sz w:val="18"/>
                <w:szCs w:val="18"/>
                <w:color w:val="auto"/>
              </w:rPr>
            </w:pPr>
          </w:p>
        </w:tc>
      </w:tr>
      <w:tr>
        <w:trPr>
          <w:trHeight w:val="220"/>
        </w:trPr>
        <w:tc>
          <w:tcPr>
            <w:tcW w:w="15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439"/>
              <w:spacing w:after="0"/>
              <w:rPr>
                <w:sz w:val="20"/>
                <w:szCs w:val="20"/>
                <w:color w:val="auto"/>
              </w:rPr>
            </w:pPr>
            <w:r>
              <w:rPr>
                <w:rFonts w:ascii="Arial" w:cs="Arial" w:eastAsia="Arial" w:hAnsi="Arial"/>
                <w:sz w:val="16"/>
                <w:szCs w:val="16"/>
                <w:b w:val="1"/>
                <w:bCs w:val="1"/>
                <w:color w:val="auto"/>
                <w:w w:val="97"/>
              </w:rPr>
              <w:t>Title</w:t>
            </w:r>
          </w:p>
        </w:tc>
        <w:tc>
          <w:tcPr>
            <w:tcW w:w="220" w:type="dxa"/>
            <w:vAlign w:val="bottom"/>
            <w:tcBorders>
              <w:bottom w:val="single" w:sz="8" w:color="CFF0FC"/>
            </w:tcBorders>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Studio</w:t>
            </w:r>
          </w:p>
        </w:tc>
        <w:tc>
          <w:tcPr>
            <w:tcW w:w="2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5"/>
                <w:szCs w:val="15"/>
                <w:b w:val="1"/>
                <w:bCs w:val="1"/>
                <w:color w:val="auto"/>
                <w:w w:val="91"/>
              </w:rPr>
              <w:t>Release Date</w:t>
            </w:r>
            <w:r>
              <w:rPr>
                <w:rFonts w:ascii="Arial" w:cs="Arial" w:eastAsia="Arial" w:hAnsi="Arial"/>
                <w:sz w:val="25"/>
                <w:szCs w:val="25"/>
                <w:b w:val="1"/>
                <w:bCs w:val="1"/>
                <w:color w:val="auto"/>
                <w:w w:val="91"/>
                <w:vertAlign w:val="superscript"/>
              </w:rPr>
              <w:t>(1)</w:t>
            </w:r>
          </w:p>
        </w:tc>
        <w:tc>
          <w:tcPr>
            <w:tcW w:w="200" w:type="dxa"/>
            <w:vAlign w:val="bottom"/>
            <w:tcBorders>
              <w:bottom w:val="single" w:sz="8" w:color="CFF0FC"/>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IMAX DNA</w:t>
            </w:r>
          </w:p>
        </w:tc>
      </w:tr>
      <w:tr>
        <w:trPr>
          <w:trHeight w:val="20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20"/>
              <w:spacing w:after="0"/>
              <w:rPr>
                <w:sz w:val="20"/>
                <w:szCs w:val="20"/>
                <w:color w:val="auto"/>
              </w:rPr>
            </w:pPr>
            <w:r>
              <w:rPr>
                <w:rFonts w:ascii="Arial" w:cs="Arial" w:eastAsia="Arial" w:hAnsi="Arial"/>
                <w:sz w:val="16"/>
                <w:szCs w:val="16"/>
                <w:i w:val="1"/>
                <w:iCs w:val="1"/>
                <w:color w:val="auto"/>
                <w:w w:val="89"/>
              </w:rPr>
              <w:t>The Batman</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March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93"/>
              </w:rPr>
              <w:t>Notre-Dame Brûle</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Pathe</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March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8"/>
              </w:rPr>
              <w:t>Morbius</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Sony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None</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89"/>
              </w:rPr>
              <w:t>Ambulance</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4540" w:type="dxa"/>
            <w:vAlign w:val="bottom"/>
            <w:gridSpan w:val="3"/>
            <w:shd w:val="clear" w:color="auto" w:fill="CFF0FC"/>
          </w:tcPr>
          <w:p>
            <w:pPr>
              <w:jc w:val="center"/>
              <w:ind w:right="220"/>
              <w:spacing w:after="0"/>
              <w:rPr>
                <w:sz w:val="20"/>
                <w:szCs w:val="20"/>
                <w:color w:val="auto"/>
              </w:rPr>
            </w:pPr>
            <w:r>
              <w:rPr>
                <w:rFonts w:ascii="Arial" w:cs="Arial" w:eastAsia="Arial" w:hAnsi="Arial"/>
                <w:sz w:val="16"/>
                <w:szCs w:val="16"/>
                <w:i w:val="1"/>
                <w:iCs w:val="1"/>
                <w:color w:val="auto"/>
                <w:w w:val="90"/>
              </w:rPr>
              <w:t>Fantastic Beasts: The Secrets of Dumbledore</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7"/>
              </w:rPr>
              <w:t>April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Doctor Strange In The Multiverse of Madness</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1"/>
              </w:rPr>
              <w:t>Top Gun: Maverick</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Paramount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3"/>
              </w:rPr>
              <w:t>May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4"/>
              </w:rPr>
              <w:t>Jurassic World: Dominion</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June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7"/>
              </w:rPr>
              <w:t>Lightyear</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88"/>
              </w:rPr>
              <w:t>June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Expanded Aspect Ratio</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3"/>
              </w:rPr>
              <w:t>Minions: The Rise Of Gru</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None</w:t>
            </w:r>
          </w:p>
        </w:tc>
      </w:tr>
      <w:tr>
        <w:trPr>
          <w:trHeight w:val="218"/>
        </w:trPr>
        <w:tc>
          <w:tcPr>
            <w:tcW w:w="4540" w:type="dxa"/>
            <w:vAlign w:val="bottom"/>
            <w:gridSpan w:val="3"/>
            <w:shd w:val="clear" w:color="auto" w:fill="CFF0FC"/>
          </w:tcPr>
          <w:p>
            <w:pPr>
              <w:jc w:val="center"/>
              <w:ind w:right="220"/>
              <w:spacing w:after="0"/>
              <w:rPr>
                <w:sz w:val="20"/>
                <w:szCs w:val="20"/>
                <w:color w:val="auto"/>
              </w:rPr>
            </w:pPr>
            <w:r>
              <w:rPr>
                <w:rFonts w:ascii="Arial" w:cs="Arial" w:eastAsia="Arial" w:hAnsi="Arial"/>
                <w:sz w:val="16"/>
                <w:szCs w:val="16"/>
                <w:i w:val="1"/>
                <w:iCs w:val="1"/>
                <w:color w:val="auto"/>
                <w:w w:val="95"/>
              </w:rPr>
              <w:t>Thor: Love &amp; Thunder</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12"/>
        </w:trPr>
        <w:tc>
          <w:tcPr>
            <w:tcW w:w="1520" w:type="dxa"/>
            <w:vAlign w:val="bottom"/>
          </w:tcPr>
          <w:p>
            <w:pPr>
              <w:spacing w:after="0"/>
              <w:rPr>
                <w:sz w:val="18"/>
                <w:szCs w:val="18"/>
                <w:color w:val="auto"/>
              </w:rPr>
            </w:pPr>
          </w:p>
        </w:tc>
        <w:tc>
          <w:tcPr>
            <w:tcW w:w="3020" w:type="dxa"/>
            <w:vAlign w:val="bottom"/>
            <w:gridSpan w:val="2"/>
          </w:tcPr>
          <w:p>
            <w:pPr>
              <w:jc w:val="center"/>
              <w:ind w:right="1720"/>
              <w:spacing w:after="0"/>
              <w:rPr>
                <w:sz w:val="20"/>
                <w:szCs w:val="20"/>
                <w:color w:val="auto"/>
              </w:rPr>
            </w:pPr>
            <w:r>
              <w:rPr>
                <w:rFonts w:ascii="Arial" w:cs="Arial" w:eastAsia="Arial" w:hAnsi="Arial"/>
                <w:sz w:val="16"/>
                <w:szCs w:val="16"/>
                <w:i w:val="1"/>
                <w:iCs w:val="1"/>
                <w:color w:val="auto"/>
                <w:w w:val="88"/>
              </w:rPr>
              <w:t>Nope</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Universal Pictures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tcPr>
          <w:p>
            <w:pPr>
              <w:jc w:val="center"/>
              <w:spacing w:after="0"/>
              <w:rPr>
                <w:sz w:val="20"/>
                <w:szCs w:val="20"/>
                <w:color w:val="auto"/>
              </w:rPr>
            </w:pPr>
            <w:r>
              <w:rPr>
                <w:rFonts w:ascii="Arial" w:cs="Arial" w:eastAsia="Arial" w:hAnsi="Arial"/>
                <w:sz w:val="16"/>
                <w:szCs w:val="16"/>
                <w:color w:val="auto"/>
              </w:rPr>
              <w:t>Filmed in IMAX</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20"/>
              <w:spacing w:after="0"/>
              <w:rPr>
                <w:sz w:val="20"/>
                <w:szCs w:val="20"/>
                <w:color w:val="auto"/>
              </w:rPr>
            </w:pPr>
            <w:r>
              <w:rPr>
                <w:rFonts w:ascii="Arial" w:cs="Arial" w:eastAsia="Arial" w:hAnsi="Arial"/>
                <w:sz w:val="16"/>
                <w:szCs w:val="16"/>
                <w:i w:val="1"/>
                <w:iCs w:val="1"/>
                <w:color w:val="auto"/>
                <w:w w:val="91"/>
              </w:rPr>
              <w:t>Black Adam</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July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Spider-Man: Into the Spiderverse Sequel</w:t>
            </w: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Sony Pictures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October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89"/>
              </w:rPr>
              <w:t>The Flash</w:t>
            </w:r>
          </w:p>
        </w:tc>
        <w:tc>
          <w:tcPr>
            <w:tcW w:w="27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Warner Bros. Pictures</w:t>
            </w:r>
          </w:p>
        </w:tc>
        <w:tc>
          <w:tcPr>
            <w:tcW w:w="17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TBD</w:t>
            </w:r>
          </w:p>
        </w:tc>
      </w:tr>
      <w:tr>
        <w:trPr>
          <w:trHeight w:val="212"/>
        </w:trPr>
        <w:tc>
          <w:tcPr>
            <w:tcW w:w="4540" w:type="dxa"/>
            <w:vAlign w:val="bottom"/>
            <w:gridSpan w:val="3"/>
          </w:tcPr>
          <w:p>
            <w:pPr>
              <w:jc w:val="center"/>
              <w:ind w:right="220"/>
              <w:spacing w:after="0"/>
              <w:rPr>
                <w:sz w:val="20"/>
                <w:szCs w:val="20"/>
                <w:color w:val="auto"/>
              </w:rPr>
            </w:pPr>
            <w:r>
              <w:rPr>
                <w:rFonts w:ascii="Arial" w:cs="Arial" w:eastAsia="Arial" w:hAnsi="Arial"/>
                <w:sz w:val="16"/>
                <w:szCs w:val="16"/>
                <w:i w:val="1"/>
                <w:iCs w:val="1"/>
                <w:color w:val="auto"/>
                <w:w w:val="91"/>
              </w:rPr>
              <w:t>Black Panther 2: Wakanda Forever</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218"/>
        </w:trPr>
        <w:tc>
          <w:tcPr>
            <w:tcW w:w="152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center"/>
              <w:ind w:right="1740"/>
              <w:spacing w:after="0"/>
              <w:rPr>
                <w:sz w:val="20"/>
                <w:szCs w:val="20"/>
                <w:color w:val="auto"/>
              </w:rPr>
            </w:pPr>
            <w:r>
              <w:rPr>
                <w:rFonts w:ascii="Arial" w:cs="Arial" w:eastAsia="Arial" w:hAnsi="Arial"/>
                <w:sz w:val="16"/>
                <w:szCs w:val="16"/>
                <w:i w:val="1"/>
                <w:iCs w:val="1"/>
                <w:color w:val="auto"/>
                <w:w w:val="91"/>
              </w:rPr>
              <w:t>Creed 3</w:t>
            </w:r>
          </w:p>
        </w:tc>
        <w:tc>
          <w:tcPr>
            <w:tcW w:w="27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rPr>
              <w:t>MGM</w:t>
            </w:r>
          </w:p>
        </w:tc>
        <w:tc>
          <w:tcPr>
            <w:tcW w:w="17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22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Filmed in IMAX</w:t>
            </w:r>
          </w:p>
        </w:tc>
      </w:tr>
      <w:tr>
        <w:trPr>
          <w:trHeight w:val="209"/>
        </w:trPr>
        <w:tc>
          <w:tcPr>
            <w:tcW w:w="1520" w:type="dxa"/>
            <w:vAlign w:val="bottom"/>
          </w:tcPr>
          <w:p>
            <w:pPr>
              <w:spacing w:after="0"/>
              <w:rPr>
                <w:sz w:val="18"/>
                <w:szCs w:val="18"/>
                <w:color w:val="auto"/>
              </w:rPr>
            </w:pPr>
          </w:p>
        </w:tc>
        <w:tc>
          <w:tcPr>
            <w:tcW w:w="3020" w:type="dxa"/>
            <w:vAlign w:val="bottom"/>
            <w:gridSpan w:val="2"/>
          </w:tcPr>
          <w:p>
            <w:pPr>
              <w:jc w:val="center"/>
              <w:ind w:right="1740"/>
              <w:spacing w:after="0"/>
              <w:rPr>
                <w:sz w:val="20"/>
                <w:szCs w:val="20"/>
                <w:color w:val="auto"/>
              </w:rPr>
            </w:pPr>
            <w:r>
              <w:rPr>
                <w:rFonts w:ascii="Arial" w:cs="Arial" w:eastAsia="Arial" w:hAnsi="Arial"/>
                <w:sz w:val="16"/>
                <w:szCs w:val="16"/>
                <w:i w:val="1"/>
                <w:iCs w:val="1"/>
                <w:color w:val="auto"/>
                <w:w w:val="93"/>
              </w:rPr>
              <w:t>Avatar 2</w:t>
            </w:r>
          </w:p>
        </w:tc>
        <w:tc>
          <w:tcPr>
            <w:tcW w:w="27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Walt Disney Studios</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December 2022</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TBD</w:t>
            </w:r>
          </w:p>
        </w:tc>
      </w:tr>
      <w:tr>
        <w:trPr>
          <w:trHeight w:val="140"/>
        </w:trPr>
        <w:tc>
          <w:tcPr>
            <w:tcW w:w="1520" w:type="dxa"/>
            <w:vAlign w:val="bottom"/>
            <w:tcBorders>
              <w:bottom w:val="single" w:sz="8" w:color="auto"/>
            </w:tcBorders>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r>
    </w:tbl>
    <w:p>
      <w:pPr>
        <w:spacing w:after="0" w:line="160" w:lineRule="exact"/>
        <w:rPr>
          <w:sz w:val="20"/>
          <w:szCs w:val="20"/>
          <w:color w:val="auto"/>
        </w:rPr>
      </w:pPr>
    </w:p>
    <w:p>
      <w:pPr>
        <w:jc w:val="both"/>
        <w:ind w:left="360" w:hanging="353"/>
        <w:spacing w:after="0" w:line="25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scheduled release dates in the table above are subject to change, including as a result of the impact of the COVID-19 pandemic, may vary by territory, and may not reflect the date(s) of limited premiere events. 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4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2"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2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52"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1" w:name="page42"/>
    <w:bookmarkEnd w:id="41"/>
    <w:p>
      <w:pPr>
        <w:jc w:val="both"/>
        <w:ind w:firstLine="225"/>
        <w:spacing w:after="0" w:line="284"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38" w:lineRule="exact"/>
        <w:rPr>
          <w:sz w:val="20"/>
          <w:szCs w:val="20"/>
          <w:color w:val="auto"/>
        </w:rPr>
      </w:pPr>
    </w:p>
    <w:p>
      <w:pPr>
        <w:jc w:val="both"/>
        <w:ind w:firstLine="225"/>
        <w:spacing w:after="0" w:line="305"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07"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Joint revenue sharing arrangements have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December 31, 2021, the Company had 909 theaters in operation under joint revenue sharing arrangements, a 2% increase as compared to the 890 theaters in operation under joint revenue sharing arrangements as of December 31, 2020. The Company also had contracts in backlog for 316 theaters under joint revenue sharing arrangements as of December 31, 2021, including 82 upgrades to existing theater locations and 234 new theater locations.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20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a lesser extent, the IMAX Technology Sales and Maintenance category also earns revenue from certain hybrid joint revenue sharing arrangements and certain ancillary theater business activities. These activities are described in more detail below under the captioned section for each respective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43"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9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IMAX Maintenance</w:t>
      </w:r>
    </w:p>
    <w:p>
      <w:pPr>
        <w:spacing w:after="0" w:line="19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IMAX Theater System arrangements also include a requirement for the Company to provide maintenance services over the life of the arrangement in exchange for an extended warranty and annual maintenance fee paid by the theater owner or operator. Under these arrangements, the Company provides preventative and emergency maintenance services to ensure that each presentation is up to the highest IMAX quality standard. Annual maintenance fees are paid throughout the duration of the term of the theater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Theater System parts and 3D glasses.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6"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w:t>
      </w:r>
    </w:p>
    <w:p>
      <w:pPr>
        <w:spacing w:after="0" w:line="14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ownership rights to the films distributed by the Company may be held by the film’s sponsors, third-party film investors and/or the Company. As of December 31, 2021, the Company has distribution rights with respect to 53 films, which cover subjects such as space, wildlife, music, sports, history, and natural wonders.</w:t>
      </w:r>
    </w:p>
    <w:p>
      <w:pPr>
        <w:spacing w:after="0" w:line="157"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In addition, the Company continues to evolve its platform to bring new, innovative events and experiences to audiences worldwide. The Company has a connected IMAX theater footprint capable of delivering live, interactive content with low latency and superior sight and sound. As of December 31, 2021, 68 theaters in the IMAX network were configured to enable the streaming of live events with additional theaters expected to go-live throughout 2022.</w:t>
      </w:r>
    </w:p>
    <w:p>
      <w:pPr>
        <w:spacing w:after="0" w:line="10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 xml:space="preserve">In the fourth quarter of 2021, the Company distributed a Kanye West and Drake concert to 35 IMAX theaters across the United States and Canada through a partnership with Amazon Music. In the fourth quarter of 2021, the Company also held special screenings of Joel Coen’s </w:t>
      </w:r>
      <w:r>
        <w:rPr>
          <w:rFonts w:ascii="Arial" w:cs="Arial" w:eastAsia="Arial" w:hAnsi="Arial"/>
          <w:sz w:val="17"/>
          <w:szCs w:val="17"/>
          <w:i w:val="1"/>
          <w:iCs w:val="1"/>
          <w:color w:val="auto"/>
        </w:rPr>
        <w:t>The Tragedy of Macbeth</w:t>
      </w:r>
      <w:r>
        <w:rPr>
          <w:rFonts w:ascii="Arial" w:cs="Arial" w:eastAsia="Arial" w:hAnsi="Arial"/>
          <w:sz w:val="17"/>
          <w:szCs w:val="17"/>
          <w:color w:val="auto"/>
        </w:rPr>
        <w:t xml:space="preserve">, including a live Q&amp;A with Mr. Coen and actress Frances McDormand streamed from the IMAX theater in Lincoln Square, New York, and </w:t>
      </w:r>
      <w:r>
        <w:rPr>
          <w:rFonts w:ascii="Arial" w:cs="Arial" w:eastAsia="Arial" w:hAnsi="Arial"/>
          <w:sz w:val="17"/>
          <w:szCs w:val="17"/>
          <w:i w:val="1"/>
          <w:iCs w:val="1"/>
          <w:color w:val="auto"/>
        </w:rPr>
        <w:t>West Side Story</w:t>
      </w:r>
      <w:r>
        <w:rPr>
          <w:rFonts w:ascii="Arial" w:cs="Arial" w:eastAsia="Arial" w:hAnsi="Arial"/>
          <w:sz w:val="17"/>
          <w:szCs w:val="17"/>
          <w:color w:val="auto"/>
        </w:rPr>
        <w:t xml:space="preserve">, featuring a live Q&amp;A with director Steven Spielberg and his cast, which was streamed from the IMAX theater of Century City, California. Also, in the first quarter of 2022, the Company partnered with Disney to hold a special screening of </w:t>
      </w:r>
      <w:r>
        <w:rPr>
          <w:rFonts w:ascii="Arial" w:cs="Arial" w:eastAsia="Arial" w:hAnsi="Arial"/>
          <w:sz w:val="17"/>
          <w:szCs w:val="17"/>
          <w:i w:val="1"/>
          <w:iCs w:val="1"/>
          <w:color w:val="auto"/>
        </w:rPr>
        <w:t>The Beatles: Get Back – The Rooftop Concert</w:t>
      </w:r>
      <w:r>
        <w:rPr>
          <w:rFonts w:ascii="Arial" w:cs="Arial" w:eastAsia="Arial" w:hAnsi="Arial"/>
          <w:sz w:val="17"/>
          <w:szCs w:val="17"/>
          <w:color w:val="auto"/>
        </w:rPr>
        <w:t>, featuring a live Q&amp;A with director and producer Peter Jackson streaming to 68 IMAX theaters worldwide.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Through its Film Post-Production segment, the Company provides film post-production and quality control services for large-format films, whether produced by IMAX or third parties, and digital post-production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Initiatives</w:t>
      </w:r>
    </w:p>
    <w:p>
      <w:pPr>
        <w:spacing w:after="0" w:line="18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 xml:space="preserve">The New Business Initiatives segment includes activities related to the </w:t>
      </w:r>
      <w:r>
        <w:rPr>
          <w:rFonts w:ascii="Arial" w:cs="Arial" w:eastAsia="Arial" w:hAnsi="Arial"/>
          <w:sz w:val="18"/>
          <w:szCs w:val="18"/>
          <w:color w:val="212529"/>
        </w:rPr>
        <w:t>expansion of the IMAX brand across new lines of business and initiatives, which</w:t>
      </w:r>
      <w:r>
        <w:rPr>
          <w:rFonts w:ascii="Arial" w:cs="Arial" w:eastAsia="Arial" w:hAnsi="Arial"/>
          <w:sz w:val="18"/>
          <w:szCs w:val="18"/>
          <w:color w:val="auto"/>
        </w:rPr>
        <w:t xml:space="preserve"> </w:t>
      </w:r>
      <w:r>
        <w:rPr>
          <w:rFonts w:ascii="Arial" w:cs="Arial" w:eastAsia="Arial" w:hAnsi="Arial"/>
          <w:sz w:val="18"/>
          <w:szCs w:val="18"/>
          <w:color w:val="212529"/>
        </w:rPr>
        <w:t>seek to leverage the Company’s proprietary, innovative technologies, its leadership position in the entertainment technology space, its unique relationship with content creators, and its brand.</w:t>
      </w:r>
    </w:p>
    <w:p>
      <w:pPr>
        <w:spacing w:after="0" w:line="157"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212529"/>
        </w:rPr>
        <w:t xml:space="preserve">In September 2018, the Company launched IMAX Enhanced, a new initiative to bring </w:t>
      </w:r>
      <w:r>
        <w:rPr>
          <w:rFonts w:ascii="Arial" w:cs="Arial" w:eastAsia="Arial" w:hAnsi="Arial"/>
          <w:sz w:val="17"/>
          <w:szCs w:val="17"/>
          <w:i w:val="1"/>
          <w:iCs w:val="1"/>
          <w:color w:val="212529"/>
        </w:rPr>
        <w:t>The</w:t>
      </w:r>
      <w:r>
        <w:rPr>
          <w:rFonts w:ascii="Arial" w:cs="Arial" w:eastAsia="Arial" w:hAnsi="Arial"/>
          <w:sz w:val="17"/>
          <w:szCs w:val="17"/>
          <w:color w:val="212529"/>
        </w:rPr>
        <w:t xml:space="preserve"> IMAX </w:t>
      </w:r>
      <w:r>
        <w:rPr>
          <w:rFonts w:ascii="Arial" w:cs="Arial" w:eastAsia="Arial" w:hAnsi="Arial"/>
          <w:sz w:val="17"/>
          <w:szCs w:val="17"/>
          <w:i w:val="1"/>
          <w:iCs w:val="1"/>
          <w:color w:val="212529"/>
        </w:rPr>
        <w:t>Experience</w:t>
      </w:r>
      <w:r>
        <w:rPr>
          <w:rFonts w:ascii="Arial" w:cs="Arial" w:eastAsia="Arial" w:hAnsi="Arial"/>
          <w:sz w:val="17"/>
          <w:szCs w:val="17"/>
          <w:color w:val="212529"/>
        </w:rPr>
        <w:t xml:space="preserve"> into the home, in partnership with audio leader DTS (an Xperi subsidiary). IMAX Enhanced provides end-to-end premium technology across streaming content and best-in-class entertainment devices, offering consumers high-fidelity playback of image and sound in the home and beyond, including the following features:</w:t>
      </w:r>
    </w:p>
    <w:p>
      <w:pPr>
        <w:spacing w:after="0" w:line="125" w:lineRule="exact"/>
        <w:rPr>
          <w:sz w:val="20"/>
          <w:szCs w:val="20"/>
          <w:color w:val="auto"/>
        </w:rPr>
      </w:pPr>
    </w:p>
    <w:p>
      <w:pPr>
        <w:ind w:left="900" w:hanging="450"/>
        <w:spacing w:after="0" w:line="248" w:lineRule="auto"/>
        <w:tabs>
          <w:tab w:leader="none" w:pos="900" w:val="left"/>
        </w:tabs>
        <w:numPr>
          <w:ilvl w:val="0"/>
          <w:numId w:val="27"/>
        </w:numPr>
        <w:rPr>
          <w:rFonts w:ascii="Arial" w:cs="Arial" w:eastAsia="Arial" w:hAnsi="Arial"/>
          <w:sz w:val="20"/>
          <w:szCs w:val="20"/>
          <w:color w:val="auto"/>
        </w:rPr>
      </w:pPr>
      <w:r>
        <w:rPr>
          <w:rFonts w:ascii="Arial" w:cs="Arial" w:eastAsia="Arial" w:hAnsi="Arial"/>
          <w:sz w:val="18"/>
          <w:szCs w:val="18"/>
          <w:color w:val="auto"/>
        </w:rPr>
        <w:t xml:space="preserve">IMAX’s expanded aspect ratio, which is available on select titles and streaming platforms, including Disney+ and features the full scale and scope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as the filmmakers intended;</w:t>
      </w:r>
    </w:p>
    <w:p>
      <w:pPr>
        <w:spacing w:after="0" w:line="152" w:lineRule="exact"/>
        <w:rPr>
          <w:rFonts w:ascii="Arial" w:cs="Arial" w:eastAsia="Arial" w:hAnsi="Arial"/>
          <w:sz w:val="20"/>
          <w:szCs w:val="20"/>
          <w:color w:val="auto"/>
        </w:rPr>
      </w:pPr>
    </w:p>
    <w:p>
      <w:pPr>
        <w:ind w:left="900" w:hanging="450"/>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IMAX’s proprietary remastering technology, which produces a more vivid, higher-fidelity 4K HDR images on today’s best televisions; and</w:t>
      </w:r>
    </w:p>
    <w:p>
      <w:pPr>
        <w:spacing w:after="0" w:line="207" w:lineRule="exact"/>
        <w:rPr>
          <w:rFonts w:ascii="Arial" w:cs="Arial" w:eastAsia="Arial" w:hAnsi="Arial"/>
          <w:sz w:val="17"/>
          <w:szCs w:val="17"/>
          <w:color w:val="auto"/>
        </w:rPr>
      </w:pPr>
    </w:p>
    <w:p>
      <w:pPr>
        <w:ind w:left="900" w:hanging="450"/>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IMAX signature sound, which is specially recreated and calibrated for the home by DTS to unlock more immersive audio.</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3" w:name="page44"/>
    <w:bookmarkEnd w:id="43"/>
    <w:p>
      <w:pPr>
        <w:jc w:val="both"/>
        <w:ind w:firstLine="225"/>
        <w:spacing w:after="0" w:line="261" w:lineRule="auto"/>
        <w:rPr>
          <w:sz w:val="20"/>
          <w:szCs w:val="20"/>
          <w:color w:val="auto"/>
        </w:rPr>
      </w:pPr>
      <w:r>
        <w:rPr>
          <w:rFonts w:ascii="Arial" w:cs="Arial" w:eastAsia="Arial" w:hAnsi="Arial"/>
          <w:sz w:val="18"/>
          <w:szCs w:val="18"/>
          <w:color w:val="212529"/>
        </w:rPr>
        <w:t>To be certified as IMAX Enhanced, leading consumer electronics manufacturers spanning 4K/8K televisions, projectors, A/V receivers, loudspeakers, soundbars and smartphones must meet a carefully prescribed set of audiovisual performance standards, set by a certification committee of IMAX and DTS engineers, along with some of Hollywood’s leading technical specialists.</w:t>
      </w:r>
    </w:p>
    <w:p>
      <w:pPr>
        <w:spacing w:after="0" w:line="15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212529"/>
        </w:rPr>
        <w:t>At present, certified global device partners include Sony Electronics, Hisense, TCL, Phillips, Xiaomi, Sound United and Honor, among others. More than 150 IMAX Enhanced titles are now available across six of the biggest streaming platforms worldwide, including Disney+, Sony Bravia CORE, Tencent Video, iQiyi, Tsutaya TV and Rakuten TV.</w:t>
      </w:r>
    </w:p>
    <w:p>
      <w:pPr>
        <w:spacing w:after="0" w:line="143"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212529"/>
        </w:rPr>
        <w:t xml:space="preserve">The Company’s collaboration with Disney, which was announced in November 2021, allows fans to stream 14 Marvel titles in IMAX’s Expanded Aspect Ratio at home on Disney+. The 14 titles available on Disney+ include </w:t>
      </w:r>
      <w:r>
        <w:rPr>
          <w:rFonts w:ascii="Arial" w:cs="Arial" w:eastAsia="Arial" w:hAnsi="Arial"/>
          <w:sz w:val="16"/>
          <w:szCs w:val="16"/>
          <w:i w:val="1"/>
          <w:iCs w:val="1"/>
          <w:color w:val="212529"/>
        </w:rPr>
        <w:t>Shang-Chi and The Legend of The Ten Rings</w:t>
      </w:r>
      <w:r>
        <w:rPr>
          <w:rFonts w:ascii="Arial" w:cs="Arial" w:eastAsia="Arial" w:hAnsi="Arial"/>
          <w:sz w:val="16"/>
          <w:szCs w:val="16"/>
          <w:color w:val="212529"/>
        </w:rPr>
        <w:t xml:space="preserve"> and </w:t>
      </w:r>
      <w:r>
        <w:rPr>
          <w:rFonts w:ascii="Arial" w:cs="Arial" w:eastAsia="Arial" w:hAnsi="Arial"/>
          <w:sz w:val="16"/>
          <w:szCs w:val="16"/>
          <w:i w:val="1"/>
          <w:iCs w:val="1"/>
          <w:color w:val="212529"/>
        </w:rPr>
        <w:t>Eternals</w:t>
      </w:r>
      <w:r>
        <w:rPr>
          <w:rFonts w:ascii="Arial" w:cs="Arial" w:eastAsia="Arial" w:hAnsi="Arial"/>
          <w:sz w:val="16"/>
          <w:szCs w:val="16"/>
          <w:color w:val="212529"/>
        </w:rPr>
        <w:t xml:space="preserve">, as well as </w:t>
      </w:r>
      <w:r>
        <w:rPr>
          <w:rFonts w:ascii="Arial" w:cs="Arial" w:eastAsia="Arial" w:hAnsi="Arial"/>
          <w:sz w:val="16"/>
          <w:szCs w:val="16"/>
          <w:i w:val="1"/>
          <w:iCs w:val="1"/>
          <w:color w:val="212529"/>
        </w:rPr>
        <w:t>Iron</w:t>
      </w:r>
      <w:r>
        <w:rPr>
          <w:rFonts w:ascii="Arial" w:cs="Arial" w:eastAsia="Arial" w:hAnsi="Arial"/>
          <w:sz w:val="16"/>
          <w:szCs w:val="16"/>
          <w:color w:val="212529"/>
        </w:rPr>
        <w:t xml:space="preserve"> </w:t>
      </w:r>
      <w:r>
        <w:rPr>
          <w:rFonts w:ascii="Arial" w:cs="Arial" w:eastAsia="Arial" w:hAnsi="Arial"/>
          <w:sz w:val="16"/>
          <w:szCs w:val="16"/>
          <w:i w:val="1"/>
          <w:iCs w:val="1"/>
          <w:color w:val="212529"/>
        </w:rPr>
        <w:t>Man</w:t>
      </w:r>
      <w:r>
        <w:rPr>
          <w:rFonts w:ascii="Arial" w:cs="Arial" w:eastAsia="Arial" w:hAnsi="Arial"/>
          <w:sz w:val="16"/>
          <w:szCs w:val="16"/>
          <w:color w:val="212529"/>
        </w:rPr>
        <w:t>,</w:t>
      </w:r>
      <w:r>
        <w:rPr>
          <w:rFonts w:ascii="Arial" w:cs="Arial" w:eastAsia="Arial" w:hAnsi="Arial"/>
          <w:sz w:val="16"/>
          <w:szCs w:val="16"/>
          <w:i w:val="1"/>
          <w:iCs w:val="1"/>
          <w:color w:val="212529"/>
        </w:rPr>
        <w:t xml:space="preserve"> Guardians of the Galaxy</w:t>
      </w:r>
      <w:r>
        <w:rPr>
          <w:rFonts w:ascii="Arial" w:cs="Arial" w:eastAsia="Arial" w:hAnsi="Arial"/>
          <w:sz w:val="16"/>
          <w:szCs w:val="16"/>
          <w:color w:val="212529"/>
        </w:rPr>
        <w:t>,</w:t>
      </w:r>
      <w:r>
        <w:rPr>
          <w:rFonts w:ascii="Arial" w:cs="Arial" w:eastAsia="Arial" w:hAnsi="Arial"/>
          <w:sz w:val="16"/>
          <w:szCs w:val="16"/>
          <w:i w:val="1"/>
          <w:iCs w:val="1"/>
          <w:color w:val="212529"/>
        </w:rPr>
        <w:t xml:space="preserve"> Guardians of the Galaxy Vol. 2</w:t>
      </w:r>
      <w:r>
        <w:rPr>
          <w:rFonts w:ascii="Arial" w:cs="Arial" w:eastAsia="Arial" w:hAnsi="Arial"/>
          <w:sz w:val="16"/>
          <w:szCs w:val="16"/>
          <w:color w:val="212529"/>
        </w:rPr>
        <w:t>,</w:t>
      </w:r>
      <w:r>
        <w:rPr>
          <w:rFonts w:ascii="Arial" w:cs="Arial" w:eastAsia="Arial" w:hAnsi="Arial"/>
          <w:sz w:val="16"/>
          <w:szCs w:val="16"/>
          <w:i w:val="1"/>
          <w:iCs w:val="1"/>
          <w:color w:val="212529"/>
        </w:rPr>
        <w:t xml:space="preserve"> Captain America: Civil War</w:t>
      </w:r>
      <w:r>
        <w:rPr>
          <w:rFonts w:ascii="Arial" w:cs="Arial" w:eastAsia="Arial" w:hAnsi="Arial"/>
          <w:sz w:val="16"/>
          <w:szCs w:val="16"/>
          <w:color w:val="212529"/>
        </w:rPr>
        <w:t>,</w:t>
      </w:r>
      <w:r>
        <w:rPr>
          <w:rFonts w:ascii="Arial" w:cs="Arial" w:eastAsia="Arial" w:hAnsi="Arial"/>
          <w:sz w:val="16"/>
          <w:szCs w:val="16"/>
          <w:i w:val="1"/>
          <w:iCs w:val="1"/>
          <w:color w:val="212529"/>
        </w:rPr>
        <w:t xml:space="preserve"> Doctor Strange</w:t>
      </w:r>
      <w:r>
        <w:rPr>
          <w:rFonts w:ascii="Arial" w:cs="Arial" w:eastAsia="Arial" w:hAnsi="Arial"/>
          <w:sz w:val="16"/>
          <w:szCs w:val="16"/>
          <w:color w:val="212529"/>
        </w:rPr>
        <w:t>,</w:t>
      </w:r>
      <w:r>
        <w:rPr>
          <w:rFonts w:ascii="Arial" w:cs="Arial" w:eastAsia="Arial" w:hAnsi="Arial"/>
          <w:sz w:val="16"/>
          <w:szCs w:val="16"/>
          <w:i w:val="1"/>
          <w:iCs w:val="1"/>
          <w:color w:val="212529"/>
        </w:rPr>
        <w:t xml:space="preserve"> Thor: Ragnarok</w:t>
      </w:r>
      <w:r>
        <w:rPr>
          <w:rFonts w:ascii="Arial" w:cs="Arial" w:eastAsia="Arial" w:hAnsi="Arial"/>
          <w:sz w:val="16"/>
          <w:szCs w:val="16"/>
          <w:color w:val="212529"/>
        </w:rPr>
        <w:t>,</w:t>
      </w:r>
      <w:r>
        <w:rPr>
          <w:rFonts w:ascii="Arial" w:cs="Arial" w:eastAsia="Arial" w:hAnsi="Arial"/>
          <w:sz w:val="16"/>
          <w:szCs w:val="16"/>
          <w:i w:val="1"/>
          <w:iCs w:val="1"/>
          <w:color w:val="212529"/>
        </w:rPr>
        <w:t xml:space="preserve"> Black Panther</w:t>
      </w:r>
      <w:r>
        <w:rPr>
          <w:rFonts w:ascii="Arial" w:cs="Arial" w:eastAsia="Arial" w:hAnsi="Arial"/>
          <w:sz w:val="16"/>
          <w:szCs w:val="16"/>
          <w:color w:val="212529"/>
        </w:rPr>
        <w:t>,</w:t>
      </w:r>
      <w:r>
        <w:rPr>
          <w:rFonts w:ascii="Arial" w:cs="Arial" w:eastAsia="Arial" w:hAnsi="Arial"/>
          <w:sz w:val="16"/>
          <w:szCs w:val="16"/>
          <w:i w:val="1"/>
          <w:iCs w:val="1"/>
          <w:color w:val="212529"/>
        </w:rPr>
        <w:t xml:space="preserve"> Avengers: Infinity War</w:t>
      </w:r>
      <w:r>
        <w:rPr>
          <w:rFonts w:ascii="Arial" w:cs="Arial" w:eastAsia="Arial" w:hAnsi="Arial"/>
          <w:sz w:val="16"/>
          <w:szCs w:val="16"/>
          <w:color w:val="212529"/>
        </w:rPr>
        <w:t>,</w:t>
      </w:r>
      <w:r>
        <w:rPr>
          <w:rFonts w:ascii="Arial" w:cs="Arial" w:eastAsia="Arial" w:hAnsi="Arial"/>
          <w:sz w:val="16"/>
          <w:szCs w:val="16"/>
          <w:i w:val="1"/>
          <w:iCs w:val="1"/>
          <w:color w:val="212529"/>
        </w:rPr>
        <w:t xml:space="preserve"> Ant-Man and The Wasp</w:t>
      </w:r>
      <w:r>
        <w:rPr>
          <w:rFonts w:ascii="Arial" w:cs="Arial" w:eastAsia="Arial" w:hAnsi="Arial"/>
          <w:sz w:val="16"/>
          <w:szCs w:val="16"/>
          <w:color w:val="212529"/>
        </w:rPr>
        <w:t>,</w:t>
      </w:r>
      <w:r>
        <w:rPr>
          <w:rFonts w:ascii="Arial" w:cs="Arial" w:eastAsia="Arial" w:hAnsi="Arial"/>
          <w:sz w:val="16"/>
          <w:szCs w:val="16"/>
          <w:i w:val="1"/>
          <w:iCs w:val="1"/>
          <w:color w:val="212529"/>
        </w:rPr>
        <w:t xml:space="preserve"> Captain Marvel</w:t>
      </w:r>
      <w:r>
        <w:rPr>
          <w:rFonts w:ascii="Arial" w:cs="Arial" w:eastAsia="Arial" w:hAnsi="Arial"/>
          <w:sz w:val="16"/>
          <w:szCs w:val="16"/>
          <w:color w:val="212529"/>
        </w:rPr>
        <w:t>,</w:t>
      </w:r>
      <w:r>
        <w:rPr>
          <w:rFonts w:ascii="Arial" w:cs="Arial" w:eastAsia="Arial" w:hAnsi="Arial"/>
          <w:sz w:val="16"/>
          <w:szCs w:val="16"/>
          <w:i w:val="1"/>
          <w:iCs w:val="1"/>
          <w:color w:val="212529"/>
        </w:rPr>
        <w:t xml:space="preserve"> Avengers: Endgame</w:t>
      </w:r>
      <w:r>
        <w:rPr>
          <w:rFonts w:ascii="Arial" w:cs="Arial" w:eastAsia="Arial" w:hAnsi="Arial"/>
          <w:sz w:val="16"/>
          <w:szCs w:val="16"/>
          <w:color w:val="212529"/>
        </w:rPr>
        <w:t>, and</w:t>
      </w:r>
      <w:r>
        <w:rPr>
          <w:rFonts w:ascii="Arial" w:cs="Arial" w:eastAsia="Arial" w:hAnsi="Arial"/>
          <w:sz w:val="16"/>
          <w:szCs w:val="16"/>
          <w:i w:val="1"/>
          <w:iCs w:val="1"/>
          <w:color w:val="212529"/>
        </w:rPr>
        <w:t xml:space="preserve"> Black Widow </w:t>
      </w:r>
      <w:r>
        <w:rPr>
          <w:rFonts w:ascii="Arial" w:cs="Arial" w:eastAsia="Arial" w:hAnsi="Arial"/>
          <w:sz w:val="16"/>
          <w:szCs w:val="16"/>
          <w:color w:val="212529"/>
        </w:rPr>
        <w:t>(content availability varies by region).</w:t>
      </w:r>
      <w:r>
        <w:rPr>
          <w:rFonts w:ascii="Arial" w:cs="Arial" w:eastAsia="Arial" w:hAnsi="Arial"/>
          <w:sz w:val="16"/>
          <w:szCs w:val="16"/>
          <w:i w:val="1"/>
          <w:iCs w:val="1"/>
          <w:color w:val="212529"/>
        </w:rPr>
        <w:t xml:space="preserve"> </w:t>
      </w:r>
      <w:r>
        <w:rPr>
          <w:rFonts w:ascii="Arial" w:cs="Arial" w:eastAsia="Arial" w:hAnsi="Arial"/>
          <w:sz w:val="16"/>
          <w:szCs w:val="16"/>
          <w:color w:val="000000"/>
        </w:rPr>
        <w:t>The launch of</w:t>
      </w:r>
      <w:r>
        <w:rPr>
          <w:rFonts w:ascii="Arial" w:cs="Arial" w:eastAsia="Arial" w:hAnsi="Arial"/>
          <w:sz w:val="16"/>
          <w:szCs w:val="16"/>
          <w:i w:val="1"/>
          <w:iCs w:val="1"/>
          <w:color w:val="212529"/>
        </w:rPr>
        <w:t xml:space="preserve"> </w:t>
      </w:r>
      <w:r>
        <w:rPr>
          <w:rFonts w:ascii="Arial" w:cs="Arial" w:eastAsia="Arial" w:hAnsi="Arial"/>
          <w:sz w:val="16"/>
          <w:szCs w:val="16"/>
          <w:i w:val="1"/>
          <w:iCs w:val="1"/>
          <w:color w:val="000000"/>
        </w:rPr>
        <w:t>IMAX</w:t>
      </w:r>
      <w:r>
        <w:rPr>
          <w:rFonts w:ascii="Arial" w:cs="Arial" w:eastAsia="Arial" w:hAnsi="Arial"/>
          <w:sz w:val="16"/>
          <w:szCs w:val="16"/>
          <w:i w:val="1"/>
          <w:iCs w:val="1"/>
          <w:color w:val="212529"/>
        </w:rPr>
        <w:t xml:space="preserve"> </w:t>
      </w:r>
      <w:r>
        <w:rPr>
          <w:rFonts w:ascii="Arial" w:cs="Arial" w:eastAsia="Arial" w:hAnsi="Arial"/>
          <w:sz w:val="16"/>
          <w:szCs w:val="16"/>
          <w:i w:val="1"/>
          <w:iCs w:val="1"/>
          <w:color w:val="000000"/>
        </w:rPr>
        <w:t xml:space="preserve">Enhanced on Disney+ </w:t>
      </w:r>
      <w:r>
        <w:rPr>
          <w:rFonts w:ascii="Arial" w:cs="Arial" w:eastAsia="Arial" w:hAnsi="Arial"/>
          <w:sz w:val="16"/>
          <w:szCs w:val="16"/>
          <w:color w:val="000000"/>
        </w:rPr>
        <w:t>served as a focal point of Disney’s “Disney+ Day” two-year anniversary event, earning significant positive media coverage and</w:t>
      </w:r>
      <w:r>
        <w:rPr>
          <w:rFonts w:ascii="Arial" w:cs="Arial" w:eastAsia="Arial" w:hAnsi="Arial"/>
          <w:sz w:val="16"/>
          <w:szCs w:val="16"/>
          <w:i w:val="1"/>
          <w:iCs w:val="1"/>
          <w:color w:val="000000"/>
        </w:rPr>
        <w:t xml:space="preserve"> </w:t>
      </w:r>
      <w:r>
        <w:rPr>
          <w:rFonts w:ascii="Arial" w:cs="Arial" w:eastAsia="Arial" w:hAnsi="Arial"/>
          <w:sz w:val="16"/>
          <w:szCs w:val="16"/>
          <w:color w:val="000000"/>
        </w:rPr>
        <w:t>providing strong brand exposure for IMAX by expanding the Company’s in-home entertainment footprint to more than 80 million subscribers.</w:t>
      </w:r>
    </w:p>
    <w:p>
      <w:pPr>
        <w:spacing w:after="0" w:line="12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 xml:space="preserve">IMAX Enhanced and the </w:t>
      </w:r>
      <w:r>
        <w:rPr>
          <w:rFonts w:ascii="Arial" w:cs="Arial" w:eastAsia="Arial" w:hAnsi="Arial"/>
          <w:sz w:val="18"/>
          <w:szCs w:val="18"/>
          <w:color w:val="212529"/>
        </w:rPr>
        <w:t>collaboration with Disney</w:t>
      </w:r>
      <w:r>
        <w:rPr>
          <w:rFonts w:ascii="Arial" w:cs="Arial" w:eastAsia="Arial" w:hAnsi="Arial"/>
          <w:sz w:val="18"/>
          <w:szCs w:val="18"/>
          <w:color w:val="auto"/>
        </w:rPr>
        <w:t xml:space="preserve"> is part of the Company’s next evolutionary step to grow beyond Hollywood blockbusters and extend the IMAX brand and technology further into the streaming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derives a small portion of its revenues from other sources including one owned and operated IMAX theater in Sacramento, California; a commercial arrangement with one theater resulting in the sharing of profits and losses; the provision of management services to three other theaters; renting its proprietary 2D and 3D large-format film and digital cameras to third-party production companies; and also offering production advice and technical assistance to both documentary and Hollywood filmmakers.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NETWORK AND BACKLOG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detailed information about the IMAX network by theater type and geographic location as of December 31, 2021 and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6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rPr>
              <w:t>Commercial</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Institutional</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Institutional</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Multiplex</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Destination</w:t>
            </w:r>
          </w:p>
        </w:tc>
        <w:tc>
          <w:tcPr>
            <w:tcW w:w="9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394</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China</w:t>
            </w:r>
            <w:r>
              <w:rPr>
                <w:rFonts w:ascii="Arial" w:cs="Arial" w:eastAsia="Arial" w:hAnsi="Arial"/>
                <w:sz w:val="15"/>
                <w:szCs w:val="15"/>
                <w:color w:val="auto"/>
              </w:rPr>
              <w:t>(1)</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Western Europe</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Russia &amp; the CIS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r>
              <w:rPr>
                <w:rFonts w:ascii="Arial" w:cs="Arial" w:eastAsia="Arial" w:hAnsi="Arial"/>
                <w:sz w:val="15"/>
                <w:szCs w:val="15"/>
                <w:color w:val="auto"/>
              </w:rPr>
              <w:t>(2)</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(3)</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1,599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60" w:hanging="353"/>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222" w:lineRule="exact"/>
        <w:rPr>
          <w:rFonts w:ascii="Arial" w:cs="Arial" w:eastAsia="Arial" w:hAnsi="Arial"/>
          <w:sz w:val="18"/>
          <w:szCs w:val="18"/>
          <w:color w:val="auto"/>
        </w:rPr>
      </w:pPr>
    </w:p>
    <w:p>
      <w:pPr>
        <w:ind w:left="360" w:hanging="353"/>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95" w:lineRule="exact"/>
        <w:rPr>
          <w:rFonts w:ascii="Arial" w:cs="Arial" w:eastAsia="Arial" w:hAnsi="Arial"/>
          <w:sz w:val="18"/>
          <w:szCs w:val="18"/>
          <w:color w:val="auto"/>
        </w:rPr>
      </w:pPr>
    </w:p>
    <w:p>
      <w:pPr>
        <w:ind w:left="5540" w:right="3400" w:hanging="5533"/>
        <w:spacing w:after="0" w:line="508" w:lineRule="auto"/>
        <w:tabs>
          <w:tab w:leader="none" w:pos="3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changes in the table above are reported net of the effect of permanently closed theaters.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44" w:name="page45"/>
    <w:bookmarkEnd w:id="44"/>
    <w:p>
      <w:pPr>
        <w:jc w:val="both"/>
        <w:ind w:firstLine="225"/>
        <w:spacing w:after="0" w:line="283" w:lineRule="auto"/>
        <w:rPr>
          <w:sz w:val="20"/>
          <w:szCs w:val="20"/>
          <w:color w:val="auto"/>
        </w:rPr>
      </w:pPr>
      <w:r>
        <w:rPr>
          <w:rFonts w:ascii="Arial" w:cs="Arial" w:eastAsia="Arial" w:hAnsi="Arial"/>
          <w:sz w:val="16"/>
          <w:szCs w:val="16"/>
          <w:color w:val="auto"/>
        </w:rPr>
        <w:t>The Company currently believes that over time its commercial multiplex network could grow to approximately 3,318 IMAX theaters worldwide from the 1,599 operating as of December 31, 2021. The Company believes that the majority of its future growth will come from international markets. As of December 31, 2021, 74% of IMAX Theater Systems in operation were located within international markets (defined as all countries other than the United States and Canada), compared to 73% as of December 31, 2020. Accordingly, the GBO and revenues derived from international markets continue to exceed the GBO and revenues derived from the United States and Canada. Risks associated with the Company’s international business are outlined in “Risk Factors</w:t>
      </w:r>
    </w:p>
    <w:p>
      <w:pPr>
        <w:spacing w:after="0" w:line="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The Company conducts business internationally, which exposes it to uncertainties and risks that could negatively affect its operations, sales and future growth prospects” in Part I, Item 1A.</w:t>
      </w:r>
    </w:p>
    <w:p>
      <w:pPr>
        <w:spacing w:after="0" w:line="159"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Greater China is the Company’s largest market, measured by revenues, with approximately 44% and 38% of consolidated revenues generated from its Greater China operations in the years ended December 31, 2021 and 2020, respectively. As of December 31, 2021, the Company had 783 theaters operating in Greater China with an additional 215 theaters in backlog. The Company’s backlog in Greater China represents 44% of its total current backlog, including upgrades in system type. The Company’s largest single international partnership is in China with Wanda. As of December 31, 2021, through the Company’s partnership with Wanda, there are 369 IMAX Theater Systems operational in Greater China, of which 355 are under the parties’ joint revenue sharing arrangement.</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w:t>
      </w:r>
    </w:p>
    <w:p>
      <w:pPr>
        <w:spacing w:after="0" w:line="160" w:lineRule="exact"/>
        <w:rPr>
          <w:sz w:val="20"/>
          <w:szCs w:val="20"/>
          <w:color w:val="auto"/>
        </w:rPr>
      </w:pPr>
    </w:p>
    <w:p>
      <w:pPr>
        <w:jc w:val="both"/>
        <w:ind w:firstLine="255"/>
        <w:spacing w:after="0" w:line="339" w:lineRule="auto"/>
        <w:rPr>
          <w:sz w:val="20"/>
          <w:szCs w:val="20"/>
          <w:color w:val="auto"/>
        </w:rPr>
      </w:pPr>
      <w:r>
        <w:rPr>
          <w:rFonts w:ascii="Arial" w:cs="Arial" w:eastAsia="Arial" w:hAnsi="Arial"/>
          <w:sz w:val="16"/>
          <w:szCs w:val="16"/>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8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tables provide detailed information about the commercial multiplex theaters in operation within the IMAX network by arrangement type and geographic location as of December 31,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December 31, 2021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360" w:type="dxa"/>
            <w:vAlign w:val="bottom"/>
            <w:tcBorders>
              <w:bottom w:val="single" w:sz="8" w:color="auto"/>
            </w:tcBorders>
            <w:gridSpan w:val="7"/>
          </w:tcPr>
          <w:p>
            <w:pPr>
              <w:jc w:val="center"/>
              <w:ind w:left="818"/>
              <w:spacing w:after="0" w:line="155"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6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9"/>
              </w:rPr>
              <w:t>Hybrid</w:t>
            </w:r>
          </w:p>
        </w:tc>
        <w:tc>
          <w:tcPr>
            <w:tcW w:w="1620" w:type="dxa"/>
            <w:vAlign w:val="bottom"/>
            <w:gridSpan w:val="3"/>
          </w:tcPr>
          <w:p>
            <w:pPr>
              <w:jc w:val="center"/>
              <w:ind w:right="500"/>
              <w:spacing w:after="0" w:line="132"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5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274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8"/>
        </w:trPr>
        <w:tc>
          <w:tcPr>
            <w:tcW w:w="4260" w:type="dxa"/>
            <w:vAlign w:val="bottom"/>
          </w:tcPr>
          <w:p>
            <w:pPr>
              <w:spacing w:after="0"/>
              <w:rPr>
                <w:sz w:val="20"/>
                <w:szCs w:val="20"/>
                <w:color w:val="auto"/>
              </w:rPr>
            </w:pPr>
            <w:r>
              <w:rPr>
                <w:rFonts w:ascii="Arial" w:cs="Arial" w:eastAsia="Arial" w:hAnsi="Arial"/>
                <w:sz w:val="18"/>
                <w:szCs w:val="18"/>
                <w:color w:val="auto"/>
              </w:rPr>
              <w:t>International:</w:t>
            </w:r>
          </w:p>
        </w:tc>
        <w:tc>
          <w:tcPr>
            <w:tcW w:w="1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Greater China</w:t>
            </w:r>
          </w:p>
        </w:tc>
        <w:tc>
          <w:tcPr>
            <w:tcW w:w="28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8"/>
        </w:trPr>
        <w:tc>
          <w:tcPr>
            <w:tcW w:w="4260" w:type="dxa"/>
            <w:vAlign w:val="bottom"/>
          </w:tcPr>
          <w:p>
            <w:pPr>
              <w:ind w:left="260"/>
              <w:spacing w:after="0"/>
              <w:rPr>
                <w:sz w:val="20"/>
                <w:szCs w:val="20"/>
                <w:color w:val="auto"/>
              </w:rPr>
            </w:pPr>
            <w:r>
              <w:rPr>
                <w:rFonts w:ascii="Arial" w:cs="Arial" w:eastAsia="Arial" w:hAnsi="Arial"/>
                <w:sz w:val="18"/>
                <w:szCs w:val="18"/>
                <w:color w:val="auto"/>
              </w:rPr>
              <w:t>Asia (excluding Greater China)</w:t>
            </w:r>
          </w:p>
        </w:tc>
        <w:tc>
          <w:tcPr>
            <w:tcW w:w="2800" w:type="dxa"/>
            <w:vAlign w:val="bottom"/>
            <w:gridSpan w:val="2"/>
          </w:tcPr>
          <w:p>
            <w:pPr>
              <w:jc w:val="right"/>
              <w:ind w:right="38"/>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Western Europe</w:t>
            </w:r>
          </w:p>
        </w:tc>
        <w:tc>
          <w:tcPr>
            <w:tcW w:w="28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4260" w:type="dxa"/>
            <w:vAlign w:val="bottom"/>
          </w:tcPr>
          <w:p>
            <w:pPr>
              <w:ind w:left="260"/>
              <w:spacing w:after="0"/>
              <w:rPr>
                <w:sz w:val="20"/>
                <w:szCs w:val="20"/>
                <w:color w:val="auto"/>
              </w:rPr>
            </w:pPr>
            <w:r>
              <w:rPr>
                <w:rFonts w:ascii="Arial" w:cs="Arial" w:eastAsia="Arial" w:hAnsi="Arial"/>
                <w:sz w:val="18"/>
                <w:szCs w:val="18"/>
                <w:color w:val="auto"/>
              </w:rPr>
              <w:t>Russia &amp; the CIS</w:t>
            </w:r>
          </w:p>
        </w:tc>
        <w:tc>
          <w:tcPr>
            <w:tcW w:w="15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8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4260" w:type="dxa"/>
            <w:vAlign w:val="bottom"/>
          </w:tcPr>
          <w:p>
            <w:pPr>
              <w:ind w:left="260"/>
              <w:spacing w:after="0"/>
              <w:rPr>
                <w:sz w:val="20"/>
                <w:szCs w:val="20"/>
                <w:color w:val="auto"/>
              </w:rPr>
            </w:pPr>
            <w:r>
              <w:rPr>
                <w:rFonts w:ascii="Arial" w:cs="Arial" w:eastAsia="Arial" w:hAnsi="Arial"/>
                <w:sz w:val="18"/>
                <w:szCs w:val="18"/>
                <w:color w:val="auto"/>
              </w:rPr>
              <w:t>Rest of the World</w:t>
            </w:r>
          </w:p>
        </w:tc>
        <w:tc>
          <w:tcPr>
            <w:tcW w:w="2800" w:type="dxa"/>
            <w:vAlign w:val="bottom"/>
            <w:gridSpan w:val="2"/>
          </w:tcPr>
          <w:p>
            <w:pPr>
              <w:jc w:val="right"/>
              <w:ind w:right="38"/>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5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489</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580" w:type="dxa"/>
            <w:vAlign w:val="bottom"/>
          </w:tcPr>
          <w:p>
            <w:pPr>
              <w:spacing w:after="0"/>
              <w:rPr>
                <w:sz w:val="19"/>
                <w:szCs w:val="19"/>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vMerge w:val="restart"/>
          </w:tcPr>
          <w:p>
            <w:pPr>
              <w:jc w:val="right"/>
              <w:ind w:right="31"/>
              <w:spacing w:after="0"/>
              <w:rPr>
                <w:sz w:val="20"/>
                <w:szCs w:val="20"/>
                <w:color w:val="auto"/>
              </w:rPr>
            </w:pPr>
            <w:r>
              <w:rPr>
                <w:rFonts w:ascii="Arial" w:cs="Arial" w:eastAsia="Arial" w:hAnsi="Arial"/>
                <w:sz w:val="18"/>
                <w:szCs w:val="18"/>
                <w:color w:val="auto"/>
              </w:rPr>
              <w:t>45</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December 31, 2020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360" w:type="dxa"/>
            <w:vAlign w:val="bottom"/>
            <w:tcBorders>
              <w:bottom w:val="single" w:sz="8" w:color="auto"/>
            </w:tcBorders>
            <w:gridSpan w:val="7"/>
          </w:tcPr>
          <w:p>
            <w:pPr>
              <w:jc w:val="center"/>
              <w:ind w:left="815"/>
              <w:spacing w:after="0" w:line="155"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36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9"/>
              </w:rPr>
              <w:t>Hybrid</w:t>
            </w:r>
          </w:p>
        </w:tc>
        <w:tc>
          <w:tcPr>
            <w:tcW w:w="1620" w:type="dxa"/>
            <w:vAlign w:val="bottom"/>
            <w:gridSpan w:val="3"/>
          </w:tcPr>
          <w:p>
            <w:pPr>
              <w:jc w:val="center"/>
              <w:ind w:right="500"/>
              <w:spacing w:after="0" w:line="132"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8"/>
        </w:trPr>
        <w:tc>
          <w:tcPr>
            <w:tcW w:w="58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8"/>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8"/>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474</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547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Period-to-period changes in the tables above are reported net of the effect of permanently closed theaters.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December 31, 2021 and 2020: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4"/>
          </w:tcPr>
          <w:p>
            <w:pPr>
              <w:jc w:val="center"/>
              <w:ind w:left="438"/>
              <w:spacing w:after="0"/>
              <w:rPr>
                <w:sz w:val="20"/>
                <w:szCs w:val="20"/>
                <w:color w:val="auto"/>
              </w:rPr>
            </w:pPr>
            <w:r>
              <w:rPr>
                <w:rFonts w:ascii="Arial" w:cs="Arial" w:eastAsia="Arial" w:hAnsi="Arial"/>
                <w:sz w:val="14"/>
                <w:szCs w:val="14"/>
                <w:b w:val="1"/>
                <w:bCs w:val="1"/>
                <w:color w:val="auto"/>
                <w:w w:val="93"/>
              </w:rPr>
              <w:t>Dollar Value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96"/>
              </w:rPr>
              <w:t>Dollar Value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0"/>
        </w:trPr>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86"/>
              </w:rPr>
              <w:t>Systems</w:t>
            </w: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i w:val="1"/>
                <w:iCs w:val="1"/>
                <w:color w:val="auto"/>
                <w:w w:val="89"/>
              </w:rPr>
              <w:t>(in thousands)</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6"/>
              </w:rPr>
              <w:t>Systems</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4"/>
          </w:tcPr>
          <w:p>
            <w:pPr>
              <w:jc w:val="center"/>
              <w:ind w:left="424"/>
              <w:spacing w:after="0"/>
              <w:rPr>
                <w:sz w:val="20"/>
                <w:szCs w:val="20"/>
                <w:color w:val="auto"/>
              </w:rPr>
            </w:pPr>
            <w:r>
              <w:rPr>
                <w:rFonts w:ascii="Arial" w:cs="Arial" w:eastAsia="Arial" w:hAnsi="Arial"/>
                <w:sz w:val="14"/>
                <w:szCs w:val="14"/>
                <w:b w:val="1"/>
                <w:bCs w:val="1"/>
                <w:i w:val="1"/>
                <w:iCs w:val="1"/>
                <w:color w:val="auto"/>
                <w:w w:val="89"/>
              </w:rPr>
              <w:t>(in thousands)</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95"/>
        </w:trPr>
        <w:tc>
          <w:tcPr>
            <w:tcW w:w="1460" w:type="dxa"/>
            <w:vAlign w:val="bottom"/>
            <w:tcBorders>
              <w:bottom w:val="single" w:sz="8" w:color="CFF0FC"/>
            </w:tcBorders>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5"/>
              </w:rPr>
              <w:t>Upgrade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Upgrade</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New</w:t>
            </w:r>
          </w:p>
        </w:tc>
        <w:tc>
          <w:tcPr>
            <w:tcW w:w="32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Upgrade</w:t>
            </w:r>
          </w:p>
        </w:tc>
        <w:tc>
          <w:tcPr>
            <w:tcW w:w="2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New</w:t>
            </w:r>
          </w:p>
        </w:tc>
        <w:tc>
          <w:tcPr>
            <w:tcW w:w="3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Upgrade</w:t>
            </w:r>
          </w:p>
        </w:tc>
        <w:tc>
          <w:tcPr>
            <w:tcW w:w="200" w:type="dxa"/>
            <w:vAlign w:val="bottom"/>
            <w:tcBorders>
              <w:bottom w:val="single" w:sz="8" w:color="CFF0FC"/>
            </w:tcBorders>
          </w:tcPr>
          <w:p>
            <w:pPr>
              <w:spacing w:after="0"/>
              <w:rPr>
                <w:sz w:val="16"/>
                <w:szCs w:val="16"/>
                <w:color w:val="auto"/>
              </w:rPr>
            </w:pPr>
          </w:p>
        </w:tc>
      </w:tr>
      <w:tr>
        <w:trPr>
          <w:trHeight w:val="207"/>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$ 190,280</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11,532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94"/>
              </w:rPr>
              <w:t>$ 200,296</w:t>
            </w:r>
          </w:p>
        </w:tc>
        <w:tc>
          <w:tcPr>
            <w:tcW w:w="3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7"/>
              </w:rPr>
              <w:t>13,135</w:t>
            </w:r>
          </w:p>
        </w:tc>
        <w:tc>
          <w:tcPr>
            <w:tcW w:w="200" w:type="dxa"/>
            <w:vAlign w:val="bottom"/>
            <w:shd w:val="clear" w:color="auto" w:fill="CFF0FC"/>
          </w:tcPr>
          <w:p>
            <w:pPr>
              <w:spacing w:after="0"/>
              <w:rPr>
                <w:sz w:val="19"/>
                <w:szCs w:val="19"/>
                <w:color w:val="auto"/>
              </w:rPr>
            </w:pPr>
          </w:p>
        </w:tc>
      </w:tr>
      <w:tr>
        <w:trPr>
          <w:trHeight w:val="214"/>
        </w:trPr>
        <w:tc>
          <w:tcPr>
            <w:tcW w:w="2240" w:type="dxa"/>
            <w:vAlign w:val="bottom"/>
            <w:gridSpan w:val="2"/>
          </w:tcPr>
          <w:p>
            <w:pPr>
              <w:spacing w:after="0"/>
              <w:rPr>
                <w:sz w:val="20"/>
                <w:szCs w:val="20"/>
                <w:color w:val="auto"/>
              </w:rPr>
            </w:pPr>
            <w:r>
              <w:rPr>
                <w:rFonts w:ascii="Arial" w:cs="Arial" w:eastAsia="Arial" w:hAnsi="Arial"/>
                <w:sz w:val="18"/>
                <w:szCs w:val="18"/>
                <w:color w:val="auto"/>
                <w:w w:val="99"/>
              </w:rPr>
              <w:t>Hybrid joint revenue sharing</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91,704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00" w:type="dxa"/>
            <w:vAlign w:val="bottom"/>
            <w:gridSpan w:val="2"/>
          </w:tcPr>
          <w:p>
            <w:pPr>
              <w:jc w:val="right"/>
              <w:ind w:right="44"/>
              <w:spacing w:after="0"/>
              <w:rPr>
                <w:sz w:val="20"/>
                <w:szCs w:val="20"/>
                <w:color w:val="auto"/>
              </w:rPr>
            </w:pPr>
            <w:r>
              <w:rPr>
                <w:rFonts w:ascii="Arial" w:cs="Arial" w:eastAsia="Arial" w:hAnsi="Arial"/>
                <w:sz w:val="18"/>
                <w:szCs w:val="18"/>
                <w:color w:val="auto"/>
              </w:rPr>
              <w:t>99,911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r>
      <w:tr>
        <w:trPr>
          <w:trHeight w:val="214"/>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joint revenue</w:t>
            </w: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sharing arrangements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gridSpan w:val="2"/>
            <w:shd w:val="clear" w:color="auto" w:fill="CFF0FC"/>
          </w:tcPr>
          <w:p>
            <w:pPr>
              <w:jc w:val="center"/>
              <w:ind w:right="100"/>
              <w:spacing w:after="0"/>
              <w:rPr>
                <w:sz w:val="20"/>
                <w:szCs w:val="20"/>
                <w:color w:val="auto"/>
              </w:rPr>
            </w:pPr>
            <w:r>
              <w:rPr>
                <w:rFonts w:ascii="Arial" w:cs="Arial" w:eastAsia="Arial" w:hAnsi="Arial"/>
                <w:sz w:val="15"/>
                <w:szCs w:val="15"/>
                <w:color w:val="auto"/>
                <w:w w:val="97"/>
              </w:rPr>
              <w:t>(2)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w:t>
            </w:r>
          </w:p>
        </w:tc>
        <w:tc>
          <w:tcPr>
            <w:tcW w:w="8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FF0FC"/>
          </w:tcPr>
          <w:p>
            <w:pPr>
              <w:jc w:val="center"/>
              <w:ind w:right="84"/>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6"/>
              </w:rPr>
              <w:t>(1)</w:t>
            </w:r>
          </w:p>
        </w:tc>
        <w:tc>
          <w:tcPr>
            <w:tcW w:w="90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FF0FC"/>
          </w:tcPr>
          <w:p>
            <w:pPr>
              <w:jc w:val="center"/>
              <w:ind w:right="84"/>
              <w:spacing w:after="0"/>
              <w:rPr>
                <w:sz w:val="20"/>
                <w:szCs w:val="20"/>
                <w:color w:val="auto"/>
              </w:rPr>
            </w:pPr>
            <w:r>
              <w:rPr>
                <w:rFonts w:ascii="Arial" w:cs="Arial" w:eastAsia="Arial" w:hAnsi="Arial"/>
                <w:sz w:val="15"/>
                <w:szCs w:val="15"/>
                <w:color w:val="auto"/>
                <w:w w:val="97"/>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2"/>
        </w:trPr>
        <w:tc>
          <w:tcPr>
            <w:tcW w:w="1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$ 282,184</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21,817</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8"/>
                <w:szCs w:val="18"/>
                <w:color w:val="auto"/>
                <w:w w:val="84"/>
              </w:rPr>
              <w:t>$ 300,407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24,195</w:t>
            </w:r>
          </w:p>
        </w:tc>
        <w:tc>
          <w:tcPr>
            <w:tcW w:w="20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41" w:lineRule="exact"/>
        <w:rPr>
          <w:sz w:val="20"/>
          <w:szCs w:val="20"/>
          <w:color w:val="auto"/>
        </w:rPr>
      </w:pPr>
    </w:p>
    <w:p>
      <w:pPr>
        <w:ind w:left="360" w:hanging="353"/>
        <w:spacing w:after="0" w:line="274"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44 IMAX Theater Systems (2020 ― 46) where the customer has the option to convert from a joint revenue sharing arrangement to a sales arrangement.</w:t>
      </w:r>
    </w:p>
    <w:p>
      <w:pPr>
        <w:spacing w:after="0" w:line="131" w:lineRule="exact"/>
        <w:rPr>
          <w:rFonts w:ascii="Arial" w:cs="Arial" w:eastAsia="Arial" w:hAnsi="Arial"/>
          <w:sz w:val="18"/>
          <w:szCs w:val="18"/>
          <w:color w:val="auto"/>
        </w:rPr>
      </w:pPr>
    </w:p>
    <w:p>
      <w:pPr>
        <w:jc w:val="both"/>
        <w:ind w:left="360" w:hanging="353"/>
        <w:spacing w:after="0" w:line="284"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2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theaters in which the Company has an equity interest, operating leases, and long-term conditional theater commitments. The Company believes that the contractual obligations for IMAX Theater System installations that are listed in backlog are valid and binding commitments.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46" w:name="page47"/>
    <w:bookmarkEnd w:id="46"/>
    <w:p>
      <w:pPr>
        <w:jc w:val="both"/>
        <w:ind w:firstLine="225"/>
        <w:spacing w:after="0" w:line="255"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62" w:lineRule="exact"/>
        <w:rPr>
          <w:sz w:val="20"/>
          <w:szCs w:val="20"/>
          <w:color w:val="auto"/>
        </w:rPr>
      </w:pPr>
    </w:p>
    <w:p>
      <w:pPr>
        <w:jc w:val="both"/>
        <w:ind w:firstLine="224"/>
        <w:spacing w:after="0" w:line="339"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84"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December 31, 2021 and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IMAX Theater System Backlog</w:t>
            </w: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center"/>
              <w:ind w:right="260"/>
              <w:spacing w:after="0" w:line="132" w:lineRule="exact"/>
              <w:rPr>
                <w:sz w:val="20"/>
                <w:szCs w:val="20"/>
                <w:color w:val="auto"/>
              </w:rPr>
            </w:pPr>
            <w:r>
              <w:rPr>
                <w:rFonts w:ascii="Arial" w:cs="Arial" w:eastAsia="Arial" w:hAnsi="Arial"/>
                <w:sz w:val="14"/>
                <w:szCs w:val="14"/>
                <w:b w:val="1"/>
                <w:bCs w:val="1"/>
                <w:color w:val="auto"/>
                <w:w w:val="94"/>
              </w:rPr>
              <w:t>Traditional</w:t>
            </w:r>
          </w:p>
        </w:tc>
        <w:tc>
          <w:tcPr>
            <w:tcW w:w="1360" w:type="dxa"/>
            <w:vAlign w:val="bottom"/>
            <w:gridSpan w:val="4"/>
          </w:tcPr>
          <w:p>
            <w:pPr>
              <w:jc w:val="center"/>
              <w:ind w:right="260"/>
              <w:spacing w:after="0" w:line="132" w:lineRule="exact"/>
              <w:rPr>
                <w:sz w:val="20"/>
                <w:szCs w:val="20"/>
                <w:color w:val="auto"/>
              </w:rPr>
            </w:pPr>
            <w:r>
              <w:rPr>
                <w:rFonts w:ascii="Arial" w:cs="Arial" w:eastAsia="Arial" w:hAnsi="Arial"/>
                <w:sz w:val="14"/>
                <w:szCs w:val="14"/>
                <w:b w:val="1"/>
                <w:bCs w:val="1"/>
                <w:color w:val="auto"/>
              </w:rPr>
              <w:t>Hybrid</w:t>
            </w:r>
          </w:p>
        </w:tc>
        <w:tc>
          <w:tcPr>
            <w:tcW w:w="1360" w:type="dxa"/>
            <w:vAlign w:val="bottom"/>
            <w:gridSpan w:val="3"/>
          </w:tcPr>
          <w:p>
            <w:pPr>
              <w:jc w:val="center"/>
              <w:ind w:right="260"/>
              <w:spacing w:after="0" w:line="132" w:lineRule="exact"/>
              <w:rPr>
                <w:sz w:val="20"/>
                <w:szCs w:val="20"/>
                <w:color w:val="auto"/>
              </w:rPr>
            </w:pPr>
            <w:r>
              <w:rPr>
                <w:rFonts w:ascii="Arial" w:cs="Arial" w:eastAsia="Arial" w:hAnsi="Arial"/>
                <w:sz w:val="14"/>
                <w:szCs w:val="14"/>
                <w:b w:val="1"/>
                <w:bCs w:val="1"/>
                <w:color w:val="auto"/>
                <w:w w:val="88"/>
              </w:rPr>
              <w:t>Sale / Sales-type</w:t>
            </w:r>
          </w:p>
        </w:tc>
        <w:tc>
          <w:tcPr>
            <w:tcW w:w="12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Lease</w:t>
            </w:r>
          </w:p>
        </w:tc>
        <w:tc>
          <w:tcPr>
            <w:tcW w:w="1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129</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Greater China</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ind w:left="260"/>
              <w:spacing w:after="0"/>
              <w:rPr>
                <w:sz w:val="20"/>
                <w:szCs w:val="20"/>
                <w:color w:val="auto"/>
              </w:rPr>
            </w:pPr>
            <w:r>
              <w:rPr>
                <w:rFonts w:ascii="Arial" w:cs="Arial" w:eastAsia="Arial" w:hAnsi="Arial"/>
                <w:sz w:val="18"/>
                <w:szCs w:val="18"/>
                <w:color w:val="auto"/>
              </w:rPr>
              <w:t>Asia (excluding Greater China)</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Western Europe</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ind w:left="260"/>
              <w:spacing w:after="0"/>
              <w:rPr>
                <w:sz w:val="20"/>
                <w:szCs w:val="20"/>
                <w:color w:val="auto"/>
              </w:rPr>
            </w:pPr>
            <w:r>
              <w:rPr>
                <w:rFonts w:ascii="Arial" w:cs="Arial" w:eastAsia="Arial" w:hAnsi="Arial"/>
                <w:sz w:val="18"/>
                <w:szCs w:val="18"/>
                <w:color w:val="auto"/>
              </w:rPr>
              <w:t>Russia &amp; the CIS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Rest of the World</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color w:val="auto"/>
              </w:rPr>
              <w:t>Worldwide Total</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1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0"/>
              </w:rPr>
              <w:t>December 31, 2020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5"/>
              </w:rPr>
              <w:t>IMAX Theater System Backlog</w:t>
            </w: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center"/>
              <w:ind w:right="300"/>
              <w:spacing w:after="0" w:line="132" w:lineRule="exact"/>
              <w:rPr>
                <w:sz w:val="20"/>
                <w:szCs w:val="20"/>
                <w:color w:val="auto"/>
              </w:rPr>
            </w:pPr>
            <w:r>
              <w:rPr>
                <w:rFonts w:ascii="Arial" w:cs="Arial" w:eastAsia="Arial" w:hAnsi="Arial"/>
                <w:sz w:val="14"/>
                <w:szCs w:val="14"/>
                <w:b w:val="1"/>
                <w:bCs w:val="1"/>
                <w:color w:val="auto"/>
                <w:w w:val="94"/>
              </w:rPr>
              <w:t>Traditional</w:t>
            </w:r>
          </w:p>
        </w:tc>
        <w:tc>
          <w:tcPr>
            <w:tcW w:w="1360" w:type="dxa"/>
            <w:vAlign w:val="bottom"/>
            <w:gridSpan w:val="4"/>
          </w:tcPr>
          <w:p>
            <w:pPr>
              <w:jc w:val="center"/>
              <w:ind w:right="280"/>
              <w:spacing w:after="0" w:line="132"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3"/>
          </w:tcPr>
          <w:p>
            <w:pPr>
              <w:jc w:val="center"/>
              <w:ind w:right="280"/>
              <w:spacing w:after="0" w:line="132" w:lineRule="exact"/>
              <w:rPr>
                <w:sz w:val="20"/>
                <w:szCs w:val="20"/>
                <w:color w:val="auto"/>
              </w:rPr>
            </w:pPr>
            <w:r>
              <w:rPr>
                <w:rFonts w:ascii="Arial" w:cs="Arial" w:eastAsia="Arial" w:hAnsi="Arial"/>
                <w:sz w:val="14"/>
                <w:szCs w:val="14"/>
                <w:b w:val="1"/>
                <w:bCs w:val="1"/>
                <w:color w:val="auto"/>
                <w:w w:val="90"/>
              </w:rPr>
              <w:t>Sale / Sales-type</w:t>
            </w:r>
          </w:p>
        </w:tc>
        <w:tc>
          <w:tcPr>
            <w:tcW w:w="12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Lease</w:t>
            </w:r>
          </w:p>
        </w:tc>
        <w:tc>
          <w:tcPr>
            <w:tcW w:w="1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Greater China</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ind w:left="260"/>
              <w:spacing w:after="0"/>
              <w:rPr>
                <w:sz w:val="20"/>
                <w:szCs w:val="20"/>
                <w:color w:val="auto"/>
              </w:rPr>
            </w:pPr>
            <w:r>
              <w:rPr>
                <w:rFonts w:ascii="Arial" w:cs="Arial" w:eastAsia="Arial" w:hAnsi="Arial"/>
                <w:sz w:val="18"/>
                <w:szCs w:val="18"/>
                <w:color w:val="auto"/>
              </w:rPr>
              <w:t>Asia (excluding Greater China)</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Western Europe</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ind w:left="260"/>
              <w:spacing w:after="0"/>
              <w:rPr>
                <w:sz w:val="20"/>
                <w:szCs w:val="20"/>
                <w:color w:val="auto"/>
              </w:rPr>
            </w:pPr>
            <w:r>
              <w:rPr>
                <w:rFonts w:ascii="Arial" w:cs="Arial" w:eastAsia="Arial" w:hAnsi="Arial"/>
                <w:sz w:val="18"/>
                <w:szCs w:val="18"/>
                <w:color w:val="auto"/>
              </w:rPr>
              <w:t>Russia &amp; the CIS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gridSpan w:val="3"/>
          </w:tcPr>
          <w:p>
            <w:pPr>
              <w:ind w:left="260"/>
              <w:spacing w:after="0"/>
              <w:rPr>
                <w:sz w:val="20"/>
                <w:szCs w:val="20"/>
                <w:color w:val="auto"/>
              </w:rPr>
            </w:pPr>
            <w:r>
              <w:rPr>
                <w:rFonts w:ascii="Arial" w:cs="Arial" w:eastAsia="Arial" w:hAnsi="Arial"/>
                <w:sz w:val="18"/>
                <w:szCs w:val="18"/>
                <w:color w:val="auto"/>
              </w:rPr>
              <w:t>Rest of the World</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394</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527</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4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60" w:hanging="353"/>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158 new IMAX Laser Theater Systems and 92 upgrades of existing locations to IMAX Laser Theater Systems.</w:t>
      </w:r>
    </w:p>
    <w:p>
      <w:pPr>
        <w:spacing w:after="0" w:line="195" w:lineRule="exact"/>
        <w:rPr>
          <w:rFonts w:ascii="Arial" w:cs="Arial" w:eastAsia="Arial" w:hAnsi="Arial"/>
          <w:sz w:val="18"/>
          <w:szCs w:val="18"/>
          <w:color w:val="auto"/>
        </w:rPr>
      </w:pPr>
    </w:p>
    <w:p>
      <w:pPr>
        <w:ind w:left="360" w:hanging="353"/>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157 new IMAX Laser Theater Systems and 97 upgrades of existing locations to IMAX Laser Theater Systems.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Approximately 74% of IMAX Theater System arrangements in backlog as of December 31, 2021 are scheduled to be installed in international markets (2020 ― 75%).</w:t>
      </w:r>
    </w:p>
    <w:p>
      <w:pPr>
        <w:spacing w:after="0" w:line="13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7"/>
          <w:szCs w:val="17"/>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Signings and Installations</w:t>
      </w:r>
    </w:p>
    <w:p>
      <w:pPr>
        <w:spacing w:after="0" w:line="196" w:lineRule="exact"/>
        <w:rPr>
          <w:sz w:val="20"/>
          <w:szCs w:val="20"/>
          <w:color w:val="auto"/>
        </w:rPr>
      </w:pPr>
    </w:p>
    <w:p>
      <w:pPr>
        <w:ind w:right="20" w:firstLine="225"/>
        <w:spacing w:after="0" w:line="274" w:lineRule="auto"/>
        <w:rPr>
          <w:sz w:val="20"/>
          <w:szCs w:val="20"/>
          <w:color w:val="auto"/>
        </w:rPr>
      </w:pPr>
      <w:r>
        <w:rPr>
          <w:rFonts w:ascii="Arial" w:cs="Arial" w:eastAsia="Arial" w:hAnsi="Arial"/>
          <w:sz w:val="18"/>
          <w:szCs w:val="18"/>
          <w:color w:val="auto"/>
        </w:rPr>
        <w:t>The following tables provide detailed information about IMAX Theater System signings and installations for the years ended December 31, 2021 and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50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Years Ended December 31,</w:t>
            </w:r>
          </w:p>
        </w:tc>
      </w:tr>
      <w:tr>
        <w:trPr>
          <w:trHeight w:val="208"/>
        </w:trPr>
        <w:tc>
          <w:tcPr>
            <w:tcW w:w="14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2021</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2"/>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16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r>
      <w:tr>
        <w:trPr>
          <w:trHeight w:val="228"/>
        </w:trPr>
        <w:tc>
          <w:tcPr>
            <w:tcW w:w="756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r>
      <w:tr>
        <w:trPr>
          <w:trHeight w:val="228"/>
        </w:trPr>
        <w:tc>
          <w:tcPr>
            <w:tcW w:w="756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w:t>
            </w:r>
          </w:p>
        </w:tc>
        <w:tc>
          <w:tcPr>
            <w:tcW w:w="3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Total new IMAX Theater Systems</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Total IMAX Theater System signings</w:t>
            </w: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02"/>
        </w:trPr>
        <w:tc>
          <w:tcPr>
            <w:tcW w:w="14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50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Years Ended December 31,</w:t>
            </w:r>
          </w:p>
        </w:tc>
      </w:tr>
      <w:tr>
        <w:trPr>
          <w:trHeight w:val="208"/>
        </w:trPr>
        <w:tc>
          <w:tcPr>
            <w:tcW w:w="14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2021</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2"/>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16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r>
      <w:tr>
        <w:trPr>
          <w:trHeight w:val="228"/>
        </w:trPr>
        <w:tc>
          <w:tcPr>
            <w:tcW w:w="7560" w:type="dxa"/>
            <w:vAlign w:val="bottom"/>
            <w:gridSpan w:val="2"/>
          </w:tcPr>
          <w:p>
            <w:pPr>
              <w:spacing w:after="0"/>
              <w:rPr>
                <w:sz w:val="20"/>
                <w:szCs w:val="20"/>
                <w:color w:val="auto"/>
              </w:rPr>
            </w:pPr>
            <w:r>
              <w:rPr>
                <w:rFonts w:ascii="Arial" w:cs="Arial" w:eastAsia="Arial" w:hAnsi="Arial"/>
                <w:sz w:val="18"/>
                <w:szCs w:val="18"/>
                <w:color w:val="auto"/>
              </w:rPr>
              <w:t>New IMAX Theater Systems</w:t>
            </w:r>
            <w:r>
              <w:rPr>
                <w:rFonts w:ascii="Arial" w:cs="Arial" w:eastAsia="Arial" w:hAnsi="Arial"/>
                <w:sz w:val="15"/>
                <w:szCs w:val="15"/>
                <w:color w:val="auto"/>
              </w:rPr>
              <w:t>(1)</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8"/>
        </w:trPr>
        <w:tc>
          <w:tcPr>
            <w:tcW w:w="756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Total new IMAX Theater Systems</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8"/>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2"/>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Total IMAX Theater System installations</w:t>
            </w: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00" w:lineRule="exact"/>
        <w:rPr>
          <w:sz w:val="20"/>
          <w:szCs w:val="20"/>
          <w:color w:val="auto"/>
        </w:rPr>
      </w:pPr>
    </w:p>
    <w:p>
      <w:pPr>
        <w:jc w:val="both"/>
        <w:ind w:left="360" w:hanging="353"/>
        <w:spacing w:after="0" w:line="257"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nine IMAX Xenon Theater Systems that were relocated from their original location (2020 ― three).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47"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7"/>
          <w:szCs w:val="17"/>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3 of Notes to Consolidated Financial Statements in Part II, Item 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6" w:lineRule="exact"/>
        <w:rPr>
          <w:sz w:val="20"/>
          <w:szCs w:val="20"/>
          <w:color w:val="auto"/>
        </w:rPr>
      </w:pPr>
    </w:p>
    <w:p>
      <w:pPr>
        <w:jc w:val="both"/>
        <w:ind w:firstLine="225"/>
        <w:spacing w:after="0" w:line="305" w:lineRule="auto"/>
        <w:rPr>
          <w:sz w:val="20"/>
          <w:szCs w:val="20"/>
          <w:color w:val="auto"/>
        </w:rPr>
      </w:pPr>
      <w:r>
        <w:rPr>
          <w:rFonts w:ascii="Arial" w:cs="Arial" w:eastAsia="Arial" w:hAnsi="Arial"/>
          <w:sz w:val="17"/>
          <w:szCs w:val="17"/>
          <w:color w:val="auto"/>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Theater Systems</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evaluates each of the performance obligations in an IMAX Theater System arrangement to determine which are considered distinct, either individually or in a group, for accounting purposes and which of the deliverables represent separate performance obligations. The transaction price in an IMAX Theater System arrangement is allocated to each good or service that is identified as a separate performance obligation based on estimated standalone selling prices. This allocation is based on observable prices when the Company sells the good or service separately.</w:t>
      </w:r>
    </w:p>
    <w:p>
      <w:pPr>
        <w:spacing w:after="0" w:line="131"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Company’s “System Obligation” consists of the following: (i) an IMAX Theater System, which includes the projector, sound system, screen system and, if applicable, a 3D glasses cleaning machine; (ii) services associated with the IMAX Theater System, including theater design support, the supervision of installation services, and projectionist training; and (iii) a license to use the IMAX brand to market the theater.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6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Constraints on the Recognition of Variable Consideration</w:t>
      </w:r>
    </w:p>
    <w:p>
      <w:pPr>
        <w:spacing w:after="0" w:line="182"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transaction price for the System Obligation, other than for IMAX Theater Systems delivered pursuant to joint revenue sharing arrangements,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14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9" w:name="page50"/>
    <w:bookmarkEnd w:id="49"/>
    <w:p>
      <w:pPr>
        <w:jc w:val="both"/>
        <w:ind w:firstLine="225"/>
        <w:spacing w:after="0" w:line="287" w:lineRule="auto"/>
        <w:rPr>
          <w:sz w:val="20"/>
          <w:szCs w:val="20"/>
          <w:color w:val="auto"/>
        </w:rPr>
      </w:pPr>
      <w:r>
        <w:rPr>
          <w:rFonts w:ascii="Arial" w:cs="Arial" w:eastAsia="Arial" w:hAnsi="Arial"/>
          <w:sz w:val="16"/>
          <w:szCs w:val="16"/>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theater, which are developed using historical box office data for that theater and, if necessary, comparable theaters and territories. Using this data, management applies its understanding of these theater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is used. The resulting amount of variable consideration is then recorded at its present value as of the date of recognition using a risk-weighted discount rate. The Company reviews its variable consideration assets on at least a quarterly basis considering recent box office performance and, when applicable, updated box office projections for future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Expected Credit Losses</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14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pacing w:after="0" w:line="157"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spacing w:after="0" w:line="139"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Management’s judgments regarding expected credit losses are based on the facts available to management at the time that the Consolidated Financial Statements are prepared and involve estimates about the future. Due to the unprecedented nature of the COVID-19 pandemic and its effect on the theatrical exhibition industry, the ability of the Company’s customers to meet their financial obligations is difficult to predict. As a result, the Company’s judgments and associated estimates of credit losses may ultimately prove, with the benefit of hindsight, to be incorrect.</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See Note 5 of Notes to Consolidated Financial Statements in Part II, Item 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systems.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8 of Notes to Consolidated Financial Statements in Part II, Item 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Asset Impairments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Theater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12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 the fourth quarter of 2021, the Company performed its annual goodwill impairment test considering the latest available information and determined that its goodwill was not impaired. As of December 31, 2021, the Company’s total Goodwill was $39.0 million, of which $19.1 million relates to the IMAX Systems reporting unit, $13.5 million relates to the Joint Revenue Sharing Arrangement reporting unit, and $6.4 million relates to the IMAX Maintenance reporting unit.</w:t>
      </w:r>
    </w:p>
    <w:p>
      <w:pPr>
        <w:spacing w:after="0" w:line="16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estimates used in the Company’s goodwill impairment tests and the likelihood of future changes in these estimates depend on a number of underlying variables and a range of possible outcomes. Actual results may materially differ from management’s estimates, especially due to the uncertainties associated with the COVID-19 pandemic. The Company will continue to evaluate the recoverability of goodwill at the reporting unit level on an annual basis and whenever events or changes in circumstances indicate there may be a potential impairment.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8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Long-lived assets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Film Assets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0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issues share-based compensation to eligible employees, directors, and consultants under the IMAX Corporate Second Amended and Restated Long-Term Incentive Plan (as may be amended, the “IMAX LTIP”) and the China Long-Term Incentive Plan (the “China LTIP”) as summarized below. The IMAX LTIP is the Company’s governing document and awards to employees, directors, and consultants under this plan may consist of stock options, restricted share units (“RSUs”), performance stock units (“PSUs”) and other awards. A separate stock option plan, the China LTIP, was adopted by a subsidiary of the Company in October 2012.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jc w:val="both"/>
        <w:ind w:firstLine="225"/>
        <w:spacing w:after="0" w:line="261" w:lineRule="auto"/>
        <w:rPr>
          <w:sz w:val="20"/>
          <w:szCs w:val="20"/>
          <w:color w:val="auto"/>
        </w:rPr>
      </w:pPr>
      <w:r>
        <w:rPr>
          <w:rFonts w:ascii="Arial" w:cs="Arial" w:eastAsia="Arial" w:hAnsi="Arial"/>
          <w:sz w:val="18"/>
          <w:szCs w:val="18"/>
          <w:color w:val="auto"/>
        </w:rPr>
        <w:t>The Company measures share-based compensation expense using the grant date fair value of the award (as defined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5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share-price targets.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dollar value of the PSUs granted.</w:t>
      </w:r>
    </w:p>
    <w:p>
      <w:pPr>
        <w:spacing w:after="0" w:line="16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17(b) of Notes to Consolidated Financial Statements in Part II, 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w:t>
      </w:r>
    </w:p>
    <w:p>
      <w:pPr>
        <w:spacing w:after="0" w:line="20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spacing w:after="0" w:line="147"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(for example, if the Company experiences cumulative three-year losses in a certain jurisdiction),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(for example, if the Company is no longer in a three-year cumulative loss position in the jurisdiction, and management expects to have future taxable income in that jurisdiction based upon management’s forecasts and the expected timing of deferred tax asset reversals),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2" w:name="page53"/>
    <w:bookmarkEnd w:id="52"/>
    <w:p>
      <w:pPr>
        <w:jc w:val="both"/>
        <w:ind w:firstLine="225"/>
        <w:spacing w:after="0" w:line="289" w:lineRule="auto"/>
        <w:rPr>
          <w:sz w:val="20"/>
          <w:szCs w:val="20"/>
          <w:color w:val="auto"/>
        </w:rPr>
      </w:pPr>
      <w:r>
        <w:rPr>
          <w:rFonts w:ascii="Arial" w:cs="Arial" w:eastAsia="Arial" w:hAnsi="Arial"/>
          <w:sz w:val="16"/>
          <w:szCs w:val="16"/>
          <w:color w:val="auto"/>
        </w:rPr>
        <w:t>As of December 31, 2021, the Company’s Consolidated Balance Sheets include net deferred income tax assets of $13.9 million, net of a valuation allowance of $46.0 million (December 31, 2020 — $18.0 million, net of a valuation allowance of $28.8 million). For the years ended December 31, 2021 and 2020, the Company recorded a valuation allowance of $17.2 million and $28.6 million, respectively, where management cannot reliably forecast that sufficient future tax liabilities will arise in specific jurisdictions, which includes the long-term impact of the COVID-19 pandemic. The valuation allowance is expected to reverse at the point in time when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Notes 12(d) and 12(g) of Notes to Consolidated Financial Statements in Part II, 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6"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5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12(h) of Notes to Consolidated Financial Statements in Part II, Item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Please see Note 4 of Notes to Consolidated Financial Statements in Part II, Item 8 for a discussion of recently issued accounting standards and their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DMR films and other events to be exhibited in IMAX theaters; (ii) the signing, installation, and financial performance of theater system arrangements, particularly those involving laser-based projection systems; (iii) the success of the Company’s investments in business evolution and brand extensions, including the distribution of live events to the IMAX network and IMAX Enhanced, (iv) revenues and gross margins earned by the Company’s segments, as discussed below; (v) consolidated earnings from operations, as adjusted for unusual items; (vi) the continuing ability to invest in and improve the Company’s technology to enhance the differentiation of </w:t>
      </w:r>
      <w:r>
        <w:rPr>
          <w:rFonts w:ascii="Arial" w:cs="Arial" w:eastAsia="Arial" w:hAnsi="Arial"/>
          <w:sz w:val="18"/>
          <w:szCs w:val="18"/>
          <w:i w:val="1"/>
          <w:iCs w:val="1"/>
          <w:color w:val="auto"/>
        </w:rPr>
        <w:t xml:space="preserve">The </w:t>
      </w:r>
      <w:r>
        <w:rPr>
          <w:rFonts w:ascii="Arial" w:cs="Arial" w:eastAsia="Arial" w:hAnsi="Arial"/>
          <w:sz w:val="18"/>
          <w:szCs w:val="18"/>
          <w:color w:val="auto"/>
        </w:rPr>
        <w:t>IMAX</w:t>
      </w:r>
      <w:r>
        <w:rPr>
          <w:rFonts w:ascii="Arial" w:cs="Arial" w:eastAsia="Arial" w:hAnsi="Arial"/>
          <w:sz w:val="18"/>
          <w:szCs w:val="18"/>
          <w:i w:val="1"/>
          <w:iCs w:val="1"/>
          <w:color w:val="auto"/>
        </w:rPr>
        <w:t xml:space="preserve"> Experience </w:t>
      </w:r>
      <w:r>
        <w:rPr>
          <w:rFonts w:ascii="Arial" w:cs="Arial" w:eastAsia="Arial" w:hAnsi="Arial"/>
          <w:sz w:val="18"/>
          <w:szCs w:val="18"/>
          <w:color w:val="auto"/>
        </w:rPr>
        <w:t>versus other out-of-home experiences; (vii) the overall execution, reliability, and consumer acceptance of</w:t>
      </w:r>
      <w:r>
        <w:rPr>
          <w:rFonts w:ascii="Arial" w:cs="Arial" w:eastAsia="Arial" w:hAnsi="Arial"/>
          <w:sz w:val="18"/>
          <w:szCs w:val="18"/>
          <w:i w:val="1"/>
          <w:iCs w:val="1"/>
          <w:color w:val="auto"/>
        </w:rPr>
        <w:t xml:space="preserve"> The </w:t>
      </w:r>
      <w:r>
        <w:rPr>
          <w:rFonts w:ascii="Arial" w:cs="Arial" w:eastAsia="Arial" w:hAnsi="Arial"/>
          <w:sz w:val="18"/>
          <w:szCs w:val="18"/>
          <w:color w:val="auto"/>
        </w:rPr>
        <w:t>IMAX</w:t>
      </w:r>
      <w:r>
        <w:rPr>
          <w:rFonts w:ascii="Arial" w:cs="Arial" w:eastAsia="Arial" w:hAnsi="Arial"/>
          <w:sz w:val="18"/>
          <w:szCs w:val="18"/>
          <w:i w:val="1"/>
          <w:iCs w:val="1"/>
          <w:color w:val="auto"/>
        </w:rPr>
        <w:t xml:space="preserve">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(viii) short- and long-term cash flow projections.</w:t>
      </w:r>
    </w:p>
    <w:p>
      <w:pPr>
        <w:spacing w:after="0" w:line="154"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CEO is the Company’s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31"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Company’s reportable segments are organized into the following four categories: (i) IMAX Technology Network; (ii) IMAX Technology Sales and Maintenance; (iii) Film Distribution and Post-Production; and (iv) New Business Initiatives. Within these categories are the Company’s following reportable segments: (i) IMAX DMR; (ii) Joint Revenue Sharing Arrangements; (iii) IMAX Systems, (iv) IMAX Maintenance; (v) Other Theater Business; (vi) Film Distribution; (vii) Film Post-Production; and (viii) New Business Initiatives,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Consolidated Statements of Operations captions combine results from several segments.</w:t>
      </w:r>
    </w:p>
    <w:p>
      <w:pPr>
        <w:spacing w:after="0" w:line="14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discussion of the Company’s results of operations below compares results for the years ended December 31, 2021 and 2020. A discussion of the Company’s results of operations comparing results for the years ended December 31, 2020 and 2019 is included under the section entitled “Results of Operations” in Item 7 of the Company’s Annual Report on Form 10-K for the fiscal year ended December 31, 2020, and is incorporated by reference into this Annual Report on Form 10-K for the fiscal year ended December 31, 2021.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the Company reported a net loss attributable to common shareholders of $(22.3) million, or $(0.38) per diluted share, as compared to a net loss attributable to common shareholders of $(143.8) million, or $(2.43) per diluted share, for the year ended December 31, 2020.</w:t>
      </w:r>
    </w:p>
    <w:p>
      <w:pPr>
        <w:spacing w:after="0" w:line="14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the Company reported an adjusted net loss attributable to common shareholders* of $(8.4) million, or $(0.14) per diluted share*, as compared to an adjusted net loss attributable to common shareholders* of $(112.1) million, or $(1.89) per diluted share*, for the year ended December 31, 2020.</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the Company’s revenue and gross margin (margin loss) by category and reportable segment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Gross Margin (Margin Loss)</w:t>
            </w:r>
          </w:p>
        </w:tc>
      </w:tr>
      <w:tr>
        <w:trPr>
          <w:trHeight w:val="208"/>
        </w:trPr>
        <w:tc>
          <w:tcPr>
            <w:tcW w:w="49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9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8"/>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70,659</w:t>
            </w:r>
          </w:p>
        </w:tc>
        <w:tc>
          <w:tcPr>
            <w:tcW w:w="1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28,265</w:t>
            </w:r>
          </w:p>
        </w:tc>
        <w:tc>
          <w:tcPr>
            <w:tcW w:w="3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44,782</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13,731</w:t>
            </w:r>
          </w:p>
        </w:tc>
      </w:tr>
      <w:tr>
        <w:trPr>
          <w:trHeight w:val="228"/>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46,184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17,841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21,761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(9,500)</w:t>
            </w:r>
          </w:p>
        </w:tc>
      </w:tr>
      <w:tr>
        <w:trPr>
          <w:trHeight w:val="222"/>
        </w:trPr>
        <w:tc>
          <w:tcPr>
            <w:tcW w:w="152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116,843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46,106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66,543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4,231</w:t>
            </w: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8"/>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65,660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54,055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34,981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24,816</w:t>
            </w:r>
          </w:p>
        </w:tc>
      </w:tr>
      <w:tr>
        <w:trPr>
          <w:trHeight w:val="228"/>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529</w:t>
            </w:r>
          </w:p>
        </w:tc>
      </w:tr>
      <w:tr>
        <w:trPr>
          <w:trHeight w:val="228"/>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53,339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21,999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27,572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3,068</w:t>
            </w:r>
          </w:p>
        </w:tc>
      </w:tr>
      <w:tr>
        <w:trPr>
          <w:trHeight w:val="228"/>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r>
      <w:tr>
        <w:trPr>
          <w:trHeight w:val="222"/>
        </w:trPr>
        <w:tc>
          <w:tcPr>
            <w:tcW w:w="152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126,768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79,776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64,294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27,975</w:t>
            </w: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8,719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(10,198)</w:t>
            </w:r>
          </w:p>
        </w:tc>
      </w:tr>
      <w:tr>
        <w:trPr>
          <w:trHeight w:val="228"/>
        </w:trPr>
        <w:tc>
          <w:tcPr>
            <w:tcW w:w="4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New Business Initiatives</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3,399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1,878</w:t>
            </w: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 for reportable segments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253,039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136,827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135,084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23,886</w:t>
            </w:r>
          </w:p>
        </w:tc>
      </w:tr>
      <w:tr>
        <w:trPr>
          <w:trHeight w:val="228"/>
        </w:trPr>
        <w:tc>
          <w:tcPr>
            <w:tcW w:w="4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r>
      <w:tr>
        <w:trPr>
          <w:trHeight w:val="222"/>
        </w:trPr>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254,883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137,003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134,406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21,540</w:t>
            </w:r>
          </w:p>
        </w:tc>
      </w:tr>
      <w:tr>
        <w:trPr>
          <w:trHeight w:val="20"/>
        </w:trPr>
        <w:tc>
          <w:tcPr>
            <w:tcW w:w="1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4"/>
        </w:trPr>
        <w:tc>
          <w:tcPr>
            <w:tcW w:w="152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160" w:lineRule="exact"/>
        <w:rPr>
          <w:sz w:val="20"/>
          <w:szCs w:val="20"/>
          <w:color w:val="auto"/>
        </w:rPr>
      </w:pPr>
    </w:p>
    <w:p>
      <w:pPr>
        <w:jc w:val="both"/>
        <w:ind w:left="360" w:hanging="353"/>
        <w:spacing w:after="0" w:line="284" w:lineRule="auto"/>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4" w:lineRule="exact"/>
        <w:rPr>
          <w:rFonts w:ascii="Arial" w:cs="Arial" w:eastAsia="Arial" w:hAnsi="Arial"/>
          <w:sz w:val="17"/>
          <w:szCs w:val="17"/>
          <w:color w:val="auto"/>
        </w:rPr>
      </w:pPr>
    </w:p>
    <w:p>
      <w:pPr>
        <w:ind w:left="360" w:hanging="353"/>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9544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hanging="353"/>
        <w:spacing w:after="0" w:line="274"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5" w:name="page56"/>
    <w:bookmarkEnd w:id="55"/>
    <w:p>
      <w:pPr>
        <w:jc w:val="both"/>
        <w:ind w:firstLine="225"/>
        <w:spacing w:after="0" w:line="269" w:lineRule="auto"/>
        <w:rPr>
          <w:sz w:val="20"/>
          <w:szCs w:val="20"/>
          <w:color w:val="auto"/>
        </w:rPr>
      </w:pPr>
      <w:r>
        <w:rPr>
          <w:rFonts w:ascii="Arial" w:cs="Arial" w:eastAsia="Arial" w:hAnsi="Arial"/>
          <w:sz w:val="17"/>
          <w:szCs w:val="17"/>
          <w:color w:val="auto"/>
        </w:rPr>
        <w:t xml:space="preserve">Due to the COVID-19 pandemic, substantially all of the theaters in the IMAX network were closed for a significant portion of the first half of 2020, with the theaters in Greater China closed beginning in late-January and substantially all of the Company’s remaining theaters closed beginning in mid-to-late March. Beginning in the third quarter of 2020, stay-at-home orders and capacity restrictions were lifted in many key markets and movie theaters throughout the IMAX network gradually reopened. As a result, Hollywood and local language studios returned to a more normal cadence of film releases. In 2021, 63 new films were released to the IMAX global network, as compared to 31 in 2020, which led to a $379.0 million (146%) increase in GBO generated by IMAX films, whereas conventional theaters saw an estimated 78% increase in box office. The box office results for IMAX films in 2021 were particularly strong in the fourth quarter when GBO totaled $277.5 million, surpassing the pre-pandemic total of $241.2 million in the fourth quarter of 2019, due to the performance of films such as </w:t>
      </w:r>
      <w:r>
        <w:rPr>
          <w:rFonts w:ascii="Arial" w:cs="Arial" w:eastAsia="Arial" w:hAnsi="Arial"/>
          <w:sz w:val="17"/>
          <w:szCs w:val="17"/>
          <w:i w:val="1"/>
          <w:iCs w:val="1"/>
          <w:color w:val="auto"/>
        </w:rPr>
        <w:t>Spider-Man: No Way Home</w:t>
      </w:r>
      <w:r>
        <w:rPr>
          <w:rFonts w:ascii="Arial" w:cs="Arial" w:eastAsia="Arial" w:hAnsi="Arial"/>
          <w:sz w:val="17"/>
          <w:szCs w:val="17"/>
          <w:color w:val="auto"/>
        </w:rPr>
        <w:t xml:space="preserve">, </w:t>
      </w:r>
      <w:r>
        <w:rPr>
          <w:rFonts w:ascii="Arial" w:cs="Arial" w:eastAsia="Arial" w:hAnsi="Arial"/>
          <w:sz w:val="17"/>
          <w:szCs w:val="17"/>
          <w:i w:val="1"/>
          <w:iCs w:val="1"/>
          <w:color w:val="auto"/>
        </w:rPr>
        <w:t>No Time to Die</w:t>
      </w:r>
      <w:r>
        <w:rPr>
          <w:rFonts w:ascii="Arial" w:cs="Arial" w:eastAsia="Arial" w:hAnsi="Arial"/>
          <w:sz w:val="17"/>
          <w:szCs w:val="17"/>
          <w:color w:val="auto"/>
        </w:rPr>
        <w:t xml:space="preserve">, and </w:t>
      </w:r>
      <w:r>
        <w:rPr>
          <w:rFonts w:ascii="Arial" w:cs="Arial" w:eastAsia="Arial" w:hAnsi="Arial"/>
          <w:sz w:val="17"/>
          <w:szCs w:val="17"/>
          <w:i w:val="1"/>
          <w:iCs w:val="1"/>
          <w:color w:val="auto"/>
        </w:rPr>
        <w:t>Dune</w:t>
      </w:r>
      <w:r>
        <w:rPr>
          <w:rFonts w:ascii="Arial" w:cs="Arial" w:eastAsia="Arial" w:hAnsi="Arial"/>
          <w:sz w:val="17"/>
          <w:szCs w:val="17"/>
          <w:color w:val="auto"/>
        </w:rPr>
        <w:t>.</w:t>
      </w:r>
    </w:p>
    <w:p>
      <w:pPr>
        <w:spacing w:after="0" w:line="15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a result of the factors discussed above, the Company’s consolidated results of operations and segment results improved significantly in 2021, when compared to the prior year, with total revenues and gross margin increasing by $117.9 million (86%) and $112.9 million, respectively. See the captioned sections below for a more detailed discussion of the Company’s segment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4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 ended December 31, 2021, IMAX Technology Network revenues and gross margin increased by $70.7 million (153%) and $62.3 million, respectively, when compared to the prior year primarily due to the broader reopening of the IMAX theater network and the continued progress towards the resumption of normal operations as the theatrical exhibition industry continues to recover from the COVID-19 pandemic. See below for separate discussions of IMAX DMR and JRSA contingent rent results for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For the year ended December 31, 2021, IMAX DMR revenues and gross margin increased by $42.4 million (150%) and $31.1 million, respectively, when compared to the prior year. These increases are primarily due to a $379.0 million (146%) increase in GBO generated by IMAX films, from $259.2 million in 2020 to $638.2 million in 2021. The box office results for IMAX films in 2021 were particularly strong in the fourth quarter when GBO totaled $277.5 million, surpassing the pre-pandemic total of $241.2 million in the fourth quarter of 2019, due to the performance of films such as </w:t>
      </w:r>
      <w:r>
        <w:rPr>
          <w:rFonts w:ascii="Arial" w:cs="Arial" w:eastAsia="Arial" w:hAnsi="Arial"/>
          <w:sz w:val="18"/>
          <w:szCs w:val="18"/>
          <w:i w:val="1"/>
          <w:iCs w:val="1"/>
          <w:color w:val="auto"/>
        </w:rPr>
        <w:t>Spider-Man: No</w:t>
      </w:r>
      <w:r>
        <w:rPr>
          <w:rFonts w:ascii="Arial" w:cs="Arial" w:eastAsia="Arial" w:hAnsi="Arial"/>
          <w:sz w:val="18"/>
          <w:szCs w:val="18"/>
          <w:color w:val="auto"/>
        </w:rPr>
        <w:t xml:space="preserve"> </w:t>
      </w:r>
      <w:r>
        <w:rPr>
          <w:rFonts w:ascii="Arial" w:cs="Arial" w:eastAsia="Arial" w:hAnsi="Arial"/>
          <w:sz w:val="18"/>
          <w:szCs w:val="18"/>
          <w:i w:val="1"/>
          <w:iCs w:val="1"/>
          <w:color w:val="auto"/>
        </w:rPr>
        <w:t>Way Home</w:t>
      </w:r>
      <w:r>
        <w:rPr>
          <w:rFonts w:ascii="Arial" w:cs="Arial" w:eastAsia="Arial" w:hAnsi="Arial"/>
          <w:sz w:val="18"/>
          <w:szCs w:val="18"/>
          <w:color w:val="auto"/>
        </w:rPr>
        <w:t>,</w:t>
      </w:r>
      <w:r>
        <w:rPr>
          <w:rFonts w:ascii="Arial" w:cs="Arial" w:eastAsia="Arial" w:hAnsi="Arial"/>
          <w:sz w:val="18"/>
          <w:szCs w:val="18"/>
          <w:i w:val="1"/>
          <w:iCs w:val="1"/>
          <w:color w:val="auto"/>
        </w:rPr>
        <w:t xml:space="preserve"> No Time to Die</w:t>
      </w:r>
      <w:r>
        <w:rPr>
          <w:rFonts w:ascii="Arial" w:cs="Arial" w:eastAsia="Arial" w:hAnsi="Arial"/>
          <w:sz w:val="18"/>
          <w:szCs w:val="18"/>
          <w:color w:val="auto"/>
        </w:rPr>
        <w:t>, and</w:t>
      </w:r>
      <w:r>
        <w:rPr>
          <w:rFonts w:ascii="Arial" w:cs="Arial" w:eastAsia="Arial" w:hAnsi="Arial"/>
          <w:sz w:val="18"/>
          <w:szCs w:val="18"/>
          <w:i w:val="1"/>
          <w:iCs w:val="1"/>
          <w:color w:val="auto"/>
        </w:rPr>
        <w:t xml:space="preserve"> Dune</w:t>
      </w:r>
      <w:r>
        <w:rPr>
          <w:rFonts w:ascii="Arial" w:cs="Arial" w:eastAsia="Arial" w:hAnsi="Arial"/>
          <w:sz w:val="18"/>
          <w:szCs w:val="18"/>
          <w:color w:val="auto"/>
        </w:rPr>
        <w: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year ended December 31, 2021, GBO was generated by the exhibition of 69 films (63 new and 6 carryovers) and the re-release of classic titles.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2020, GBO was generated by the exhibition of 35 films (31 new and 4 carryovers) and the re-release of classic titles.</w:t>
      </w:r>
    </w:p>
    <w:p>
      <w:pPr>
        <w:spacing w:after="0" w:line="19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year ended December 31, 2021, marketing expenses were $8.2 million, as compared to $3.4 million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9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JRSA contingent rent revenue and gross margin increased by $28.3 million (159%) and $31.3 million, respectively, when compared to the prior year. These increases are primarily due to a $208.1 million (159%) increase in GBO generated by theaters under joint revenue sharing arrangements, from $131.0 million in 2020 to $339.1 million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6" w:name="page57"/>
    <w:bookmarkEnd w:id="56"/>
    <w:p>
      <w:pPr>
        <w:jc w:val="both"/>
        <w:ind w:firstLine="225"/>
        <w:spacing w:after="0" w:line="287"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 network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year ended December 31, 2021, JRSA gross margin included depreciation expense of $22.3 million, which represents a $2.6 million (10%) decrease when compared to the prior year. The lower level of depreciation expense in the current year is due, in part, to the effect of lease term extensions entered into with exhibitor customers during the COVID-19 pandemic, partially offset by incremental depreciation expense associated with a 2% increase in the number of theaters operating under joint revenue sharing arrangements. For the year ended December 31, 2021, JRSA gross margin includes advertising, marketing, and commission costs of $1.5 million, as compared to $1.4 million in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IMAX Technology Sales and Maintenance revenue and gross margin increased by $47.0 million (59%) and $36.3 million (130%), respectively, when compared to the prior year. See below for separate discussions of IMAX Systems and IMAX Maintenance segment results for the year.</w:t>
      </w:r>
    </w:p>
    <w:p>
      <w:pPr>
        <w:spacing w:after="0" w:line="157"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The following table provides detailed information about the mix of IMAX Theater System installed and recognized during the years ended December 31, 2021 and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20" w:type="dxa"/>
            <w:vAlign w:val="bottom"/>
          </w:tcPr>
          <w:p>
            <w:pPr>
              <w:jc w:val="right"/>
              <w:ind w:right="195"/>
              <w:spacing w:after="0" w:line="132"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ind w:right="195"/>
              <w:spacing w:after="0" w:line="132"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220" w:type="dxa"/>
            <w:vAlign w:val="bottom"/>
          </w:tcPr>
          <w:p>
            <w:pPr>
              <w:jc w:val="right"/>
              <w:ind w:right="275"/>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ind w:left="260"/>
              <w:spacing w:after="0"/>
              <w:rPr>
                <w:sz w:val="20"/>
                <w:szCs w:val="20"/>
                <w:color w:val="auto"/>
              </w:rPr>
            </w:pPr>
            <w:r>
              <w:rPr>
                <w:rFonts w:ascii="Arial" w:cs="Arial" w:eastAsia="Arial" w:hAnsi="Arial"/>
                <w:sz w:val="18"/>
                <w:szCs w:val="18"/>
                <w:color w:val="auto"/>
              </w:rPr>
              <w:t>Sales and sales-type lease arrangements</w:t>
            </w:r>
            <w:r>
              <w:rPr>
                <w:rFonts w:ascii="Arial" w:cs="Arial" w:eastAsia="Arial" w:hAnsi="Arial"/>
                <w:sz w:val="15"/>
                <w:szCs w:val="15"/>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43,097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32,420</w:t>
            </w:r>
          </w:p>
        </w:tc>
        <w:tc>
          <w:tcPr>
            <w:tcW w:w="0" w:type="dxa"/>
            <w:vAlign w:val="bottom"/>
          </w:tcPr>
          <w:p>
            <w:pPr>
              <w:spacing w:after="0"/>
              <w:rPr>
                <w:sz w:val="1"/>
                <w:szCs w:val="1"/>
                <w:color w:val="auto"/>
              </w:rPr>
            </w:pPr>
          </w:p>
        </w:tc>
      </w:tr>
      <w:tr>
        <w:trPr>
          <w:trHeight w:val="228"/>
        </w:trPr>
        <w:tc>
          <w:tcPr>
            <w:tcW w:w="5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Joint revenue sharing arrangements — hybrid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5,192</w:t>
            </w:r>
          </w:p>
        </w:tc>
        <w:tc>
          <w:tcPr>
            <w:tcW w:w="20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new IMAX Theater Systems</w:t>
            </w:r>
            <w:r>
              <w:rPr>
                <w:rFonts w:ascii="Arial" w:cs="Arial" w:eastAsia="Arial" w:hAnsi="Arial"/>
                <w:sz w:val="15"/>
                <w:szCs w:val="15"/>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48,289</w:t>
            </w: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34,420</w:t>
            </w:r>
          </w:p>
        </w:tc>
        <w:tc>
          <w:tcPr>
            <w:tcW w:w="0" w:type="dxa"/>
            <w:vAlign w:val="bottom"/>
          </w:tcPr>
          <w:p>
            <w:pPr>
              <w:spacing w:after="0"/>
              <w:rPr>
                <w:sz w:val="1"/>
                <w:szCs w:val="1"/>
                <w:color w:val="auto"/>
              </w:rPr>
            </w:pPr>
          </w:p>
        </w:tc>
      </w:tr>
      <w:tr>
        <w:trPr>
          <w:trHeight w:val="222"/>
        </w:trPr>
        <w:tc>
          <w:tcPr>
            <w:tcW w:w="152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gridSpan w:val="2"/>
          </w:tcPr>
          <w:p>
            <w:pPr>
              <w:spacing w:after="0"/>
              <w:rPr>
                <w:sz w:val="20"/>
                <w:szCs w:val="20"/>
                <w:color w:val="auto"/>
              </w:rPr>
            </w:pPr>
            <w:r>
              <w:rPr>
                <w:rFonts w:ascii="Arial" w:cs="Arial" w:eastAsia="Arial" w:hAnsi="Arial"/>
                <w:sz w:val="18"/>
                <w:szCs w:val="18"/>
                <w:color w:val="auto"/>
              </w:rPr>
              <w:t>IMAX Theater System upgrades: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sales-type lease arrangements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10,596</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28"/>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Joint revenue sharing arrangements — hybrid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775</w:t>
            </w: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upgraded IMAX Theater Systems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11,371</w:t>
            </w:r>
          </w:p>
        </w:tc>
        <w:tc>
          <w:tcPr>
            <w:tcW w:w="20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22"/>
        </w:trPr>
        <w:tc>
          <w:tcPr>
            <w:tcW w:w="530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59,660</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44,507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2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60" w:hanging="353"/>
        <w:spacing w:after="0" w:line="261"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3" w:lineRule="exact"/>
        <w:rPr>
          <w:rFonts w:ascii="Arial" w:cs="Arial" w:eastAsia="Arial" w:hAnsi="Arial"/>
          <w:sz w:val="18"/>
          <w:szCs w:val="18"/>
          <w:color w:val="auto"/>
        </w:rPr>
      </w:pPr>
    </w:p>
    <w:p>
      <w:pPr>
        <w:jc w:val="both"/>
        <w:ind w:left="360" w:hanging="353"/>
        <w:spacing w:after="0" w:line="299" w:lineRule="auto"/>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seven IMAX Xenon Theater Systems that were relocated from their original location, which are subject to sales and sales-type lease arrangements (2020 — one subject to joint revenue sharing arrangements - hybrid).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7" w:name="page58"/>
    <w:bookmarkEnd w:id="57"/>
    <w:p>
      <w:pPr>
        <w:jc w:val="both"/>
        <w:ind w:firstLine="225"/>
        <w:spacing w:after="0" w:line="257"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$1.5 million for the year ended December 31, 2021, as compared to $1.2 million in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 ended December 31, 2021, IMAX Systems revenue and gross margin increased by $11.6 million (21%) and $10.2 million (41%) respectively, when compared to the prior year. The higher level of revenue and gross margin is the result of nine additional IMAX Theater System installations (including upgrades) under sales and sales-type lease arrangements in the current year due to an increased pace of theater system installations as the effects of the COVID-19 pandemic subside.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As a result of the financial difficulties faced by the theatrical exhibition industry arising out of the COVID-19 pandemic, beginning in the second quarter of 2020 and through the fourth quarter of 2021, the Company provided temporary relief to certain exhibitor customers by waiving or reducing maintenance fees during periods when theaters were closed or operating with reduced capacities. During this period, maintenance revenue was not recognized in situations when there was a reasonable likelihood that a theater would receive such relief. Due to the global reopening of the IMAX theater network and the substantial resumption of normal operations throughout the theatrical exhibition industry, as evidenced by GBO for the fourth quarter of 2021 exceeding pre-pandemic levels, the Company ended the temporary relief program for its exhibitor customers and, as a result, recognized maintenance revenue of $6.3 million that had been deferred due to the potential for the waiver or reduction of maintenance fees during the COVID-19 pandemic, including $2.5 million that had been deferred from 2020 with the remainder from the first nine months of 2021. (See “Management’s Discussion and Analysis of Financial Condition and Results of Operations – Impact of COVID-19 Pandemic.”)</w:t>
      </w:r>
    </w:p>
    <w:p>
      <w:pPr>
        <w:spacing w:after="0" w:line="15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For the year ended December 31, 2021, IMAX Maintenance segment revenue and gross margin increased by $31.3 million (142%) and $24.5 million, respectively, when compared to the prior year, due to the broader reopening of IMAX theater network in 2021 and the continued progress towards the resumption of normal operations as the theatrical exhibition industry continues to recover from the COVID-19 pandemic.</w:t>
      </w:r>
    </w:p>
    <w:p>
      <w:pPr>
        <w:spacing w:after="0" w:line="125"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year ended December 31, 2021, Film Distribution and Post-Production revenues decreased by $3.0 million (34%) and gross margin increased by $11.0 million, when compared to the prior year. The comparison of gross margin to the prior year is significantly influenced by $10.0 million of impairment losses recorded in 2020 principally to write-down the carrying value of certain documentary and alternative content film assets due to a decrease in projected box office totals and related revenues based on management’s regular quarterly recoverability assessments. There were no such losses recorded during the current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For the year ended December 31, 2021, Selling, General and Administrative Expenses increased by $8.8 million (8%), when compared to the prior year. For the year ended December 31, 2021, Selling, General, and Administrative Expenses, excluding the impact of share-based compensation expense of $23.8 million, were $93.5 million, as compared to $87.8 million in the prior year, excluding share-based compensation expense of $20.7 million, representing an increase of $5.7 million (7%). A portion of share-based compensation expense is recognized within Cost and Expenses Applicable to Revenue and Research and Development. (See Note 17 of Notes to Consolidated Financial Statements in Part II, Item 8.)</w:t>
      </w:r>
    </w:p>
    <w:p>
      <w:pPr>
        <w:spacing w:after="0" w:line="146"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The increase in Selling, General and Administrative Expenses versus the prior year is due to the higher level of business activity in the second half of 2021 as the effects of the COVID-19 pandemic subsided, resulting in higher staff costs, marketing expenses, and facilities related expenses. These factors are partially offset by management’s cost control efforts in the first half of 2021 during an earlier stage of the COVID-19 pandemic. Also impacting the comparison to the prior year is a $5.7 million (18%) increase in labor and other costs allocated out of Selling, General and Administrative Expenses and into costs applicable to revenues or capitalized to certain assets due to a return to a more normal level of production as the effects of the pandemic recede. By comparison, in the prior year, a large portion of the Company’s productive capacity was idle during an earlier stage of the pandemic.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both"/>
        <w:ind w:firstLine="225"/>
        <w:spacing w:after="0" w:line="277" w:lineRule="auto"/>
        <w:rPr>
          <w:sz w:val="20"/>
          <w:szCs w:val="20"/>
          <w:color w:val="auto"/>
        </w:rPr>
      </w:pPr>
      <w:r>
        <w:rPr>
          <w:rFonts w:ascii="Arial" w:cs="Arial" w:eastAsia="Arial" w:hAnsi="Arial"/>
          <w:sz w:val="17"/>
          <w:szCs w:val="17"/>
          <w:color w:val="auto"/>
        </w:rPr>
        <w:t>For the years ended December 31, 2021 and 2020, the Company recognized $3.8 million and $7.1 million, respectively, in benefits from various COVID-19 government relief programs principally as reductions to Selling, General and Administrative Expenses ($2.9 million and $6.0 million, respectively), Costs and Expenses Applicable to Revenues ($0.9 million and $1.0 million, respectively), and Research and Development ($nil and $0.1 million, respectively). These benefits are predominantly related to the CEWS program, which ended in October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year ended December 31, 2021, Research and Development expenses increased by $1.3 million (24%), when compared to the prior year.</w:t>
      </w:r>
    </w:p>
    <w:p>
      <w:pPr>
        <w:spacing w:after="0" w:line="20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 (Reversal) Expense, Net</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 ended December 31, 2021, the Company recorded a net reversal of current expected credit losses of $4.0 million principally due to the reversal of previously recorded credit loss expense as a result of an improving outlook for theater operators as the theatrical exhibition industry continues to recover from the COVID-19 pandemic, as well as improved collection experience with respect to foreign studio receivable balances, partially offset by new provisions recorded in the period.</w:t>
      </w:r>
    </w:p>
    <w:p>
      <w:pPr>
        <w:spacing w:after="0" w:line="16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2020, the Company recorded a provision for current expected credit loss of $18.6 million which reflected judgments made by management regarding the potential effects of the COVID-19 pandemic on the credit quality of Company’s theater and studio related receivable balances.</w:t>
      </w:r>
    </w:p>
    <w:p>
      <w:pPr>
        <w:spacing w:after="0" w:line="143"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at the time that the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2 and 5 of Notes to Consolidated Financial Statements in Part II, Item 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9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2020, the Company recorded asset impairments of $1.2 million principally related to the write-down of content-related assets which became impaired in the year. There were no such impairments recorded during the year ended December 31, 2021. (See Note 2 of Notes to Consolidated Financial Statements in Part II, Item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the Company recorded a $1.8 million benefit within Legal Judgment and Arbitration Awards as a result of the settlement of the Giencourt matter, compared to an expense of $4.1 million recorded in the prior year related to this matter. (See Note 16(b) of Notes to Consolidated Financial Statements in Part II, Item 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Realized and Unrealized Investment Gains (Losses)</w:t>
      </w:r>
    </w:p>
    <w:p>
      <w:pPr>
        <w:spacing w:after="0" w:line="196"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Consolidated Statements of Operations. For the year ended December 31, 2020, the fair value of the Company’s investment in Maoyan experienced an unrealized loss of $2.1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2"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For the year ended December 31, 2021, the Company recorded income tax expense of $20.6 million (2020 — $26.5 million). The Company’s effective tax rate for year ended December 31, 2021 of 187.2% differs from the Canadian statutory tax rate of 26.5%, primarily due to the fact that the Company recorded an additional $17.2 million valuation allowance against deferred tax assets where management cannot reliably forecast that sufficient future tax liabilities will arise in specific jurisdictions, which includes the long-term impact of the COVID-19 pandemic</w:t>
      </w:r>
      <w:r>
        <w:rPr>
          <w:rFonts w:ascii="Arial" w:cs="Arial" w:eastAsia="Arial" w:hAnsi="Arial"/>
          <w:sz w:val="20"/>
          <w:szCs w:val="20"/>
          <w:color w:val="auto"/>
        </w:rPr>
        <w:t>.</w:t>
      </w:r>
      <w:r>
        <w:rPr>
          <w:rFonts w:ascii="Arial" w:cs="Arial" w:eastAsia="Arial" w:hAnsi="Arial"/>
          <w:sz w:val="17"/>
          <w:szCs w:val="17"/>
          <w:color w:val="auto"/>
        </w:rPr>
        <w:t xml:space="preserve"> The $17.2 million increase in the valuation allowance recorded in 2021 is reflected within Income Tax Expense in the Company’s Consolidated Statements of Operations ($14.7 million) and Shareholders’ Equity on the Company’s Consolidated Balance Sheets ($2.5 million). Accordingly, the tax benefit associated with the current year losses in these jurisdictions is not ultimately reflected in the Company’s Consolidated Statements of Operations. Also impacting the Company’s effective tax rate for the year ended December 31, 2021 are jurisdictional tax rate differences, including a difference related to the gain on the sale of the Maoyan investment (see “Realized and Unrealized Investment Gains (Losses)” above) and a change in the estimated contingent liabilities related to the potential resolution of various tax examinations.</w:t>
      </w:r>
    </w:p>
    <w:p>
      <w:pPr>
        <w:spacing w:after="0" w:line="157"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in 2020 for the estimated applicable foreign withholding taxes associated with these historical earnings, which will become payable upon the repatriation of any such earnings. In 2021, the deferred tax liability for the applicable foreign withholding taxes was increased by $0.5 million due to an increase in the amount of distributable historical earnings. During the year ended December 31, 2021, $20.4 million of historical earnings from a subsidiary in China were distributed and, as a result, $2.0 million of foreign withholding taxes were paid to the relevant tax authorities. The remaining deferred tax liability on the Company’s Consolidated Balance Sheets as of December 31, 2021 is $17.6 million.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 of Notes to Consolidated Financial Statements in Part II, Item 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 ended December 31, 2020, the Company reported a loss of $1.9 million due to the write-off of deferred tax assets related to an equity method investment. No such loss was recorded in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Company’s Consolidated Financial Statements include the non-controlling interest in the net income (loss) of IMAX China as well as the impact of non-controlling interests in the activity of its Original Film Fund subsidiary. For the year ended December 31, 2021, the net income attributable to non-controlling interests of the Company’s subsidiaries was $12.8 million (2020 — net loss of $(13.7)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CASH FLOWS FOR THE YEARS ENDED DECEMBER 31, 2021 AND 2020</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49"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For the year ended December 31, 2021, the net cash provided by the Company’s operating activities totaled $6.1 million, as compared to net cash used in operating activities of $23.0 million in the prior year. In 2021, the net cash provided by the Company’s operating activities is principally a function of the Company’s cash earnings, partially offset by the increase in Accounts Receivable of $52.5 million resulting from revenue growth attributable to the broader reopening of theaters as the theatrical exhibition industry recovers from the COVID-19 pandemic. To a lesser extent, the cash provided by the Company’s operating activities is also partially offset by $14.8 million spent in connection with the development of Film Assets.</w:t>
      </w:r>
    </w:p>
    <w:p>
      <w:pPr>
        <w:spacing w:after="0" w:line="146" w:lineRule="exact"/>
        <w:rPr>
          <w:sz w:val="20"/>
          <w:szCs w:val="20"/>
          <w:color w:val="auto"/>
        </w:rPr>
      </w:pPr>
    </w:p>
    <w:p>
      <w:pPr>
        <w:jc w:val="both"/>
        <w:ind w:right="20" w:firstLine="225"/>
        <w:spacing w:after="0" w:line="257" w:lineRule="auto"/>
        <w:rPr>
          <w:sz w:val="20"/>
          <w:szCs w:val="20"/>
          <w:color w:val="auto"/>
        </w:rPr>
      </w:pPr>
      <w:r>
        <w:rPr>
          <w:rFonts w:ascii="Arial" w:cs="Arial" w:eastAsia="Arial" w:hAnsi="Arial"/>
          <w:sz w:val="18"/>
          <w:szCs w:val="18"/>
          <w:color w:val="auto"/>
        </w:rPr>
        <w:t>For the year ended December 31, 2020, the net cash outflow from operating activities of $23.0 million was principally due to the significant decrease in the Company’s revenue and earnings as a result of the COVID-19 pandemic. In addition, the Company experienced a slowdown in manufacturing, shipments and installation of IMAX Theater Systems at customer sites, resulting in an increase in Inventories. These cash outflows were partially offset by a $33.6 million decrease in Accounts Receivable.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2"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For the year ended December 31, 2021, the net cash used in the Company’s investing activities totaled less than $0.1 million, as compared to net cash used in investing activities of $9.3 million in 2020. In 2021, the net cash used in investing activities is primarily driven by $10.1 million invested in equipment to be used in the Company’s joint revenue sharing arrangements with exhibitors (2020 — $6.7 million), $4.1 million of intangible assets capitalized, principally related to the development of internal use software (2020 — $1.9 million), and $3.6 million related to the purchase of property, plant and equipment (2020 — $0.7 million). Based on management’s current operating plan for 2022, the Company expects to continue to use cash to deploy additional IMAX Theater Systems under joint revenue sharing arrangements. This cash outflow is offset by $17.8 million in cash proceeds received from the sale of the Company’s investment in Maoyan (see “Management’s Discussion and Analysis of Financial Condition and Results of Operations – Realized and Unrealized Investment Gains (Losses)”).</w:t>
      </w:r>
    </w:p>
    <w:p>
      <w:pPr>
        <w:spacing w:after="0" w:line="153"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$32.6 million in 2021 as compared to $16.9 million in 2020.</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8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year ended December 31, 2021, the net cash used in the Company’s financing activities totaled $132.7 million, as compared to $240.6 million provided by financing activities in the prior year. In 2021, the net cash used in financing activities is principally due to $304.0 million in net repayments of revolving credit facility borrowings, which were funded in part with a portion of the $223.7 million in net proceeds received from the issuance of the Convertible Notes. The net cash used in financing activities for the current year is also the result of the $19.1 million purchase of capped calls related to the Convertible Notes, as well as $24.0 million used to repurchase common shares of the Company ($13.9 million) and IMAX China Holding, Inc. ($10.1 million). (See Note 14 of Notes to Consolidated Financial Statements in Part II, Item 8 for additional information on the issuance of the Convertible Notes and the related capped call transactions.)</w:t>
      </w:r>
    </w:p>
    <w:p>
      <w:pPr>
        <w:spacing w:after="0" w:line="16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In 2020, the net cash provided by financing activities totaled $240.6 million and was principally due to $287.6 million in revolving credit facility borrowings, partially offset by $36.6 million paid to repurchase common shares under the Company’s share repurchase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As of December 31, 2021, the Company’s principal sources of liquidity included: (i) its balances of cash and cash equivalents ($189.7 million); (ii) the anticipated collection of trade accounts receivable, which includes amounts owed under joint revenue sharing arrangements and DMR agreements with movie studios; (iii) the anticipated collection of financing receivables due in the next 12 months under sales and sales-type lease arrangements for theaters currently in operation; and (iv) installment payments expected in the next 12 months under sales and sales-type lease arrangements in backlog. Under the terms of the Company’s typical sale and sales-type lease agreements, the Company receives substantial cash payments before it completes the performance of its contractual obligations.</w:t>
      </w:r>
    </w:p>
    <w:p>
      <w:pPr>
        <w:spacing w:after="0" w:line="149"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In addition, as of December 31, 2021, the Company also had $300.0 million in available borrowing capacity under its Fifth Amended and Restated Credit Agreement, with Wells Fargo Bank, National Association (the “Credit Agreement”) and $26.2 million in available borrowing capacity under IMAX (Shanghai) Multimedia Technology Co., Ltd.’s revolving facility (the “Working Capital Facility”). (See Note 14 of Notes to Consolidated Financial Statements in Part II Item 8 for a description of the material terms of the Credit Agreement, as well as its related amendments, and the Working Capital Facility.)</w:t>
      </w:r>
    </w:p>
    <w:p>
      <w:pPr>
        <w:spacing w:after="0" w:line="149"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6"/>
          <w:szCs w:val="16"/>
          <w:color w:val="auto"/>
        </w:rPr>
        <w:t>The Company’s $189.7 million balance of cash and cash equivalents as of December 31, 2021 includes $102.1 million in cash held outside of Canada (December 31, 2020 — $89.9 million), of which $76.3 million was held in the PRC (December 31, 2020 — $77.2 million). 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In 2021, $20.4 million of historical earnings from a subsidiary in China were distributed and, as a result, $2.0 million of foreign withholding taxes were paid to the relevant tax authorities. As of December 31, 2021, the Company’s Consolidated Balance Sheets include a deferred tax liability of $17.6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40" w:lineRule="exact"/>
        <w:rPr>
          <w:sz w:val="20"/>
          <w:szCs w:val="20"/>
          <w:color w:val="auto"/>
        </w:rPr>
      </w:pPr>
    </w:p>
    <w:p>
      <w:pPr>
        <w:jc w:val="both"/>
        <w:ind w:firstLine="224"/>
        <w:spacing w:after="0" w:line="274" w:lineRule="auto"/>
        <w:rPr>
          <w:sz w:val="20"/>
          <w:szCs w:val="20"/>
          <w:color w:val="auto"/>
        </w:rPr>
      </w:pPr>
      <w:r>
        <w:rPr>
          <w:rFonts w:ascii="Arial" w:cs="Arial" w:eastAsia="Arial" w:hAnsi="Arial"/>
          <w:sz w:val="17"/>
          <w:szCs w:val="17"/>
          <w:color w:val="auto"/>
        </w:rPr>
        <w:t>The Company forecasts its future cash flows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Theater Systems and box office performance of IMAX DMR content are not realized.</w:t>
      </w:r>
    </w:p>
    <w:p>
      <w:pPr>
        <w:spacing w:after="0" w:line="132"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The impact of the COVID-19 global pandemic resulted in significantly lower levels of revenues, earnings, and operating cash flows for the Company during 2020 and, to a lesser extent, 2021, when compared to periods prior to the onset of the pandemic, as GBO results from the Company’s theater customers declined, the installation of certain theater systems was delayed, and maintenance fees were generally not recognized for theaters that were closed or operating with reduced capacities. In addition, as a result of the financial difficulties faced by certain of the Company’s exhibition customers arising out of pandemic-related closures, although improving, the Company has experienced and may continue to experience delays in collecting payments due under existing theater sale or lease arrangements. In response, in 2020 and 2021, the Company provided temporary relief to certain exhibitor customers by suspending or reducing maintenance fees during periods when theaters were closed or operating with reduced capacities and, in certain situations, provided extended payment terms on annual minimum payment obligations in exchange for a corresponding or longer extension of the term of the underlying sale or lease arrangement.</w:t>
      </w:r>
    </w:p>
    <w:p>
      <w:pPr>
        <w:spacing w:after="0" w:line="151"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 xml:space="preserve">Beginning in the third quarter of 2020, stay-at-home orders and capacity restrictions were lifted in many key markets and movie theaters throughout the IMAX network gradually reopened. As of December 31, 2021, 95% of the theaters in the IMAX commercial multiplex network open at various capacities. For the year ended December 31, 2021, GBO generated by IMAX films totaled $638.2 million, surpassing the total for 2020 by $379.0 million (146%), whereas conventional theaters saw an estimated 78% increase in box office. Moreover, during the fourth quarter of 2021, GBO generated by IMAX films totaled $277.5 million, surpassing the pre-pandemic total of $241.2 million for the fourth quarter of 2019, due to the performance of films such as </w:t>
      </w:r>
      <w:r>
        <w:rPr>
          <w:rFonts w:ascii="Arial" w:cs="Arial" w:eastAsia="Arial" w:hAnsi="Arial"/>
          <w:sz w:val="17"/>
          <w:szCs w:val="17"/>
          <w:i w:val="1"/>
          <w:iCs w:val="1"/>
          <w:color w:val="auto"/>
        </w:rPr>
        <w:t>Spider-Man: No Way Home</w:t>
      </w:r>
      <w:r>
        <w:rPr>
          <w:rFonts w:ascii="Arial" w:cs="Arial" w:eastAsia="Arial" w:hAnsi="Arial"/>
          <w:sz w:val="17"/>
          <w:szCs w:val="17"/>
          <w:color w:val="auto"/>
        </w:rPr>
        <w:t>,</w:t>
      </w:r>
      <w:r>
        <w:rPr>
          <w:rFonts w:ascii="Arial" w:cs="Arial" w:eastAsia="Arial" w:hAnsi="Arial"/>
          <w:sz w:val="17"/>
          <w:szCs w:val="17"/>
          <w:i w:val="1"/>
          <w:iCs w:val="1"/>
          <w:color w:val="auto"/>
        </w:rPr>
        <w:t xml:space="preserve"> No Time to Die</w:t>
      </w:r>
      <w:r>
        <w:rPr>
          <w:rFonts w:ascii="Arial" w:cs="Arial" w:eastAsia="Arial" w:hAnsi="Arial"/>
          <w:sz w:val="17"/>
          <w:szCs w:val="17"/>
          <w:color w:val="auto"/>
        </w:rPr>
        <w:t>, and</w:t>
      </w:r>
      <w:r>
        <w:rPr>
          <w:rFonts w:ascii="Arial" w:cs="Arial" w:eastAsia="Arial" w:hAnsi="Arial"/>
          <w:sz w:val="17"/>
          <w:szCs w:val="17"/>
          <w:i w:val="1"/>
          <w:iCs w:val="1"/>
          <w:color w:val="auto"/>
        </w:rPr>
        <w:t xml:space="preserve"> Dune</w:t>
      </w:r>
      <w:r>
        <w:rPr>
          <w:rFonts w:ascii="Arial" w:cs="Arial" w:eastAsia="Arial" w:hAnsi="Arial"/>
          <w:sz w:val="17"/>
          <w:szCs w:val="17"/>
          <w:color w:val="auto"/>
        </w:rPr>
        <w:t>. Included in this fourth quarter GBO performance is an all-time Company record for the month of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encouraged by these box office results and believes they indicate that moviegoers are returning to theaters, and in particular IMAX theaters, where and when theaters are open and they feel safe.</w:t>
      </w:r>
    </w:p>
    <w:p>
      <w:pPr>
        <w:spacing w:after="0" w:line="153" w:lineRule="exact"/>
        <w:rPr>
          <w:sz w:val="20"/>
          <w:szCs w:val="20"/>
          <w:color w:val="auto"/>
        </w:rPr>
      </w:pPr>
    </w:p>
    <w:p>
      <w:pPr>
        <w:jc w:val="both"/>
        <w:ind w:right="20" w:firstLine="224"/>
        <w:spacing w:after="0" w:line="274"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jc w:val="both"/>
        <w:ind w:firstLine="224"/>
        <w:spacing w:after="0" w:line="284" w:lineRule="auto"/>
        <w:rPr>
          <w:sz w:val="20"/>
          <w:szCs w:val="20"/>
          <w:color w:val="auto"/>
        </w:rPr>
      </w:pPr>
      <w:r>
        <w:rPr>
          <w:rFonts w:ascii="Arial" w:cs="Arial" w:eastAsia="Arial" w:hAnsi="Arial"/>
          <w:sz w:val="17"/>
          <w:szCs w:val="17"/>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December 31, 2021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7"/>
              <w:spacing w:after="0"/>
              <w:rPr>
                <w:sz w:val="20"/>
                <w:szCs w:val="20"/>
                <w:color w:val="auto"/>
              </w:rPr>
            </w:pPr>
            <w:r>
              <w:rPr>
                <w:rFonts w:ascii="Arial" w:cs="Arial" w:eastAsia="Arial" w:hAnsi="Arial"/>
                <w:sz w:val="14"/>
                <w:szCs w:val="14"/>
                <w:b w:val="1"/>
                <w:bCs w:val="1"/>
                <w:color w:val="auto"/>
                <w:w w:val="92"/>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9"/>
              </w:rPr>
              <w:t>Total</w:t>
            </w:r>
          </w:p>
        </w:tc>
        <w:tc>
          <w:tcPr>
            <w:tcW w:w="9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3"/>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1 to 3 years</w:t>
            </w:r>
          </w:p>
        </w:tc>
        <w:tc>
          <w:tcPr>
            <w:tcW w:w="120" w:type="dxa"/>
            <w:vAlign w:val="bottom"/>
          </w:tcPr>
          <w:p>
            <w:pPr>
              <w:spacing w:after="0"/>
              <w:rPr>
                <w:sz w:val="11"/>
                <w:szCs w:val="11"/>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0"/>
              </w:rPr>
              <w:t>3 to 5 years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70"/>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Obligation</w:t>
            </w: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34,084</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33,907</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18,833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Arial" w:cs="Arial" w:eastAsia="Arial" w:hAnsi="Arial"/>
                <w:sz w:val="18"/>
                <w:szCs w:val="18"/>
                <w:color w:val="auto"/>
              </w:rPr>
              <w:t>Working Capital Facility</w:t>
            </w:r>
            <w:r>
              <w:rPr>
                <w:rFonts w:ascii="Arial" w:cs="Arial" w:eastAsia="Arial" w:hAnsi="Arial"/>
                <w:sz w:val="15"/>
                <w:szCs w:val="15"/>
                <w:color w:val="auto"/>
              </w:rPr>
              <w:t>(4)</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235,175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231,725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Postretirement benefits obligations</w:t>
            </w: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3,066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315,068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42,546</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27,575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236,114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60" w:right="20" w:hanging="353"/>
        <w:spacing w:after="0" w:line="274"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31" w:lineRule="exact"/>
        <w:rPr>
          <w:rFonts w:ascii="Arial" w:cs="Arial" w:eastAsia="Arial" w:hAnsi="Arial"/>
          <w:sz w:val="18"/>
          <w:szCs w:val="18"/>
          <w:color w:val="auto"/>
        </w:rPr>
      </w:pPr>
    </w:p>
    <w:p>
      <w:pPr>
        <w:jc w:val="both"/>
        <w:ind w:left="360" w:hanging="353"/>
        <w:spacing w:after="0" w:line="255"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 (See Note 23 of Notes to Consolidated Financial Statements in Part II, Item 8.)</w:t>
      </w:r>
    </w:p>
    <w:p>
      <w:pPr>
        <w:spacing w:after="0" w:line="148"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relates to leased office space in New York.</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Working Capital Facility expires in July 2022. (See Note 14(a) of Notes to Consolidated Financial Statements in Part II, Item 8.)</w:t>
      </w:r>
    </w:p>
    <w:p>
      <w:pPr>
        <w:spacing w:after="0" w:line="182" w:lineRule="exact"/>
        <w:rPr>
          <w:rFonts w:ascii="Arial" w:cs="Arial" w:eastAsia="Arial" w:hAnsi="Arial"/>
          <w:sz w:val="18"/>
          <w:szCs w:val="18"/>
          <w:color w:val="auto"/>
        </w:rPr>
      </w:pPr>
    </w:p>
    <w:p>
      <w:pPr>
        <w:jc w:val="both"/>
        <w:ind w:left="360" w:hanging="353"/>
        <w:spacing w:after="0" w:line="261"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 (See Note 14(b) of Notes to Consolidated Financial Statements in Part II, Item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6"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NON-GAAP FINANCIAL MEASURES</w:t>
      </w:r>
    </w:p>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84" w:lineRule="exact"/>
        <w:rPr>
          <w:sz w:val="20"/>
          <w:szCs w:val="20"/>
          <w:color w:val="auto"/>
        </w:rPr>
      </w:pPr>
    </w:p>
    <w:p>
      <w:pPr>
        <w:ind w:left="580" w:hanging="35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w:t>
      </w:r>
    </w:p>
    <w:p>
      <w:pPr>
        <w:spacing w:after="0" w:line="235" w:lineRule="exact"/>
        <w:rPr>
          <w:rFonts w:ascii="Arial" w:cs="Arial" w:eastAsia="Arial" w:hAnsi="Arial"/>
          <w:sz w:val="18"/>
          <w:szCs w:val="18"/>
          <w:color w:val="auto"/>
        </w:rPr>
      </w:pPr>
    </w:p>
    <w:p>
      <w:pPr>
        <w:ind w:left="580" w:hanging="35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 per basic and diluted share;</w:t>
      </w:r>
    </w:p>
    <w:p>
      <w:pPr>
        <w:spacing w:after="0" w:line="222" w:lineRule="exact"/>
        <w:rPr>
          <w:rFonts w:ascii="Arial" w:cs="Arial" w:eastAsia="Arial" w:hAnsi="Arial"/>
          <w:sz w:val="18"/>
          <w:szCs w:val="18"/>
          <w:color w:val="auto"/>
        </w:rPr>
      </w:pPr>
    </w:p>
    <w:p>
      <w:pPr>
        <w:ind w:left="580" w:hanging="35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35" w:lineRule="exact"/>
        <w:rPr>
          <w:rFonts w:ascii="Arial" w:cs="Arial" w:eastAsia="Arial" w:hAnsi="Arial"/>
          <w:sz w:val="18"/>
          <w:szCs w:val="18"/>
          <w:color w:val="auto"/>
        </w:rPr>
      </w:pPr>
    </w:p>
    <w:p>
      <w:pPr>
        <w:ind w:left="580" w:hanging="35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Adjusted net loss attributable to common shareholders and adjusted net loss attributable to common shareholders per basic and diluted share exclude, where applicable: (i) share-based compensation; (ii) COVID-19 government relief benefits, net; (iii) legal judgment and arbitration awards; (iv) realized and unrealized investment gains or losses, as well as the related tax impact of these adjustments, and (v) income taxes resulting from management’s decision to no longer indefinitely reinvest the historical earnings of certain foreign subsidiaries.</w:t>
      </w:r>
    </w:p>
    <w:p>
      <w:pPr>
        <w:spacing w:after="0" w:line="14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16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 reconciliation of net loss attributable to common shareholders and the associated per share amounts to adjusted net loss attributable to common shareholders and adjusted net loss attributable to common shareholders per diluted share are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22"/>
        </w:trPr>
        <w:tc>
          <w:tcPr>
            <w:tcW w:w="15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9"/>
                <w:szCs w:val="19"/>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60" w:type="dxa"/>
            <w:vAlign w:val="bottom"/>
          </w:tcPr>
          <w:p>
            <w:pPr>
              <w:spacing w:after="0"/>
              <w:rPr>
                <w:sz w:val="19"/>
                <w:szCs w:val="19"/>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Net Loss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Per Share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auto"/>
                <w:w w:val="97"/>
              </w:rPr>
              <w:t>Per Share</w:t>
            </w:r>
          </w:p>
        </w:tc>
      </w:tr>
      <w:tr>
        <w:trPr>
          <w:trHeight w:val="222"/>
        </w:trPr>
        <w:tc>
          <w:tcPr>
            <w:tcW w:w="6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(143,775)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r>
      <w:tr>
        <w:trPr>
          <w:trHeight w:val="228"/>
        </w:trPr>
        <w:tc>
          <w:tcPr>
            <w:tcW w:w="644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6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20,558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0.35</w:t>
            </w:r>
          </w:p>
        </w:tc>
      </w:tr>
      <w:tr>
        <w:trPr>
          <w:trHeight w:val="228"/>
        </w:trPr>
        <w:tc>
          <w:tcPr>
            <w:tcW w:w="6440" w:type="dxa"/>
            <w:vAlign w:val="bottom"/>
            <w:gridSpan w:val="2"/>
          </w:tcPr>
          <w:p>
            <w:pPr>
              <w:ind w:left="260"/>
              <w:spacing w:after="0"/>
              <w:rPr>
                <w:sz w:val="20"/>
                <w:szCs w:val="20"/>
                <w:color w:val="auto"/>
              </w:rPr>
            </w:pPr>
            <w:r>
              <w:rPr>
                <w:rFonts w:ascii="Arial" w:cs="Arial" w:eastAsia="Arial" w:hAnsi="Arial"/>
                <w:sz w:val="18"/>
                <w:szCs w:val="18"/>
                <w:color w:val="auto"/>
              </w:rPr>
              <w:t>COVID-19 government relief benefits,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28"/>
        </w:trPr>
        <w:tc>
          <w:tcPr>
            <w:tcW w:w="6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Legal judgment and arbitration awards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0.07</w:t>
            </w:r>
          </w:p>
        </w:tc>
      </w:tr>
      <w:tr>
        <w:trPr>
          <w:trHeight w:val="228"/>
        </w:trPr>
        <w:tc>
          <w:tcPr>
            <w:tcW w:w="6440" w:type="dxa"/>
            <w:vAlign w:val="bottom"/>
            <w:gridSpan w:val="2"/>
          </w:tcPr>
          <w:p>
            <w:pPr>
              <w:ind w:left="260"/>
              <w:spacing w:after="0"/>
              <w:rPr>
                <w:sz w:val="20"/>
                <w:szCs w:val="20"/>
                <w:color w:val="auto"/>
              </w:rPr>
            </w:pPr>
            <w:r>
              <w:rPr>
                <w:rFonts w:ascii="Arial" w:cs="Arial" w:eastAsia="Arial" w:hAnsi="Arial"/>
                <w:sz w:val="18"/>
                <w:szCs w:val="18"/>
                <w:color w:val="auto"/>
              </w:rPr>
              <w:t>Realized and unrealized investment (gains) losses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0.02</w:t>
            </w:r>
          </w:p>
        </w:tc>
      </w:tr>
      <w:tr>
        <w:trPr>
          <w:trHeight w:val="228"/>
        </w:trPr>
        <w:tc>
          <w:tcPr>
            <w:tcW w:w="6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Tax impact on items listed above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r>
      <w:tr>
        <w:trPr>
          <w:trHeight w:val="214"/>
        </w:trPr>
        <w:tc>
          <w:tcPr>
            <w:tcW w:w="6440" w:type="dxa"/>
            <w:vAlign w:val="bottom"/>
            <w:gridSpan w:val="2"/>
          </w:tcPr>
          <w:p>
            <w:pPr>
              <w:ind w:left="260"/>
              <w:spacing w:after="0"/>
              <w:rPr>
                <w:sz w:val="20"/>
                <w:szCs w:val="20"/>
                <w:color w:val="auto"/>
              </w:rPr>
            </w:pPr>
            <w:r>
              <w:rPr>
                <w:rFonts w:ascii="Arial" w:cs="Arial" w:eastAsia="Arial" w:hAnsi="Arial"/>
                <w:sz w:val="18"/>
                <w:szCs w:val="18"/>
                <w:color w:val="auto"/>
                <w:w w:val="91"/>
              </w:rPr>
              <w:t>Income taxes resulting from management's decision to no longer indefinitely reinvest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the historical earnings of certain foreign subsidiaries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13,344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0.23</w:t>
            </w:r>
          </w:p>
        </w:tc>
      </w:tr>
      <w:tr>
        <w:trPr>
          <w:trHeight w:val="222"/>
        </w:trPr>
        <w:tc>
          <w:tcPr>
            <w:tcW w:w="6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(112,063)</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1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8"/>
        </w:trPr>
        <w:tc>
          <w:tcPr>
            <w:tcW w:w="15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8"/>
        </w:trPr>
        <w:tc>
          <w:tcPr>
            <w:tcW w:w="6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59,126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59,237</w:t>
            </w:r>
          </w:p>
        </w:tc>
      </w:tr>
      <w:tr>
        <w:trPr>
          <w:trHeight w:val="20"/>
        </w:trPr>
        <w:tc>
          <w:tcPr>
            <w:tcW w:w="15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4"/>
        </w:trPr>
        <w:tc>
          <w:tcPr>
            <w:tcW w:w="1520" w:type="dxa"/>
            <w:vAlign w:val="bottom"/>
            <w:tcBorders>
              <w:bottom w:val="single" w:sz="8" w:color="auto"/>
            </w:tcBorders>
          </w:tcPr>
          <w:p>
            <w:pPr>
              <w:spacing w:after="0"/>
              <w:rPr>
                <w:sz w:val="9"/>
                <w:szCs w:val="9"/>
                <w:color w:val="auto"/>
              </w:rPr>
            </w:pPr>
          </w:p>
        </w:tc>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423"/>
        </w:trPr>
        <w:tc>
          <w:tcPr>
            <w:tcW w:w="6440" w:type="dxa"/>
            <w:vAlign w:val="bottom"/>
            <w:gridSpan w:val="2"/>
          </w:tcPr>
          <w:p>
            <w:pPr>
              <w:spacing w:after="0"/>
              <w:rPr>
                <w:sz w:val="20"/>
                <w:szCs w:val="20"/>
                <w:color w:val="auto"/>
              </w:rPr>
            </w:pPr>
            <w:r>
              <w:rPr>
                <w:rFonts w:ascii="Arial" w:cs="Arial" w:eastAsia="Arial" w:hAnsi="Arial"/>
                <w:sz w:val="18"/>
                <w:szCs w:val="18"/>
                <w:color w:val="auto"/>
              </w:rPr>
              <w:t>(1)  Reflects amounts attributable to common shareholders.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9"/>
        </w:trPr>
        <w:tc>
          <w:tcPr>
            <w:tcW w:w="6440" w:type="dxa"/>
            <w:vAlign w:val="bottom"/>
            <w:gridSpan w:val="2"/>
          </w:tcPr>
          <w:p>
            <w:pPr>
              <w:ind w:left="55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4"/>
        </w:trPr>
        <w:tc>
          <w:tcPr>
            <w:tcW w:w="152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4" w:name="page65"/>
    <w:bookmarkEnd w:id="64"/>
    <w:p>
      <w:pPr>
        <w:jc w:val="both"/>
        <w:ind w:firstLine="225"/>
        <w:spacing w:after="0" w:line="255" w:lineRule="auto"/>
        <w:rPr>
          <w:sz w:val="20"/>
          <w:szCs w:val="20"/>
          <w:color w:val="auto"/>
        </w:rPr>
      </w:pPr>
      <w:r>
        <w:rPr>
          <w:rFonts w:ascii="Arial" w:cs="Arial" w:eastAsia="Arial" w:hAnsi="Arial"/>
          <w:sz w:val="18"/>
          <w:szCs w:val="18"/>
          <w:color w:val="auto"/>
        </w:rPr>
        <w:t xml:space="preserve">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w:t>
      </w:r>
      <w:r>
        <w:rPr>
          <w:rFonts w:ascii="Arial" w:cs="Arial" w:eastAsia="Arial" w:hAnsi="Arial"/>
          <w:sz w:val="19"/>
          <w:szCs w:val="19"/>
          <w:color w:val="auto"/>
        </w:rPr>
        <w:t>and to provide additional information with respect to the</w:t>
      </w:r>
      <w:r>
        <w:rPr>
          <w:rFonts w:ascii="Arial" w:cs="Arial" w:eastAsia="Arial" w:hAnsi="Arial"/>
          <w:sz w:val="18"/>
          <w:szCs w:val="18"/>
          <w:color w:val="auto"/>
        </w:rPr>
        <w:t xml:space="preserve"> </w:t>
      </w:r>
      <w:r>
        <w:rPr>
          <w:rFonts w:ascii="Arial" w:cs="Arial" w:eastAsia="Arial" w:hAnsi="Arial"/>
          <w:sz w:val="19"/>
          <w:szCs w:val="19"/>
          <w:color w:val="auto"/>
        </w:rPr>
        <w:t>Company’s compliance against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54"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20"/>
          <w:szCs w:val="20"/>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w:t>
      </w:r>
      <w:r>
        <w:rPr>
          <w:rFonts w:ascii="Arial" w:cs="Arial" w:eastAsia="Arial" w:hAnsi="Arial"/>
          <w:sz w:val="17"/>
          <w:szCs w:val="17"/>
          <w:color w:val="auto"/>
        </w:rPr>
        <w:t>ealized and unrealized investment gains or</w:t>
      </w:r>
      <w:r>
        <w:rPr>
          <w:rFonts w:ascii="Arial" w:cs="Arial" w:eastAsia="Arial" w:hAnsi="Arial"/>
          <w:sz w:val="20"/>
          <w:szCs w:val="20"/>
          <w:color w:val="auto"/>
        </w:rPr>
        <w:t xml:space="preserve"> </w:t>
      </w:r>
      <w:r>
        <w:rPr>
          <w:rFonts w:ascii="Arial" w:cs="Arial" w:eastAsia="Arial" w:hAnsi="Arial"/>
          <w:sz w:val="17"/>
          <w:szCs w:val="17"/>
          <w:color w:val="auto"/>
        </w:rPr>
        <w:t>losses</w:t>
      </w:r>
      <w:r>
        <w:rPr>
          <w:rFonts w:ascii="Arial" w:cs="Arial" w:eastAsia="Arial" w:hAnsi="Arial"/>
          <w:sz w:val="19"/>
          <w:szCs w:val="19"/>
          <w:color w:val="auto"/>
        </w:rPr>
        <w:t>; (iii) write-downs, net of recoveries, including asset impairments and credit loss expense; and (iv) legal judgment and arbitration</w:t>
      </w:r>
      <w:r>
        <w:rPr>
          <w:rFonts w:ascii="Arial" w:cs="Arial" w:eastAsia="Arial" w:hAnsi="Arial"/>
          <w:sz w:val="17"/>
          <w:szCs w:val="17"/>
          <w:color w:val="auto"/>
        </w:rPr>
        <w:t xml:space="preserve"> </w:t>
      </w:r>
      <w:r>
        <w:rPr>
          <w:rFonts w:ascii="Arial" w:cs="Arial" w:eastAsia="Arial" w:hAnsi="Arial"/>
          <w:sz w:val="19"/>
          <w:szCs w:val="19"/>
          <w:color w:val="auto"/>
        </w:rPr>
        <w:t>awards.</w:t>
      </w:r>
    </w:p>
    <w:p>
      <w:pPr>
        <w:spacing w:after="0" w:line="15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 reconciliation of net loss attributable to common shareholders, which is the most directly comparable GAAP measure, to EBITDA and Adjusted EBITDA per Credit Facility are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8"/>
          </w:tcPr>
          <w:p>
            <w:pPr>
              <w:jc w:val="center"/>
              <w:ind w:right="133"/>
              <w:spacing w:after="0"/>
              <w:rPr>
                <w:sz w:val="20"/>
                <w:szCs w:val="20"/>
                <w:color w:val="auto"/>
              </w:rPr>
            </w:pPr>
            <w:r>
              <w:rPr>
                <w:rFonts w:ascii="Arial" w:cs="Arial" w:eastAsia="Arial" w:hAnsi="Arial"/>
                <w:sz w:val="14"/>
                <w:szCs w:val="14"/>
                <w:b w:val="1"/>
                <w:bCs w:val="1"/>
                <w:color w:val="auto"/>
                <w:w w:val="92"/>
              </w:rPr>
              <w:t xml:space="preserve">For the Twelve Months Ended December 31, 2021 </w:t>
            </w:r>
            <w:r>
              <w:rPr>
                <w:rFonts w:ascii="Arial" w:cs="Arial" w:eastAsia="Arial" w:hAnsi="Arial"/>
                <w:sz w:val="12"/>
                <w:szCs w:val="12"/>
                <w:b w:val="1"/>
                <w:bCs w:val="1"/>
                <w:color w:val="auto"/>
                <w:w w:val="92"/>
              </w:rPr>
              <w:t>(1)</w:t>
            </w:r>
          </w:p>
        </w:tc>
      </w:tr>
      <w:tr>
        <w:trPr>
          <w:trHeight w:val="237"/>
        </w:trPr>
        <w:tc>
          <w:tcPr>
            <w:tcW w:w="15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8"/>
        </w:trPr>
        <w:tc>
          <w:tcPr>
            <w:tcW w:w="1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Less: Attributable to</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8"/>
        </w:trPr>
        <w:tc>
          <w:tcPr>
            <w:tcW w:w="1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Interests and</w:t>
            </w:r>
          </w:p>
        </w:tc>
        <w:tc>
          <w:tcPr>
            <w:tcW w:w="12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ind w:right="393"/>
              <w:spacing w:after="0"/>
              <w:rPr>
                <w:sz w:val="20"/>
                <w:szCs w:val="20"/>
                <w:color w:val="auto"/>
              </w:rPr>
            </w:pPr>
            <w:r>
              <w:rPr>
                <w:rFonts w:ascii="Arial" w:cs="Arial" w:eastAsia="Arial" w:hAnsi="Arial"/>
                <w:sz w:val="14"/>
                <w:szCs w:val="14"/>
                <w:b w:val="1"/>
                <w:bCs w:val="1"/>
                <w:color w:val="auto"/>
              </w:rPr>
              <w:t>Attributable to</w:t>
            </w:r>
          </w:p>
        </w:tc>
      </w:tr>
      <w:tr>
        <w:trPr>
          <w:trHeight w:val="213"/>
        </w:trPr>
        <w:tc>
          <w:tcPr>
            <w:tcW w:w="1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Common Shareholders</w:t>
            </w:r>
          </w:p>
        </w:tc>
        <w:tc>
          <w:tcPr>
            <w:tcW w:w="12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Common Shareholders</w:t>
            </w:r>
          </w:p>
        </w:tc>
      </w:tr>
      <w:tr>
        <w:trPr>
          <w:trHeight w:val="222"/>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228"/>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12,752</w:t>
            </w: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(22,329)</w:t>
            </w: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color w:val="auto"/>
              </w:rPr>
              <w:t>Add (subtract):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8"/>
        </w:trPr>
        <w:tc>
          <w:tcPr>
            <w:tcW w:w="54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20,564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4,049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16,515</w:t>
            </w:r>
          </w:p>
        </w:tc>
      </w:tr>
      <w:tr>
        <w:trPr>
          <w:trHeight w:val="228"/>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2,362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2,718</w:t>
            </w:r>
          </w:p>
        </w:tc>
      </w:tr>
      <w:tr>
        <w:trPr>
          <w:trHeight w:val="228"/>
        </w:trPr>
        <w:tc>
          <w:tcPr>
            <w:tcW w:w="54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56,082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5,255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50,827</w:t>
            </w:r>
          </w:p>
        </w:tc>
      </w:tr>
      <w:tr>
        <w:trPr>
          <w:trHeight w:val="228"/>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15"/>
                <w:szCs w:val="15"/>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2,513</w:t>
            </w:r>
          </w:p>
        </w:tc>
      </w:tr>
      <w:tr>
        <w:trPr>
          <w:trHeight w:val="222"/>
        </w:trPr>
        <w:tc>
          <w:tcPr>
            <w:tcW w:w="546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71,944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21,700</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50,244</w:t>
            </w:r>
          </w:p>
        </w:tc>
      </w:tr>
      <w:tr>
        <w:trPr>
          <w:trHeight w:val="228"/>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26,079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24,965</w:t>
            </w:r>
          </w:p>
        </w:tc>
      </w:tr>
      <w:tr>
        <w:trPr>
          <w:trHeight w:val="228"/>
        </w:trPr>
        <w:tc>
          <w:tcPr>
            <w:tcW w:w="54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Realized and unrealized investment gains</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r>
      <w:tr>
        <w:trPr>
          <w:trHeight w:val="214"/>
        </w:trPr>
        <w:tc>
          <w:tcPr>
            <w:tcW w:w="5460" w:type="dxa"/>
            <w:vAlign w:val="bottom"/>
            <w:gridSpan w:val="2"/>
          </w:tcPr>
          <w:p>
            <w:pPr>
              <w:ind w:left="120"/>
              <w:spacing w:after="0"/>
              <w:rPr>
                <w:sz w:val="20"/>
                <w:szCs w:val="20"/>
                <w:color w:val="auto"/>
              </w:rPr>
            </w:pPr>
            <w:r>
              <w:rPr>
                <w:rFonts w:ascii="Arial" w:cs="Arial" w:eastAsia="Arial" w:hAnsi="Arial"/>
                <w:sz w:val="18"/>
                <w:szCs w:val="18"/>
                <w:color w:val="auto"/>
                <w:w w:val="95"/>
              </w:rPr>
              <w:t>(Recoveries) write-downs, including asset impairments and credit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28"/>
        </w:trPr>
        <w:tc>
          <w:tcPr>
            <w:tcW w:w="54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Legal judgment and arbitration awards</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Adjusted EBITDA per Credit Facility</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88,726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68,642</w:t>
            </w:r>
          </w:p>
        </w:tc>
      </w:tr>
      <w:tr>
        <w:trPr>
          <w:trHeight w:val="20"/>
        </w:trPr>
        <w:tc>
          <w:tcPr>
            <w:tcW w:w="1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8"/>
        </w:trPr>
        <w:tc>
          <w:tcPr>
            <w:tcW w:w="152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r>
    </w:tbl>
    <w:p>
      <w:pPr>
        <w:spacing w:after="0" w:line="160" w:lineRule="exact"/>
        <w:rPr>
          <w:sz w:val="20"/>
          <w:szCs w:val="20"/>
          <w:color w:val="auto"/>
        </w:rPr>
      </w:pPr>
    </w:p>
    <w:p>
      <w:pPr>
        <w:jc w:val="both"/>
        <w:ind w:left="360" w:hanging="353"/>
        <w:spacing w:after="0" w:line="274"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Senior Secured Net Leverage Ratio in the Company’s Credit Agreement is calculated using Adjusted EBITDA per Credit Facility determined on a trailing twelve-month basis. During the first quarter of 2021, the Company entered into the Second Amendment to the Credit Facility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For more information see Note 14 of Notes to Consolidated Financial Statements in Part II, Item 8.</w:t>
      </w:r>
    </w:p>
    <w:p>
      <w:pPr>
        <w:spacing w:after="0" w:line="132" w:lineRule="exact"/>
        <w:rPr>
          <w:rFonts w:ascii="Arial" w:cs="Arial" w:eastAsia="Arial" w:hAnsi="Arial"/>
          <w:sz w:val="17"/>
          <w:szCs w:val="17"/>
          <w:color w:val="auto"/>
        </w:rPr>
      </w:pPr>
    </w:p>
    <w:p>
      <w:pPr>
        <w:ind w:left="360" w:hanging="353"/>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amortization of deferred financing costs is recorded within Interest Expense in the Consolidated Statements of Operations.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Factors about Market Risk</w:t>
      </w:r>
    </w:p>
    <w:p>
      <w:pPr>
        <w:spacing w:after="0" w:line="20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6"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4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Certain of the Company’s PRC subsidiaries held approximately RMB 484.7 million ($76.0 million) in cash and cash equivalents as of December 31, 2021 (December 31, 2020 — RMB 500.3 million or $76.7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w:t>
      </w:r>
    </w:p>
    <w:p>
      <w:pPr>
        <w:spacing w:after="0" w:line="15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 ended December 31, 2021, the Company recorded a foreign exchange net gain of $1.3 million as compared to a foreign exchange net gain of $0.8 million in 2020, associated with the translation of foreign currency denominated monetary assets and liabilities.</w:t>
      </w:r>
    </w:p>
    <w:p>
      <w:pPr>
        <w:spacing w:after="0" w:line="14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December 31, 2021, with settlement dates throughout 2022.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and reclassified to the Consolidated Statements of Operations when the forecasted transaction occurs. For foreign currency cash flow hedging instruments related to Inventories, the effective portion of the gain or loss in a hedge of a forecasted transaction is reported within Accumulated Other Comprehensive Income and reclassified to Inventories on the Consolidated Balance Sheets when the forecasted transaction occurs. For foreign currency cash flow hedging instruments related to capital expenditures, the effective portion of the gain or loss in a hedge of a forecasted transaction is reported within Accumulated Other Comprehensive Income and reclassified to Property, Plant and Equipment on the Consolidated Balance Sheets when the forecasted transaction occurs. Any ineffective portion is recognized immediately in the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66" w:name="page67"/>
    <w:bookmarkEnd w:id="66"/>
    <w:p>
      <w:pPr>
        <w:jc w:val="both"/>
        <w:ind w:firstLine="225"/>
        <w:spacing w:after="0" w:line="270" w:lineRule="auto"/>
        <w:rPr>
          <w:sz w:val="20"/>
          <w:szCs w:val="20"/>
          <w:color w:val="auto"/>
        </w:rPr>
      </w:pPr>
      <w:r>
        <w:rPr>
          <w:rFonts w:ascii="Arial" w:cs="Arial" w:eastAsia="Arial" w:hAnsi="Arial"/>
          <w:sz w:val="17"/>
          <w:szCs w:val="17"/>
          <w:color w:val="auto"/>
        </w:rPr>
        <w:t>The notional value of foreign currency cash flow hedging instruments that qualify for hedge accounting as of December 31, 2021 was $26.7 million (December 31, 2020 — $26.4 million). A gain of $0.5 million was recorded to Other Comprehensive Income with respect to the change in fair value of these contracts in 2021 (2020 — gain of $0.6 million). A gain of $1.7 million was reclassified from Accumulated Other Comprehensive Income to Selling, General and Administrative Expenses in 2021 (2020 — loss of $0.6 million to Selling, General and Administrative Expenses and Inventories). A gain of $0.3 million resulting from a change in the classification of certain forward contracts no longer meeting the requirements for hedge accounting were reclassified from Accumulated Other Comprehensive Income to Selling, General and Administrative Expenses (2020 — $nil). The notional value of forward contracts that do not qualify for hedge accounting as of December 31, 2021 was $nil (December 31, 2020 — $5.6 million).</w:t>
      </w:r>
    </w:p>
    <w:p>
      <w:pPr>
        <w:spacing w:after="0" w:line="15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As of December 31, 2021, the Company’s Financing Receivables and working capital items denominated in Canadian Dollars, RMB, Japanese Yen, Euros and other foreign currencies translated into U.S. Dollars was $171.2 million, of which $170.0 million was denominated in RMB. Assuming a 10% appreciation or depreciation in foreign currency exchange rates from the quoted foreign currency exchange rates as of December 31, 2021, the potential change in the fair value of foreign currency-denominated financing receivables and working capital items would have been $17.1 million. A significant portion of the Company’s Selling, General, and Administrative Expenses is denominated in Canadian Dollars. Assuming a 1% change appreciation or depreciation in foreign currency exchange rates as of December 31, 2021, the potential change in the amount of Selling, General, and Administrative Expenses would be $0.1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00"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The Company’s earnings may also be affected by changes in interest rates due to the impact those changes have on its interest income from cash, and its interest expense from variable-rate borrowings that may be made under the Credit Facility. Specifically, the Company’s largest exposure with respect to variable rate debt comes from changes in LIBOR. The Company had no variable rate debt instruments outstanding as of December 31, 2021.</w:t>
      </w:r>
    </w:p>
    <w:p>
      <w:pPr>
        <w:spacing w:after="0" w:line="10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On July 27, 2017, the Chief Executive of the U.K. Financial Conduct Authority (the “FCA”), which regulates LIBOR, announced that the FCA will no longer compel banks to submit rates for the calculation of the LIBOR benchmark after 2021. On March 5, 2021, the FCA formally announced the dates that LIBOR will stop being published after June 30, 2023. While the most commonly used LIBORs will be available until June 2023 for legacy contracts, regulators are requiring banks in the United States to cease entering into new contracts that reference USD LIBOR as soon as practicable, but no later than December 31, 2021. As a result, on December 13, 2021, the Company entered into the Fourth Amendment to the Credit Agreement to facilitate a transition from a LIBOR-based interest rate to an interest rate based on the Euro Interbank Offered Rate for non-USD denominated loans. Loans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The Credit Agreement matures on June 28, 2023, prior to the date that USD LIBOR rates will cease publication on June 30, 2023. The Company does not expect the discontinuation of LIBOR to have a material impact on future interest expense. (See Note 14 of Notes to Consolidated Financial Statements in Part II, Item 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60" w:type="dxa"/>
            <w:vAlign w:val="bottom"/>
            <w:gridSpan w:val="8"/>
            <w:vMerge w:val="restart"/>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Firm ID 271)</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0560" w:type="dxa"/>
            <w:vAlign w:val="bottom"/>
            <w:gridSpan w:val="8"/>
            <w:vMerge w:val="continue"/>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60" w:type="dxa"/>
            <w:vAlign w:val="bottom"/>
            <w:gridSpan w:val="8"/>
          </w:tcPr>
          <w:p>
            <w:pPr>
              <w:spacing w:after="0" w:line="195"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2021 and 2020</w:t>
              </w:r>
            </w:hyperlink>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20" w:type="dxa"/>
            <w:vAlign w:val="bottom"/>
            <w:tcBorders>
              <w:bottom w:val="single" w:sz="8" w:color="0000EE"/>
            </w:tcBorders>
            <w:gridSpan w:val="4"/>
          </w:tcPr>
          <w:p>
            <w:pPr>
              <w:spacing w:after="0" w:line="195"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Operations for the years ended December 31, 2021, 2020 and 2019</w:t>
              </w:r>
            </w:hyperlink>
          </w:p>
        </w:tc>
        <w:tc>
          <w:tcPr>
            <w:tcW w:w="3740" w:type="dxa"/>
            <w:vAlign w:val="bottom"/>
            <w:gridSpan w:val="4"/>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0000EE"/>
            </w:tcBorders>
            <w:gridSpan w:val="7"/>
          </w:tcPr>
          <w:p>
            <w:pPr>
              <w:spacing w:after="0" w:line="195"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Statements of Comprehensive (Loss) Income for the years ended December 31, 2021, 2020 and 2019</w:t>
              </w:r>
            </w:hyperlink>
          </w:p>
        </w:tc>
        <w:tc>
          <w:tcPr>
            <w:tcW w:w="2320" w:type="dxa"/>
            <w:vAlign w:val="bottom"/>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5"/>
        </w:trPr>
        <w:tc>
          <w:tcPr>
            <w:tcW w:w="6880" w:type="dxa"/>
            <w:vAlign w:val="bottom"/>
            <w:tcBorders>
              <w:bottom w:val="single" w:sz="8" w:color="0000EE"/>
            </w:tcBorders>
            <w:gridSpan w:val="5"/>
          </w:tcPr>
          <w:p>
            <w:pPr>
              <w:spacing w:after="0" w:line="195"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Statements of Cash Flows for the years ended December 31, 2021, 2020 and 2019</w:t>
              </w:r>
            </w:hyperlink>
          </w:p>
        </w:tc>
        <w:tc>
          <w:tcPr>
            <w:tcW w:w="3680" w:type="dxa"/>
            <w:vAlign w:val="bottom"/>
            <w:gridSpan w:val="3"/>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5"/>
        </w:trPr>
        <w:tc>
          <w:tcPr>
            <w:tcW w:w="10560" w:type="dxa"/>
            <w:vAlign w:val="bottom"/>
            <w:gridSpan w:val="8"/>
          </w:tcPr>
          <w:p>
            <w:pPr>
              <w:spacing w:after="0" w:line="195"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Shareholders’ Equity for the years ended December 31, 2021, 2020 and 2019</w:t>
              </w:r>
            </w:hyperlink>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5"/>
        </w:trPr>
        <w:tc>
          <w:tcPr>
            <w:tcW w:w="314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4400" w:type="dxa"/>
            <w:vAlign w:val="bottom"/>
            <w:tcBorders>
              <w:top w:val="single" w:sz="8" w:color="0000EE"/>
            </w:tcBorders>
            <w:gridSpan w:val="5"/>
          </w:tcPr>
          <w:p>
            <w:pPr>
              <w:spacing w:after="0"/>
              <w:rPr>
                <w:sz w:val="16"/>
                <w:szCs w:val="16"/>
                <w:color w:val="auto"/>
              </w:rPr>
            </w:pPr>
          </w:p>
        </w:tc>
        <w:tc>
          <w:tcPr>
            <w:tcW w:w="3020" w:type="dxa"/>
            <w:vAlign w:val="bottom"/>
            <w:gridSpan w:val="2"/>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-826135</wp:posOffset>
            </wp:positionV>
            <wp:extent cx="28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8" w:name="page69"/>
    <w:bookmarkEnd w:id="68"/>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IMAX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accompanying consolidated balance sheets of IMAX Corporation and its subsidiaries (together, the Company) as of December 31, 2021 and 2020, and the related consolidated statements of operations, comprehensive (loss) income, cash flows and shareholders’ equity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2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its allowance for current expected credit losses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of this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Theater Systems Revenue</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described in notes 3(p) and 21 to the consolidated financial statements, the Company recognized revenue from IMAX Systems related to the IMAX Technology Sales and Maintenance category (theater systems) of $65.7 million for the year ended December 31, 2021. Management evaluates whether a theater system arrangement involves either a sale or a lease of a theater system, and for those arrangements that are accounted for as a sale of a theater system, determines the transaction price and the allocation thereof to each separate performance obligation based on estimated standalone selling prices. For arrangements accounted for as a sale of a theater system, the transaction price allocated to the performance obligation is recognized when the conditions signifying transfer of control have been met. For theater system arrangements, management applied significant judgment in (i) determining whether the theater system arrangement related to either a sale or a lease by considering the terms of the arrangement including title to the theater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spacing w:after="0" w:line="2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principal considerations for our determination that performing procedures relating to the revenue recognition of theater systems revenue is a critical audit matter are that management identified the matter as a critical accounting estimate, and there was significant judgment required by management in (i) determining whether the theater system arrangement related to a sale or a lease;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theater systems revenue.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memorandums produced for each theater system arrangement which include the determination of the type of theater system arrangement, the estimate of the transaction price and allocation thereof and the timing of the related revenue recognition. These procedures also included, among others, evaluating the reasonableness of management’s assessment of whether the theater system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theaters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underlying theaters associated with the arrangement involved evaluating whether the assumption was reasonable considering the current and past performance of the underlying theaters.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 assessment of the timing of revenue recognition involved inspecting the customers’ certificates of acceptance and theater openings during the year.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described in notes 3(o) and 12 to the consolidated financial statements, the Company had total tax reserves of $13.9 million as of December 31, 2021 related to uncertain tax positions. 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As disclosed by management, tax audits can result in subsequent assessments where the ultimate resolution may result in the Company owing additional taxes above what was originally recognized. Tax reserves for uncertain tax positions are adjusted by management to reflect their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The estimate of the Company’s tax reserves relating to uncertain tax positions required management to assess uncertainties and to make significant judgments about the application of complex tax laws.</w:t>
      </w:r>
    </w:p>
    <w:p>
      <w:pPr>
        <w:spacing w:after="0" w:line="2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principal considerations for our determination that performing procedures relating to uncertain tax positions is a critical audit matter are (i) the significant judgment by management in determining uncertain tax positions, including a high degree of estimation uncertainty relative to the numerous and complex tax laws, frequency of tax audits, and potential for significant adjustments as a result of such audits; (ii) a high degree of auditor judgment, subjectivity and effort in performing procedures and evaluating management’s timely identification, recognition and measurement of uncertain tax positions; (iii) the evaluation of audit evidence available to support the tax reserves for uncertain tax positions resulted in significant auditor judgment as the nature of the evidence is often subjective; and (iv) the audit effort involved the use of professionals with specialized skill and knowledge.</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tax reserves for uncertain tax positions, controls addressing completeness of the uncertain tax positions, and controls over measurement of the tax reserves. These procedures also included, among others (i) testing the information used in the calculation of the tax reserves for uncertain tax positions; (ii) testing the calculation of the tax reserves for uncertain tax positions by jurisdiction; and (iii) evaluating the status and results of income tax audits with the relevant tax authorities, as applicable. Professionals with specialized skill and knowledge were used to assist in the evaluation of the completeness and measurement of the Company’s uncertain tax positions, including evaluating the reasonableness of management’s assessment of whether tax positions are more-likely-than-not of being sustained and the amount of potential benefit to be realized, the application of relevant tax laws, and estimated interest and penalties.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Allowance for Credit Losses on Accounts Receivable, Financing Receivables and Variable Consideration Receivables</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described in notes 3(e) and 5 to the consolidated financial statements, the Company’s allowance for credit losses related to accounts receivable was $ 11.9 million, the allowance for credit losses related to financing receivables was $6.2 million and the allowance for credit losses related to variable consideration receivables was $1.1 million as of December 31, 2021 (together allowance for credit losses on receivables). Accounts receivable, financing receivables and variable consideration receivables are measured on the amortized cost basis and presented at the net amount expected to be collected. Management reduced the allowance for credit losses by $4.8 million for the year ended December 31, 2021. Management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 Management applied judgment in estimating the allowance for credit losses on receivables, which included assessing credit quality classifications, macro-economic and industry risk factors.</w:t>
      </w:r>
    </w:p>
    <w:p>
      <w:pPr>
        <w:spacing w:after="0" w:line="2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allowance for credit losses on accounts receivable, financing receivables and variable consideration receivables is a critical audit matter are (i) the judgment by management in estimating the allowance for credit losses on receivables; and (ii) a high degree of auditor judgment, subjectivity, and effort in performing procedures and evaluating management’s assessment of credit quality classifications, macro-economic and industry risk factors.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allowance for credit losses on receivables, including controls related to management’s assessment of credit quality classifications, macro-economic and industry risk factors. These procedures also included, among others (i) testing management’s process for estimating the allowance for credit losses on receivables; (ii) evaluating the appropriateness of management’s method; (iii) testing the completeness and accuracy of underlying data used in the method; and (iv) evaluating the reasonableness of management’s assessment of credit quality classifications, macro-economic and industry risk factors. Evaluating the reasonableness of management’s assessment of credit quality classifications, macro-economic and industry risk factors on a sample basis involved considering (i) recent payment patterns of customers; (ii) consistency with external market and industry data; (iii) inquiries with management regarding adjustments for forward-looking information on economic factors affecting the ability of customers to settle the receivables; (iv) recent correspondence with customers; (v) recent public filings by customers; and (vi) whether this assessment was consistent with evidence obtained in other areas of the audit.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served as the Company’s auditor since 1987, which includes periods before the entity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189,711</w:t>
            </w:r>
          </w:p>
        </w:tc>
        <w:tc>
          <w:tcPr>
            <w:tcW w:w="72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317,379</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110,050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56,300</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Financing receivables, net of allowance for credit losses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141,049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131,810</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 net of allowance for credit losses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44,218</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26,924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11,802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Film assets, net of accumulated amortization</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4,241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260,353</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277,397</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17,799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Deferred income tax assets, net of valuation allowance</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13,906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23,080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28"/>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39,027</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883,247</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997,750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15,943</w:t>
            </w:r>
          </w:p>
        </w:tc>
        <w:tc>
          <w:tcPr>
            <w:tcW w:w="720" w:type="dxa"/>
            <w:vAlign w:val="bottom"/>
            <w:gridSpan w:val="2"/>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20,837</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111,896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99,354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borrowings, net of unamortized debt issuance costs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305,676</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Convertible notes, net of unamortized discounts and debt issuance costs (see Note 14)</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223,641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81,281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87,982</w:t>
            </w:r>
          </w:p>
        </w:tc>
        <w:tc>
          <w:tcPr>
            <w:tcW w:w="0" w:type="dxa"/>
            <w:vAlign w:val="bottom"/>
          </w:tcPr>
          <w:p>
            <w:pPr>
              <w:spacing w:after="0"/>
              <w:rPr>
                <w:sz w:val="1"/>
                <w:szCs w:val="1"/>
                <w:color w:val="auto"/>
              </w:rPr>
            </w:pPr>
          </w:p>
        </w:tc>
      </w:tr>
      <w:tr>
        <w:trPr>
          <w:trHeight w:val="228"/>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17,642</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19,134</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452,875</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532,983</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Notes 15 and 16)</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758</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759</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w w:val="98"/>
              </w:rPr>
              <w:t>58,653,642 issued and outstanding (December 31, 2020 — 58,921,731 issued and 58,921,008</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409,979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407,031</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Treasury stock, nil shares at cost (December 31, 2020 — 723)</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Other equity (see Note 3(a))</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174,620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188,845</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Statutory surplus reserve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3,932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(234,975)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(202,849)</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2,527</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356,083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394,004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 (see Note 3(a))</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73,531</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70,004</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429,614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464,008</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883,247</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997,750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2"/>
        </w:trPr>
        <w:tc>
          <w:tcPr>
            <w:tcW w:w="54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2"/>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Technology sales</w:t>
            </w:r>
          </w:p>
        </w:tc>
        <w:tc>
          <w:tcPr>
            <w:tcW w:w="1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66,153</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49,728</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118,245</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131,148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59,318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188,547</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Technology rentals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46,790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17,841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77,961</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10,792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10,116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10,911</w:t>
            </w:r>
          </w:p>
        </w:tc>
      </w:tr>
      <w:tr>
        <w:trPr>
          <w:trHeight w:val="222"/>
        </w:trPr>
        <w:tc>
          <w:tcPr>
            <w:tcW w:w="54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254,883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137,003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395,664</w:t>
            </w:r>
          </w:p>
        </w:tc>
      </w:tr>
      <w:tr>
        <w:trPr>
          <w:trHeight w:val="222"/>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Technology sales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33,170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63,627</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58,062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53,598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88,175</w:t>
            </w:r>
          </w:p>
        </w:tc>
      </w:tr>
      <w:tr>
        <w:trPr>
          <w:trHeight w:val="228"/>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25,376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28,695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29,690</w:t>
            </w:r>
          </w:p>
        </w:tc>
      </w:tr>
      <w:tr>
        <w:trPr>
          <w:trHeight w:val="222"/>
        </w:trPr>
        <w:tc>
          <w:tcPr>
            <w:tcW w:w="54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120,477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115,463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181,492</w:t>
            </w:r>
          </w:p>
        </w:tc>
      </w:tr>
      <w:tr>
        <w:trPr>
          <w:trHeight w:val="222"/>
        </w:trPr>
        <w:tc>
          <w:tcPr>
            <w:tcW w:w="54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134,406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21,540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214,172</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117,322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108,485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123,456</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5,618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5,203</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4,877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4,955</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Credit loss (reversal) expense, net</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18,608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2,430</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Legal judgment and arbitration awards (see Note 16)</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4,105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Exit costs, restructuring charges and associated impairments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850</w:t>
            </w:r>
          </w:p>
        </w:tc>
      </w:tr>
      <w:tr>
        <w:trPr>
          <w:trHeight w:val="222"/>
        </w:trPr>
        <w:tc>
          <w:tcPr>
            <w:tcW w:w="546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10,984</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(121,821)</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77,278</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Realized and unrealized investment gains (losses)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Retirement benefits non-service expense</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2,388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2,105</w:t>
            </w:r>
          </w:p>
        </w:tc>
      </w:tr>
      <w:tr>
        <w:trPr>
          <w:trHeight w:val="228"/>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r>
      <w:tr>
        <w:trPr>
          <w:trHeight w:val="222"/>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taxes</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10,987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(129,124)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75,336</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(16,768)</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income of investees, net of tax</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r>
      <w:tr>
        <w:trPr>
          <w:trHeight w:val="222"/>
        </w:trPr>
        <w:tc>
          <w:tcPr>
            <w:tcW w:w="546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(9,577)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(157,486)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58,571</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13,711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w:t>
            </w:r>
          </w:p>
        </w:tc>
      </w:tr>
      <w:tr>
        <w:trPr>
          <w:trHeight w:val="222"/>
        </w:trPr>
        <w:tc>
          <w:tcPr>
            <w:tcW w:w="54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1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(22,329)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(143,775)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46,866</w:t>
            </w:r>
          </w:p>
        </w:tc>
      </w:tr>
      <w:tr>
        <w:trPr>
          <w:trHeight w:val="20"/>
        </w:trPr>
        <w:tc>
          <w:tcPr>
            <w:tcW w:w="5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 attributable to common shareholders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2955" cy="144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6" w:lineRule="exact"/>
        <w:rPr>
          <w:sz w:val="20"/>
          <w:szCs w:val="20"/>
          <w:color w:val="auto"/>
        </w:rPr>
      </w:pPr>
    </w:p>
    <w:p>
      <w:pPr>
        <w:jc w:val="center"/>
        <w:ind w:right="140"/>
        <w:spacing w:after="0" w:line="569" w:lineRule="auto"/>
        <w:rPr>
          <w:sz w:val="20"/>
          <w:szCs w:val="20"/>
          <w:color w:val="auto"/>
        </w:rPr>
      </w:pPr>
      <w:r>
        <w:rPr>
          <w:rFonts w:ascii="Arial" w:cs="Arial" w:eastAsia="Arial" w:hAnsi="Arial"/>
          <w:sz w:val="18"/>
          <w:szCs w:val="18"/>
          <w:color w:val="auto"/>
        </w:rPr>
        <w:t xml:space="preserve">Net (loss) income per share — basic and diluted                                  $         (0.38)  $         (2.43)  $          0.76 </w:t>
      </w:r>
      <w:r>
        <w:rPr>
          <w:rFonts w:ascii="Arial" w:cs="Arial" w:eastAsia="Arial" w:hAnsi="Arial"/>
          <w:sz w:val="18"/>
          <w:szCs w:val="18"/>
          <w:i w:val="1"/>
          <w:iCs w:val="1"/>
          <w:color w:val="auto"/>
        </w:rPr>
        <w:t>(See the accompanying notes, which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-478155</wp:posOffset>
            </wp:positionV>
            <wp:extent cx="29400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40050" cy="254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2"/>
        </w:trPr>
        <w:tc>
          <w:tcPr>
            <w:tcW w:w="63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2"/>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(9,577)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(157,486)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58,571</w:t>
            </w:r>
          </w:p>
        </w:tc>
      </w:tr>
      <w:tr>
        <w:trPr>
          <w:trHeight w:val="222"/>
        </w:trPr>
        <w:tc>
          <w:tcPr>
            <w:tcW w:w="6380" w:type="dxa"/>
            <w:vAlign w:val="bottom"/>
          </w:tcPr>
          <w:p>
            <w:pPr>
              <w:spacing w:after="0"/>
              <w:rPr>
                <w:sz w:val="20"/>
                <w:szCs w:val="20"/>
                <w:color w:val="auto"/>
              </w:rPr>
            </w:pPr>
            <w:r>
              <w:rPr>
                <w:rFonts w:ascii="Arial" w:cs="Arial" w:eastAsia="Arial" w:hAnsi="Arial"/>
                <w:sz w:val="18"/>
                <w:szCs w:val="18"/>
                <w:b w:val="1"/>
                <w:bCs w:val="1"/>
                <w:color w:val="auto"/>
              </w:rPr>
              <w:t>Other comprehensive income, before tax</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defined benefit plan actuarial gain (loss)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157</w:t>
            </w:r>
          </w:p>
        </w:tc>
      </w:tr>
      <w:tr>
        <w:trPr>
          <w:trHeight w:val="228"/>
        </w:trPr>
        <w:tc>
          <w:tcPr>
            <w:tcW w:w="6380" w:type="dxa"/>
            <w:vAlign w:val="bottom"/>
          </w:tcPr>
          <w:p>
            <w:pPr>
              <w:ind w:left="260"/>
              <w:spacing w:after="0"/>
              <w:rPr>
                <w:sz w:val="20"/>
                <w:szCs w:val="20"/>
                <w:color w:val="auto"/>
              </w:rPr>
            </w:pPr>
            <w:r>
              <w:rPr>
                <w:rFonts w:ascii="Arial" w:cs="Arial" w:eastAsia="Arial" w:hAnsi="Arial"/>
                <w:sz w:val="18"/>
                <w:szCs w:val="18"/>
                <w:color w:val="auto"/>
              </w:rPr>
              <w:t>Unrealized postretirement benefit plans actuarial gain (loss)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8"/>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 arising during the period</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r>
      <w:tr>
        <w:trPr>
          <w:trHeight w:val="228"/>
        </w:trPr>
        <w:tc>
          <w:tcPr>
            <w:tcW w:w="6380" w:type="dxa"/>
            <w:vAlign w:val="bottom"/>
          </w:tcPr>
          <w:p>
            <w:pPr>
              <w:ind w:left="26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8"/>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gain from cash flow hedging instruments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552</w:t>
            </w:r>
          </w:p>
        </w:tc>
      </w:tr>
      <w:tr>
        <w:trPr>
          <w:trHeight w:val="228"/>
        </w:trPr>
        <w:tc>
          <w:tcPr>
            <w:tcW w:w="6380" w:type="dxa"/>
            <w:vAlign w:val="bottom"/>
          </w:tcPr>
          <w:p>
            <w:pPr>
              <w:ind w:left="260"/>
              <w:spacing w:after="0"/>
              <w:rPr>
                <w:sz w:val="20"/>
                <w:szCs w:val="20"/>
                <w:color w:val="auto"/>
              </w:rPr>
            </w:pPr>
            <w:r>
              <w:rPr>
                <w:rFonts w:ascii="Arial" w:cs="Arial" w:eastAsia="Arial" w:hAnsi="Arial"/>
                <w:sz w:val="18"/>
                <w:szCs w:val="18"/>
                <w:color w:val="auto"/>
              </w:rPr>
              <w:t>Realized net (gain) loss from cash flow hedging instruments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1,183</w:t>
            </w:r>
          </w:p>
        </w:tc>
      </w:tr>
      <w:tr>
        <w:trPr>
          <w:trHeight w:val="228"/>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Reclassification of unrealized gain from ineffective cash flow hedging instruments</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8"/>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3,364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5,992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22"/>
        </w:trPr>
        <w:tc>
          <w:tcPr>
            <w:tcW w:w="638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Total other comprehensive income, before tax</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2,264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5,935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554</w:t>
            </w:r>
          </w:p>
        </w:tc>
      </w:tr>
      <w:tr>
        <w:trPr>
          <w:trHeight w:val="228"/>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(expense) related to other comprehensive income</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22"/>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5,990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176</w:t>
            </w:r>
          </w:p>
        </w:tc>
      </w:tr>
      <w:tr>
        <w:trPr>
          <w:trHeight w:val="222"/>
        </w:trPr>
        <w:tc>
          <w:tcPr>
            <w:tcW w:w="6380" w:type="dxa"/>
            <w:vAlign w:val="bottom"/>
          </w:tcPr>
          <w:p>
            <w:pPr>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(151,496)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58,747</w:t>
            </w:r>
          </w:p>
        </w:tc>
      </w:tr>
      <w:tr>
        <w:trPr>
          <w:trHeight w:val="228"/>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11,899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w:t>
            </w:r>
          </w:p>
        </w:tc>
      </w:tr>
      <w:tr>
        <w:trPr>
          <w:trHeight w:val="222"/>
        </w:trPr>
        <w:tc>
          <w:tcPr>
            <w:tcW w:w="6380" w:type="dxa"/>
            <w:vAlign w:val="bottom"/>
          </w:tcPr>
          <w:p>
            <w:pPr>
              <w:spacing w:after="0"/>
              <w:rPr>
                <w:sz w:val="20"/>
                <w:szCs w:val="20"/>
                <w:color w:val="auto"/>
              </w:rPr>
            </w:pPr>
            <w:r>
              <w:rPr>
                <w:rFonts w:ascii="Arial" w:cs="Arial" w:eastAsia="Arial" w:hAnsi="Arial"/>
                <w:sz w:val="18"/>
                <w:szCs w:val="18"/>
                <w:b w:val="1"/>
                <w:bCs w:val="1"/>
                <w:color w:val="auto"/>
              </w:rPr>
              <w:t>Comprehensive (loss) income attributable to common shareholders</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(139,597)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47,264</w:t>
            </w:r>
          </w:p>
        </w:tc>
      </w:tr>
      <w:tr>
        <w:trPr>
          <w:trHeight w:val="20"/>
        </w:trPr>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4"/>
              </w:rPr>
              <w:t>Years Ended December 31,</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22"/>
        </w:trPr>
        <w:tc>
          <w:tcPr>
            <w:tcW w:w="67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(9,577)</w:t>
            </w:r>
          </w:p>
        </w:tc>
        <w:tc>
          <w:tcPr>
            <w:tcW w:w="4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(157,486)</w:t>
            </w:r>
          </w:p>
        </w:tc>
        <w:tc>
          <w:tcPr>
            <w:tcW w:w="1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58,571</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w w:val="92"/>
              </w:rPr>
              <w:t>Adjustments to reconcile net (loss) income to cash provided by (used in) operating activities: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56,082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52,704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62,978</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2,513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509</w:t>
            </w: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Credit loss (reversal) expense,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18,608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2,430</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Write-downs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17,729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4,376</w:t>
            </w: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Deferred income tax expense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23,618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6,762</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and other non-cash compensation</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26,079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22,038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23,570</w:t>
            </w: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Unrealized foreign currency exchange loss (gain)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investment (gains) losses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517</w:t>
            </w: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Equity in losses (income) of investees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33,597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(8,621)</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11,451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1,942</w:t>
            </w: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Film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(23,437)</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w:t>
            </w:r>
          </w:p>
        </w:tc>
      </w:tr>
      <w:tr>
        <w:trPr>
          <w:trHeight w:val="228"/>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(27,008)</w:t>
            </w:r>
          </w:p>
        </w:tc>
      </w:tr>
      <w:tr>
        <w:trPr>
          <w:trHeight w:val="222"/>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6,065</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(23,011)</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90,376</w:t>
            </w: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Investment in equipment for joint revenue sharing arrangements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(40,489)</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other intangible assets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Proceeds from sale of (investment in) equity securities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17,769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(15,153)</w:t>
            </w:r>
          </w:p>
        </w:tc>
      </w:tr>
      <w:tr>
        <w:trPr>
          <w:trHeight w:val="222"/>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(9,255)</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(65,994)</w:t>
            </w: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convertible notes,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223,675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Debt issuance costs related to convertible notes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calls related to convertible notes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Revolving credit facility borrowings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287,610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35,000</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credit facility borrowings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(307,609)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Credit facility amendment fees paid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 IMAX Corporation</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Repurchase of common shares, IMAX China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(19,162)</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purchased for future settlement of restricted share units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Common shares issued - stock options exercised</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2,404</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 (net of return on capital)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1,106</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IMAX China non-controlling interests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w:t>
            </w:r>
          </w:p>
        </w:tc>
      </w:tr>
      <w:tr>
        <w:trPr>
          <w:trHeight w:val="222"/>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(132,720)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240,567</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(57,118)</w:t>
            </w: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Effects of exchange rate changes on cash</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630</w:t>
            </w: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 during year</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(127,668)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207,895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(32,106)</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317,379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109,484</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141,590</w:t>
            </w:r>
          </w:p>
        </w:tc>
      </w:tr>
      <w:tr>
        <w:trPr>
          <w:trHeight w:val="222"/>
        </w:trPr>
        <w:tc>
          <w:tcPr>
            <w:tcW w:w="67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189,711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317,379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109,484</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IMAX CORPORATION</w:t>
      </w:r>
    </w:p>
    <w:p>
      <w:pPr>
        <w:jc w:val="center"/>
        <w:spacing w:after="0" w:line="224" w:lineRule="auto"/>
        <w:rPr>
          <w:sz w:val="20"/>
          <w:szCs w:val="20"/>
          <w:color w:val="auto"/>
        </w:rPr>
      </w:pPr>
      <w:r>
        <w:rPr>
          <w:rFonts w:ascii="Arial" w:cs="Arial" w:eastAsia="Arial" w:hAnsi="Arial"/>
          <w:sz w:val="14"/>
          <w:szCs w:val="14"/>
          <w:b w:val="1"/>
          <w:bCs w:val="1"/>
          <w:color w:val="auto"/>
        </w:rPr>
        <w:t>CONSOLIDATED STATEMENTS OF SHAREHOLDERS' EQUITY</w:t>
      </w:r>
    </w:p>
    <w:p>
      <w:pPr>
        <w:jc w:val="center"/>
        <w:spacing w:after="0"/>
        <w:rPr>
          <w:sz w:val="20"/>
          <w:szCs w:val="20"/>
          <w:color w:val="auto"/>
        </w:rPr>
      </w:pPr>
      <w:r>
        <w:rPr>
          <w:rFonts w:ascii="Arial" w:cs="Arial" w:eastAsia="Arial" w:hAnsi="Arial"/>
          <w:sz w:val="14"/>
          <w:szCs w:val="14"/>
          <w:i w:val="1"/>
          <w:iCs w:val="1"/>
          <w:color w:val="auto"/>
        </w:rPr>
        <w:t>(In thousands of U.S. Dollars except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8"/>
              </w:rPr>
              <w:t>Years Ended December 31,</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capital stock:</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year</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407,020</w:t>
            </w:r>
          </w:p>
        </w:tc>
        <w:tc>
          <w:tcPr>
            <w:tcW w:w="460" w:type="dxa"/>
            <w:vAlign w:val="bottom"/>
            <w:gridSpan w:val="3"/>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419,348</w:t>
            </w:r>
          </w:p>
        </w:tc>
        <w:tc>
          <w:tcPr>
            <w:tcW w:w="14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421,539</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 in shares held in treasury</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4,027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(3,122)</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Restricted share units vested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9,833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1,448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Employee stock options exercised, net of shares withheld for employee tax obligations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883</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1,752</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Grant date fair value of stock options exercised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carrying value of repurchased and retired common shares</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(8,039)</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(17,803)</w:t>
            </w: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(925)</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
              <w:spacing w:after="0" w:line="168" w:lineRule="exact"/>
              <w:rPr>
                <w:sz w:val="20"/>
                <w:szCs w:val="20"/>
                <w:color w:val="auto"/>
              </w:rPr>
            </w:pPr>
            <w:r>
              <w:rPr>
                <w:rFonts w:ascii="Arial" w:cs="Arial" w:eastAsia="Arial" w:hAnsi="Arial"/>
                <w:sz w:val="15"/>
                <w:szCs w:val="15"/>
                <w:color w:val="auto"/>
              </w:rPr>
              <w:t>409,979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407,020</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419,348</w:t>
            </w: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other equity:</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188,845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180,225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179,079</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share-based payment expense - stock options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1,267</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2,426</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8,813</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Amortization of share-based payment expense - restricted share units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17,116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13,532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13,481</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share-based payment expense - performance stock units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2,708</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Restricted share units vested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(14,740)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(9,370)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(10,295)</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Grant date fair value of stock options exercised</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Change in ownership interest related to IMAX China common share repurchases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(676)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(9,642)</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capped calls related to convertible notes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(19,067)</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Cash received from the issuance of common shares in excess of par value</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 options exercised from treasury shares purchased on open market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(1,561)</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
              <w:spacing w:after="0" w:line="168" w:lineRule="exact"/>
              <w:rPr>
                <w:sz w:val="20"/>
                <w:szCs w:val="20"/>
                <w:color w:val="auto"/>
              </w:rPr>
            </w:pPr>
            <w:r>
              <w:rPr>
                <w:rFonts w:ascii="Arial" w:cs="Arial" w:eastAsia="Arial" w:hAnsi="Arial"/>
                <w:sz w:val="15"/>
                <w:szCs w:val="15"/>
                <w:color w:val="auto"/>
              </w:rPr>
              <w:t>174,620</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188,845</w:t>
            </w:r>
          </w:p>
        </w:tc>
        <w:tc>
          <w:tcPr>
            <w:tcW w:w="14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180,225</w:t>
            </w: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statutory surplus reserve:</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period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Establishment of statutory surplus reserve, IMAX China</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3,932</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6720" w:type="dxa"/>
            <w:vAlign w:val="bottom"/>
          </w:tcPr>
          <w:p>
            <w:pPr>
              <w:spacing w:after="0" w:line="168" w:lineRule="exact"/>
              <w:rPr>
                <w:sz w:val="20"/>
                <w:szCs w:val="20"/>
                <w:color w:val="auto"/>
              </w:rPr>
            </w:pPr>
            <w:r>
              <w:rPr>
                <w:rFonts w:ascii="Arial" w:cs="Arial" w:eastAsia="Arial" w:hAnsi="Arial"/>
                <w:sz w:val="15"/>
                <w:szCs w:val="15"/>
                <w:color w:val="auto"/>
              </w:rPr>
              <w:t>Balance, end of period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
              <w:spacing w:after="0" w:line="168" w:lineRule="exact"/>
              <w:rPr>
                <w:sz w:val="20"/>
                <w:szCs w:val="20"/>
                <w:color w:val="auto"/>
              </w:rPr>
            </w:pPr>
            <w:r>
              <w:rPr>
                <w:rFonts w:ascii="Arial" w:cs="Arial" w:eastAsia="Arial" w:hAnsi="Arial"/>
                <w:sz w:val="15"/>
                <w:szCs w:val="15"/>
                <w:color w:val="auto"/>
              </w:rPr>
              <w:t>3,932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line="168"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080" w:type="dxa"/>
            <w:vAlign w:val="bottom"/>
          </w:tcPr>
          <w:p>
            <w:pPr>
              <w:jc w:val="right"/>
              <w:ind w:right="44"/>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6720" w:type="dxa"/>
            <w:vAlign w:val="bottom"/>
            <w:tcBorders>
              <w:top w:val="single" w:sz="8" w:color="CFF0FC"/>
            </w:tcBorders>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accumulated deficit:</w:t>
            </w:r>
          </w:p>
        </w:tc>
        <w:tc>
          <w:tcPr>
            <w:tcW w:w="1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(202,849)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(40,253)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(85,385)</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 income attributable to common shareholders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(22,329)</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(143,775)</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46,866</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Statutory surplus reserve deducted from retained earnings, IMAX China</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(3,932)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Common shares repurchased and retired</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(5,865)</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(18,821)</w:t>
            </w: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(1,734)</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(234,975)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(202,849)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(40,253)</w:t>
            </w: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accumulated other comprehensive income (loss):</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988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(3,190)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(3,588)</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comprehensive income, net of tax</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1,539</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4,178</w:t>
            </w: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
              <w:spacing w:after="0" w:line="168" w:lineRule="exact"/>
              <w:rPr>
                <w:sz w:val="20"/>
                <w:szCs w:val="20"/>
                <w:color w:val="auto"/>
              </w:rPr>
            </w:pPr>
            <w:r>
              <w:rPr>
                <w:rFonts w:ascii="Arial" w:cs="Arial" w:eastAsia="Arial" w:hAnsi="Arial"/>
                <w:sz w:val="15"/>
                <w:szCs w:val="15"/>
                <w:color w:val="auto"/>
              </w:rPr>
              <w:t>2,527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988</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(3,190)</w:t>
            </w: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Adjustments to non-controlling interests:</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20"/>
                <w:szCs w:val="20"/>
                <w:color w:val="auto"/>
              </w:rPr>
            </w:pPr>
            <w:r>
              <w:rPr>
                <w:rFonts w:ascii="Arial" w:cs="Arial" w:eastAsia="Arial" w:hAnsi="Arial"/>
                <w:sz w:val="15"/>
                <w:szCs w:val="15"/>
                <w:color w:val="auto"/>
              </w:rPr>
              <w:t>Balance, beginning of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70,004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81,057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81,273</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income (loss) attributable to non-controlling interests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12,753</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(8,572)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13,343</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Other comprehensive income (loss), net of tax</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1,812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Share-based compensation attributable to non-controlling interests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449</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779</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Establishment of statutory surplus reserve, IMAX China</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Statutory surplus reserve deducted from IMAX China retained earnings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(1,699)</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Dividends paid to non-controlling shareholders of IMAX China</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(4,889)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(4,214)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(4,384)</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 in ownership interest related to IMAX China common share repurchases</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(5,797)</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(858)</w:t>
            </w:r>
          </w:p>
        </w:tc>
        <w:tc>
          <w:tcPr>
            <w:tcW w:w="1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(9,520)</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
              <w:spacing w:after="0" w:line="168" w:lineRule="exact"/>
              <w:rPr>
                <w:sz w:val="20"/>
                <w:szCs w:val="20"/>
                <w:color w:val="auto"/>
              </w:rPr>
            </w:pPr>
            <w:r>
              <w:rPr>
                <w:rFonts w:ascii="Arial" w:cs="Arial" w:eastAsia="Arial" w:hAnsi="Arial"/>
                <w:sz w:val="15"/>
                <w:szCs w:val="15"/>
                <w:color w:val="auto"/>
              </w:rPr>
              <w:t>73,531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70,004</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5"/>
                <w:szCs w:val="15"/>
                <w:color w:val="auto"/>
              </w:rPr>
              <w:t>81,057</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shd w:val="clear" w:color="auto" w:fill="CFF0FC"/>
          </w:tcPr>
          <w:p>
            <w:pPr>
              <w:spacing w:after="0" w:line="168" w:lineRule="exact"/>
              <w:rPr>
                <w:sz w:val="20"/>
                <w:szCs w:val="20"/>
                <w:color w:val="auto"/>
              </w:rPr>
            </w:pPr>
            <w:r>
              <w:rPr>
                <w:rFonts w:ascii="Arial" w:cs="Arial" w:eastAsia="Arial" w:hAnsi="Arial"/>
                <w:sz w:val="15"/>
                <w:szCs w:val="15"/>
                <w:b w:val="1"/>
                <w:bCs w:val="1"/>
                <w:color w:val="auto"/>
              </w:rPr>
              <w:t>Total Shareholders' Equity (see Note 3 (a))</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4"/>
              <w:spacing w:after="0" w:line="168"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4"/>
              <w:spacing w:after="0" w:line="168" w:lineRule="exact"/>
              <w:rPr>
                <w:sz w:val="20"/>
                <w:szCs w:val="20"/>
                <w:color w:val="auto"/>
              </w:rPr>
            </w:pPr>
            <w:r>
              <w:rPr>
                <w:rFonts w:ascii="Arial" w:cs="Arial" w:eastAsia="Arial" w:hAnsi="Arial"/>
                <w:sz w:val="15"/>
                <w:szCs w:val="15"/>
                <w:b w:val="1"/>
                <w:bCs w:val="1"/>
                <w:color w:val="auto"/>
              </w:rPr>
              <w:t>429,614</w:t>
            </w:r>
          </w:p>
        </w:tc>
        <w:tc>
          <w:tcPr>
            <w:tcW w:w="4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4"/>
              <w:spacing w:after="0" w:line="168"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ind w:right="44"/>
              <w:spacing w:after="0" w:line="168" w:lineRule="exact"/>
              <w:rPr>
                <w:sz w:val="20"/>
                <w:szCs w:val="20"/>
                <w:color w:val="auto"/>
              </w:rPr>
            </w:pPr>
            <w:r>
              <w:rPr>
                <w:rFonts w:ascii="Arial" w:cs="Arial" w:eastAsia="Arial" w:hAnsi="Arial"/>
                <w:sz w:val="15"/>
                <w:szCs w:val="15"/>
                <w:b w:val="1"/>
                <w:bCs w:val="1"/>
                <w:color w:val="auto"/>
              </w:rPr>
              <w:t>464,008</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4"/>
              <w:spacing w:after="0" w:line="168"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ind w:right="44"/>
              <w:spacing w:after="0" w:line="168" w:lineRule="exact"/>
              <w:rPr>
                <w:sz w:val="20"/>
                <w:szCs w:val="20"/>
                <w:color w:val="auto"/>
              </w:rPr>
            </w:pPr>
            <w:r>
              <w:rPr>
                <w:rFonts w:ascii="Arial" w:cs="Arial" w:eastAsia="Arial" w:hAnsi="Arial"/>
                <w:sz w:val="15"/>
                <w:szCs w:val="15"/>
                <w:b w:val="1"/>
                <w:bCs w:val="1"/>
                <w:color w:val="auto"/>
              </w:rPr>
              <w:t>637,187</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5"/>
                <w:szCs w:val="15"/>
                <w:b w:val="1"/>
                <w:bCs w:val="1"/>
                <w:color w:val="auto"/>
              </w:rPr>
              <w:t>Common shares issued and outstanding:</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spacing w:after="0"/>
              <w:rPr>
                <w:sz w:val="20"/>
                <w:szCs w:val="20"/>
                <w:color w:val="auto"/>
              </w:rPr>
            </w:pPr>
            <w:r>
              <w:rPr>
                <w:rFonts w:ascii="Arial" w:cs="Arial" w:eastAsia="Arial" w:hAnsi="Arial"/>
                <w:sz w:val="15"/>
                <w:szCs w:val="15"/>
                <w:color w:val="auto"/>
              </w:rPr>
              <w:t>Balance, beginning of year</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58,921,008</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61,175,852</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61,433,589</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Employee stock options exercised</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41,613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19,088</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2"/>
              </w:rPr>
              <w:t>Restricted share units and stock option exercises settled from treasury shares purchased on open market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723</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187,020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44,579</w:t>
            </w:r>
          </w:p>
        </w:tc>
        <w:tc>
          <w:tcPr>
            <w:tcW w:w="0" w:type="dxa"/>
            <w:vAlign w:val="bottom"/>
          </w:tcPr>
          <w:p>
            <w:pPr>
              <w:spacing w:after="0"/>
              <w:rPr>
                <w:sz w:val="1"/>
                <w:szCs w:val="1"/>
                <w:color w:val="auto"/>
              </w:rPr>
            </w:pPr>
          </w:p>
        </w:tc>
      </w:tr>
      <w:tr>
        <w:trPr>
          <w:trHeight w:val="174"/>
        </w:trPr>
        <w:tc>
          <w:tcPr>
            <w:tcW w:w="6720" w:type="dxa"/>
            <w:vAlign w:val="bottom"/>
          </w:tcPr>
          <w:p>
            <w:pPr>
              <w:ind w:left="260"/>
              <w:spacing w:after="0"/>
              <w:rPr>
                <w:sz w:val="20"/>
                <w:szCs w:val="20"/>
                <w:color w:val="auto"/>
              </w:rPr>
            </w:pPr>
            <w:r>
              <w:rPr>
                <w:rFonts w:ascii="Arial" w:cs="Arial" w:eastAsia="Arial" w:hAnsi="Arial"/>
                <w:sz w:val="15"/>
                <w:szCs w:val="15"/>
                <w:color w:val="auto"/>
              </w:rPr>
              <w:t>Restricted share units settled with new treasury shares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531,629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42,982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Repurchase of common shares</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(841,331)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(2,484,123)</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(134,384)</w:t>
            </w:r>
          </w:p>
        </w:tc>
        <w:tc>
          <w:tcPr>
            <w:tcW w:w="0" w:type="dxa"/>
            <w:vAlign w:val="bottom"/>
          </w:tcPr>
          <w:p>
            <w:pPr>
              <w:spacing w:after="0"/>
              <w:rPr>
                <w:sz w:val="1"/>
                <w:szCs w:val="1"/>
                <w:color w:val="auto"/>
              </w:rPr>
            </w:pPr>
          </w:p>
        </w:tc>
      </w:tr>
      <w:tr>
        <w:trPr>
          <w:trHeight w:val="174"/>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Shares held in treasury</w:t>
            </w:r>
          </w:p>
        </w:tc>
        <w:tc>
          <w:tcPr>
            <w:tcW w:w="1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w:t>
            </w:r>
          </w:p>
        </w:tc>
        <w:tc>
          <w:tcPr>
            <w:tcW w:w="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(187,020)</w:t>
            </w:r>
          </w:p>
        </w:tc>
        <w:tc>
          <w:tcPr>
            <w:tcW w:w="0" w:type="dxa"/>
            <w:vAlign w:val="bottom"/>
          </w:tcPr>
          <w:p>
            <w:pPr>
              <w:spacing w:after="0"/>
              <w:rPr>
                <w:sz w:val="1"/>
                <w:szCs w:val="1"/>
                <w:color w:val="auto"/>
              </w:rPr>
            </w:pPr>
          </w:p>
        </w:tc>
      </w:tr>
      <w:tr>
        <w:trPr>
          <w:trHeight w:val="168"/>
        </w:trPr>
        <w:tc>
          <w:tcPr>
            <w:tcW w:w="6720" w:type="dxa"/>
            <w:vAlign w:val="bottom"/>
            <w:tcBorders>
              <w:bottom w:val="single" w:sz="8" w:color="CFF0FC"/>
            </w:tcBorders>
            <w:shd w:val="clear" w:color="auto" w:fill="CFF0FC"/>
          </w:tcPr>
          <w:p>
            <w:pPr>
              <w:spacing w:after="0" w:line="168" w:lineRule="exact"/>
              <w:rPr>
                <w:sz w:val="20"/>
                <w:szCs w:val="20"/>
                <w:color w:val="auto"/>
              </w:rPr>
            </w:pPr>
            <w:r>
              <w:rPr>
                <w:rFonts w:ascii="Arial" w:cs="Arial" w:eastAsia="Arial" w:hAnsi="Arial"/>
                <w:sz w:val="15"/>
                <w:szCs w:val="15"/>
                <w:color w:val="auto"/>
              </w:rPr>
              <w:t>Balance, end of year</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
              <w:spacing w:after="0" w:line="168" w:lineRule="exact"/>
              <w:rPr>
                <w:sz w:val="20"/>
                <w:szCs w:val="20"/>
                <w:color w:val="auto"/>
              </w:rPr>
            </w:pPr>
            <w:r>
              <w:rPr>
                <w:rFonts w:ascii="Arial" w:cs="Arial" w:eastAsia="Arial" w:hAnsi="Arial"/>
                <w:sz w:val="15"/>
                <w:szCs w:val="15"/>
                <w:color w:val="auto"/>
              </w:rPr>
              <w:t>58,653,642</w:t>
            </w:r>
          </w:p>
        </w:tc>
        <w:tc>
          <w:tcPr>
            <w:tcW w:w="4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4"/>
              <w:spacing w:after="0" w:line="168" w:lineRule="exact"/>
              <w:rPr>
                <w:sz w:val="20"/>
                <w:szCs w:val="20"/>
                <w:color w:val="auto"/>
              </w:rPr>
            </w:pPr>
            <w:r>
              <w:rPr>
                <w:rFonts w:ascii="Arial" w:cs="Arial" w:eastAsia="Arial" w:hAnsi="Arial"/>
                <w:sz w:val="15"/>
                <w:szCs w:val="15"/>
                <w:color w:val="auto"/>
              </w:rPr>
              <w:t>58,921,008</w:t>
            </w:r>
          </w:p>
        </w:tc>
        <w:tc>
          <w:tcPr>
            <w:tcW w:w="1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4"/>
              <w:spacing w:after="0" w:line="168" w:lineRule="exact"/>
              <w:rPr>
                <w:sz w:val="20"/>
                <w:szCs w:val="20"/>
                <w:color w:val="auto"/>
              </w:rPr>
            </w:pPr>
            <w:r>
              <w:rPr>
                <w:rFonts w:ascii="Arial" w:cs="Arial" w:eastAsia="Arial" w:hAnsi="Arial"/>
                <w:sz w:val="15"/>
                <w:szCs w:val="15"/>
                <w:color w:val="auto"/>
              </w:rPr>
              <w:t>61,175,852</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the accompanying notes, which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-98425</wp:posOffset>
            </wp:positionV>
            <wp:extent cx="2769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(Tabular amounts in thousands of U.S. Dollars, unless otherwise stated)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IMAX Corporation is a Canadian corporation that was formed in March 1994 as a result of an amalgamation between WGIM Acquisition Corp. and the former IMAX Corporation (“Predecessor IMAX”). Predecessor IMAX was incorporated in 1967. As of December 31, 2021, IMAX Corporation indirectly owns 71.11% of IMAX China Holding, Inc. (“IMAX China”), whose shares trade on the Hong Kong Stock Exchange. IMAX China is a consolidated subsidiary of the Company.</w:t>
      </w:r>
    </w:p>
    <w:p>
      <w:pPr>
        <w:spacing w:after="0" w:line="160"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IMAX Corporation, together with its consolidated subsidiaries (the “Company”),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15"/>
          <w:szCs w:val="15"/>
          <w:color w:val="auto"/>
        </w:rPr>
        <w:t>®</w:t>
      </w:r>
      <w:r>
        <w:rPr>
          <w:rFonts w:ascii="Arial" w:cs="Arial" w:eastAsia="Arial" w:hAnsi="Arial"/>
          <w:sz w:val="18"/>
          <w:szCs w:val="18"/>
          <w:color w:val="auto"/>
        </w:rPr>
        <w:t xml:space="preserve"> brand is globally renown.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49"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leverages its proprietary technology and engineering in all aspects of its business, which principally consists of the digital remastering of films and other content into the IMAX format (“IMAX DMR</w:t>
      </w:r>
      <w:r>
        <w:rPr>
          <w:rFonts w:ascii="Arial" w:cs="Arial" w:eastAsia="Arial" w:hAnsi="Arial"/>
          <w:sz w:val="15"/>
          <w:szCs w:val="15"/>
          <w:color w:val="auto"/>
        </w:rPr>
        <w:t>®</w:t>
      </w:r>
      <w:r>
        <w:rPr>
          <w:rFonts w:ascii="Arial" w:cs="Arial" w:eastAsia="Arial" w:hAnsi="Arial"/>
          <w:sz w:val="18"/>
          <w:szCs w:val="18"/>
          <w:color w:val="auto"/>
        </w:rPr>
        <w:t>”) and the sale or lease of premium IMAX theater systems (“IMAX Theater Systems”). The Company refers to all theaters using the IMAX Theater System as “IMAX theaters.”</w:t>
      </w:r>
    </w:p>
    <w:p>
      <w:pPr>
        <w:spacing w:after="0" w:line="143"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IMAX Theater System arrangements also include a requirement for the Company to provide maintenance services over the life of the arrangement in exchange for an extended warranty and annual maintenance fee paid by the theater owner or operator. Under these arrangements, the Company provides preventative and emergency maintenance services to ensure that each presentation is up to the highest IMAX quality standard. The Company’s theater business activities also include the after-market sale of IMAX projection system parts and 3D glasses.</w:t>
      </w:r>
    </w:p>
    <w:p>
      <w:pPr>
        <w:spacing w:after="0" w:line="142"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20"/>
          <w:szCs w:val="20"/>
          <w:color w:val="auto"/>
        </w:rPr>
        <w:t>As of December 31, 2021, there were 1,683 IMAX Theater Systems operating in 87 countries and territories, including 1,599 commercial multiplexes, 12 commercial destinations and 72 institutional locations. This compares to 1,650 IMAX Theater Systems operating in 84 countries and territories as of December 31, 2020 including 1,562 commercial multiplexes, 12 commercial destinations, and 76 institutional locations.</w:t>
      </w:r>
    </w:p>
    <w:p>
      <w:pPr>
        <w:spacing w:after="0" w:line="15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also distributes large-format documentary films, primarily to institutional theaters, and distributes exclusive experiences ranging from live performances to interactive events with leading artists and creators. In addition, the Company provides film post-production and quality control services for large-format films, whether produced by IMAX or third parties, and digital post-production services.</w:t>
      </w:r>
    </w:p>
    <w:p>
      <w:pPr>
        <w:spacing w:after="0" w:line="14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Film Distribution; (vii) Film Post-Production; and (viii) New Business Initiatives, which are described in Note 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8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late 2021 and early 2022, some governments reinstituted capacity restrictions and safety protocols on large public gatherings, leading to the temporary closure of theaters or the imposition of capacity restrictions in certain markets. As of December 31, 2021, 95% of the theaters in the global IMAX commercial multiplex network were open at various capacities, spanning 75 countries. This included 99% of Domestic theaters (i.e., in the United States and Canada), 95% of the theaters in Greater China and 91% of the theaters in Rest of World markets.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8" w:name="page79"/>
    <w:bookmarkEnd w:id="78"/>
    <w:p>
      <w:pPr>
        <w:jc w:val="both"/>
        <w:ind w:firstLine="225"/>
        <w:spacing w:after="0" w:line="268" w:lineRule="auto"/>
        <w:rPr>
          <w:sz w:val="20"/>
          <w:szCs w:val="20"/>
          <w:color w:val="auto"/>
        </w:rPr>
      </w:pPr>
      <w:r>
        <w:rPr>
          <w:rFonts w:ascii="Arial" w:cs="Arial" w:eastAsia="Arial" w:hAnsi="Arial"/>
          <w:sz w:val="17"/>
          <w:szCs w:val="17"/>
          <w:color w:val="auto"/>
        </w:rPr>
        <w:t>The COVID-19 pandemic resulted in significantly lower levels of revenues, earnings, and operating cash flows for the Company during 2020 and, to a lesser extent, during 2021, when compared to periods prior to the onset of the pandemic, as box office results from the theaters in the IMAX network declined, the installation of certain theater systems was delayed, and maintenance fees were generally not recognized for theaters that were closed or operating with reduced capacities. In addition, as a result of the financial difficulties faced by certain of the Company’s exhibition customers arising out of pandemic-related theater closures, although improving, the Company has experienced and may continue to experience delays in collecting payments due under existing theater sale or lease arrangements. In response, beginning in the second quarter of 2020 through the fourth quarter of 2021, the Company provided temporary relief to certain exhibitor customers by waiving or reducing maintenance fees during periods when theaters were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5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a result of the uncertainties associated with the pandemic, the Company took significant steps in 2020 and 2021 to preserve cash by eliminating non-essential costs, temporarily furloughing certain employees, reducing the working hours of other employees, and reducing all non-essential capital expenditures to minimum levels. The Company also implemented an active cash management process, which, among other things, required senior management approval of all outgoing payments.</w:t>
      </w:r>
    </w:p>
    <w:p>
      <w:pPr>
        <w:spacing w:after="0" w:line="147"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Also, in the first quarter of 2021, the Company issued $230.0 million of Convertible Notes. The net proceeds from the issuance of the Convertible Notes were approximately $223.7 million, after deducting the initial purchasers’ discounts and commissions, which were used in part to repay a portion of outstanding borrowings under the Credit Facility provided by the Company’s Credit Agreement with Wells Fargo. In addition, during 2021, the Company entered into amendments to the Credit Agreement which, among other things, suspend the Senior Secured Net Leverage Ratio financial covenant in the Credit Agreement through the first quarter of 2022 and once re-established, permits the Company to use EBITDA from the third and fourth quarters of 2019 in lieu of EBITDA for the corresponding quarters of 2021. As of December 31, 2021, the Company was in compliance with all of its requirements under the Credit Agreement, as amended. (Each defined term used, but not defined in this paragraph is defined in Note 14.)</w:t>
      </w:r>
    </w:p>
    <w:p>
      <w:pPr>
        <w:spacing w:after="0" w:line="127"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In 2020 and 2021, the Company recognized a total of $10.9 million in wage subsidies, tax credits, and other financial support under COVID-19 relief legislation that has been enacted in the countries in which it operates, primarily under the Canada Emergency Wage Subsidy (“CEWS”) program. For the years ended December 31, 2021 and 2020, these benefits were recognized in the Consolidated Statements of Operations as reductions to Selling, General and Administrative Expenses ($2.9 million and $6.0 million, respectively), Costs and Expenses Applicable to Revenues ($0.9 million and $1.0 million, respectively), and Research and Development ($nil and $0.1 million, respectively). The CEWS program expired in October 2021.</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variants of the virus, the progress made on administering vaccines and developing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8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prepares its Consolidated Financial Statements in accordance with U.S. GAAP and pursuant to the rules and regulations of the Securities and Exchange Commission. The significant accounting policies used by the Company are summarized below.</w:t>
      </w:r>
    </w:p>
    <w:p>
      <w:pPr>
        <w:spacing w:after="0" w:line="145"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Revision of prior year amounts and other reclassifications</w:t>
      </w:r>
    </w:p>
    <w:p>
      <w:pPr>
        <w:spacing w:after="0" w:line="182"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In the current year’s Consolidated Balance Sheets and Consolidated Statements of Shareholders’ Equity, the Company revised the December 31, 2020 and December 31, 2019 balances of Total Shareholders’ Equity Attributable to Common Shareholders and Non-Controlling Interests. The revisions were principally made to properly reflect changes in the Company’s ownership interest in IMAX China as a result of common share repurchases and the amortization of share-based compensation related to IMAX China. The revisions resulted in a $0.5 million reclassification between the January 1, 2019 balances of Other Equity and Non-Controlling Interests, as well as reclassifications of $8.5 million and $8.4 million, respectively, between the balances of Other Equity and Non-Controlling Interests as of December 31, 2020 and 2019. There is no change in Total Shareholders’ Equity as a result of the revisions.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79" w:name="page80"/>
    <w:bookmarkEnd w:id="79"/>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Principles of Consolidation</w:t>
      </w:r>
    </w:p>
    <w:p>
      <w:pPr>
        <w:spacing w:after="0" w:line="182"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The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21"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24(b).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Consolidated Financial Statements. A loss in value of an equity method investment that is other than temporary is recognized as a charge in the Consolidated Statements of Operations.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As of December 31, 2021 and 2020, </w:t>
      </w:r>
      <w:r>
        <w:rPr>
          <w:rFonts w:ascii="Arial" w:cs="Arial" w:eastAsia="Arial" w:hAnsi="Arial"/>
          <w:sz w:val="17"/>
          <w:szCs w:val="17"/>
          <w:color w:val="auto"/>
        </w:rPr>
        <w:t>total assets and liabilities of the Company's consolidated VIEs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00"/>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22"/>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1,543</w:t>
            </w:r>
          </w:p>
        </w:tc>
      </w:tr>
      <w:tr>
        <w:trPr>
          <w:trHeight w:val="229"/>
        </w:trPr>
        <w:tc>
          <w:tcPr>
            <w:tcW w:w="77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40"/>
              <w:spacing w:after="0"/>
              <w:rPr>
                <w:sz w:val="20"/>
                <w:szCs w:val="20"/>
                <w:color w:val="auto"/>
              </w:rPr>
            </w:pPr>
            <w:r>
              <w:rPr>
                <w:rFonts w:ascii="Arial" w:cs="Arial" w:eastAsia="Arial" w:hAnsi="Arial"/>
                <w:sz w:val="18"/>
                <w:szCs w:val="18"/>
                <w:color w:val="auto"/>
              </w:rPr>
              <w:t>259</w:t>
            </w:r>
          </w:p>
        </w:tc>
        <w:tc>
          <w:tcPr>
            <w:tcW w:w="4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230</w:t>
            </w:r>
          </w:p>
        </w:tc>
      </w:tr>
    </w:tbl>
    <w:p>
      <w:pPr>
        <w:spacing w:after="0" w:line="199"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Estimates and Assumptions</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spacing w:after="0" w:line="16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Significant estimates made by management include, but are not limited to: (i) the allocation of the transaction price in an IMAX Theater System arrangement to distinct performance obligations; (ii) the amount of variable consideration to be earned on sales of IMAX Theater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2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COVID-19 pandemic resulted in significantly lower levels of revenues, earnings, and operating cash flows for the Company during 2020 and, to a lesser extent, during 2021, when compared to periods prior to the onset of the pandemic, as described in Note 2. Although management is encouraged by the broad reopening of the IMAX theater network, the continued progress towards the resumption of normal theater operations, and recent box office results, there continues to be a higher degree of risk and uncertainty relating to the judgments, assumptions, and estimates used by management in preparing the Company’s Consolidated Financial Statements.</w:t>
      </w:r>
    </w:p>
    <w:p>
      <w:pPr>
        <w:spacing w:after="0" w:line="149"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considers all highly liquid investments convertible to a known amount of cash and with an original maturity of three months or less to be cash equivalents.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3"/>
          <w:szCs w:val="13"/>
          <w:b w:val="1"/>
          <w:bCs w:val="1"/>
          <w:i w:val="1"/>
          <w:iCs w:val="1"/>
          <w:color w:val="auto"/>
        </w:rPr>
        <w:t>Receivables</w:t>
      </w:r>
    </w:p>
    <w:p>
      <w:pPr>
        <w:spacing w:after="0" w:line="18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2016, the Financial Accounting Standards Board (“FASB”) issued Accounting Standards Update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5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write-off of any billed receivable balance requires the approval of management.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5 for more information related to the Company’s receivables and current expected credit losses.)</w:t>
      </w:r>
    </w:p>
    <w:p>
      <w:pPr>
        <w:spacing w:after="0" w:line="182" w:lineRule="exact"/>
        <w:rPr>
          <w:sz w:val="20"/>
          <w:szCs w:val="20"/>
          <w:color w:val="auto"/>
        </w:rPr>
      </w:pPr>
    </w:p>
    <w:p>
      <w:pPr>
        <w:ind w:left="580" w:hanging="358"/>
        <w:spacing w:after="0"/>
        <w:tabs>
          <w:tab w:leader="none" w:pos="5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pacing w:after="0" w:line="15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costs related to IMAX Theater Systems under sales and sales-type lease arrangements are transferred from Inventories to Costs and Expenses Applicable to Revenues – Technology Sales in the period when the sale is recognized in the Consolidated Statements of Operations. The costs related to IMAX Theater Systems under joint revenue sharing arrangements are transferred from Inventories to assets under construction in Property, Plant and Equipment when allocated to a signed joint revenue sharing arrangement.</w:t>
      </w:r>
    </w:p>
    <w:p>
      <w:pPr>
        <w:spacing w:after="0" w:line="14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systems.</w:t>
      </w:r>
    </w:p>
    <w:p>
      <w:pPr>
        <w:spacing w:after="0" w:line="147"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Finished goods inventories includes IMAX Theater Systems for which title has passed to the Company’s customer in situations when the theater system has been delivered to the customer, but the criteria for revenue recognition were not met as of the balance sheet date.</w:t>
      </w:r>
    </w:p>
    <w:p>
      <w:pPr>
        <w:spacing w:after="0" w:line="145"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Film Assets</w:t>
      </w:r>
    </w:p>
    <w:p>
      <w:pPr>
        <w:spacing w:after="0" w:line="182"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w:t>
      </w:r>
    </w:p>
    <w:p>
      <w:pPr>
        <w:spacing w:after="0" w:line="108"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ten years following the date of the film’s initial release.</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Film exploitation costs, including advertising costs, are expensed as incurred to Costs and Expenses Applicable to Revenues.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Property, Plant and Equipment</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Property, Plant and Equipment is recorded at cost and is depreciated on a straight-line basis over the estimated useful lives of the underlying assets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w w:val="98"/>
              </w:rPr>
              <w:t>Theater system components</w:t>
            </w:r>
            <w:r>
              <w:rPr>
                <w:rFonts w:ascii="Arial" w:cs="Arial" w:eastAsia="Arial" w:hAnsi="Arial"/>
                <w:sz w:val="15"/>
                <w:szCs w:val="15"/>
                <w:color w:val="auto"/>
                <w:w w:val="98"/>
              </w:rPr>
              <w:t>(1)</w:t>
            </w:r>
          </w:p>
        </w:tc>
        <w:tc>
          <w:tcPr>
            <w:tcW w:w="7440" w:type="dxa"/>
            <w:vAlign w:val="bottom"/>
          </w:tcPr>
          <w:p>
            <w:pPr>
              <w:ind w:left="260"/>
              <w:spacing w:after="0"/>
              <w:rPr>
                <w:sz w:val="20"/>
                <w:szCs w:val="20"/>
                <w:color w:val="auto"/>
              </w:rPr>
            </w:pPr>
            <w:r>
              <w:rPr>
                <w:rFonts w:ascii="Arial" w:cs="Arial" w:eastAsia="Arial" w:hAnsi="Arial"/>
                <w:sz w:val="18"/>
                <w:szCs w:val="18"/>
                <w:color w:val="auto"/>
              </w:rPr>
              <w:t>—  Over the equipment’s expected useful life (7 to 20 years)</w:t>
            </w: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Camera equipment</w:t>
            </w:r>
          </w:p>
        </w:tc>
        <w:tc>
          <w:tcPr>
            <w:tcW w:w="7440" w:type="dxa"/>
            <w:vAlign w:val="bottom"/>
          </w:tcPr>
          <w:p>
            <w:pPr>
              <w:ind w:left="260"/>
              <w:spacing w:after="0"/>
              <w:rPr>
                <w:sz w:val="20"/>
                <w:szCs w:val="20"/>
                <w:color w:val="auto"/>
              </w:rPr>
            </w:pPr>
            <w:r>
              <w:rPr>
                <w:rFonts w:ascii="Arial" w:cs="Arial" w:eastAsia="Arial" w:hAnsi="Arial"/>
                <w:sz w:val="18"/>
                <w:szCs w:val="18"/>
                <w:color w:val="auto"/>
              </w:rPr>
              <w:t>—  Over a period between 5 to 10 years</w:t>
            </w: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7440" w:type="dxa"/>
            <w:vAlign w:val="bottom"/>
          </w:tcPr>
          <w:p>
            <w:pPr>
              <w:ind w:left="260"/>
              <w:spacing w:after="0"/>
              <w:rPr>
                <w:sz w:val="20"/>
                <w:szCs w:val="20"/>
                <w:color w:val="auto"/>
              </w:rPr>
            </w:pPr>
            <w:r>
              <w:rPr>
                <w:rFonts w:ascii="Arial" w:cs="Arial" w:eastAsia="Arial" w:hAnsi="Arial"/>
                <w:sz w:val="18"/>
                <w:szCs w:val="18"/>
                <w:color w:val="auto"/>
              </w:rPr>
              <w:t>—  Over a period between 20 to 25 years</w:t>
            </w: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Office and product equipment</w:t>
            </w:r>
          </w:p>
        </w:tc>
        <w:tc>
          <w:tcPr>
            <w:tcW w:w="7440" w:type="dxa"/>
            <w:vAlign w:val="bottom"/>
          </w:tcPr>
          <w:p>
            <w:pPr>
              <w:ind w:left="260"/>
              <w:spacing w:after="0"/>
              <w:rPr>
                <w:sz w:val="20"/>
                <w:szCs w:val="20"/>
                <w:color w:val="auto"/>
              </w:rPr>
            </w:pPr>
            <w:r>
              <w:rPr>
                <w:rFonts w:ascii="Arial" w:cs="Arial" w:eastAsia="Arial" w:hAnsi="Arial"/>
                <w:sz w:val="18"/>
                <w:szCs w:val="18"/>
                <w:color w:val="auto"/>
              </w:rPr>
              <w:t>—  Over a period between 3 to 5 years</w:t>
            </w:r>
          </w:p>
        </w:tc>
      </w:tr>
      <w:tr>
        <w:trPr>
          <w:trHeight w:val="215"/>
        </w:trPr>
        <w:tc>
          <w:tcPr>
            <w:tcW w:w="24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7440" w:type="dxa"/>
            <w:vAlign w:val="bottom"/>
          </w:tcPr>
          <w:p>
            <w:pPr>
              <w:ind w:left="260"/>
              <w:spacing w:after="0"/>
              <w:rPr>
                <w:sz w:val="20"/>
                <w:szCs w:val="20"/>
                <w:color w:val="auto"/>
              </w:rPr>
            </w:pPr>
            <w:r>
              <w:rPr>
                <w:rFonts w:ascii="Arial" w:cs="Arial" w:eastAsia="Arial" w:hAnsi="Arial"/>
                <w:sz w:val="18"/>
                <w:szCs w:val="18"/>
                <w:color w:val="auto"/>
                <w:w w:val="91"/>
              </w:rPr>
              <w:t>—  Over the shorter of the initial term of the underlying lease plus any reasonably assured renewal</w:t>
            </w:r>
          </w:p>
        </w:tc>
      </w:tr>
      <w:tr>
        <w:trPr>
          <w:trHeight w:val="229"/>
        </w:trPr>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periods, and the useful life of the asset</w:t>
            </w:r>
          </w:p>
        </w:tc>
      </w:tr>
      <w:tr>
        <w:trPr>
          <w:trHeight w:val="147"/>
        </w:trPr>
        <w:tc>
          <w:tcPr>
            <w:tcW w:w="146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7440" w:type="dxa"/>
            <w:vAlign w:val="bottom"/>
          </w:tcPr>
          <w:p>
            <w:pPr>
              <w:spacing w:after="0"/>
              <w:rPr>
                <w:sz w:val="12"/>
                <w:szCs w:val="12"/>
                <w:color w:val="auto"/>
              </w:rPr>
            </w:pPr>
          </w:p>
        </w:tc>
      </w:tr>
    </w:tbl>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equipment under joint revenue sharing arrangements.</w:t>
      </w:r>
    </w:p>
    <w:p>
      <w:pPr>
        <w:spacing w:after="0" w:line="196"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cost of theater system components and related equipment expected to be used in future joint revenue sharing arrangements, including related direct labor costs and an allocation of direct production costs, are recorded within assets under construction until the underlying IMAX Theater System is installed and in working condition. These assets are depreciated to Costs and Expenses Applicable to Revenues on a straight-line basis over the lesser of the term of the joint revenue sharing arrangement and the equipment’s expected useful life. The estimated useful lives of the theater system components and related equipment used in joint revenue sharing arrangements are reviewed periodically to determine if any adjustments are required.</w:t>
      </w:r>
    </w:p>
    <w:p>
      <w:pPr>
        <w:spacing w:after="0" w:line="121"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27" w:lineRule="exact"/>
        <w:rPr>
          <w:sz w:val="20"/>
          <w:szCs w:val="20"/>
          <w:color w:val="auto"/>
        </w:rPr>
      </w:pPr>
    </w:p>
    <w:p>
      <w:pPr>
        <w:ind w:left="580" w:hanging="358"/>
        <w:spacing w:after="0"/>
        <w:tabs>
          <w:tab w:leader="none" w:pos="5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Equity Securities</w:t>
      </w:r>
    </w:p>
    <w:p>
      <w:pPr>
        <w:spacing w:after="0" w:line="182"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Equity securities with readily determinable fair values are reported at fair value with changes in fair value recorded within Gain (Loss) in Fair Value of Investments in the Consolidated Statements of Operations.</w:t>
      </w:r>
    </w:p>
    <w:p>
      <w:pPr>
        <w:spacing w:after="0" w:line="145" w:lineRule="exact"/>
        <w:rPr>
          <w:sz w:val="20"/>
          <w:szCs w:val="20"/>
          <w:color w:val="auto"/>
        </w:rPr>
      </w:pPr>
    </w:p>
    <w:p>
      <w:pPr>
        <w:ind w:left="580" w:hanging="358"/>
        <w:spacing w:after="0"/>
        <w:tabs>
          <w:tab w:leader="none" w:pos="5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w:t>
      </w:r>
    </w:p>
    <w:p>
      <w:pPr>
        <w:spacing w:after="0" w:line="182"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Other Assets principally includes lease incentives provided to certain theater customers under joint revenue sharing arrangements classified as an operating lease,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spacing w:after="0" w:line="108"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Capitalized lease incentives are amortized on a straight-line basis over the term of the lease as a reduction to rental revenue. Sales commissions and other selling expenses paid prior to the recognition of the related revenue are deferred and recognized within Costs and Expenses Applicable to Revenues upon the client acceptance of the IMAX Theater System or the abandonment of the sale arrangement. Foreign currency derivatives are accounted for at fair value using quoted prices in active markets.</w:t>
      </w:r>
    </w:p>
    <w:p>
      <w:pPr>
        <w:spacing w:after="0" w:line="147"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(See Note 14 for information related to the Company’s revolving credit facilities.)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6"/>
          <w:szCs w:val="16"/>
          <w:b w:val="1"/>
          <w:bCs w:val="1"/>
          <w:i w:val="1"/>
          <w:iCs w:val="1"/>
          <w:color w:val="auto"/>
        </w:rPr>
        <w:t>Goodwill</w:t>
      </w:r>
    </w:p>
    <w:p>
      <w:pPr>
        <w:spacing w:after="0" w:line="18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Theater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143"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In the fourth quarter of 2021, the Company performed its annual goodwill impairment test considering the latest available information and determined that its goodwill was not impaired. As of December 31, 2021, the Company’s total Goodwill was $39.0 million, of which $19.1 million relates to the IMAX Systems reporting unit, $13.5 million relates to the Joint Revenue Sharing Arrangements reporting unit, and $6.4 million relates to the IMAX Maintenance reporting unit. The impairment test was performed on a reporting unit level by comparing each unit’s carrying value, including goodwill, to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w:t>
      </w:r>
    </w:p>
    <w:p>
      <w:pPr>
        <w:spacing w:after="0" w:line="127" w:lineRule="exact"/>
        <w:rPr>
          <w:sz w:val="20"/>
          <w:szCs w:val="20"/>
          <w:color w:val="auto"/>
        </w:rPr>
      </w:pPr>
    </w:p>
    <w:p>
      <w:pPr>
        <w:ind w:left="580" w:hanging="358"/>
        <w:spacing w:after="0"/>
        <w:tabs>
          <w:tab w:leader="none" w:pos="5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Intangible Assets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Patents, trademarks, and other intangible assets are recorded at cost and generally amortized on a straight-line basis over estimated useful lives ranging from 4 to 10 years except for intangible assets that have an identifiable pattern of consumption of the economic benefit of the asset. Such intangible assets are amortized over the consumption pattern.</w:t>
      </w:r>
    </w:p>
    <w:p>
      <w:pPr>
        <w:spacing w:after="0" w:line="143"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devote time to the internal-use software project. Capitalization of such costs begins when the preliminary project stage is complete and ceases no later than the point at which the project is substantially complete and ready for its intended purpose. Costs incurred during the preliminary project and post-implementation stages are charged to expense. These capitalized costs are amortized on a straight-line basis over the estimated useful life.</w:t>
      </w:r>
    </w:p>
    <w:p>
      <w:pPr>
        <w:spacing w:after="0" w:line="15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ind w:left="220"/>
        <w:spacing w:after="0"/>
        <w:rPr>
          <w:sz w:val="20"/>
          <w:szCs w:val="20"/>
          <w:color w:val="auto"/>
        </w:rPr>
      </w:pPr>
      <w:r>
        <w:rPr>
          <w:rFonts w:ascii="Arial" w:cs="Arial" w:eastAsia="Arial" w:hAnsi="Arial"/>
          <w:sz w:val="18"/>
          <w:szCs w:val="18"/>
          <w:b w:val="1"/>
          <w:bCs w:val="1"/>
          <w:i w:val="1"/>
          <w:iCs w:val="1"/>
          <w:color w:val="auto"/>
        </w:rPr>
        <w:t>(m) Deferred Revenue</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To a lesser extent, the Deferred Revenue balance also relates to situations when a theater customer pays the contractual maintenance fee prior to the recognition of revenue.</w:t>
      </w:r>
    </w:p>
    <w:p>
      <w:pPr>
        <w:spacing w:after="0" w:line="146"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Statutory Surplus Reserve</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Pursuant to the corporate law of the People’s Republic of China (the “PRC”), entities registered in the PRC are required to maintain certain statutory reserves, which are appropriated from after-tax profits, after offsetting accumulated losses from prior years, before dividends can be declared or paid to equity holders.</w:t>
      </w:r>
    </w:p>
    <w:p>
      <w:pPr>
        <w:spacing w:after="0" w:line="143"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 xml:space="preserve">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w:t>
      </w:r>
      <w:r>
        <w:rPr>
          <w:rFonts w:ascii="Arial" w:cs="Arial" w:eastAsia="Arial" w:hAnsi="Arial"/>
          <w:sz w:val="16"/>
          <w:szCs w:val="16"/>
          <w:color w:val="333333"/>
        </w:rPr>
        <w:t>The statutory surplus reserve is non-distributable other than during liquidation and may</w:t>
      </w:r>
      <w:r>
        <w:rPr>
          <w:rFonts w:ascii="Arial" w:cs="Arial" w:eastAsia="Arial" w:hAnsi="Arial"/>
          <w:sz w:val="16"/>
          <w:szCs w:val="16"/>
          <w:color w:val="auto"/>
        </w:rPr>
        <w:t xml:space="preserve"> 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spacing w:after="0" w:line="121"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Income Taxes</w:t>
      </w:r>
    </w:p>
    <w:p>
      <w:pPr>
        <w:spacing w:after="0" w:line="182"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spacing w:after="0" w:line="13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(for example, if the Company experiences cumulative three-year losses in a certain jurisdiction),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(for example, if the Company is no longer in a three-year cumulative loss position in the jurisdiction, and management expects to have future taxable income in that jurisdiction based upon management’s forecasts and the expected timing of deferred tax asset reversals),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14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both"/>
        <w:ind w:firstLine="225"/>
        <w:spacing w:after="0" w:line="257" w:lineRule="auto"/>
        <w:rPr>
          <w:sz w:val="20"/>
          <w:szCs w:val="20"/>
          <w:color w:val="auto"/>
        </w:rPr>
      </w:pPr>
      <w:r>
        <w:rPr>
          <w:rFonts w:ascii="Arial" w:cs="Arial" w:eastAsia="Arial" w:hAnsi="Arial"/>
          <w:sz w:val="18"/>
          <w:szCs w:val="18"/>
          <w:color w:val="auto"/>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6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Revenue Recognition</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Theater Systems</w:t>
      </w:r>
    </w:p>
    <w:p>
      <w:pPr>
        <w:spacing w:after="0" w:line="182"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The Company evaluates each of the performance obligations in an IMAX Theater System arrangement to determine which are considered distinct, either individually or in a group, for accounting purposes and which of the deliverables represent separate performance obligations.</w:t>
      </w:r>
    </w:p>
    <w:p>
      <w:pPr>
        <w:spacing w:after="0" w:line="131"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Company’s “System Obligation” consists of the following: (i) an IMAX Theater System, which includes the projector, sound system, screen system and, if applicable, a 3D glasses cleaning machine; (ii) services associated with the IMAX Theater System, including theater design support, the supervision of installation services, and projectionist training; and (iii) a license to use the IMAX brand to market the theater.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6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Theater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over the contract term.</w:t>
      </w:r>
    </w:p>
    <w:p>
      <w:pPr>
        <w:spacing w:after="0" w:line="149"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transaction price in an IMAX Theater System arrangement is allocated to each good or service that is identified as a separate performance obligation based on estimated standalone selling prices. This allocation is based on observable prices when the Company sells the good or service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49"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IMAX Theater System arrangements involve either the lease or the sale of an IMAX Theater System. The transaction price for the System Obligation, other than for IMAX Theater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theater, which are developed using historical data for the theater and, if necessary, comparable theaters and territories (see “Constraints on the Recognition of Variable Consideration” below). Transfer of control of the System Obligation occurs at the earlier of client acceptance of the installation of the IMAX Theater System, including projectionist training, and the opening of the theater to the public, as discussed in more detail below.</w:t>
      </w:r>
    </w:p>
    <w:p>
      <w:pPr>
        <w:spacing w:after="0" w:line="143"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IMAX Theater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5" w:name="page86"/>
    <w:bookmarkEnd w:id="85"/>
    <w:p>
      <w:pPr>
        <w:ind w:left="240"/>
        <w:spacing w:after="0"/>
        <w:rPr>
          <w:sz w:val="20"/>
          <w:szCs w:val="20"/>
          <w:color w:val="auto"/>
        </w:rPr>
      </w:pPr>
      <w:r>
        <w:rPr>
          <w:rFonts w:ascii="Arial" w:cs="Arial" w:eastAsia="Arial" w:hAnsi="Arial"/>
          <w:sz w:val="18"/>
          <w:szCs w:val="18"/>
          <w:i w:val="1"/>
          <w:iCs w:val="1"/>
          <w:color w:val="auto"/>
        </w:rPr>
        <w:t>Sales Arrangements</w:t>
      </w:r>
    </w:p>
    <w:p>
      <w:pPr>
        <w:spacing w:after="0" w:line="196"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For IMAX Theater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w:t>
      </w:r>
    </w:p>
    <w:p>
      <w:pPr>
        <w:spacing w:after="0" w:line="121"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initial revenue recognized in a sales arrangement consists of payments made before and in connection with the installation of the IMAX Theater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hybrid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spacing w:after="0" w:line="12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45"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Constraints on the Recognition of Variable Consideration</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box office performance and, when applicable, updated box office projections for future periods. The relevant accounting guidance identifies the following examples of situations when constraining the amount of variable consideration is appropriate:</w:t>
      </w:r>
    </w:p>
    <w:p>
      <w:pPr>
        <w:spacing w:after="0" w:line="144" w:lineRule="exact"/>
        <w:rPr>
          <w:sz w:val="20"/>
          <w:szCs w:val="20"/>
          <w:color w:val="auto"/>
        </w:rPr>
      </w:pPr>
    </w:p>
    <w:p>
      <w:pPr>
        <w:ind w:left="660" w:hanging="43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consideration is highly susceptible to factors outside the entity’s influence;</w:t>
      </w:r>
    </w:p>
    <w:p>
      <w:pPr>
        <w:spacing w:after="0" w:line="222" w:lineRule="exact"/>
        <w:rPr>
          <w:rFonts w:ascii="Arial" w:cs="Arial" w:eastAsia="Arial" w:hAnsi="Arial"/>
          <w:sz w:val="18"/>
          <w:szCs w:val="18"/>
          <w:color w:val="auto"/>
        </w:rPr>
      </w:pPr>
    </w:p>
    <w:p>
      <w:pPr>
        <w:ind w:left="660" w:hanging="43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uncertainty about the amount of consideration is not expected to be resolved for a long period of time;</w:t>
      </w:r>
    </w:p>
    <w:p>
      <w:pPr>
        <w:spacing w:after="0" w:line="235" w:lineRule="exact"/>
        <w:rPr>
          <w:rFonts w:ascii="Arial" w:cs="Arial" w:eastAsia="Arial" w:hAnsi="Arial"/>
          <w:sz w:val="18"/>
          <w:szCs w:val="18"/>
          <w:color w:val="auto"/>
        </w:rPr>
      </w:pPr>
    </w:p>
    <w:p>
      <w:pPr>
        <w:ind w:left="660" w:hanging="43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Company’s experience (or other evidence) with similar types of contracts is limited, or that experience has limited predictive value; and</w:t>
      </w:r>
    </w:p>
    <w:p>
      <w:pPr>
        <w:spacing w:after="0" w:line="247" w:lineRule="exact"/>
        <w:rPr>
          <w:rFonts w:ascii="Arial" w:cs="Arial" w:eastAsia="Arial" w:hAnsi="Arial"/>
          <w:sz w:val="17"/>
          <w:szCs w:val="17"/>
          <w:color w:val="auto"/>
        </w:rPr>
      </w:pPr>
    </w:p>
    <w:p>
      <w:pPr>
        <w:ind w:left="660" w:hanging="438"/>
        <w:spacing w:after="0" w:line="27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entity has a practice of either offering a broad range of price concessions or changing the payment terms and conditions of similar contracts in similar circumstances.</w:t>
      </w:r>
    </w:p>
    <w:p>
      <w:pPr>
        <w:spacing w:after="0" w:line="14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discussed above, the Company’s significant streams of variable consideration relate to arrangements for the sale of IMAX Theater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spacing w:after="0" w:line="14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6" w:name="page87"/>
    <w:bookmarkEnd w:id="86"/>
    <w:p>
      <w:pPr>
        <w:jc w:val="both"/>
        <w:ind w:firstLine="225"/>
        <w:spacing w:after="0" w:line="269" w:lineRule="auto"/>
        <w:rPr>
          <w:sz w:val="20"/>
          <w:szCs w:val="20"/>
          <w:color w:val="auto"/>
        </w:rPr>
      </w:pPr>
      <w:r>
        <w:rPr>
          <w:rFonts w:ascii="Arial" w:cs="Arial" w:eastAsia="Arial" w:hAnsi="Arial"/>
          <w:sz w:val="17"/>
          <w:szCs w:val="17"/>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theater, which are developed using historical box office data for that theater and, if necessary, comparable theaters and territories. Using this data, management applies its understanding of these theater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is used. The resulting amount of variable consideration is then recorded at its present value as of the date of recognition using a risk-weighted discount rate.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Arrangements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As a lessor, the Company provides IMAX Theater Systems to customers through long-term lease arrangements. Under these arrangements, in exchange for providing the IMAX Theater System, the Company earns fixed upfront and ongoing consideration. A lease arrangement that transfers substantially all of the benefits and risks incident to ownership of the IMAX Theater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spacing w:after="0" w:line="13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w:t>
      </w:r>
    </w:p>
    <w:p>
      <w:pPr>
        <w:spacing w:after="0" w:line="1" w:lineRule="exact"/>
        <w:rPr>
          <w:sz w:val="20"/>
          <w:szCs w:val="20"/>
          <w:color w:val="auto"/>
        </w:rPr>
      </w:pPr>
    </w:p>
    <w:p>
      <w:pPr>
        <w:jc w:val="both"/>
        <w:ind w:firstLine="7"/>
        <w:spacing w:after="0" w:line="280" w:lineRule="auto"/>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w:t>
      </w:r>
    </w:p>
    <w:p>
      <w:pPr>
        <w:ind w:left="260" w:hanging="253"/>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public opening of the theater, provided collectability is reasonably assured.</w:t>
      </w:r>
    </w:p>
    <w:p>
      <w:pPr>
        <w:spacing w:after="0" w:line="18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spacing w:after="0" w:line="14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joint revenue sharing arrangements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spacing w:after="0" w:line="15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On April 10, 2020, the FASB staff issued a question-and-answer document to address stakeholder questions on the application of the lease accounting guidance for lease concessions related to the effects of the COVID-19 pandemic.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Entities do not have to adopt the FASB relief guidance for all lease concessions related to the effects of the COVID-19 pandemic and can choose to apply the FASB relief guidance consistently to leases with similar characteristics and in similar circumstances and should apply reasonable judgment in doing so. The Company elected to account for any such lease concessions as if no change was made to the underlying contracts except for the sales-type leases of which IMAX China is a lessor as they are in different economic environments. The lease concessions for these sales-type leases were accounted for in accordance with the lease modification guidance.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7" w:name="page88"/>
    <w:bookmarkEnd w:id="87"/>
    <w:p>
      <w:pPr>
        <w:ind w:left="240"/>
        <w:spacing w:after="0"/>
        <w:rPr>
          <w:sz w:val="20"/>
          <w:szCs w:val="20"/>
          <w:color w:val="auto"/>
        </w:rPr>
      </w:pPr>
      <w:r>
        <w:rPr>
          <w:rFonts w:ascii="Arial" w:cs="Arial" w:eastAsia="Arial" w:hAnsi="Arial"/>
          <w:sz w:val="18"/>
          <w:szCs w:val="18"/>
          <w:i w:val="1"/>
          <w:iCs w:val="1"/>
          <w:color w:val="auto"/>
        </w:rPr>
        <w:t>Finance Income</w:t>
      </w:r>
    </w:p>
    <w:p>
      <w:pPr>
        <w:spacing w:after="0" w:line="196"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Revenue recognition related to the theater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Improvements and Modifications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Improvements and modifications to an IMAX Theater System after installation are treated as a separate performance obligation, if and when the Company is requested to perform these services. Revenue is recognized for these services once they have been provided.</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and Expenses Applicable to Revenues – Technology Sales</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Cost and Expenses Applicable to Revenues – Technology Sales relates to sales and sales-type leases of IMAX Theater Systems and other equipment, and includes the cost of the equipment and costs related to project management, design, delivery and installation supervision services, as applicable. The costs related to IMAX Theater Systems under sales and sales-type lease arrangements are transferred from Inventories to Costs and Expenses Applicable to Revenues in the period when the sale is recognized in the Consolidated Statements of Operations.</w:t>
      </w:r>
    </w:p>
    <w:p>
      <w:pPr>
        <w:spacing w:after="0" w:line="131"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Theater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and Expenses Applicable to Revenues – Technology Rentals</w:t>
      </w:r>
    </w:p>
    <w:p>
      <w:pPr>
        <w:spacing w:after="0" w:line="182"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Cost and Expenses Applicable to Revenues – Technology Rentals relates to joint revenue sharing arrangements classified as operating leases, and primarily includes the depreciation of theater system components and related equipment used in the joint revenue sharing arrangement. Impairment losses, if any, are also included in Cost and Expenses Applicable to Revenues – Technology Rentals. Sales commissions related to these arrangements are deferred and recognized as Costs and Expenses Applicable to Revenues – Technology Rentals in the month they are earned by the salesperson, which is typically the month of installation. Direct advertising and marketing costs for each theater are charged to Costs and Expenses Applicable to Revenues – Technology Rentals as incurred.</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Terminations, Consensual Buyouts and Concessions</w:t>
      </w:r>
    </w:p>
    <w:p>
      <w:pPr>
        <w:spacing w:after="0" w:line="196"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The Company enters into IMAX Theater System arrangements with customers that contain customer payment obligations prior to the scheduled installation of the theater system. During the period of time between signing and the installation of the IMAX Theater System, which may extend several years, certain customers may be unable to, or may elect not to, proceed with the theater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a consensual buyout, the Company and the customer agree, in writing, to a settlement and to release each other of any further obligations under the arrangement or an arbitrated settlement is reached. Any initial payments retained or additional payments received by the Company are recognized as revenue when the settlement arrangements are executed and the cash is received, respectively.</w:t>
      </w:r>
    </w:p>
    <w:p>
      <w:pPr>
        <w:spacing w:after="0" w:line="12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 addition, the Company may agree with a customer to convert its obligations for one type of IMAX Theater System configuration that has not yet been installed to an arrangement to acquire or lease a different type of IMAX Theater System. The Company considers these situations to be the termination of the original arrangement and the origination of a new arrangement.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8" w:name="page89"/>
    <w:bookmarkEnd w:id="88"/>
    <w:p>
      <w:pPr>
        <w:jc w:val="both"/>
        <w:ind w:firstLine="225"/>
        <w:spacing w:after="0" w:line="257" w:lineRule="auto"/>
        <w:rPr>
          <w:sz w:val="20"/>
          <w:szCs w:val="20"/>
          <w:color w:val="auto"/>
        </w:rPr>
      </w:pPr>
      <w:r>
        <w:rPr>
          <w:rFonts w:ascii="Arial" w:cs="Arial" w:eastAsia="Arial" w:hAnsi="Arial"/>
          <w:sz w:val="18"/>
          <w:szCs w:val="18"/>
          <w:color w:val="auto"/>
        </w:rPr>
        <w:t>The Company may offer certain incentives to customers to complete IMAX Theater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and Extended Warranty Services</w:t>
      </w:r>
    </w:p>
    <w:p>
      <w:pPr>
        <w:spacing w:after="0" w:line="18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Image Enhancement and Maintenance Services in the Consolidated Statements of Operations. Maintenance and extended warranty services includes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 loss on maintenance and extended warranty services is recognized if the expected cost of providing the services under the contract exceeds the related deferred revenue.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 Services</w:t>
      </w:r>
    </w:p>
    <w:p>
      <w:pPr>
        <w:spacing w:after="0" w:line="196"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an IMAX DMR arrangement, the Company receives a percentage of the box office receipts from a third party who owns the copyright to a film in exchange for converting the film into IMAX DMR format and distributing it through the IMAX network. In these arrangements, although the Company does not hold rights to the intellectual property in the form of the film content, it is compensated for the application of its intellectual property in the form of its patented DMR processes to create new intellectual property in the form of an IMAX DMR version of film. Revenues associated with IMAX DMR arrangements qualify for the variable consideration exemption for sales- or usage-based royalties in the relevant accounting guidance and are recognized within Revenues – Image Enhancement and Maintenance Services in the period when the corresponding box office sales occur.</w:t>
      </w:r>
    </w:p>
    <w:p>
      <w:pPr>
        <w:spacing w:after="0" w:line="139"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Losses on IMAX DMR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DMR services.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Film Production Services</w:t>
      </w:r>
    </w:p>
    <w:p>
      <w:pPr>
        <w:spacing w:after="0" w:line="196"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w:t>
      </w:r>
    </w:p>
    <w:p>
      <w:pPr>
        <w:spacing w:after="0" w:line="138"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9" w:name="page90"/>
    <w:bookmarkEnd w:id="89"/>
    <w:p>
      <w:pPr>
        <w:ind w:left="240"/>
        <w:spacing w:after="0"/>
        <w:rPr>
          <w:sz w:val="20"/>
          <w:szCs w:val="20"/>
          <w:color w:val="auto"/>
        </w:rPr>
      </w:pPr>
      <w:r>
        <w:rPr>
          <w:rFonts w:ascii="Arial" w:cs="Arial" w:eastAsia="Arial" w:hAnsi="Arial"/>
          <w:sz w:val="18"/>
          <w:szCs w:val="18"/>
          <w:i w:val="1"/>
          <w:iCs w:val="1"/>
          <w:color w:val="auto"/>
        </w:rPr>
        <w:t>Film Distribution Services</w:t>
      </w:r>
    </w:p>
    <w:p>
      <w:pPr>
        <w:spacing w:after="0" w:line="19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In a Film Distribution arrangement, the Company distributes large-format documentary films, primarily to institutional theaters,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Film Post-Production Services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Revenues from post-production film services are recognized within Revenues – Image Enhancement and Maintenance Services when performance of the contracted services is completed.</w:t>
      </w:r>
    </w:p>
    <w:p>
      <w:pPr>
        <w:spacing w:after="0" w:line="145"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3"/>
          <w:szCs w:val="13"/>
          <w:b w:val="1"/>
          <w:bCs w:val="1"/>
          <w:i w:val="1"/>
          <w:iCs w:val="1"/>
          <w:color w:val="auto"/>
        </w:rPr>
        <w:t>Leases</w:t>
      </w:r>
    </w:p>
    <w:p>
      <w:pPr>
        <w:spacing w:after="0" w:line="182"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As a lessee, the Company’s lease arrangements principally involve office and warehouse space, which are classified as operating leases. The corresponding operating lease right-of-use (“ROU”) assets and liabilities are recorded within Property, Plant and Equipment and Accrued and Other Liabilities in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the leasehold improvements, among other factors.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(See Note 6 for additional information related to the Company’s operating leases.)</w:t>
      </w:r>
    </w:p>
    <w:p>
      <w:pPr>
        <w:spacing w:after="0" w:line="133"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(r)</w:t>
      </w:r>
      <w:r>
        <w:rPr>
          <w:sz w:val="20"/>
          <w:szCs w:val="20"/>
          <w:color w:val="auto"/>
        </w:rPr>
        <w:tab/>
      </w:r>
      <w:r>
        <w:rPr>
          <w:rFonts w:ascii="Arial" w:cs="Arial" w:eastAsia="Arial" w:hAnsi="Arial"/>
          <w:sz w:val="15"/>
          <w:szCs w:val="15"/>
          <w:b w:val="1"/>
          <w:bCs w:val="1"/>
          <w:i w:val="1"/>
          <w:iCs w:val="1"/>
          <w:color w:val="auto"/>
        </w:rPr>
        <w:t>Research and Development</w:t>
      </w:r>
    </w:p>
    <w:p>
      <w:pPr>
        <w:spacing w:after="0" w:line="182"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Research and development costs, which are expensed as incurred, primarily include projector and sound parts, labor, consulting fees, allocation of overheads, and other related materials which pertain to the Company’s development of new products and services. Research and development costs pertaining to fixed and intangible assets that have alternative future uses are capitalized and amortized under their related policies.</w:t>
      </w:r>
    </w:p>
    <w:p>
      <w:pPr>
        <w:spacing w:after="0" w:line="125"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5"/>
          <w:szCs w:val="15"/>
          <w:b w:val="1"/>
          <w:bCs w:val="1"/>
          <w:i w:val="1"/>
          <w:iCs w:val="1"/>
          <w:color w:val="auto"/>
        </w:rPr>
        <w:t>Foreign Currency Translation</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Monetary assets and liabilities that are denominated in a currency other than the entity’s functional currency are translated into the relevant functional currency using the exchange rate prevailing at the end of the period. Foreign exchange translation gains and losses are included in the determination of earnings in the period in which they arise.</w:t>
      </w:r>
    </w:p>
    <w:p>
      <w:pPr>
        <w:spacing w:after="0" w:line="15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Income and reported on the Company’s Consolidated Balance Sheets within Accumulated Other Comprehensive Income until the subsidiary is sold or liquidated, at which point the adjustments are recognized in Consolidated Statements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0" w:name="page91"/>
    <w:bookmarkEnd w:id="90"/>
    <w:p>
      <w:pPr>
        <w:jc w:val="both"/>
        <w:ind w:firstLine="225"/>
        <w:spacing w:after="0" w:line="255" w:lineRule="auto"/>
        <w:rPr>
          <w:sz w:val="20"/>
          <w:szCs w:val="20"/>
          <w:color w:val="auto"/>
        </w:rPr>
      </w:pPr>
      <w:r>
        <w:rPr>
          <w:rFonts w:ascii="Arial" w:cs="Arial" w:eastAsia="Arial" w:hAnsi="Arial"/>
          <w:sz w:val="18"/>
          <w:szCs w:val="18"/>
          <w:color w:val="auto"/>
        </w:rPr>
        <w:t>Foreign currency derivatives are recognized and measured in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Income and reclassified to the Consolidated Statements of Operations when the forecasted transaction occurs. Any ineffective portion is recognized immediately in the Consolidated Statements of Operations.</w:t>
      </w:r>
    </w:p>
    <w:p>
      <w:pPr>
        <w:spacing w:after="0" w:line="162" w:lineRule="exact"/>
        <w:rPr>
          <w:sz w:val="20"/>
          <w:szCs w:val="20"/>
          <w:color w:val="auto"/>
        </w:rPr>
      </w:pPr>
    </w:p>
    <w:p>
      <w:pPr>
        <w:ind w:left="580" w:hanging="358"/>
        <w:spacing w:after="0"/>
        <w:tabs>
          <w:tab w:leader="none" w:pos="5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17. The IMAX LTIP is the Company’s governing document and awards to employees, directors, and consultants under this plan may consist of stock options, restricted share units (“RSUs”), performance stock units (“PSUs”) and other awards. A separate stock option plan, the China LTIP, was adopted by a subsidiary of the Company in October 2012.</w:t>
      </w:r>
    </w:p>
    <w:p>
      <w:pPr>
        <w:spacing w:after="0" w:line="149"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measures share-based compensation expense using the grant date fair value of the award (see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19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26"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17(c) for the assumptions used to determine the fair value of the Company’s stock options.)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Units</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w:t>
      </w:r>
    </w:p>
    <w:p>
      <w:pPr>
        <w:spacing w:after="0" w:line="196"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share-price targets. The Company’s PSUs are classified as equity.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1" w:name="page92"/>
    <w:bookmarkEnd w:id="91"/>
    <w:p>
      <w:pPr>
        <w:jc w:val="both"/>
        <w:ind w:firstLine="225"/>
        <w:spacing w:after="0" w:line="255"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6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dollar value of the PSUs granted.</w:t>
      </w:r>
    </w:p>
    <w:p>
      <w:pPr>
        <w:spacing w:after="0" w:line="14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Payment Awards to Non-Employees</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132"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5"/>
          <w:szCs w:val="15"/>
          <w:b w:val="1"/>
          <w:bCs w:val="1"/>
          <w:i w:val="1"/>
          <w:iCs w:val="1"/>
          <w:color w:val="auto"/>
        </w:rPr>
        <w:t>Pension Plans and Postretirement Benefits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has a defined benefit pension plan, the Supplemental Executive Retirement Plan (the “SERP”). As the Company’s SERP is unfunded, as of December 31, 2021, a liability is recognized for the benefit obligation.</w:t>
      </w:r>
    </w:p>
    <w:p>
      <w:pPr>
        <w:spacing w:after="0" w:line="131"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Income. Amounts recognized in Accumulated Other Comprehensive Income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2021 was 1.0 year.</w:t>
      </w:r>
    </w:p>
    <w:p>
      <w:pPr>
        <w:spacing w:after="0" w:line="14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defined contribution pension plans, required contributions by the Company are recorded as an expense within Selling, General and Administrative Expenses in the Company’s Consolidated Statements of Operations.</w:t>
      </w:r>
    </w:p>
    <w:p>
      <w:pPr>
        <w:spacing w:after="0" w:line="13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Income. Amounts recognized in Accumulated Other Comprehensive Income including unrecognized actuarial gains or losses are adjusted as they are subsequently recognized within Retirement Benefits Non-Service Expense in the Consolidated Statements of Operations.</w:t>
      </w:r>
    </w:p>
    <w:p>
      <w:pPr>
        <w:spacing w:after="0" w:line="139"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5"/>
          <w:szCs w:val="15"/>
          <w:b w:val="1"/>
          <w:bCs w:val="1"/>
          <w:i w:val="1"/>
          <w:iCs w:val="1"/>
          <w:color w:val="auto"/>
        </w:rPr>
        <w:t>Guarantees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situations when the Company acts as a guarantor, at the inception of a guarantee, it recognizes a liability for the fair value of the underlying guarantee.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Disclosures as required under the relevant accounting guidance have been included in Note 16(d).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4. Recently Issued Accounting Standards Not Yet Adopted</w:t>
      </w:r>
    </w:p>
    <w:p>
      <w:pPr>
        <w:spacing w:after="0" w:line="200"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The amendments are effective for all entities from the beginning of an interim period that includes the issuance date of ASU 2020-04. An entity may elect to apply the amendments prospectively through December 31, 2022. The only contract held by the Company that references the London Interbank Offered Rate (LIBOR) is the Credit Agreement (as defined in Note 14), which utilizes USD LIBOR to determine the interest rate applicable to borrowings. The Credit Agreement matures on June 28, 2023, prior to the date that USD LIBOR rates will cease publication on June 30, 2023. Accordingly, the Company does not expect ASU 2020-04 to have a material effect on its Consolidated Financial Statements.</w:t>
      </w:r>
    </w:p>
    <w:p>
      <w:pPr>
        <w:spacing w:after="0" w:line="14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July 2021, the FASB issued ASU No. 2021-05, “Leases (Topic 842): Lessors - Certain Leases with Variable Lease Payments” (“ASU 2021-05”), which requires sales-type or direct financing leases that have variable payments (that do not depend on a rate or an index) and result in a day-one loss to be classified as operating leases. When a lease is classified as operating, the lessor does not recognize a net investment in the lease, does not derecognize the underlying asset, and, therefore, does not recognize a selling profit or loss. The amendments are effective for annual periods beginning after December 15, 2021 including interim periods within those periods. Early adoption is permitted. The Company has not yet adopted ASU 2021-05, but has determined that the impact of adopting this guidance will not have a material impact on its Consolidated Financial Statements.</w:t>
      </w:r>
    </w:p>
    <w:p>
      <w:pPr>
        <w:spacing w:after="0" w:line="13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November 2021, the FASB issued ASU No. 2021-10, “2021-10: Government Assistance (Topic 832): Disclosures by Business Entities about Government Assistance” (“ASU 2021-10”). The amendments in ASU 2021-10 require annual disclosures about transactions with a government that are accounted for by applying a grant or contribution accounting model by analogy. The amendments are effective for annual periods beginning after December 15, 2021. Early adoption is permitted. The Company will adopt ASU 2021-10 for the year ending December 31, 2022 and will provide the required disclosures, if material.</w:t>
      </w:r>
    </w:p>
    <w:p>
      <w:pPr>
        <w:spacing w:after="0" w:line="16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considers the applicability and impact of all recently issued FASB accounting standard codification updates. Accounting standards updates that are not noted above were assessed and determined to be not applicable or not significant to the Company’s Consolidated Financial Statements for the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Receivables</w:t>
      </w:r>
    </w:p>
    <w:p>
      <w:pPr>
        <w:spacing w:after="0" w:line="18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The ability of the Company to collect its receivables is dependent on the viability and solvency of individual theater operators which is significantly influenced by consumer behavior and general economic conditions. Theater operators, or other customers, may experience financial difficulties, such as those caused by the COVID-19 pandemic, that could result in their being unable to fulfill their payment obligations to the Company.</w:t>
      </w:r>
    </w:p>
    <w:p>
      <w:pPr>
        <w:spacing w:after="0" w:line="138"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39" w:lineRule="exact"/>
        <w:rPr>
          <w:sz w:val="20"/>
          <w:szCs w:val="20"/>
          <w:color w:val="auto"/>
        </w:rPr>
      </w:pPr>
    </w:p>
    <w:p>
      <w:pPr>
        <w:ind w:left="960" w:hanging="362"/>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Good Standing — The theater operator continues to be in good standing as payments and reporting are received on a regular basis.</w:t>
      </w:r>
    </w:p>
    <w:p>
      <w:pPr>
        <w:spacing w:after="0" w:line="193" w:lineRule="exact"/>
        <w:rPr>
          <w:rFonts w:ascii="Arial" w:cs="Arial" w:eastAsia="Arial" w:hAnsi="Arial"/>
          <w:sz w:val="17"/>
          <w:szCs w:val="17"/>
          <w:color w:val="auto"/>
        </w:rPr>
      </w:pPr>
    </w:p>
    <w:p>
      <w:pPr>
        <w:jc w:val="both"/>
        <w:ind w:left="960" w:hanging="362"/>
        <w:spacing w:after="0" w:line="255"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3" w:name="page94"/>
    <w:bookmarkEnd w:id="93"/>
    <w:p>
      <w:pPr>
        <w:jc w:val="both"/>
        <w:ind w:left="960" w:hanging="362"/>
        <w:spacing w:after="0" w:line="274" w:lineRule="auto"/>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32" w:lineRule="exact"/>
        <w:rPr>
          <w:rFonts w:ascii="Arial" w:cs="Arial" w:eastAsia="Arial" w:hAnsi="Arial"/>
          <w:sz w:val="17"/>
          <w:szCs w:val="17"/>
          <w:color w:val="auto"/>
        </w:rPr>
      </w:pPr>
    </w:p>
    <w:p>
      <w:pPr>
        <w:jc w:val="both"/>
        <w:ind w:left="960" w:hanging="362"/>
        <w:spacing w:after="0" w:line="309"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08"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16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43"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write-off of any billed receivable balance requires the approval of management.</w:t>
      </w:r>
    </w:p>
    <w:p>
      <w:pPr>
        <w:spacing w:after="0" w:line="14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both"/>
        <w:ind w:firstLine="225"/>
        <w:spacing w:after="0" w:line="274" w:lineRule="auto"/>
        <w:rPr>
          <w:sz w:val="20"/>
          <w:szCs w:val="20"/>
          <w:color w:val="auto"/>
        </w:rPr>
      </w:pPr>
      <w:r>
        <w:rPr>
          <w:rFonts w:ascii="Arial" w:cs="Arial" w:eastAsia="Arial" w:hAnsi="Arial"/>
          <w:sz w:val="18"/>
          <w:szCs w:val="18"/>
          <w:color w:val="auto"/>
        </w:rPr>
        <w:t>The following tables summarize the activity in the Allowance for Credit Losses related to Accounts Receivable for the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 2021</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right="296"/>
              <w:spacing w:after="0" w:line="132"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Studios</w:t>
            </w:r>
          </w:p>
        </w:tc>
        <w:tc>
          <w:tcPr>
            <w:tcW w:w="320" w:type="dxa"/>
            <w:vAlign w:val="bottom"/>
          </w:tcPr>
          <w:p>
            <w:pPr>
              <w:spacing w:after="0"/>
              <w:rPr>
                <w:sz w:val="11"/>
                <w:szCs w:val="11"/>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128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4"/>
                <w:szCs w:val="14"/>
                <w:color w:val="auto"/>
              </w:rPr>
            </w:pPr>
          </w:p>
        </w:tc>
        <w:tc>
          <w:tcPr>
            <w:tcW w:w="1340" w:type="dxa"/>
            <w:vAlign w:val="bottom"/>
          </w:tcPr>
          <w:p>
            <w:pPr>
              <w:jc w:val="center"/>
              <w:ind w:right="316"/>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8,368</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4,481</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1,446</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8"/>
        </w:trPr>
        <w:tc>
          <w:tcPr>
            <w:tcW w:w="4320" w:type="dxa"/>
            <w:vAlign w:val="bottom"/>
          </w:tcPr>
          <w:p>
            <w:pPr>
              <w:ind w:left="120"/>
              <w:spacing w:after="0"/>
              <w:rPr>
                <w:sz w:val="20"/>
                <w:szCs w:val="20"/>
                <w:color w:val="auto"/>
              </w:rPr>
            </w:pPr>
            <w:r>
              <w:rPr>
                <w:rFonts w:ascii="Arial" w:cs="Arial" w:eastAsia="Arial" w:hAnsi="Arial"/>
                <w:sz w:val="18"/>
                <w:szCs w:val="18"/>
                <w:color w:val="auto"/>
              </w:rPr>
              <w:t>Current period provision (reversal), net</w:t>
            </w:r>
          </w:p>
        </w:tc>
        <w:tc>
          <w:tcPr>
            <w:tcW w:w="26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8,867</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1,994</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 2020</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right="296"/>
              <w:spacing w:after="0" w:line="132"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Studios</w:t>
            </w:r>
          </w:p>
        </w:tc>
        <w:tc>
          <w:tcPr>
            <w:tcW w:w="320" w:type="dxa"/>
            <w:vAlign w:val="bottom"/>
          </w:tcPr>
          <w:p>
            <w:pPr>
              <w:spacing w:after="0"/>
              <w:rPr>
                <w:sz w:val="11"/>
                <w:szCs w:val="11"/>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128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4"/>
                <w:szCs w:val="14"/>
                <w:color w:val="auto"/>
              </w:rPr>
            </w:pPr>
          </w:p>
        </w:tc>
        <w:tc>
          <w:tcPr>
            <w:tcW w:w="1340" w:type="dxa"/>
            <w:vAlign w:val="bottom"/>
          </w:tcPr>
          <w:p>
            <w:pPr>
              <w:jc w:val="center"/>
              <w:ind w:right="316"/>
              <w:spacing w:after="0"/>
              <w:rPr>
                <w:sz w:val="20"/>
                <w:szCs w:val="20"/>
                <w:color w:val="auto"/>
              </w:rPr>
            </w:pPr>
            <w:r>
              <w:rPr>
                <w:rFonts w:ascii="Arial" w:cs="Arial" w:eastAsia="Arial" w:hAnsi="Arial"/>
                <w:sz w:val="14"/>
                <w:szCs w:val="14"/>
                <w:b w:val="1"/>
                <w:bCs w:val="1"/>
                <w:color w:val="auto"/>
                <w:w w:val="92"/>
              </w:rPr>
              <w:t>Operators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3,302</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893</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943</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8"/>
        </w:trPr>
        <w:tc>
          <w:tcPr>
            <w:tcW w:w="4320" w:type="dxa"/>
            <w:vAlign w:val="bottom"/>
          </w:tcPr>
          <w:p>
            <w:pPr>
              <w:ind w:left="120"/>
              <w:spacing w:after="0"/>
              <w:rPr>
                <w:sz w:val="20"/>
                <w:szCs w:val="20"/>
                <w:color w:val="auto"/>
              </w:rPr>
            </w:pPr>
            <w:r>
              <w:rPr>
                <w:rFonts w:ascii="Arial" w:cs="Arial" w:eastAsia="Arial" w:hAnsi="Arial"/>
                <w:sz w:val="18"/>
                <w:szCs w:val="18"/>
                <w:color w:val="auto"/>
              </w:rPr>
              <w:t>Current period provision, net</w:t>
            </w:r>
          </w:p>
        </w:tc>
        <w:tc>
          <w:tcPr>
            <w:tcW w:w="26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5,793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3,393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9,708</w:t>
            </w: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2"/>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8,368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4,481</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1,446</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2021, the Company’s allowance for current expected credit losses related to Accounts Receivable decreased by $2.3 million. This decrease is principally due to improved collection experience with respect to foreign studio receivable balances, partially offset by new provisions recorded in the period.</w:t>
      </w:r>
    </w:p>
    <w:p>
      <w:pPr>
        <w:spacing w:after="0" w:line="35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2020, the Company’s allowance for current expected credit losses related to Accounts Receivable increased by $9.2 million, principally reflecting a reduction in the credit quality of and heightened collection risk associated with theater and foreign movie studio accounts receivable primarily due to the COVID-19 pandemic.</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2"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Financing receivables are due from theater operators and consist of the Company’s net investment in sales-type leases and receivables associated with financed sales of IMAX Theater Systems. As of December 31, 2021 and 2020, financing receivables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6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2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2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29,953</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20,830</w:t>
            </w:r>
          </w:p>
        </w:tc>
        <w:tc>
          <w:tcPr>
            <w:tcW w:w="0" w:type="dxa"/>
            <w:vAlign w:val="bottom"/>
          </w:tcPr>
          <w:p>
            <w:pPr>
              <w:spacing w:after="0"/>
              <w:rPr>
                <w:sz w:val="1"/>
                <w:szCs w:val="1"/>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w w:val="97"/>
              </w:rPr>
              <w:t>Present value of minimum payments due under sales-type leases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29,190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19,971</w:t>
            </w:r>
          </w:p>
        </w:tc>
        <w:tc>
          <w:tcPr>
            <w:tcW w:w="0" w:type="dxa"/>
            <w:vAlign w:val="bottom"/>
          </w:tcPr>
          <w:p>
            <w:pPr>
              <w:spacing w:after="0"/>
              <w:rPr>
                <w:sz w:val="1"/>
                <w:szCs w:val="1"/>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2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28,392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22"/>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2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152,315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150,917</w:t>
            </w:r>
          </w:p>
        </w:tc>
        <w:tc>
          <w:tcPr>
            <w:tcW w:w="0" w:type="dxa"/>
            <w:vAlign w:val="bottom"/>
          </w:tcPr>
          <w:p>
            <w:pPr>
              <w:spacing w:after="0"/>
              <w:rPr>
                <w:sz w:val="1"/>
                <w:szCs w:val="1"/>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(31,247)</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118,071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119,670</w:t>
            </w:r>
          </w:p>
        </w:tc>
        <w:tc>
          <w:tcPr>
            <w:tcW w:w="0" w:type="dxa"/>
            <w:vAlign w:val="bottom"/>
          </w:tcPr>
          <w:p>
            <w:pPr>
              <w:spacing w:after="0"/>
              <w:rPr>
                <w:sz w:val="1"/>
                <w:szCs w:val="1"/>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2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112,657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112,396</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2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141,049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131,810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8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2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29,115</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34,937</w:t>
            </w:r>
          </w:p>
        </w:tc>
        <w:tc>
          <w:tcPr>
            <w:tcW w:w="0" w:type="dxa"/>
            <w:vAlign w:val="bottom"/>
          </w:tcPr>
          <w:p>
            <w:pPr>
              <w:spacing w:after="0"/>
              <w:rPr>
                <w:sz w:val="1"/>
                <w:szCs w:val="1"/>
                <w:color w:val="auto"/>
              </w:rPr>
            </w:pPr>
          </w:p>
        </w:tc>
      </w:tr>
      <w:tr>
        <w:trPr>
          <w:trHeight w:val="228"/>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2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83,542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77,459</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26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112,657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112,396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80" w:type="dxa"/>
            <w:vAlign w:val="bottom"/>
            <w:vMerge w:val="restart"/>
          </w:tcPr>
          <w:p>
            <w:pPr>
              <w:jc w:val="right"/>
              <w:ind w:right="1951"/>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0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8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5" w:name="page96"/>
    <w:bookmarkEnd w:id="95"/>
    <w:p>
      <w:pPr>
        <w:ind w:firstLine="225"/>
        <w:spacing w:after="0" w:line="274" w:lineRule="auto"/>
        <w:rPr>
          <w:sz w:val="20"/>
          <w:szCs w:val="20"/>
          <w:color w:val="auto"/>
        </w:rPr>
      </w:pPr>
      <w:r>
        <w:rPr>
          <w:rFonts w:ascii="Arial" w:cs="Arial" w:eastAsia="Arial" w:hAnsi="Arial"/>
          <w:sz w:val="18"/>
          <w:szCs w:val="18"/>
          <w:color w:val="auto"/>
        </w:rPr>
        <w:t>As of December 31, 2021 and 2020, the weighted-average remaining lease term and weighted-average interest rate associated with the Company’s sales-type lease arrangements and financed sale receivables, as applicable,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500" w:type="dxa"/>
            <w:vAlign w:val="bottom"/>
          </w:tcPr>
          <w:p>
            <w:pPr>
              <w:jc w:val="right"/>
              <w:ind w:right="13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200"/>
        </w:trPr>
        <w:tc>
          <w:tcPr>
            <w:tcW w:w="768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r>
      <w:tr>
        <w:trPr>
          <w:trHeight w:val="222"/>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8"/>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8"/>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jc w:val="both"/>
        <w:ind w:firstLine="225"/>
        <w:spacing w:after="0" w:line="339" w:lineRule="auto"/>
        <w:rPr>
          <w:sz w:val="20"/>
          <w:szCs w:val="20"/>
          <w:color w:val="auto"/>
        </w:rPr>
      </w:pPr>
      <w:r>
        <w:rPr>
          <w:rFonts w:ascii="Arial" w:cs="Arial" w:eastAsia="Arial" w:hAnsi="Arial"/>
          <w:sz w:val="16"/>
          <w:szCs w:val="16"/>
          <w:color w:val="auto"/>
        </w:rPr>
        <w:t>The tables below provide information on the Company’s net investment in leases by credit quality indicator as of December 31, 2021 and 2020. The amounts disclosed for each credit quality classification are determined on a customer-by-customer basis and include both billed and unbilled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2"/>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22"/>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8"/>
                <w:szCs w:val="18"/>
                <w:color w:val="auto"/>
              </w:rPr>
              <w:t>Credit quality classification: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11,030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42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7,973</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823</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1,928</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28,319</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871</w:t>
            </w:r>
          </w:p>
        </w:tc>
      </w:tr>
      <w:tr>
        <w:trPr>
          <w:trHeight w:val="222"/>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11,030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7,973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2,799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29,190</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37"/>
        </w:trPr>
        <w:tc>
          <w:tcPr>
            <w:tcW w:w="34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22"/>
        </w:trPr>
        <w:tc>
          <w:tcPr>
            <w:tcW w:w="3400" w:type="dxa"/>
            <w:vAlign w:val="bottom"/>
          </w:tcPr>
          <w:p>
            <w:pPr>
              <w:spacing w:after="0"/>
              <w:rPr>
                <w:sz w:val="20"/>
                <w:szCs w:val="20"/>
                <w:color w:val="auto"/>
              </w:rPr>
            </w:pPr>
            <w:r>
              <w:rPr>
                <w:rFonts w:ascii="Arial" w:cs="Arial" w:eastAsia="Arial" w:hAnsi="Arial"/>
                <w:sz w:val="18"/>
                <w:szCs w:val="18"/>
                <w:b w:val="1"/>
                <w:bCs w:val="1"/>
                <w:color w:val="auto"/>
              </w:rPr>
              <w:t>Net investment in leases: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Credit quality classification: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In good standing</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1,190</w:t>
            </w:r>
          </w:p>
        </w:tc>
        <w:tc>
          <w:tcPr>
            <w:tcW w:w="4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2,730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1,826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7,889</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Credit Watch</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11,318</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Pre-approved transactions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Transactions suspended</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764</w:t>
            </w:r>
          </w:p>
        </w:tc>
      </w:tr>
      <w:tr>
        <w:trPr>
          <w:trHeight w:val="222"/>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net investment in leases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19,971</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25"/>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96</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4"/>
        </w:trPr>
        <w:tc>
          <w:tcPr>
            <w:tcW w:w="3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6" w:name="page97"/>
    <w:bookmarkEnd w:id="96"/>
    <w:p>
      <w:pPr>
        <w:ind w:firstLine="225"/>
        <w:spacing w:after="0" w:line="339" w:lineRule="auto"/>
        <w:rPr>
          <w:sz w:val="20"/>
          <w:szCs w:val="20"/>
          <w:color w:val="auto"/>
        </w:rPr>
      </w:pPr>
      <w:r>
        <w:rPr>
          <w:rFonts w:ascii="Arial" w:cs="Arial" w:eastAsia="Arial" w:hAnsi="Arial"/>
          <w:sz w:val="16"/>
          <w:szCs w:val="16"/>
          <w:color w:val="auto"/>
        </w:rPr>
        <w:t>The tables below provide information on the Company’s financed sale receivables by credit quality indicator as of December 31, 2021 and 2020. The amounts disclosed for each credit quality classification are determined on a customer-by-customer basis and include both billed and unbilled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22"/>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8"/>
                <w:szCs w:val="18"/>
                <w:color w:val="auto"/>
              </w:rPr>
              <w:t>Credit quality classification: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12,520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8,251</w:t>
            </w:r>
          </w:p>
        </w:tc>
        <w:tc>
          <w:tcPr>
            <w:tcW w:w="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10,593</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13,278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12,615</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47,950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105,207</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1,613</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6,909</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4,342</w:t>
            </w:r>
          </w:p>
        </w:tc>
      </w:tr>
      <w:tr>
        <w:trPr>
          <w:trHeight w:val="222"/>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12,520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11,671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13,696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56,219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118,071</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37"/>
        </w:trPr>
        <w:tc>
          <w:tcPr>
            <w:tcW w:w="34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22"/>
        </w:trPr>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Financed sales receivables: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28"/>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Credit quality classification: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In good standing</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5,480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3,547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5,072</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12,660</w:t>
            </w:r>
          </w:p>
        </w:tc>
        <w:tc>
          <w:tcPr>
            <w:tcW w:w="12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37,329</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Credit Watch</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11,356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12,520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11,446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34,351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78,160</w:t>
            </w:r>
          </w:p>
        </w:tc>
      </w:tr>
      <w:tr>
        <w:trPr>
          <w:trHeight w:val="228"/>
        </w:trPr>
        <w:tc>
          <w:tcPr>
            <w:tcW w:w="3400" w:type="dxa"/>
            <w:vAlign w:val="bottom"/>
          </w:tcPr>
          <w:p>
            <w:pPr>
              <w:ind w:left="120"/>
              <w:spacing w:after="0"/>
              <w:rPr>
                <w:sz w:val="20"/>
                <w:szCs w:val="20"/>
                <w:color w:val="auto"/>
              </w:rPr>
            </w:pPr>
            <w:r>
              <w:rPr>
                <w:rFonts w:ascii="Arial" w:cs="Arial" w:eastAsia="Arial" w:hAnsi="Arial"/>
                <w:sz w:val="18"/>
                <w:szCs w:val="18"/>
                <w:color w:val="auto"/>
              </w:rPr>
              <w:t>Pre-approved transactions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1,368</w:t>
            </w:r>
          </w:p>
        </w:tc>
      </w:tr>
      <w:tr>
        <w:trPr>
          <w:trHeight w:val="228"/>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Transactions suspended</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2,813</w:t>
            </w:r>
          </w:p>
        </w:tc>
      </w:tr>
      <w:tr>
        <w:trPr>
          <w:trHeight w:val="222"/>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14,903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17,859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48,864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119,670</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tables provide an aging analysis for the Company’s net investment in leases and financed sale receivables as of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As of December 31, 2021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60"/>
              <w:spacing w:after="0" w:line="132"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2"/>
              </w:rPr>
              <w:t>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1"/>
                <w:szCs w:val="11"/>
                <w:color w:val="auto"/>
              </w:rPr>
            </w:pPr>
          </w:p>
        </w:tc>
        <w:tc>
          <w:tcPr>
            <w:tcW w:w="9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0"/>
              <w:spacing w:after="0" w:line="148"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Unbilled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7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80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Days</w:t>
            </w: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1,648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27,542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29,190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11,117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106,954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118,071</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8"/>
              </w:rPr>
              <w:t>112,657</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134,496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147,261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8"/>
              </w:rPr>
              <w:t>141,049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As of December 31, 2020</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60"/>
              <w:spacing w:after="0" w:line="132"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2"/>
              </w:rPr>
              <w:t>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1"/>
                <w:szCs w:val="11"/>
                <w:color w:val="auto"/>
              </w:rPr>
            </w:pPr>
          </w:p>
        </w:tc>
        <w:tc>
          <w:tcPr>
            <w:tcW w:w="9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0"/>
              <w:spacing w:after="0" w:line="148"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Unbilled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7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80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Days</w:t>
            </w: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Days</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18,804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19,971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28"/>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10,699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15,949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103,721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119,670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8"/>
              </w:rPr>
              <w:t>112,396</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17,116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122,525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139,641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8"/>
              </w:rPr>
              <w:t>131,810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297"/>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7" w:name="page98"/>
    <w:bookmarkEnd w:id="97"/>
    <w:p>
      <w:pPr>
        <w:jc w:val="both"/>
        <w:ind w:firstLine="225"/>
        <w:spacing w:after="0" w:line="261" w:lineRule="auto"/>
        <w:rPr>
          <w:sz w:val="20"/>
          <w:szCs w:val="20"/>
          <w:color w:val="auto"/>
        </w:rPr>
      </w:pPr>
      <w:r>
        <w:rPr>
          <w:rFonts w:ascii="Arial" w:cs="Arial" w:eastAsia="Arial" w:hAnsi="Arial"/>
          <w:sz w:val="18"/>
          <w:szCs w:val="18"/>
          <w:color w:val="auto"/>
        </w:rPr>
        <w:t>The following tables provide information about the Company’s net investment in leases and financed sale receivables with billed amounts past due for which it continues to accrue finance income as of December 31, 2021 and 2020. The amounts disclosed for each credit quality classification are determined on a customer-by-customer basis and include both billed and unbilled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200"/>
              <w:spacing w:after="0" w:line="132"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90+ Days</w:t>
            </w:r>
          </w:p>
        </w:tc>
        <w:tc>
          <w:tcPr>
            <w:tcW w:w="180" w:type="dxa"/>
            <w:vAlign w:val="bottom"/>
          </w:tcPr>
          <w:p>
            <w:pPr>
              <w:spacing w:after="0"/>
              <w:rPr>
                <w:sz w:val="12"/>
                <w:szCs w:val="12"/>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Unbilled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12,619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28"/>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41,439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47,904</w:t>
            </w:r>
          </w:p>
        </w:tc>
        <w:tc>
          <w:tcPr>
            <w:tcW w:w="0" w:type="dxa"/>
            <w:vAlign w:val="bottom"/>
          </w:tcPr>
          <w:p>
            <w:pPr>
              <w:spacing w:after="0"/>
              <w:rPr>
                <w:sz w:val="1"/>
                <w:szCs w:val="1"/>
                <w:color w:val="auto"/>
              </w:rPr>
            </w:pPr>
          </w:p>
        </w:tc>
      </w:tr>
      <w:tr>
        <w:trPr>
          <w:trHeight w:val="222"/>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54,058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61,447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200"/>
              <w:spacing w:after="0" w:line="132"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90+ Days</w:t>
            </w:r>
          </w:p>
        </w:tc>
        <w:tc>
          <w:tcPr>
            <w:tcW w:w="180" w:type="dxa"/>
            <w:vAlign w:val="bottom"/>
          </w:tcPr>
          <w:p>
            <w:pPr>
              <w:spacing w:after="0"/>
              <w:rPr>
                <w:sz w:val="12"/>
                <w:szCs w:val="12"/>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Unbilled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13,912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28"/>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10,249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62,602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71,994</w:t>
            </w:r>
          </w:p>
        </w:tc>
        <w:tc>
          <w:tcPr>
            <w:tcW w:w="0" w:type="dxa"/>
            <w:vAlign w:val="bottom"/>
          </w:tcPr>
          <w:p>
            <w:pPr>
              <w:spacing w:after="0"/>
              <w:rPr>
                <w:sz w:val="1"/>
                <w:szCs w:val="1"/>
                <w:color w:val="auto"/>
              </w:rPr>
            </w:pPr>
          </w:p>
        </w:tc>
      </w:tr>
      <w:tr>
        <w:trPr>
          <w:trHeight w:val="222"/>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10,608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76,514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86,348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00"/>
              <w:spacing w:after="0"/>
              <w:rPr>
                <w:sz w:val="20"/>
                <w:szCs w:val="20"/>
                <w:color w:val="auto"/>
              </w:rPr>
            </w:pPr>
            <w:r>
              <w:rPr>
                <w:rFonts w:ascii="Arial" w:cs="Arial" w:eastAsia="Arial" w:hAnsi="Arial"/>
                <w:sz w:val="14"/>
                <w:szCs w:val="14"/>
                <w:b w:val="1"/>
                <w:bCs w:val="1"/>
                <w:color w:val="auto"/>
                <w:w w:val="90"/>
              </w:rPr>
              <w:t>As of December 31, 2021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520"/>
              <w:spacing w:after="0"/>
              <w:rPr>
                <w:sz w:val="20"/>
                <w:szCs w:val="20"/>
                <w:color w:val="auto"/>
              </w:rPr>
            </w:pPr>
            <w:r>
              <w:rPr>
                <w:rFonts w:ascii="Arial" w:cs="Arial" w:eastAsia="Arial" w:hAnsi="Arial"/>
                <w:sz w:val="14"/>
                <w:szCs w:val="14"/>
                <w:b w:val="1"/>
                <w:bCs w:val="1"/>
                <w:color w:val="auto"/>
                <w:w w:val="90"/>
              </w:rPr>
              <w:t>As of December 31, 2020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1"/>
                <w:szCs w:val="11"/>
                <w:color w:val="auto"/>
              </w:rPr>
            </w:pPr>
          </w:p>
        </w:tc>
        <w:tc>
          <w:tcPr>
            <w:tcW w:w="900" w:type="dxa"/>
            <w:vAlign w:val="bottom"/>
          </w:tcPr>
          <w:p>
            <w:pPr>
              <w:jc w:val="center"/>
              <w:ind w:right="140"/>
              <w:spacing w:after="0" w:line="132"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5"/>
              </w:rPr>
              <w:t>Recorded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0"/>
              <w:spacing w:after="0" w:line="132"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for Credit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60"/>
              <w:spacing w:after="0" w:line="148" w:lineRule="exact"/>
              <w:rPr>
                <w:sz w:val="20"/>
                <w:szCs w:val="20"/>
                <w:color w:val="auto"/>
              </w:rPr>
            </w:pPr>
            <w:r>
              <w:rPr>
                <w:rFonts w:ascii="Arial" w:cs="Arial" w:eastAsia="Arial" w:hAnsi="Arial"/>
                <w:sz w:val="14"/>
                <w:szCs w:val="14"/>
                <w:b w:val="1"/>
                <w:bCs w:val="1"/>
                <w:color w:val="auto"/>
                <w:w w:val="98"/>
              </w:rPr>
              <w:t>for Credit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40"/>
              <w:spacing w:after="0"/>
              <w:rPr>
                <w:sz w:val="20"/>
                <w:szCs w:val="20"/>
                <w:color w:val="auto"/>
              </w:rPr>
            </w:pPr>
            <w:r>
              <w:rPr>
                <w:rFonts w:ascii="Arial" w:cs="Arial" w:eastAsia="Arial" w:hAnsi="Arial"/>
                <w:sz w:val="14"/>
                <w:szCs w:val="14"/>
                <w:b w:val="1"/>
                <w:bCs w:val="1"/>
                <w:color w:val="auto"/>
                <w:w w:val="90"/>
              </w:rPr>
              <w:t>Receivable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764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8"/>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8,642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6,285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2"/>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9,513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For the year ended December 31, 2021, the Company recognized $0.1 million (2020 — $0.2 million) in Finance Income related to the net investment in leases with billed amounts past due. For the year ended December 31, 2021, the Company recognized $nil (2020 – less than $0.1 million) in Finance Income related to the net investment in leases in nonaccrual status. For the year ended December 31, 2021, the Company recognized $3.7 million (2020 — $5.7 million) in Finance Income related to the financed sale receivables with billed amounts past due. For the year ended December 31, 2021, the Company recognized $0.2 million (2020 – less than $0.1 million) in Finance Income related to the financed sales receivables in nonaccrual status.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98" w:name="page99"/>
    <w:bookmarkEnd w:id="98"/>
    <w:p>
      <w:pPr>
        <w:jc w:val="both"/>
        <w:ind w:firstLine="225"/>
        <w:spacing w:after="0" w:line="274" w:lineRule="auto"/>
        <w:rPr>
          <w:sz w:val="20"/>
          <w:szCs w:val="20"/>
          <w:color w:val="auto"/>
        </w:rPr>
      </w:pPr>
      <w:r>
        <w:rPr>
          <w:rFonts w:ascii="Arial" w:cs="Arial" w:eastAsia="Arial" w:hAnsi="Arial"/>
          <w:sz w:val="18"/>
          <w:szCs w:val="18"/>
          <w:color w:val="auto"/>
        </w:rPr>
        <w:t>The following tables summarize the activity in the allowance for credit losses related to the Company’s net investment in leases and financed sale receivables for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98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4"/>
                <w:szCs w:val="14"/>
                <w:b w:val="1"/>
                <w:bCs w:val="1"/>
                <w:color w:val="auto"/>
              </w:rPr>
              <w:t>Year Ended December 31, 2021</w:t>
            </w:r>
          </w:p>
        </w:tc>
        <w:tc>
          <w:tcPr>
            <w:tcW w:w="600" w:type="dxa"/>
            <w:vAlign w:val="bottom"/>
            <w:tcBorders>
              <w:bottom w:val="single" w:sz="8" w:color="auto"/>
            </w:tcBorders>
          </w:tcPr>
          <w:p>
            <w:pPr>
              <w:spacing w:after="0"/>
              <w:rPr>
                <w:sz w:val="14"/>
                <w:szCs w:val="14"/>
                <w:color w:val="auto"/>
              </w:rPr>
            </w:pPr>
          </w:p>
        </w:tc>
      </w:tr>
      <w:tr>
        <w:trPr>
          <w:trHeight w:val="237"/>
        </w:trPr>
        <w:tc>
          <w:tcPr>
            <w:tcW w:w="6660" w:type="dxa"/>
            <w:vAlign w:val="bottom"/>
          </w:tcPr>
          <w:p>
            <w:pPr>
              <w:spacing w:after="0"/>
              <w:rPr>
                <w:sz w:val="20"/>
                <w:szCs w:val="20"/>
                <w:color w:val="auto"/>
              </w:rPr>
            </w:pPr>
          </w:p>
        </w:tc>
        <w:tc>
          <w:tcPr>
            <w:tcW w:w="1660" w:type="dxa"/>
            <w:vAlign w:val="bottom"/>
          </w:tcPr>
          <w:p>
            <w:pPr>
              <w:jc w:val="center"/>
              <w:ind w:left="341"/>
              <w:spacing w:after="0"/>
              <w:rPr>
                <w:sz w:val="20"/>
                <w:szCs w:val="20"/>
                <w:color w:val="auto"/>
              </w:rPr>
            </w:pPr>
            <w:r>
              <w:rPr>
                <w:rFonts w:ascii="Arial" w:cs="Arial" w:eastAsia="Arial" w:hAnsi="Arial"/>
                <w:sz w:val="14"/>
                <w:szCs w:val="14"/>
                <w:b w:val="1"/>
                <w:bCs w:val="1"/>
                <w:color w:val="auto"/>
                <w:w w:val="91"/>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center"/>
              <w:ind w:left="399"/>
              <w:spacing w:after="0"/>
              <w:rPr>
                <w:sz w:val="20"/>
                <w:szCs w:val="20"/>
                <w:color w:val="auto"/>
              </w:rPr>
            </w:pPr>
            <w:r>
              <w:rPr>
                <w:rFonts w:ascii="Arial" w:cs="Arial" w:eastAsia="Arial" w:hAnsi="Arial"/>
                <w:sz w:val="14"/>
                <w:szCs w:val="14"/>
                <w:b w:val="1"/>
                <w:bCs w:val="1"/>
                <w:color w:val="auto"/>
                <w:w w:val="91"/>
              </w:rPr>
              <w:t>Financed</w:t>
            </w:r>
          </w:p>
        </w:tc>
        <w:tc>
          <w:tcPr>
            <w:tcW w:w="600" w:type="dxa"/>
            <w:vAlign w:val="bottom"/>
          </w:tcPr>
          <w:p>
            <w:pPr>
              <w:spacing w:after="0"/>
              <w:rPr>
                <w:sz w:val="20"/>
                <w:szCs w:val="20"/>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6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87"/>
              </w:rPr>
              <w:t>in Leases</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88"/>
              </w:rPr>
              <w:t>Sales Receivables</w:t>
            </w:r>
          </w:p>
        </w:tc>
        <w:tc>
          <w:tcPr>
            <w:tcW w:w="600" w:type="dxa"/>
            <w:vAlign w:val="bottom"/>
            <w:tcBorders>
              <w:bottom w:val="single" w:sz="8" w:color="auto"/>
            </w:tcBorders>
          </w:tcPr>
          <w:p>
            <w:pPr>
              <w:spacing w:after="0"/>
              <w:rPr>
                <w:sz w:val="18"/>
                <w:szCs w:val="18"/>
                <w:color w:val="auto"/>
              </w:rPr>
            </w:pPr>
          </w:p>
        </w:tc>
      </w:tr>
      <w:tr>
        <w:trPr>
          <w:trHeight w:val="222"/>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60" w:type="dxa"/>
            <w:vAlign w:val="bottom"/>
            <w:shd w:val="clear" w:color="auto" w:fill="CFF0FC"/>
          </w:tcPr>
          <w:p>
            <w:pPr>
              <w:jc w:val="right"/>
              <w:ind w:right="14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557</w:t>
            </w:r>
          </w:p>
        </w:tc>
        <w:tc>
          <w:tcPr>
            <w:tcW w:w="200" w:type="dxa"/>
            <w:vAlign w:val="bottom"/>
            <w:gridSpan w:val="2"/>
            <w:shd w:val="clear" w:color="auto" w:fill="CFF0FC"/>
          </w:tcPr>
          <w:p>
            <w:pPr>
              <w:spacing w:after="0"/>
              <w:rPr>
                <w:sz w:val="19"/>
                <w:szCs w:val="19"/>
                <w:color w:val="auto"/>
              </w:rPr>
            </w:pPr>
          </w:p>
        </w:tc>
        <w:tc>
          <w:tcPr>
            <w:tcW w:w="1580" w:type="dxa"/>
            <w:vAlign w:val="bottom"/>
            <w:shd w:val="clear" w:color="auto" w:fill="CFF0FC"/>
          </w:tcPr>
          <w:p>
            <w:pPr>
              <w:jc w:val="right"/>
              <w:ind w:right="145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7,274</w:t>
            </w:r>
          </w:p>
        </w:tc>
      </w:tr>
      <w:tr>
        <w:trPr>
          <w:trHeight w:val="228"/>
        </w:trPr>
        <w:tc>
          <w:tcPr>
            <w:tcW w:w="6660" w:type="dxa"/>
            <w:vAlign w:val="bottom"/>
          </w:tcPr>
          <w:p>
            <w:pPr>
              <w:ind w:left="120"/>
              <w:spacing w:after="0"/>
              <w:rPr>
                <w:sz w:val="20"/>
                <w:szCs w:val="20"/>
                <w:color w:val="auto"/>
              </w:rPr>
            </w:pPr>
            <w:r>
              <w:rPr>
                <w:rFonts w:ascii="Arial" w:cs="Arial" w:eastAsia="Arial" w:hAnsi="Arial"/>
                <w:sz w:val="18"/>
                <w:szCs w:val="18"/>
                <w:color w:val="auto"/>
              </w:rPr>
              <w:t>Current period provision (reversal), net</w:t>
            </w:r>
          </w:p>
        </w:tc>
        <w:tc>
          <w:tcPr>
            <w:tcW w:w="166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(1,947)</w:t>
            </w:r>
          </w:p>
        </w:tc>
      </w:tr>
      <w:tr>
        <w:trPr>
          <w:trHeight w:val="228"/>
        </w:trPr>
        <w:tc>
          <w:tcPr>
            <w:tcW w:w="6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6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w:t>
            </w: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bottom w:val="single" w:sz="8" w:color="auto"/>
            </w:tcBorders>
          </w:tcPr>
          <w:p>
            <w:pPr>
              <w:jc w:val="right"/>
              <w:ind w:right="148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45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5,414</w:t>
            </w:r>
          </w:p>
        </w:tc>
      </w:tr>
      <w:tr>
        <w:trPr>
          <w:trHeight w:val="20"/>
        </w:trPr>
        <w:tc>
          <w:tcPr>
            <w:tcW w:w="666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37"/>
        </w:trPr>
        <w:tc>
          <w:tcPr>
            <w:tcW w:w="6660" w:type="dxa"/>
            <w:vAlign w:val="bottom"/>
          </w:tcPr>
          <w:p>
            <w:pPr>
              <w:spacing w:after="0"/>
              <w:rPr>
                <w:sz w:val="24"/>
                <w:szCs w:val="24"/>
                <w:color w:val="auto"/>
              </w:rPr>
            </w:pPr>
          </w:p>
        </w:tc>
        <w:tc>
          <w:tcPr>
            <w:tcW w:w="398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4"/>
                <w:szCs w:val="14"/>
                <w:b w:val="1"/>
                <w:bCs w:val="1"/>
                <w:color w:val="auto"/>
              </w:rPr>
              <w:t>Year Ended December 31, 2020</w:t>
            </w:r>
          </w:p>
        </w:tc>
        <w:tc>
          <w:tcPr>
            <w:tcW w:w="600" w:type="dxa"/>
            <w:vAlign w:val="bottom"/>
            <w:tcBorders>
              <w:bottom w:val="single" w:sz="8" w:color="auto"/>
            </w:tcBorders>
          </w:tcPr>
          <w:p>
            <w:pPr>
              <w:spacing w:after="0"/>
              <w:rPr>
                <w:sz w:val="24"/>
                <w:szCs w:val="24"/>
                <w:color w:val="auto"/>
              </w:rPr>
            </w:pPr>
          </w:p>
        </w:tc>
      </w:tr>
      <w:tr>
        <w:trPr>
          <w:trHeight w:val="237"/>
        </w:trPr>
        <w:tc>
          <w:tcPr>
            <w:tcW w:w="6660" w:type="dxa"/>
            <w:vAlign w:val="bottom"/>
          </w:tcPr>
          <w:p>
            <w:pPr>
              <w:spacing w:after="0"/>
              <w:rPr>
                <w:sz w:val="20"/>
                <w:szCs w:val="20"/>
                <w:color w:val="auto"/>
              </w:rPr>
            </w:pPr>
          </w:p>
        </w:tc>
        <w:tc>
          <w:tcPr>
            <w:tcW w:w="1660" w:type="dxa"/>
            <w:vAlign w:val="bottom"/>
          </w:tcPr>
          <w:p>
            <w:pPr>
              <w:jc w:val="center"/>
              <w:ind w:left="341"/>
              <w:spacing w:after="0"/>
              <w:rPr>
                <w:sz w:val="20"/>
                <w:szCs w:val="20"/>
                <w:color w:val="auto"/>
              </w:rPr>
            </w:pPr>
            <w:r>
              <w:rPr>
                <w:rFonts w:ascii="Arial" w:cs="Arial" w:eastAsia="Arial" w:hAnsi="Arial"/>
                <w:sz w:val="14"/>
                <w:szCs w:val="14"/>
                <w:b w:val="1"/>
                <w:bCs w:val="1"/>
                <w:color w:val="auto"/>
                <w:w w:val="91"/>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center"/>
              <w:ind w:left="399"/>
              <w:spacing w:after="0"/>
              <w:rPr>
                <w:sz w:val="20"/>
                <w:szCs w:val="20"/>
                <w:color w:val="auto"/>
              </w:rPr>
            </w:pPr>
            <w:r>
              <w:rPr>
                <w:rFonts w:ascii="Arial" w:cs="Arial" w:eastAsia="Arial" w:hAnsi="Arial"/>
                <w:sz w:val="14"/>
                <w:szCs w:val="14"/>
                <w:b w:val="1"/>
                <w:bCs w:val="1"/>
                <w:color w:val="auto"/>
                <w:w w:val="90"/>
              </w:rPr>
              <w:t>Net Financed</w:t>
            </w:r>
          </w:p>
        </w:tc>
        <w:tc>
          <w:tcPr>
            <w:tcW w:w="600" w:type="dxa"/>
            <w:vAlign w:val="bottom"/>
          </w:tcPr>
          <w:p>
            <w:pPr>
              <w:spacing w:after="0"/>
              <w:rPr>
                <w:sz w:val="20"/>
                <w:szCs w:val="20"/>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6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b w:val="1"/>
                <w:bCs w:val="1"/>
                <w:color w:val="auto"/>
                <w:w w:val="87"/>
              </w:rPr>
              <w:t>in Leases</w:t>
            </w: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88"/>
              </w:rPr>
              <w:t>Sales Receivables</w:t>
            </w:r>
          </w:p>
        </w:tc>
        <w:tc>
          <w:tcPr>
            <w:tcW w:w="600" w:type="dxa"/>
            <w:vAlign w:val="bottom"/>
            <w:tcBorders>
              <w:bottom w:val="single" w:sz="8" w:color="auto"/>
            </w:tcBorders>
          </w:tcPr>
          <w:p>
            <w:pPr>
              <w:spacing w:after="0"/>
              <w:rPr>
                <w:sz w:val="18"/>
                <w:szCs w:val="18"/>
                <w:color w:val="auto"/>
              </w:rPr>
            </w:pPr>
          </w:p>
        </w:tc>
      </w:tr>
      <w:tr>
        <w:trPr>
          <w:trHeight w:val="222"/>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60" w:type="dxa"/>
            <w:vAlign w:val="bottom"/>
            <w:shd w:val="clear" w:color="auto" w:fill="CFF0FC"/>
          </w:tcPr>
          <w:p>
            <w:pPr>
              <w:jc w:val="right"/>
              <w:ind w:right="14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45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915</w:t>
            </w:r>
          </w:p>
        </w:tc>
      </w:tr>
      <w:tr>
        <w:trPr>
          <w:trHeight w:val="228"/>
        </w:trPr>
        <w:tc>
          <w:tcPr>
            <w:tcW w:w="6660" w:type="dxa"/>
            <w:vAlign w:val="bottom"/>
          </w:tcPr>
          <w:p>
            <w:pPr>
              <w:ind w:left="120"/>
              <w:spacing w:after="0"/>
              <w:rPr>
                <w:sz w:val="20"/>
                <w:szCs w:val="20"/>
                <w:color w:val="auto"/>
              </w:rPr>
            </w:pPr>
            <w:r>
              <w:rPr>
                <w:rFonts w:ascii="Arial" w:cs="Arial" w:eastAsia="Arial" w:hAnsi="Arial"/>
                <w:sz w:val="18"/>
                <w:szCs w:val="18"/>
                <w:color w:val="auto"/>
              </w:rPr>
              <w:t>Current period provision, net</w:t>
            </w:r>
          </w:p>
        </w:tc>
        <w:tc>
          <w:tcPr>
            <w:tcW w:w="166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6,574</w:t>
            </w:r>
          </w:p>
        </w:tc>
      </w:tr>
      <w:tr>
        <w:trPr>
          <w:trHeight w:val="228"/>
        </w:trPr>
        <w:tc>
          <w:tcPr>
            <w:tcW w:w="6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6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r>
      <w:tr>
        <w:trPr>
          <w:trHeight w:val="228"/>
        </w:trPr>
        <w:tc>
          <w:tcPr>
            <w:tcW w:w="6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w:t>
            </w:r>
          </w:p>
        </w:tc>
        <w:tc>
          <w:tcPr>
            <w:tcW w:w="1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r>
      <w:tr>
        <w:trPr>
          <w:trHeight w:val="222"/>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bottom w:val="single" w:sz="8" w:color="auto"/>
            </w:tcBorders>
            <w:shd w:val="clear" w:color="auto" w:fill="CFF0FC"/>
          </w:tcPr>
          <w:p>
            <w:pPr>
              <w:jc w:val="right"/>
              <w:ind w:right="148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45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7,274</w:t>
            </w:r>
          </w:p>
        </w:tc>
      </w:tr>
      <w:tr>
        <w:trPr>
          <w:trHeight w:val="20"/>
        </w:trPr>
        <w:tc>
          <w:tcPr>
            <w:tcW w:w="66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For the year ended December 31, 2021, the Company’s allowance for current expected credit losses related to its net investment in leases and financed sale receivables decreased $1.6 million. This decrease is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pandemic, partially offset by new provisions recorded in the period.</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2020, the Company’s allowance for current expected credit losses related to its net investment in leases and financed sale receivables increased by $6.8 million, principally reflecting a reduction in the credit quality of and heightened collection risk associated with these receivables primarily due to the COVID-19 pandemic.</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the Allowance for Credit Losses related to Variable Consideration Receivables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r>
      <w:tr>
        <w:trPr>
          <w:trHeight w:val="222"/>
        </w:trPr>
        <w:tc>
          <w:tcPr>
            <w:tcW w:w="73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w w:val="96"/>
              </w:rPr>
              <w:t>2020</w:t>
            </w:r>
          </w:p>
        </w:tc>
      </w:tr>
      <w:tr>
        <w:trPr>
          <w:trHeight w:val="222"/>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8"/>
        </w:trPr>
        <w:tc>
          <w:tcPr>
            <w:tcW w:w="730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1,875</w:t>
            </w:r>
          </w:p>
        </w:tc>
      </w:tr>
      <w:tr>
        <w:trPr>
          <w:trHeight w:val="228"/>
        </w:trPr>
        <w:tc>
          <w:tcPr>
            <w:tcW w:w="7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1,887</w:t>
            </w: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 ended December 31, 2021, the Company’s allowance for current expected credit losses related to Variable Consideration Receivables decreased by $0.8 million. This decrease is principally due to the reversal of previously recorded credit loss expense as a result of an improving outlook for theater operators following the reopening of theaters and the resumption of normal film release schedules as the theatrical exhibition industry begins to recover from the COVID-19 pandemic, partially offset by new provisions recorded in the period.</w:t>
      </w:r>
    </w:p>
    <w:p>
      <w:pPr>
        <w:spacing w:after="0" w:line="14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year ended December 31, 2020, the Company’s allowance for current expected credit losses related to Variable Consideration Receivables increased by $1.9 million, principally reflecting a reduction in the credit quality of and heightened collection risk associated with Variable Consideration Receivables primarily due to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6. Lease Arrangements</w:t>
      </w:r>
    </w:p>
    <w:p>
      <w:pPr>
        <w:spacing w:after="0" w:line="20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IMAX Corporation as a Lessee</w:t>
      </w:r>
    </w:p>
    <w:p>
      <w:pPr>
        <w:spacing w:after="0" w:line="182"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5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years ended December 31, 2021, 2020, and 2019 the components of lease expense recorded within Selling, General and Administrative expenses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08"/>
        </w:trPr>
        <w:tc>
          <w:tcPr>
            <w:tcW w:w="4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2019</w:t>
            </w:r>
          </w:p>
        </w:tc>
      </w:tr>
      <w:tr>
        <w:trPr>
          <w:trHeight w:val="222"/>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850</w:t>
            </w:r>
          </w:p>
        </w:tc>
      </w:tr>
      <w:tr>
        <w:trPr>
          <w:trHeight w:val="228"/>
        </w:trPr>
        <w:tc>
          <w:tcPr>
            <w:tcW w:w="4660" w:type="dxa"/>
            <w:vAlign w:val="bottom"/>
            <w:gridSpan w:val="2"/>
          </w:tcPr>
          <w:p>
            <w:pPr>
              <w:spacing w:after="0"/>
              <w:rPr>
                <w:sz w:val="20"/>
                <w:szCs w:val="20"/>
                <w:color w:val="auto"/>
              </w:rPr>
            </w:pPr>
            <w:r>
              <w:rPr>
                <w:rFonts w:ascii="Arial" w:cs="Arial" w:eastAsia="Arial" w:hAnsi="Arial"/>
                <w:sz w:val="18"/>
                <w:szCs w:val="18"/>
                <w:color w:val="auto"/>
              </w:rPr>
              <w:t>Amortization of lease assets</w:t>
            </w:r>
          </w:p>
        </w:tc>
        <w:tc>
          <w:tcPr>
            <w:tcW w:w="4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2,791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2,370</w:t>
            </w:r>
          </w:p>
        </w:tc>
      </w:tr>
      <w:tr>
        <w:trPr>
          <w:trHeight w:val="228"/>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1,052</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1,102</w:t>
            </w: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4,441</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4,706</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4,322</w:t>
            </w:r>
          </w:p>
        </w:tc>
      </w:tr>
      <w:tr>
        <w:trPr>
          <w:trHeight w:val="20"/>
        </w:trPr>
        <w:tc>
          <w:tcPr>
            <w:tcW w:w="15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4"/>
        </w:trPr>
        <w:tc>
          <w:tcPr>
            <w:tcW w:w="152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Includes short-term leases and variable lease costs, which are not significant for the years ended December 31, 2021, 2020, and 2019.</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For the years ended December 31, 2021, </w:t>
      </w:r>
      <w:r>
        <w:rPr>
          <w:rFonts w:ascii="Arial" w:cs="Arial" w:eastAsia="Arial" w:hAnsi="Arial"/>
          <w:sz w:val="17"/>
          <w:szCs w:val="17"/>
          <w:color w:val="auto"/>
        </w:rPr>
        <w:t>2020</w:t>
      </w:r>
      <w:r>
        <w:rPr>
          <w:rFonts w:ascii="Arial" w:cs="Arial" w:eastAsia="Arial" w:hAnsi="Arial"/>
          <w:sz w:val="20"/>
          <w:szCs w:val="20"/>
          <w:color w:val="auto"/>
        </w:rPr>
        <w:t>, and 2019, s</w:t>
      </w:r>
      <w:r>
        <w:rPr>
          <w:rFonts w:ascii="Arial" w:cs="Arial" w:eastAsia="Arial" w:hAnsi="Arial"/>
          <w:sz w:val="17"/>
          <w:szCs w:val="17"/>
          <w:color w:val="auto"/>
        </w:rPr>
        <w:t>upplemental cash and non-cash information related to leases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08"/>
        </w:trPr>
        <w:tc>
          <w:tcPr>
            <w:tcW w:w="63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r>
      <w:tr>
        <w:trPr>
          <w:trHeight w:val="222"/>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3,839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3,743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3,607</w:t>
            </w:r>
          </w:p>
        </w:tc>
      </w:tr>
      <w:tr>
        <w:trPr>
          <w:trHeight w:val="229"/>
        </w:trPr>
        <w:tc>
          <w:tcPr>
            <w:tcW w:w="632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obligations</w:t>
            </w:r>
            <w:r>
              <w:rPr>
                <w:rFonts w:ascii="Arial" w:cs="Arial" w:eastAsia="Arial" w:hAnsi="Arial"/>
                <w:sz w:val="15"/>
                <w:szCs w:val="15"/>
                <w:color w:val="auto"/>
              </w:rPr>
              <w:t>(1)</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1,047</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563</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17,147</w:t>
            </w:r>
          </w:p>
        </w:tc>
      </w:tr>
      <w:tr>
        <w:trPr>
          <w:trHeight w:val="133"/>
        </w:trPr>
        <w:tc>
          <w:tcPr>
            <w:tcW w:w="152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r>
    </w:tbl>
    <w:p>
      <w:pPr>
        <w:spacing w:after="0" w:line="198" w:lineRule="exact"/>
        <w:rPr>
          <w:sz w:val="20"/>
          <w:szCs w:val="20"/>
          <w:color w:val="auto"/>
        </w:rPr>
      </w:pPr>
    </w:p>
    <w:p>
      <w:pPr>
        <w:ind w:left="380" w:hanging="360"/>
        <w:spacing w:after="0" w:line="284" w:lineRule="auto"/>
        <w:tabs>
          <w:tab w:leader="none" w:pos="3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9"/>
          <w:szCs w:val="19"/>
          <w:color w:val="auto"/>
        </w:rPr>
        <w:t>the</w:t>
      </w:r>
      <w:r>
        <w:rPr>
          <w:rFonts w:ascii="Arial" w:cs="Arial" w:eastAsia="Arial" w:hAnsi="Arial"/>
          <w:sz w:val="18"/>
          <w:szCs w:val="18"/>
          <w:color w:val="auto"/>
        </w:rPr>
        <w:t xml:space="preserve"> year ended December 31, 2019, the right-of-use assets obtained primarily includes right-of-use assets recognized upon the adoption of </w:t>
      </w:r>
      <w:r>
        <w:rPr>
          <w:rFonts w:ascii="Arial" w:cs="Arial" w:eastAsia="Arial" w:hAnsi="Arial"/>
          <w:sz w:val="19"/>
          <w:szCs w:val="19"/>
          <w:color w:val="auto"/>
        </w:rPr>
        <w:t>ASC</w:t>
      </w:r>
      <w:r>
        <w:rPr>
          <w:rFonts w:ascii="Arial" w:cs="Arial" w:eastAsia="Arial" w:hAnsi="Arial"/>
          <w:sz w:val="18"/>
          <w:szCs w:val="18"/>
          <w:color w:val="auto"/>
        </w:rPr>
        <w:t xml:space="preserve"> </w:t>
      </w:r>
      <w:r>
        <w:rPr>
          <w:rFonts w:ascii="Arial" w:cs="Arial" w:eastAsia="Arial" w:hAnsi="Arial"/>
          <w:sz w:val="19"/>
          <w:szCs w:val="19"/>
          <w:color w:val="auto"/>
        </w:rPr>
        <w:t xml:space="preserve">Topic </w:t>
      </w:r>
      <w:r>
        <w:rPr>
          <w:rFonts w:ascii="Arial" w:cs="Arial" w:eastAsia="Arial" w:hAnsi="Arial"/>
          <w:sz w:val="17"/>
          <w:szCs w:val="17"/>
          <w:color w:val="auto"/>
        </w:rPr>
        <w:t>842, “Leases.”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9"/>
          <w:szCs w:val="19"/>
          <w:color w:val="auto"/>
        </w:rPr>
        <w:t>December 31, 2021</w:t>
      </w:r>
      <w:r>
        <w:rPr>
          <w:rFonts w:ascii="Arial" w:cs="Arial" w:eastAsia="Arial" w:hAnsi="Arial"/>
          <w:sz w:val="18"/>
          <w:szCs w:val="18"/>
          <w:color w:val="auto"/>
        </w:rPr>
        <w:t xml:space="preserve"> and 2020</w:t>
      </w:r>
      <w:r>
        <w:rPr>
          <w:rFonts w:ascii="Arial" w:cs="Arial" w:eastAsia="Arial" w:hAnsi="Arial"/>
          <w:sz w:val="19"/>
          <w:szCs w:val="19"/>
          <w:color w:val="auto"/>
        </w:rPr>
        <w:t>,</w:t>
      </w:r>
      <w:r>
        <w:rPr>
          <w:rFonts w:ascii="Arial" w:cs="Arial" w:eastAsia="Arial" w:hAnsi="Arial"/>
          <w:sz w:val="18"/>
          <w:szCs w:val="18"/>
          <w:color w:val="auto"/>
        </w:rPr>
        <w:t xml:space="preserve"> supplemental balance sheet information related to leases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222"/>
        </w:trPr>
        <w:tc>
          <w:tcPr>
            <w:tcW w:w="2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41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2"/>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8"/>
        </w:trPr>
        <w:tc>
          <w:tcPr>
            <w:tcW w:w="2760" w:type="dxa"/>
            <w:vAlign w:val="bottom"/>
          </w:tcPr>
          <w:p>
            <w:pPr>
              <w:spacing w:after="0"/>
              <w:rPr>
                <w:sz w:val="20"/>
                <w:szCs w:val="20"/>
                <w:color w:val="auto"/>
              </w:rPr>
            </w:pPr>
            <w:r>
              <w:rPr>
                <w:rFonts w:ascii="Arial" w:cs="Arial" w:eastAsia="Arial" w:hAnsi="Arial"/>
                <w:sz w:val="18"/>
                <w:szCs w:val="18"/>
                <w:color w:val="auto"/>
              </w:rPr>
              <w:t>Right-of-Use-Assets</w:t>
            </w:r>
          </w:p>
        </w:tc>
        <w:tc>
          <w:tcPr>
            <w:tcW w:w="4100" w:type="dxa"/>
            <w:vAlign w:val="bottom"/>
          </w:tcPr>
          <w:p>
            <w:pPr>
              <w:ind w:left="1040"/>
              <w:spacing w:after="0"/>
              <w:rPr>
                <w:sz w:val="20"/>
                <w:szCs w:val="20"/>
                <w:color w:val="auto"/>
              </w:rPr>
            </w:pPr>
            <w:r>
              <w:rPr>
                <w:rFonts w:ascii="Arial" w:cs="Arial" w:eastAsia="Arial" w:hAnsi="Arial"/>
                <w:sz w:val="18"/>
                <w:szCs w:val="18"/>
                <w:color w:val="auto"/>
              </w:rPr>
              <w:t>Property, plant and equipment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12,132</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13,911</w:t>
            </w:r>
          </w:p>
        </w:tc>
      </w:tr>
      <w:tr>
        <w:trPr>
          <w:trHeight w:val="228"/>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1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Operating Leases</w:t>
            </w:r>
          </w:p>
        </w:tc>
        <w:tc>
          <w:tcPr>
            <w:tcW w:w="4100" w:type="dxa"/>
            <w:vAlign w:val="bottom"/>
          </w:tcPr>
          <w:p>
            <w:pPr>
              <w:ind w:left="1040"/>
              <w:spacing w:after="0"/>
              <w:rPr>
                <w:sz w:val="20"/>
                <w:szCs w:val="20"/>
                <w:color w:val="auto"/>
              </w:rPr>
            </w:pPr>
            <w:r>
              <w:rPr>
                <w:rFonts w:ascii="Arial" w:cs="Arial" w:eastAsia="Arial" w:hAnsi="Arial"/>
                <w:sz w:val="18"/>
                <w:szCs w:val="18"/>
                <w:color w:val="auto"/>
              </w:rPr>
              <w:t>Accrued and other liabilities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14,691</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16,634</w:t>
            </w:r>
          </w:p>
        </w:tc>
      </w:tr>
      <w:tr>
        <w:trPr>
          <w:trHeight w:val="684"/>
        </w:trPr>
        <w:tc>
          <w:tcPr>
            <w:tcW w:w="2760" w:type="dxa"/>
            <w:vAlign w:val="bottom"/>
          </w:tcPr>
          <w:p>
            <w:pPr>
              <w:spacing w:after="0"/>
              <w:rPr>
                <w:sz w:val="24"/>
                <w:szCs w:val="24"/>
                <w:color w:val="auto"/>
              </w:rPr>
            </w:pPr>
          </w:p>
        </w:tc>
        <w:tc>
          <w:tcPr>
            <w:tcW w:w="4100" w:type="dxa"/>
            <w:vAlign w:val="bottom"/>
          </w:tcPr>
          <w:p>
            <w:pPr>
              <w:ind w:left="272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4"/>
        </w:trPr>
        <w:tc>
          <w:tcPr>
            <w:tcW w:w="276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00" w:name="page101"/>
    <w:bookmarkEnd w:id="100"/>
    <w:p>
      <w:pPr>
        <w:ind w:left="240"/>
        <w:spacing w:after="0"/>
        <w:rPr>
          <w:sz w:val="20"/>
          <w:szCs w:val="20"/>
          <w:color w:val="auto"/>
        </w:rPr>
      </w:pPr>
      <w:r>
        <w:rPr>
          <w:rFonts w:ascii="Arial" w:cs="Arial" w:eastAsia="Arial" w:hAnsi="Arial"/>
          <w:sz w:val="17"/>
          <w:szCs w:val="17"/>
          <w:color w:val="auto"/>
        </w:rPr>
        <w:t xml:space="preserve">As of December 31, 2021 and </w:t>
      </w:r>
      <w:r>
        <w:rPr>
          <w:rFonts w:ascii="Arial" w:cs="Arial" w:eastAsia="Arial" w:hAnsi="Arial"/>
          <w:sz w:val="15"/>
          <w:szCs w:val="15"/>
          <w:color w:val="auto"/>
        </w:rPr>
        <w:t>2020</w:t>
      </w:r>
      <w:r>
        <w:rPr>
          <w:rFonts w:ascii="Arial" w:cs="Arial" w:eastAsia="Arial" w:hAnsi="Arial"/>
          <w:sz w:val="17"/>
          <w:szCs w:val="17"/>
          <w:color w:val="auto"/>
        </w:rPr>
        <w:t>, the weighted-average remaining lease term and weighted-average interest rate associated with the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Company’s operating leases are as follows:</w:t>
      </w:r>
    </w:p>
    <w:p>
      <w:pPr>
        <w:spacing w:after="0" w:line="57"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4853940</wp:posOffset>
            </wp:positionH>
            <wp:positionV relativeFrom="paragraph">
              <wp:posOffset>5715</wp:posOffset>
            </wp:positionV>
            <wp:extent cx="21729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7297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gridSpan w:val="2"/>
          </w:tcPr>
          <w:p>
            <w:pPr>
              <w:ind w:left="826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22"/>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5.97  %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5.91  %</w:t>
            </w:r>
          </w:p>
        </w:tc>
      </w:tr>
      <w:tr>
        <w:trPr>
          <w:trHeight w:val="429"/>
        </w:trPr>
        <w:tc>
          <w:tcPr>
            <w:tcW w:w="8680" w:type="dxa"/>
            <w:vAlign w:val="bottom"/>
            <w:gridSpan w:val="2"/>
          </w:tcPr>
          <w:p>
            <w:pPr>
              <w:ind w:left="240"/>
              <w:spacing w:after="0"/>
              <w:rPr>
                <w:sz w:val="20"/>
                <w:szCs w:val="20"/>
                <w:color w:val="auto"/>
              </w:rPr>
            </w:pPr>
            <w:r>
              <w:rPr>
                <w:rFonts w:ascii="Arial" w:cs="Arial" w:eastAsia="Arial" w:hAnsi="Arial"/>
                <w:sz w:val="18"/>
                <w:szCs w:val="18"/>
                <w:color w:val="auto"/>
              </w:rPr>
              <w:t>As of December 31, 2021, the maturities of the Company’s operating lease liabilities are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9"/>
        </w:trPr>
        <w:tc>
          <w:tcPr>
            <w:tcW w:w="86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3,364</w:t>
            </w:r>
          </w:p>
        </w:tc>
      </w:tr>
      <w:tr>
        <w:trPr>
          <w:trHeight w:val="228"/>
        </w:trPr>
        <w:tc>
          <w:tcPr>
            <w:tcW w:w="764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2,449</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2,226</w:t>
            </w:r>
          </w:p>
        </w:tc>
      </w:tr>
      <w:tr>
        <w:trPr>
          <w:trHeight w:val="228"/>
        </w:trPr>
        <w:tc>
          <w:tcPr>
            <w:tcW w:w="7640" w:type="dxa"/>
            <w:vAlign w:val="bottom"/>
          </w:tcPr>
          <w:p>
            <w:pPr>
              <w:spacing w:after="0"/>
              <w:rPr>
                <w:sz w:val="20"/>
                <w:szCs w:val="20"/>
                <w:color w:val="auto"/>
              </w:rPr>
            </w:pPr>
            <w:r>
              <w:rPr>
                <w:rFonts w:ascii="Arial" w:cs="Arial" w:eastAsia="Arial" w:hAnsi="Arial"/>
                <w:sz w:val="18"/>
                <w:szCs w:val="18"/>
                <w:color w:val="auto"/>
              </w:rPr>
              <w:t>2025</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2,075</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2,051</w:t>
            </w:r>
          </w:p>
        </w:tc>
      </w:tr>
      <w:tr>
        <w:trPr>
          <w:trHeight w:val="228"/>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5,982</w:t>
            </w:r>
          </w:p>
        </w:tc>
      </w:tr>
      <w:tr>
        <w:trPr>
          <w:trHeight w:val="222"/>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18,147</w:t>
            </w:r>
          </w:p>
        </w:tc>
      </w:tr>
      <w:tr>
        <w:trPr>
          <w:trHeight w:val="228"/>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(3,456)</w:t>
            </w:r>
          </w:p>
        </w:tc>
      </w:tr>
      <w:tr>
        <w:trPr>
          <w:trHeight w:val="222"/>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14,691</w:t>
            </w:r>
          </w:p>
        </w:tc>
      </w:tr>
      <w:tr>
        <w:trPr>
          <w:trHeight w:val="20"/>
        </w:trPr>
        <w:tc>
          <w:tcPr>
            <w:tcW w:w="7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IMAX Corporation as a Lessor</w:t>
      </w:r>
    </w:p>
    <w:p>
      <w:pPr>
        <w:spacing w:after="0" w:line="18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3(p).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58"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225"/>
        <w:spacing w:after="0" w:line="274" w:lineRule="auto"/>
        <w:rPr>
          <w:sz w:val="20"/>
          <w:szCs w:val="20"/>
          <w:color w:val="auto"/>
        </w:rPr>
      </w:pPr>
      <w:r>
        <w:rPr>
          <w:rFonts w:ascii="Arial" w:cs="Arial" w:eastAsia="Arial" w:hAnsi="Arial"/>
          <w:sz w:val="18"/>
          <w:szCs w:val="18"/>
          <w:color w:val="auto"/>
        </w:rPr>
        <w:t>The following lease payments are expected to be received by the Company for its sales-type leases and joint revenue sharing arrangements in each of the next five years and thereafter following the December 31, 2021 balance sheet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Sales-Type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auto"/>
              </w:rPr>
              <w:t>Joint Revenue</w:t>
            </w:r>
          </w:p>
        </w:tc>
      </w:tr>
      <w:tr>
        <w:trPr>
          <w:trHeight w:val="170"/>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w w:val="95"/>
              </w:rPr>
              <w:t>Sharing Arrangements</w:t>
            </w:r>
          </w:p>
        </w:tc>
      </w:tr>
      <w:tr>
        <w:trPr>
          <w:trHeight w:val="222"/>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3,590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190</w:t>
            </w:r>
          </w:p>
        </w:tc>
      </w:tr>
      <w:tr>
        <w:trPr>
          <w:trHeight w:val="228"/>
        </w:trPr>
        <w:tc>
          <w:tcPr>
            <w:tcW w:w="77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3,145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128</w:t>
            </w: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8"/>
        </w:trPr>
        <w:tc>
          <w:tcPr>
            <w:tcW w:w="77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2,694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8"/>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14,505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22"/>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29,953</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5 for additional information related to the net investment in leases related to the Company’s sales-type lease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Variable Consideration from Contracts with Customers</w:t>
      </w:r>
    </w:p>
    <w:p>
      <w:pPr>
        <w:spacing w:after="0" w:line="186"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arrangement for the sale of an IMAX Theater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theater, which are developed using historical data for the theater and, if necessary, comparable theaters and territories. (See Note 3(p) for a more detailed discussion of the Company’s accounting policy related to variable consideration.)</w:t>
      </w:r>
    </w:p>
    <w:p>
      <w:pPr>
        <w:spacing w:after="0" w:line="16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table summarizes the activity related to variable consideration from contracts with customers for the years ended December 31, 2021,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i w:val="1"/>
                <w:iCs w:val="1"/>
                <w:color w:val="auto"/>
              </w:rPr>
              <w:t>(In thousands of U.S. Dollars)</w:t>
            </w:r>
          </w:p>
        </w:tc>
        <w:tc>
          <w:tcPr>
            <w:tcW w:w="26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3180" w:type="dxa"/>
            <w:vAlign w:val="bottom"/>
            <w:gridSpan w:val="2"/>
          </w:tcPr>
          <w:p>
            <w:pPr>
              <w:jc w:val="right"/>
              <w:ind w:right="3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35,985</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for newly recognized sales</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9,948</w:t>
            </w: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Accretion to finance income</w:t>
            </w: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1,936</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True-up of variable consideration receivable</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979</w:t>
            </w:r>
          </w:p>
        </w:tc>
      </w:tr>
      <w:tr>
        <w:trPr>
          <w:trHeight w:val="228"/>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Transferred to receivables from variable consideration assets</w:t>
            </w:r>
          </w:p>
        </w:tc>
        <w:tc>
          <w:tcPr>
            <w:tcW w:w="26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r>
      <w:tr>
        <w:trPr>
          <w:trHeight w:val="222"/>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40,040</w:t>
            </w: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Variable consideration for newly recognized sales</w:t>
            </w: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5,550</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Accretion to finance income</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2,133</w:t>
            </w: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Transferred to receivables from variable consideration assets</w:t>
            </w: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(5,310)</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Movement in allowance for credit losses (see Note 5)</w:t>
            </w:r>
          </w:p>
        </w:tc>
        <w:tc>
          <w:tcPr>
            <w:tcW w:w="26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40,526</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for newly recognized sales</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4,696</w:t>
            </w: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Accretion to finance income</w:t>
            </w:r>
          </w:p>
        </w:tc>
        <w:tc>
          <w:tcPr>
            <w:tcW w:w="2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1,985</w:t>
            </w:r>
          </w:p>
        </w:tc>
      </w:tr>
      <w:tr>
        <w:trPr>
          <w:trHeight w:val="228"/>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Transferred to receivables from variable consideration assets</w:t>
            </w:r>
          </w:p>
        </w:tc>
        <w:tc>
          <w:tcPr>
            <w:tcW w:w="2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w:t>
            </w:r>
          </w:p>
        </w:tc>
      </w:tr>
      <w:tr>
        <w:trPr>
          <w:trHeight w:val="228"/>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Movement in allowance for credit losses (see Note 5)</w:t>
            </w:r>
          </w:p>
        </w:tc>
        <w:tc>
          <w:tcPr>
            <w:tcW w:w="26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805</w:t>
            </w:r>
          </w:p>
        </w:tc>
      </w:tr>
      <w:tr>
        <w:trPr>
          <w:trHeight w:val="222"/>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6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44,218</w:t>
            </w:r>
          </w:p>
        </w:tc>
      </w:tr>
      <w:tr>
        <w:trPr>
          <w:trHeight w:val="20"/>
        </w:trPr>
        <w:tc>
          <w:tcPr>
            <w:tcW w:w="6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8. Inventories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74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20,551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30,096</w:t>
            </w:r>
          </w:p>
        </w:tc>
        <w:tc>
          <w:tcPr>
            <w:tcW w:w="0" w:type="dxa"/>
            <w:vAlign w:val="bottom"/>
          </w:tcPr>
          <w:p>
            <w:pPr>
              <w:spacing w:after="0"/>
              <w:rPr>
                <w:sz w:val="1"/>
                <w:szCs w:val="1"/>
                <w:color w:val="auto"/>
              </w:rPr>
            </w:pPr>
          </w:p>
        </w:tc>
      </w:tr>
      <w:tr>
        <w:trPr>
          <w:trHeight w:val="228"/>
        </w:trPr>
        <w:tc>
          <w:tcPr>
            <w:tcW w:w="7740" w:type="dxa"/>
            <w:vAlign w:val="bottom"/>
          </w:tcPr>
          <w:p>
            <w:pPr>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4,967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22"/>
        </w:trPr>
        <w:tc>
          <w:tcPr>
            <w:tcW w:w="77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26,924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Inventories include finished goods of $2.6 million (December 31, 2020 — $2.1 million) for which title had passed to the customer, but the criteria for revenue recognition were not met as of the balance sheet date.</w:t>
      </w:r>
    </w:p>
    <w:p>
      <w:pPr>
        <w:spacing w:after="0" w:line="131"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following table summarizes the activity for the Company’s inventory valuation allowance account for the years ended December 31, 2021, 2020 and 2019:</w:t>
      </w:r>
    </w:p>
    <w:tbl>
      <w:tblPr>
        <w:tblLayout w:type="fixed"/>
        <w:tblInd w:w="0" w:type="dxa"/>
        <w:tblCellMar>
          <w:top w:w="0" w:type="dxa"/>
          <w:left w:w="0" w:type="dxa"/>
          <w:bottom w:w="0" w:type="dxa"/>
          <w:right w:w="0" w:type="dxa"/>
        </w:tblCellMar>
      </w:tblPr>
      <w:tr>
        <w:trPr>
          <w:trHeight w:val="139"/>
        </w:trPr>
        <w:tc>
          <w:tcPr>
            <w:tcW w:w="1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jc w:val="center"/>
              <w:ind w:left="368"/>
              <w:spacing w:after="0" w:line="139" w:lineRule="exact"/>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60" w:type="dxa"/>
            <w:vAlign w:val="bottom"/>
          </w:tcPr>
          <w:p>
            <w:pPr>
              <w:jc w:val="center"/>
              <w:ind w:left="368"/>
              <w:spacing w:after="0" w:line="148" w:lineRule="exact"/>
              <w:rPr>
                <w:sz w:val="20"/>
                <w:szCs w:val="20"/>
                <w:color w:val="auto"/>
              </w:rPr>
            </w:pPr>
            <w:r>
              <w:rPr>
                <w:rFonts w:ascii="Arial" w:cs="Arial" w:eastAsia="Arial" w:hAnsi="Arial"/>
                <w:sz w:val="14"/>
                <w:szCs w:val="14"/>
                <w:b w:val="1"/>
                <w:bCs w:val="1"/>
                <w:color w:val="auto"/>
                <w:w w:val="89"/>
              </w:rPr>
              <w:t>beginning</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charged to</w:t>
            </w:r>
          </w:p>
        </w:tc>
        <w:tc>
          <w:tcPr>
            <w:tcW w:w="200" w:type="dxa"/>
            <w:vAlign w:val="bottom"/>
          </w:tcPr>
          <w:p>
            <w:pPr>
              <w:spacing w:after="0"/>
              <w:rPr>
                <w:sz w:val="12"/>
                <w:szCs w:val="12"/>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deductions</w:t>
            </w:r>
            <w:r>
              <w:rPr>
                <w:rFonts w:ascii="Arial" w:cs="Arial" w:eastAsia="Arial" w:hAnsi="Arial"/>
                <w:sz w:val="12"/>
                <w:szCs w:val="12"/>
                <w:b w:val="1"/>
                <w:bCs w:val="1"/>
                <w:color w:val="auto"/>
              </w:rPr>
              <w:t>(2)</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Pr>
          <w:p>
            <w:pPr>
              <w:spacing w:after="0"/>
              <w:rPr>
                <w:sz w:val="14"/>
                <w:szCs w:val="14"/>
                <w:color w:val="auto"/>
              </w:rPr>
            </w:pPr>
          </w:p>
        </w:tc>
        <w:tc>
          <w:tcPr>
            <w:tcW w:w="116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of year</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200"/>
              <w:spacing w:after="0"/>
              <w:rPr>
                <w:sz w:val="20"/>
                <w:szCs w:val="20"/>
                <w:color w:val="auto"/>
              </w:rPr>
            </w:pPr>
            <w:r>
              <w:rPr>
                <w:rFonts w:ascii="Arial" w:cs="Arial" w:eastAsia="Arial" w:hAnsi="Arial"/>
                <w:sz w:val="14"/>
                <w:szCs w:val="14"/>
                <w:b w:val="1"/>
                <w:bCs w:val="1"/>
                <w:color w:val="auto"/>
                <w:w w:val="86"/>
              </w:rPr>
              <w:t>expenses</w:t>
            </w:r>
            <w:r>
              <w:rPr>
                <w:rFonts w:ascii="Arial" w:cs="Arial" w:eastAsia="Arial" w:hAnsi="Arial"/>
                <w:sz w:val="12"/>
                <w:szCs w:val="12"/>
                <w:b w:val="1"/>
                <w:bCs w:val="1"/>
                <w:color w:val="auto"/>
                <w:w w:val="86"/>
              </w:rPr>
              <w:t>(1)</w:t>
            </w:r>
          </w:p>
        </w:tc>
        <w:tc>
          <w:tcPr>
            <w:tcW w:w="2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38"/>
              <w:spacing w:after="0"/>
              <w:rPr>
                <w:sz w:val="20"/>
                <w:szCs w:val="20"/>
                <w:color w:val="auto"/>
              </w:rPr>
            </w:pPr>
            <w:r>
              <w:rPr>
                <w:rFonts w:ascii="Arial" w:cs="Arial" w:eastAsia="Arial" w:hAnsi="Arial"/>
                <w:sz w:val="14"/>
                <w:szCs w:val="14"/>
                <w:b w:val="1"/>
                <w:bCs w:val="1"/>
                <w:color w:val="auto"/>
                <w:w w:val="96"/>
              </w:rPr>
              <w:t>end of year</w:t>
            </w:r>
          </w:p>
        </w:tc>
        <w:tc>
          <w:tcPr>
            <w:tcW w:w="0" w:type="dxa"/>
            <w:vAlign w:val="bottom"/>
          </w:tcPr>
          <w:p>
            <w:pPr>
              <w:spacing w:after="0"/>
              <w:rPr>
                <w:sz w:val="1"/>
                <w:szCs w:val="1"/>
                <w:color w:val="auto"/>
              </w:rPr>
            </w:pPr>
          </w:p>
        </w:tc>
      </w:tr>
      <w:tr>
        <w:trPr>
          <w:trHeight w:val="170"/>
        </w:trPr>
        <w:tc>
          <w:tcPr>
            <w:tcW w:w="37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ended December 31, 2021</w:t>
            </w:r>
          </w:p>
        </w:tc>
        <w:tc>
          <w:tcPr>
            <w:tcW w:w="2440" w:type="dxa"/>
            <w:vAlign w:val="bottom"/>
            <w:gridSpan w:val="2"/>
            <w:shd w:val="clear" w:color="auto" w:fill="CFF0FC"/>
          </w:tcPr>
          <w:p>
            <w:pPr>
              <w:jc w:val="right"/>
              <w:ind w:right="9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3"/>
              </w:rPr>
              <w:t>5,752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629</w:t>
            </w:r>
          </w:p>
        </w:tc>
        <w:tc>
          <w:tcPr>
            <w:tcW w:w="6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8"/>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Year ended December 31, 2020</w:t>
            </w:r>
          </w:p>
        </w:tc>
        <w:tc>
          <w:tcPr>
            <w:tcW w:w="244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3,216</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3,028</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ended December 31, 2019</w:t>
            </w:r>
          </w:p>
        </w:tc>
        <w:tc>
          <w:tcPr>
            <w:tcW w:w="2440" w:type="dxa"/>
            <w:vAlign w:val="bottom"/>
            <w:gridSpan w:val="2"/>
            <w:shd w:val="clear" w:color="auto" w:fill="CFF0FC"/>
          </w:tcPr>
          <w:p>
            <w:pPr>
              <w:jc w:val="right"/>
              <w:ind w:right="9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3"/>
              </w:rPr>
              <w:t>3,885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446</w:t>
            </w:r>
          </w:p>
        </w:tc>
        <w:tc>
          <w:tcPr>
            <w:tcW w:w="6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42"/>
        </w:trPr>
        <w:tc>
          <w:tcPr>
            <w:tcW w:w="1520" w:type="dxa"/>
            <w:vAlign w:val="bottom"/>
            <w:tcBorders>
              <w:bottom w:val="single" w:sz="8" w:color="auto"/>
            </w:tcBorders>
          </w:tcPr>
          <w:p>
            <w:pPr>
              <w:spacing w:after="0"/>
              <w:rPr>
                <w:sz w:val="21"/>
                <w:szCs w:val="21"/>
                <w:color w:val="auto"/>
              </w:rPr>
            </w:pPr>
          </w:p>
        </w:tc>
        <w:tc>
          <w:tcPr>
            <w:tcW w:w="2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firstLine="7"/>
        <w:spacing w:after="0" w:line="274" w:lineRule="auto"/>
        <w:tabs>
          <w:tab w:leader="none" w:pos="3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amounts charged directly to the Consolidated Statements of Operations of $0.3 million, $0.6 million, and $nil during the years ended December 31, 2021, 2020 and 2019, respectively.</w:t>
      </w:r>
    </w:p>
    <w:p>
      <w:pPr>
        <w:spacing w:after="0" w:line="131" w:lineRule="exact"/>
        <w:rPr>
          <w:rFonts w:ascii="Arial" w:cs="Arial" w:eastAsia="Arial" w:hAnsi="Arial"/>
          <w:sz w:val="18"/>
          <w:szCs w:val="18"/>
          <w:color w:val="auto"/>
        </w:rPr>
      </w:pPr>
    </w:p>
    <w:p>
      <w:pPr>
        <w:ind w:left="300" w:hanging="293"/>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the write-off of amounts previously charged to valuation allowance.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Film Assets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74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Completed and released films, net of accumulated amortization of</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2,292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28"/>
        </w:trPr>
        <w:tc>
          <w:tcPr>
            <w:tcW w:w="7740" w:type="dxa"/>
            <w:vAlign w:val="bottom"/>
          </w:tcPr>
          <w:p>
            <w:pPr>
              <w:ind w:left="260"/>
              <w:spacing w:after="0"/>
              <w:rPr>
                <w:sz w:val="20"/>
                <w:szCs w:val="20"/>
                <w:color w:val="auto"/>
              </w:rPr>
            </w:pPr>
            <w:r>
              <w:rPr>
                <w:rFonts w:ascii="Arial" w:cs="Arial" w:eastAsia="Arial" w:hAnsi="Arial"/>
                <w:sz w:val="18"/>
                <w:szCs w:val="18"/>
                <w:color w:val="auto"/>
              </w:rPr>
              <w:t>$218,148 (2020 ― $201,832)</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Films in production</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8"/>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Films in development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1,754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2"/>
        </w:trPr>
        <w:tc>
          <w:tcPr>
            <w:tcW w:w="77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4,241</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expects to amortize $4.1 million of the Film Asset balance within three years from December 31, 2021, including $3.5 million expected to be amortized in 2022, $0.5 million in 2023, and $0.1 million in 2024. In certain film arrangements, the Company co-produces a film with a third party with the third party retaining certain rights to the film. The amount of participation payments owed to third parties related to co-produced films as of December 31, 2021 is $3.3 million (December 31, 2020 — $2.7 million) and is recorded on Consolidated Balance Sheets within Accrued and Other Liabilities.</w:t>
      </w:r>
    </w:p>
    <w:p>
      <w:pPr>
        <w:spacing w:after="0" w:line="14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 2021, the Company recorded impairment losses of $0.2 million related to the write-down of DMR related film assets. In 2020, the Company recorded impairment losses of $10.8 million (2019 — $1.4 million) principally to write-down the carrying value of certain documentary, alternative content film assets and DMR related film assets due to a decrease in projected box office totals and related revenues based on management’s regular quarterly recoverability assessments.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 2021</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37"/>
        </w:trPr>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20"/>
                <w:szCs w:val="20"/>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w w:val="94"/>
              </w:rPr>
              <w:t>Net Book</w:t>
            </w:r>
          </w:p>
        </w:tc>
      </w:tr>
      <w:tr>
        <w:trPr>
          <w:trHeight w:val="213"/>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Depreciation</w:t>
            </w:r>
          </w:p>
        </w:tc>
        <w:tc>
          <w:tcPr>
            <w:tcW w:w="240" w:type="dxa"/>
            <w:vAlign w:val="bottom"/>
          </w:tcPr>
          <w:p>
            <w:pPr>
              <w:spacing w:after="0"/>
              <w:rPr>
                <w:sz w:val="18"/>
                <w:szCs w:val="18"/>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w w:val="90"/>
              </w:rPr>
              <w:t>Value</w:t>
            </w:r>
          </w:p>
        </w:tc>
      </w:tr>
      <w:tr>
        <w:trPr>
          <w:trHeight w:val="222"/>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Equipment leased or held for use:</w:t>
            </w:r>
          </w:p>
        </w:tc>
        <w:tc>
          <w:tcPr>
            <w:tcW w:w="19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Theater system components</w:t>
            </w:r>
            <w:r>
              <w:rPr>
                <w:rFonts w:ascii="Arial" w:cs="Arial" w:eastAsia="Arial" w:hAnsi="Arial"/>
                <w:sz w:val="15"/>
                <w:szCs w:val="15"/>
                <w:color w:val="auto"/>
              </w:rPr>
              <w:t>(1)(2)(3)</w:t>
            </w:r>
          </w:p>
        </w:tc>
        <w:tc>
          <w:tcPr>
            <w:tcW w:w="22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346,517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181,936</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164,581</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Camera equipment</w:t>
            </w:r>
          </w:p>
        </w:tc>
        <w:tc>
          <w:tcPr>
            <w:tcW w:w="1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4,855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3,214</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1,641</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351,372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185,150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166,222</w:t>
            </w:r>
          </w:p>
        </w:tc>
      </w:tr>
      <w:tr>
        <w:trPr>
          <w:trHeight w:val="222"/>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under construction</w:t>
            </w:r>
            <w:r>
              <w:rPr>
                <w:rFonts w:ascii="Arial" w:cs="Arial" w:eastAsia="Arial" w:hAnsi="Arial"/>
                <w:sz w:val="15"/>
                <w:szCs w:val="15"/>
                <w:color w:val="auto"/>
              </w:rPr>
              <w:t>(4)</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10,232</w:t>
            </w:r>
          </w:p>
        </w:tc>
      </w:tr>
      <w:tr>
        <w:trPr>
          <w:trHeight w:val="228"/>
        </w:trPr>
        <w:tc>
          <w:tcPr>
            <w:tcW w:w="4580" w:type="dxa"/>
            <w:vAlign w:val="bottom"/>
            <w:gridSpan w:val="2"/>
          </w:tcPr>
          <w:p>
            <w:pPr>
              <w:spacing w:after="0"/>
              <w:rPr>
                <w:sz w:val="20"/>
                <w:szCs w:val="20"/>
                <w:color w:val="auto"/>
              </w:rPr>
            </w:pPr>
            <w:r>
              <w:rPr>
                <w:rFonts w:ascii="Arial" w:cs="Arial" w:eastAsia="Arial" w:hAnsi="Arial"/>
                <w:sz w:val="18"/>
                <w:szCs w:val="18"/>
                <w:color w:val="auto"/>
              </w:rPr>
              <w:t>Right-of-use assets</w:t>
            </w:r>
            <w:r>
              <w:rPr>
                <w:rFonts w:ascii="Arial" w:cs="Arial" w:eastAsia="Arial" w:hAnsi="Arial"/>
                <w:sz w:val="15"/>
                <w:szCs w:val="15"/>
                <w:color w:val="auto"/>
              </w:rPr>
              <w:t>(5)</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14,429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12,132</w:t>
            </w:r>
          </w:p>
        </w:tc>
      </w:tr>
      <w:tr>
        <w:trPr>
          <w:trHeight w:val="228"/>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property, plant and equipment:</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Land</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8,203</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Buildings</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80,973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28,873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52,100</w:t>
            </w: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Office and production equipment</w:t>
            </w:r>
            <w:r>
              <w:rPr>
                <w:rFonts w:ascii="Arial" w:cs="Arial" w:eastAsia="Arial" w:hAnsi="Arial"/>
                <w:sz w:val="15"/>
                <w:szCs w:val="15"/>
                <w:color w:val="auto"/>
              </w:rPr>
              <w:t>(6)</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39,017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31,169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7,848</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Leasehold improvements</w:t>
            </w:r>
          </w:p>
        </w:tc>
        <w:tc>
          <w:tcPr>
            <w:tcW w:w="1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4,494</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3,616</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136,303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64,536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71,767</w:t>
            </w: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512,336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251,983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260,353</w:t>
            </w:r>
          </w:p>
        </w:tc>
      </w:tr>
      <w:tr>
        <w:trPr>
          <w:trHeight w:val="20"/>
        </w:trPr>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37"/>
        </w:trPr>
        <w:tc>
          <w:tcPr>
            <w:tcW w:w="1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 2020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20"/>
                <w:szCs w:val="20"/>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w w:val="94"/>
              </w:rPr>
              <w:t>Net Book</w:t>
            </w:r>
          </w:p>
        </w:tc>
      </w:tr>
      <w:tr>
        <w:trPr>
          <w:trHeight w:val="213"/>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Depreciation</w:t>
            </w:r>
          </w:p>
        </w:tc>
        <w:tc>
          <w:tcPr>
            <w:tcW w:w="240" w:type="dxa"/>
            <w:vAlign w:val="bottom"/>
          </w:tcPr>
          <w:p>
            <w:pPr>
              <w:spacing w:after="0"/>
              <w:rPr>
                <w:sz w:val="18"/>
                <w:szCs w:val="18"/>
                <w:color w:val="auto"/>
              </w:rPr>
            </w:pPr>
          </w:p>
        </w:tc>
        <w:tc>
          <w:tcPr>
            <w:tcW w:w="1240" w:type="dxa"/>
            <w:vAlign w:val="bottom"/>
          </w:tcPr>
          <w:p>
            <w:pPr>
              <w:jc w:val="center"/>
              <w:ind w:right="293"/>
              <w:spacing w:after="0"/>
              <w:rPr>
                <w:sz w:val="20"/>
                <w:szCs w:val="20"/>
                <w:color w:val="auto"/>
              </w:rPr>
            </w:pPr>
            <w:r>
              <w:rPr>
                <w:rFonts w:ascii="Arial" w:cs="Arial" w:eastAsia="Arial" w:hAnsi="Arial"/>
                <w:sz w:val="14"/>
                <w:szCs w:val="14"/>
                <w:b w:val="1"/>
                <w:bCs w:val="1"/>
                <w:color w:val="auto"/>
                <w:w w:val="90"/>
              </w:rPr>
              <w:t>Value</w:t>
            </w:r>
          </w:p>
        </w:tc>
      </w:tr>
      <w:tr>
        <w:trPr>
          <w:trHeight w:val="222"/>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Equipment leased or held for use:</w:t>
            </w:r>
          </w:p>
        </w:tc>
        <w:tc>
          <w:tcPr>
            <w:tcW w:w="19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Theater system components</w:t>
            </w:r>
            <w:r>
              <w:rPr>
                <w:rFonts w:ascii="Arial" w:cs="Arial" w:eastAsia="Arial" w:hAnsi="Arial"/>
                <w:sz w:val="15"/>
                <w:szCs w:val="15"/>
                <w:color w:val="auto"/>
              </w:rPr>
              <w:t>(1)(2)(3)</w:t>
            </w:r>
          </w:p>
        </w:tc>
        <w:tc>
          <w:tcPr>
            <w:tcW w:w="22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337,271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158,647</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178,624</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Camera equipment</w:t>
            </w:r>
          </w:p>
        </w:tc>
        <w:tc>
          <w:tcPr>
            <w:tcW w:w="1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5,399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4,653</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746</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342,670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163,300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179,370</w:t>
            </w:r>
          </w:p>
        </w:tc>
      </w:tr>
      <w:tr>
        <w:trPr>
          <w:trHeight w:val="222"/>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under construction</w:t>
            </w:r>
            <w:r>
              <w:rPr>
                <w:rFonts w:ascii="Arial" w:cs="Arial" w:eastAsia="Arial" w:hAnsi="Arial"/>
                <w:sz w:val="15"/>
                <w:szCs w:val="15"/>
                <w:color w:val="auto"/>
              </w:rPr>
              <w:t>(4)</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5,660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5,660</w:t>
            </w:r>
          </w:p>
        </w:tc>
      </w:tr>
      <w:tr>
        <w:trPr>
          <w:trHeight w:val="228"/>
        </w:trPr>
        <w:tc>
          <w:tcPr>
            <w:tcW w:w="4580" w:type="dxa"/>
            <w:vAlign w:val="bottom"/>
            <w:gridSpan w:val="2"/>
          </w:tcPr>
          <w:p>
            <w:pPr>
              <w:spacing w:after="0"/>
              <w:rPr>
                <w:sz w:val="20"/>
                <w:szCs w:val="20"/>
                <w:color w:val="auto"/>
              </w:rPr>
            </w:pPr>
            <w:r>
              <w:rPr>
                <w:rFonts w:ascii="Arial" w:cs="Arial" w:eastAsia="Arial" w:hAnsi="Arial"/>
                <w:sz w:val="18"/>
                <w:szCs w:val="18"/>
                <w:color w:val="auto"/>
              </w:rPr>
              <w:t>Right-of-use assets</w:t>
            </w:r>
            <w:r>
              <w:rPr>
                <w:rFonts w:ascii="Arial" w:cs="Arial" w:eastAsia="Arial" w:hAnsi="Arial"/>
                <w:sz w:val="15"/>
                <w:szCs w:val="15"/>
                <w:color w:val="auto"/>
              </w:rPr>
              <w:t>(5)</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15,553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13,911</w:t>
            </w:r>
          </w:p>
        </w:tc>
      </w:tr>
      <w:tr>
        <w:trPr>
          <w:trHeight w:val="228"/>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property, plant and equipment:</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Land</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8,203</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Buildings</w:t>
            </w: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80,875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25,921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54,954</w:t>
            </w:r>
          </w:p>
        </w:tc>
      </w:tr>
      <w:tr>
        <w:trPr>
          <w:trHeight w:val="228"/>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Office and production equipment</w:t>
            </w:r>
            <w:r>
              <w:rPr>
                <w:rFonts w:ascii="Arial" w:cs="Arial" w:eastAsia="Arial" w:hAnsi="Arial"/>
                <w:sz w:val="15"/>
                <w:szCs w:val="15"/>
                <w:color w:val="auto"/>
              </w:rPr>
              <w:t>(6)</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40,362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29,156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11,206</w:t>
            </w:r>
          </w:p>
        </w:tc>
      </w:tr>
      <w:tr>
        <w:trPr>
          <w:trHeight w:val="228"/>
        </w:trPr>
        <w:tc>
          <w:tcPr>
            <w:tcW w:w="4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Leasehold improvements</w:t>
            </w:r>
          </w:p>
        </w:tc>
        <w:tc>
          <w:tcPr>
            <w:tcW w:w="1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8,061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4,093</w:t>
            </w:r>
          </w:p>
        </w:tc>
      </w:tr>
      <w:tr>
        <w:trPr>
          <w:trHeight w:val="222"/>
        </w:trPr>
        <w:tc>
          <w:tcPr>
            <w:tcW w:w="1460" w:type="dxa"/>
            <w:vAlign w:val="bottom"/>
            <w:tcBorders>
              <w:bottom w:val="single" w:sz="8" w:color="CFF0FC"/>
            </w:tcBorders>
          </w:tcPr>
          <w:p>
            <w:pPr>
              <w:spacing w:after="0"/>
              <w:rPr>
                <w:sz w:val="19"/>
                <w:szCs w:val="19"/>
                <w:color w:val="auto"/>
              </w:rPr>
            </w:pPr>
          </w:p>
        </w:tc>
        <w:tc>
          <w:tcPr>
            <w:tcW w:w="312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137,501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59,045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78,456</w:t>
            </w: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501,384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223,987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277,397</w:t>
            </w:r>
          </w:p>
        </w:tc>
      </w:tr>
      <w:tr>
        <w:trPr>
          <w:trHeight w:val="20"/>
        </w:trPr>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200" w:lineRule="exact"/>
        <w:rPr>
          <w:sz w:val="20"/>
          <w:szCs w:val="20"/>
          <w:color w:val="auto"/>
        </w:rPr>
      </w:pPr>
    </w:p>
    <w:p>
      <w:pPr>
        <w:ind w:left="360" w:hanging="353"/>
        <w:spacing w:after="0" w:line="27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Included in theater system components are assets with costs of $7.6 million (2020 — $7.6 million) and accumulated depreciation of $7.0 million (2020 — $6.8 million) that are leased to customers under operating leases.</w:t>
      </w:r>
    </w:p>
    <w:p>
      <w:pPr>
        <w:spacing w:after="0" w:line="144"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Included in theater system components are assets with costs of $324.3 million (2020 — $315.4 million) and accumulated depreciation of $166.5 million (2020 — $144.7 million) that are used in joint revenue sharing arrangements.</w:t>
      </w:r>
    </w:p>
    <w:p>
      <w:pPr>
        <w:spacing w:after="0" w:line="131" w:lineRule="exact"/>
        <w:rPr>
          <w:rFonts w:ascii="Arial" w:cs="Arial" w:eastAsia="Arial" w:hAnsi="Arial"/>
          <w:sz w:val="18"/>
          <w:szCs w:val="18"/>
          <w:color w:val="auto"/>
        </w:rPr>
      </w:pPr>
    </w:p>
    <w:p>
      <w:pPr>
        <w:jc w:val="both"/>
        <w:ind w:left="360" w:hanging="353"/>
        <w:spacing w:after="0" w:line="261"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2021, the Company recorded charges of $0.4 million (2020 — $1.8 million; 2019 — $2.2 million) in Costs and Expenses Applicable to Technology Rentals mostly related to the write-down of leased IMAX Xenon Theater Systems which were taken out of service in connection with customer upgrades to IMAX Laser Theater Systems.</w:t>
      </w:r>
    </w:p>
    <w:p>
      <w:pPr>
        <w:spacing w:after="0" w:line="143"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Included in assets under construction are components with costs of $9.2 million (2020 — $5.3 million) that will be utilized to construct assets to be used in joint revenue sharing arrangements.</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right-of-use assets primarily include operating leases for office and warehouse space.</w:t>
      </w:r>
    </w:p>
    <w:p>
      <w:pPr>
        <w:spacing w:after="0" w:line="182"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Fully depreciated office and production equipment is still in use by the Company. In 2021, the Company identified and wrote off $0.5 million (2020 — $0.9 million) of office and production equipment that is fully depreciated and no longer in 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4" w:name="page105"/>
    <w:bookmarkEnd w:id="104"/>
    <w:p>
      <w:pPr>
        <w:ind w:right="20" w:firstLine="225"/>
        <w:spacing w:after="0" w:line="274" w:lineRule="auto"/>
        <w:rPr>
          <w:sz w:val="20"/>
          <w:szCs w:val="20"/>
          <w:color w:val="auto"/>
        </w:rPr>
      </w:pPr>
      <w:r>
        <w:rPr>
          <w:rFonts w:ascii="Arial" w:cs="Arial" w:eastAsia="Arial" w:hAnsi="Arial"/>
          <w:sz w:val="18"/>
          <w:szCs w:val="18"/>
          <w:color w:val="auto"/>
        </w:rPr>
        <w:t>In 2021, the Company recorded a charge of $0.2 million (2020 — $0.2 million; 2019 — $0.2 million) reflecting Property, Plant and Equipment that was no longer in use.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60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incentives provided to theater customers, net of accumulated amortization</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14,834</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Arial" w:cs="Arial" w:eastAsia="Arial" w:hAnsi="Arial"/>
                <w:sz w:val="18"/>
                <w:szCs w:val="18"/>
                <w:color w:val="auto"/>
              </w:rPr>
              <w:t>Commissions and other deferred selling expenses</w:t>
            </w:r>
          </w:p>
        </w:tc>
        <w:tc>
          <w:tcPr>
            <w:tcW w:w="3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76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8"/>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2"/>
        </w:trPr>
        <w:tc>
          <w:tcPr>
            <w:tcW w:w="76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17,799</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6"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Income (Loss) Before Taxes by Jurisdiction</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Income (loss) before taxes by tax jurisdiction for the years ended December 31, 2021, 2020, and 2019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(104,166)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53,792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51,809</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8,628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10,987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75,336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Income Tax (Expense) Benefit</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Income tax (expense) benefit for the years ended December 31, 2021, 2020, and 2019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80" w:type="dxa"/>
            <w:vAlign w:val="bottom"/>
            <w:tcBorders>
              <w:bottom w:val="single" w:sz="8" w:color="CFF0FC"/>
            </w:tcBorders>
            <w:vMerge w:val="continue"/>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 – current:</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120"/>
              <w:spacing w:after="0"/>
              <w:rPr>
                <w:sz w:val="20"/>
                <w:szCs w:val="20"/>
                <w:color w:val="auto"/>
              </w:rPr>
            </w:pPr>
            <w:r>
              <w:rPr>
                <w:rFonts w:ascii="Arial" w:cs="Arial" w:eastAsia="Arial" w:hAnsi="Arial"/>
                <w:sz w:val="18"/>
                <w:szCs w:val="18"/>
                <w:color w:val="auto"/>
              </w:rPr>
              <w:t>Canada</w:t>
            </w:r>
          </w:p>
        </w:tc>
        <w:tc>
          <w:tcPr>
            <w:tcW w:w="25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48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8"/>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8"/>
        </w:trPr>
        <w:tc>
          <w:tcPr>
            <w:tcW w:w="4280" w:type="dxa"/>
            <w:vAlign w:val="bottom"/>
          </w:tcPr>
          <w:p>
            <w:pPr>
              <w:ind w:left="120"/>
              <w:spacing w:after="0"/>
              <w:rPr>
                <w:sz w:val="20"/>
                <w:szCs w:val="20"/>
                <w:color w:val="auto"/>
              </w:rPr>
            </w:pPr>
            <w:r>
              <w:rPr>
                <w:rFonts w:ascii="Arial" w:cs="Arial" w:eastAsia="Arial" w:hAnsi="Arial"/>
                <w:sz w:val="18"/>
                <w:szCs w:val="18"/>
                <w:color w:val="auto"/>
              </w:rPr>
              <w:t>China</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28"/>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8"/>
        </w:trPr>
        <w:tc>
          <w:tcPr>
            <w:tcW w:w="42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2"/>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Income tax (expense) benefit – deferred:</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(1)</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8"/>
        </w:trPr>
        <w:tc>
          <w:tcPr>
            <w:tcW w:w="42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8"/>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China</w:t>
            </w:r>
            <w:r>
              <w:rPr>
                <w:rFonts w:ascii="Arial" w:cs="Arial" w:eastAsia="Arial" w:hAnsi="Arial"/>
                <w:sz w:val="15"/>
                <w:szCs w:val="15"/>
                <w:color w:val="auto"/>
              </w:rPr>
              <w:t>(2)</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4280" w:type="dxa"/>
            <w:vAlign w:val="bottom"/>
          </w:tcPr>
          <w:p>
            <w:pPr>
              <w:ind w:left="120"/>
              <w:spacing w:after="0"/>
              <w:rPr>
                <w:sz w:val="20"/>
                <w:szCs w:val="20"/>
                <w:color w:val="auto"/>
              </w:rPr>
            </w:pPr>
            <w:r>
              <w:rPr>
                <w:rFonts w:ascii="Arial" w:cs="Arial" w:eastAsia="Arial" w:hAnsi="Arial"/>
                <w:sz w:val="18"/>
                <w:szCs w:val="18"/>
                <w:color w:val="auto"/>
              </w:rPr>
              <w:t>Ireland</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2,161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8"/>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(23,618)</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(3)</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(20,564)</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(26,504)</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20" w:type="dxa"/>
            <w:vAlign w:val="bottom"/>
            <w:vMerge w:val="restart"/>
          </w:tcPr>
          <w:p>
            <w:pPr>
              <w:jc w:val="right"/>
              <w:ind w:right="651"/>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05" w:name="page106"/>
    <w:bookmarkEnd w:id="105"/>
    <w:p>
      <w:pPr>
        <w:jc w:val="both"/>
        <w:ind w:left="360" w:hanging="353"/>
        <w:spacing w:after="0" w:line="254"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310515</wp:posOffset>
            </wp:positionV>
            <wp:extent cx="920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20115" cy="8255"/>
                    </a:xfrm>
                    <a:prstGeom prst="rect">
                      <a:avLst/>
                    </a:prstGeom>
                    <a:noFill/>
                  </pic:spPr>
                </pic:pic>
              </a:graphicData>
            </a:graphic>
          </wp:anchor>
        </w:drawing>
        <w:t>A valuation allowance is recorded in jurisdictions where management has determined, based on the weight of all available evidence, both positive and negative, that a valuation allowance for deferred tax assets is needed. For the year ended December 31, 2021, the Company recorded a $17.2 million valuation allowance against its deferred tax assets in Canada primarily as a result of uncertainties related to the long-term impact of the COVID-19 pandemic (2020 — $28.6 million). The $17.2 million increase in the valuation allowance recorded in 2021 is reflected within Income Tax Expense in the Company’s Consolidated Statements of Operations ($14.7 million) and Shareholders’ Equity on the Company’s Consolidated Balance Sheets ($2.5 million).</w:t>
      </w:r>
    </w:p>
    <w:p>
      <w:pPr>
        <w:spacing w:after="0" w:line="148" w:lineRule="exact"/>
        <w:rPr>
          <w:rFonts w:ascii="Arial" w:cs="Arial" w:eastAsia="Arial" w:hAnsi="Arial"/>
          <w:sz w:val="18"/>
          <w:szCs w:val="18"/>
          <w:color w:val="auto"/>
        </w:rPr>
      </w:pPr>
    </w:p>
    <w:p>
      <w:pPr>
        <w:jc w:val="both"/>
        <w:ind w:left="360" w:hanging="353"/>
        <w:spacing w:after="0" w:line="288" w:lineRule="auto"/>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in 2020 for the estimated applicable foreign withholding taxes associated with these historical earnings, which will become payable upon the repatriation of any such earnings. In 2021, the deferred tax liability for the applicable foreign withholding taxes was increased by $0.5 million due to an increase in the amount of distributable historical earnings. During the year ended December 31, 2021, $20.4 million of historical earnings from a subsidiary in China were distributed and, as a result, $ 2.0 million of foreign withholding taxes were paid to the relevant tax authorities. The remaining deferred tax liability on the Company’s Consolidated Balance Sheets as of December 31, 2021 is $17.6 million.</w:t>
      </w:r>
    </w:p>
    <w:p>
      <w:pPr>
        <w:spacing w:after="0" w:line="126" w:lineRule="exact"/>
        <w:rPr>
          <w:rFonts w:ascii="Arial" w:cs="Arial" w:eastAsia="Arial" w:hAnsi="Arial"/>
          <w:sz w:val="16"/>
          <w:szCs w:val="16"/>
          <w:color w:val="auto"/>
        </w:rPr>
      </w:pPr>
    </w:p>
    <w:p>
      <w:pPr>
        <w:ind w:left="360" w:hanging="353"/>
        <w:spacing w:after="0" w:line="274"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year ended December 31, 2021, Income Tax (Expense) Benefit excludes a tax benefit of $0.3 million included in Other Comprehensive Income (2020 — benefit of $0.1 million; 2019 — expense of $(0.4) million).</w:t>
      </w:r>
    </w:p>
    <w:p>
      <w:pPr>
        <w:spacing w:after="0" w:line="131" w:lineRule="exact"/>
        <w:rPr>
          <w:rFonts w:ascii="Arial" w:cs="Arial" w:eastAsia="Arial" w:hAnsi="Arial"/>
          <w:sz w:val="18"/>
          <w:szCs w:val="18"/>
          <w:color w:val="auto"/>
        </w:rPr>
      </w:pPr>
    </w:p>
    <w:p>
      <w:pPr>
        <w:ind w:left="580" w:hanging="358"/>
        <w:spacing w:after="0"/>
        <w:tabs>
          <w:tab w:leader="none" w:pos="580" w:val="left"/>
        </w:tabs>
        <w:numPr>
          <w:ilvl w:val="1"/>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Reconciliation of Income Tax Expense to Statutory Rates</w:t>
      </w:r>
    </w:p>
    <w:p>
      <w:pPr>
        <w:spacing w:after="0" w:line="182"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For the years ended December 31, 2021, 2020, and 2019, the Company’s effective tax rate and income tax expense differs from the combined Canadian federal and provincial statutory income tax rates due to the following factors: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208"/>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8"/>
                <w:szCs w:val="18"/>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4"/>
                <w:szCs w:val="14"/>
                <w:i w:val="1"/>
                <w:iCs w:val="1"/>
                <w:color w:val="auto"/>
              </w:rPr>
              <w:t>(In thousands of U.S. Dollars, except rates)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Rate</w:t>
            </w:r>
          </w:p>
        </w:tc>
      </w:tr>
      <w:tr>
        <w:trPr>
          <w:trHeight w:val="222"/>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 at combined statutory rates</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34,218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(19,964)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Adjustments resulting from:</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NCI share of partnership losses</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5480" w:type="dxa"/>
            <w:vAlign w:val="bottom"/>
          </w:tcPr>
          <w:p>
            <w:pPr>
              <w:ind w:left="120"/>
              <w:spacing w:after="0"/>
              <w:rPr>
                <w:sz w:val="20"/>
                <w:szCs w:val="20"/>
                <w:color w:val="auto"/>
              </w:rPr>
            </w:pPr>
            <w:r>
              <w:rPr>
                <w:rFonts w:ascii="Arial" w:cs="Arial" w:eastAsia="Arial" w:hAnsi="Arial"/>
                <w:sz w:val="18"/>
                <w:szCs w:val="18"/>
                <w:color w:val="auto"/>
              </w:rPr>
              <w:t>Increase in valuation allowance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(14,722)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(28,589)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8"/>
        </w:trPr>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Changes to tax reserves</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28"/>
        </w:trPr>
        <w:tc>
          <w:tcPr>
            <w:tcW w:w="5480" w:type="dxa"/>
            <w:vAlign w:val="bottom"/>
          </w:tcPr>
          <w:p>
            <w:pPr>
              <w:ind w:left="120"/>
              <w:spacing w:after="0"/>
              <w:rPr>
                <w:sz w:val="20"/>
                <w:szCs w:val="20"/>
                <w:color w:val="auto"/>
              </w:rPr>
            </w:pPr>
            <w:r>
              <w:rPr>
                <w:rFonts w:ascii="Arial" w:cs="Arial" w:eastAsia="Arial" w:hAnsi="Arial"/>
                <w:sz w:val="18"/>
                <w:szCs w:val="18"/>
                <w:color w:val="auto"/>
              </w:rPr>
              <w:t>U.S. federal and state taxes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8"/>
        </w:trPr>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Withholding taxes</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(20,943)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5480" w:type="dxa"/>
            <w:vAlign w:val="bottom"/>
          </w:tcPr>
          <w:p>
            <w:pPr>
              <w:ind w:left="120"/>
              <w:spacing w:after="0"/>
              <w:rPr>
                <w:sz w:val="20"/>
                <w:szCs w:val="20"/>
                <w:color w:val="auto"/>
              </w:rPr>
            </w:pPr>
            <w:r>
              <w:rPr>
                <w:rFonts w:ascii="Arial" w:cs="Arial" w:eastAsia="Arial" w:hAnsi="Arial"/>
                <w:sz w:val="18"/>
                <w:szCs w:val="18"/>
                <w:color w:val="auto"/>
                <w:w w:val="94"/>
              </w:rPr>
              <w:t>Income tax at different rates in foreign and other provincial jurisdictions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38"/>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 and other tax credits (non-refundable)</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14"/>
        </w:trPr>
        <w:tc>
          <w:tcPr>
            <w:tcW w:w="5480" w:type="dxa"/>
            <w:vAlign w:val="bottom"/>
          </w:tcPr>
          <w:p>
            <w:pPr>
              <w:ind w:left="120"/>
              <w:spacing w:after="0"/>
              <w:rPr>
                <w:sz w:val="20"/>
                <w:szCs w:val="20"/>
                <w:color w:val="auto"/>
              </w:rPr>
            </w:pPr>
            <w:r>
              <w:rPr>
                <w:rFonts w:ascii="Arial" w:cs="Arial" w:eastAsia="Arial" w:hAnsi="Arial"/>
                <w:sz w:val="18"/>
                <w:szCs w:val="18"/>
                <w:color w:val="auto"/>
                <w:w w:val="89"/>
              </w:rPr>
              <w:t>Changes to deferred tax assets and liabilities resulting from audit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tax return adjustments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5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non-deductible/non-taxable items</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(20,564)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(26,504)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(16,768)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0"/>
        </w:trPr>
        <w:tc>
          <w:tcPr>
            <w:tcW w:w="54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6"/>
              </w:rPr>
              <w:t>106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4"/>
        </w:trPr>
        <w:tc>
          <w:tcPr>
            <w:tcW w:w="5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6" w:name="page107"/>
    <w:bookmarkEnd w:id="106"/>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Deferred Tax Assets and Deferred Tax Liability</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2021 and 2020, the Company’s deferred tax assets and deferred tax liability consists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40" w:type="dxa"/>
            <w:vAlign w:val="bottom"/>
            <w:tcBorders>
              <w:bottom w:val="single" w:sz="8" w:color="CFF0FC"/>
            </w:tcBorders>
            <w:vMerge w:val="continue"/>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21,219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28"/>
        </w:trPr>
        <w:tc>
          <w:tcPr>
            <w:tcW w:w="5840" w:type="dxa"/>
            <w:vAlign w:val="bottom"/>
          </w:tcPr>
          <w:p>
            <w:pPr>
              <w:spacing w:after="0"/>
              <w:rPr>
                <w:sz w:val="20"/>
                <w:szCs w:val="20"/>
                <w:color w:val="auto"/>
              </w:rPr>
            </w:pPr>
            <w:r>
              <w:rPr>
                <w:rFonts w:ascii="Arial" w:cs="Arial" w:eastAsia="Arial" w:hAnsi="Arial"/>
                <w:sz w:val="18"/>
                <w:szCs w:val="18"/>
                <w:color w:val="auto"/>
              </w:rPr>
              <w:t>Investment tax credit and other tax credit carryforwards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3,919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Write-downs of other assets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8"/>
        </w:trPr>
        <w:tc>
          <w:tcPr>
            <w:tcW w:w="5840" w:type="dxa"/>
            <w:vAlign w:val="bottom"/>
          </w:tcPr>
          <w:p>
            <w:pPr>
              <w:spacing w:after="0"/>
              <w:rPr>
                <w:sz w:val="20"/>
                <w:szCs w:val="20"/>
                <w:color w:val="auto"/>
              </w:rPr>
            </w:pPr>
            <w:r>
              <w:rPr>
                <w:rFonts w:ascii="Arial" w:cs="Arial" w:eastAsia="Arial" w:hAnsi="Arial"/>
                <w:sz w:val="18"/>
                <w:szCs w:val="18"/>
                <w:color w:val="auto"/>
              </w:rPr>
              <w:t>Excess of tax accounting basis in various assets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13,929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Accrued pension liability</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6,901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28"/>
        </w:trPr>
        <w:tc>
          <w:tcPr>
            <w:tcW w:w="5840" w:type="dxa"/>
            <w:vAlign w:val="bottom"/>
          </w:tcPr>
          <w:p>
            <w:pPr>
              <w:spacing w:after="0"/>
              <w:rPr>
                <w:sz w:val="20"/>
                <w:szCs w:val="20"/>
                <w:color w:val="auto"/>
              </w:rPr>
            </w:pPr>
            <w:r>
              <w:rPr>
                <w:rFonts w:ascii="Arial" w:cs="Arial" w:eastAsia="Arial" w:hAnsi="Arial"/>
                <w:sz w:val="18"/>
                <w:szCs w:val="18"/>
                <w:color w:val="auto"/>
              </w:rPr>
              <w:t>Accrued share-based compensation</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7,728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28"/>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recognition on net investment in leases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reserves</w:t>
            </w:r>
          </w:p>
        </w:tc>
        <w:tc>
          <w:tcPr>
            <w:tcW w:w="1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8,369</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2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income tax assets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59,920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46,769</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8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22"/>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 net of valuation allowance</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13,906</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liability</w:t>
            </w:r>
          </w:p>
        </w:tc>
        <w:tc>
          <w:tcPr>
            <w:tcW w:w="1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(17,642)</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1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December 31, 2021, deferred tax assets include of $0.3 million (December 31, 2020 — $0.6 million) associated with amounts recognized within Accumulated Other Comprehensive Income, including unrealized actuarial gains and losses related to the Company’s pension and other postretirement benefit plans and unrealized net gains and losses on cash flow hedging instruments.</w:t>
      </w:r>
    </w:p>
    <w:p>
      <w:pPr>
        <w:spacing w:after="0" w:line="157"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Net Operating Loss Carryforwards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Estimated United States and Canadian net operating loss carryforwards of $93.2 million can be used to reduce taxable income through 2041 and $21.9 million can be carried forward indefinitely. Investment tax credits and other tax credits can be carried forward to reduce income taxes payable through to 2041.</w:t>
      </w:r>
    </w:p>
    <w:p>
      <w:pPr>
        <w:spacing w:after="0" w:line="143" w:lineRule="exact"/>
        <w:rPr>
          <w:sz w:val="20"/>
          <w:szCs w:val="20"/>
          <w:color w:val="auto"/>
        </w:rPr>
      </w:pPr>
    </w:p>
    <w:p>
      <w:pPr>
        <w:ind w:left="580" w:hanging="358"/>
        <w:spacing w:after="0"/>
        <w:tabs>
          <w:tab w:leader="none" w:pos="58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 on Indefinitely Reinvested Assertion</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Income taxes are accrued for the earnings of non-Canadian affiliates and associated companies unless management determines that such earnings will be indefinitely reinvested outside of Canada.</w:t>
      </w:r>
    </w:p>
    <w:p>
      <w:pPr>
        <w:spacing w:after="0" w:line="131"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$19.1 million in 2020 for the estimated applicable foreign withholding taxes associated with these historical earnings, which will become payable upon the repatriation of any such earnings. In 2021, the deferred income tax liability for the applicable foreign withholding taxes was increased by $0.5 million due to an increase in the amount of distributable historical earnings. During the year ended December 31, 2021, $20.4 million of historical earnings from a subsidiary in China were distributed and, as a result, $2.0 million of foreign withholding taxes were paid to the relevant tax authorities (2020 — $nil). The remaining deferred tax liability on the Company’s Consolidated Balance Sheets as of December 31, 2021 is $17.6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7" w:name="page108"/>
    <w:bookmarkEnd w:id="107"/>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Valuation Allowance</w:t>
      </w:r>
    </w:p>
    <w:p>
      <w:pPr>
        <w:spacing w:after="0" w:line="18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As of December 31, 2021, the Company’s Consolidated Balance Sheets include net deferred income tax assets of $13.9 million, net of a valuation allowance of $46.0 million (December 31, 2020 — $18.0 million, net of a valuation allowance of $28.8 million). For the years ended December 31, 2021 and 2020, the Company recorded a valuation allowance of $17.2 million and $28.6 million, respectively, where management cannot reliably forecast that sufficient future tax liabilities will arise in specific jurisdictions, which includes the long-term impact of the COVID-19 pandemic. The $17.2 million increase in the valuation allowance recorded in 2021 is reflected within Income Tax Expense in the Company’s Consolidated Statements of Operations ($14.7 million) and Shareholders’ Equity on the Company’s Consolidated Balance Sheets ($2.5 million). The $28.6 million increase in the valuation allowance recorded in 2020 is reflected within Income Tax Expense in the Company’s Consolidated Statements of Operations. The valuation allowance is expected to reverse at the point in time when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43"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Uncertain Tax Positions</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As of December 31, 2021 and December 31, 2020, the Company had total tax reserves (including interest and penalties) of $13.9 million and $17.4 million, respectively,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spacing w:after="0" w:line="131"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For the year ended December 31, 2021, the Company recorded a net decrease of $2.1 million related to reserves (excluding interest and penalties) for income taxes (2020 — $0.6 million, 2019 — $1.4 million).</w:t>
      </w:r>
    </w:p>
    <w:p>
      <w:pPr>
        <w:spacing w:after="0" w:line="131" w:lineRule="exact"/>
        <w:rPr>
          <w:sz w:val="20"/>
          <w:szCs w:val="20"/>
          <w:color w:val="auto"/>
        </w:rPr>
      </w:pPr>
    </w:p>
    <w:p>
      <w:pPr>
        <w:jc w:val="both"/>
        <w:ind w:firstLine="225"/>
        <w:spacing w:after="0" w:line="309" w:lineRule="auto"/>
        <w:rPr>
          <w:sz w:val="20"/>
          <w:szCs w:val="20"/>
          <w:color w:val="auto"/>
        </w:rPr>
      </w:pPr>
      <w:r>
        <w:rPr>
          <w:rFonts w:ascii="Arial" w:cs="Arial" w:eastAsia="Arial" w:hAnsi="Arial"/>
          <w:sz w:val="16"/>
          <w:szCs w:val="16"/>
          <w:color w:val="auto"/>
        </w:rPr>
        <w:t>The Company has elected to classify interest and penalties related to income tax liabilities, when applicable, as part of the Income Tax Expense in its Consolidated Statements of Operations rather than Interest Expense. The Company reversed $1.4 million in potential interest and penalties associated with its provision for uncertain tax positions for the years ended December 31, 2021 (2020 — expensed $3.3 million; 2019 — expensed $0.2 million).</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The following table presents a </w:t>
      </w:r>
      <w:r>
        <w:rPr>
          <w:rFonts w:ascii="Arial" w:cs="Arial" w:eastAsia="Arial" w:hAnsi="Arial"/>
          <w:sz w:val="15"/>
          <w:szCs w:val="15"/>
          <w:color w:val="auto"/>
        </w:rPr>
        <w:t>reconciliation of the beginning and ending amount of tax reserves (excluding interest and penalties)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the year</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14,076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14,718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16,136</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8"/>
                <w:szCs w:val="18"/>
                <w:color w:val="auto"/>
              </w:rPr>
              <w:t>Reductions resulting from lapse of applicable statute of limitations and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administrative practices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11,939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14,076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14,718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73"/>
        <w:spacing w:after="0" w:line="291" w:lineRule="auto"/>
        <w:rPr>
          <w:sz w:val="20"/>
          <w:szCs w:val="20"/>
          <w:color w:val="auto"/>
        </w:rPr>
      </w:pPr>
      <w:r>
        <w:rPr>
          <w:rFonts w:ascii="Arial" w:cs="Arial" w:eastAsia="Arial" w:hAnsi="Arial"/>
          <w:sz w:val="16"/>
          <w:szCs w:val="16"/>
          <w:color w:val="auto"/>
        </w:rPr>
        <w:t>The number of years with open tax audits varies depending on the tax jurisdiction. The Company's taxing jurisdictions include Canada, the province of Ontario, the United States (including multiple states), Ireland, and China. In 2021, the Canadian tax authorities denied the Company’s deduction of certain foreign taxes accrued in 2015, but not yet paid as discussions with the local authorities are ongoing. This resulted in the payment of $8.9 million in income taxes and $1.6 million in associated interest to the Canadian tax authorities in the fourth quarter of 2021. The Company has filed a waiver with the Canadian tax authorities in respect of 2015 so that when the foreign taxes are paid, the Company would be entitled to receive a refund of the $8.9 million in tax, which is recorded on the Company’s Consolidated Balance Sheets within Accounts Receivable, and the $1.6 million in associated interest.</w:t>
      </w:r>
    </w:p>
    <w:p>
      <w:pPr>
        <w:spacing w:after="0" w:line="12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Company's 2017 through 2021 tax years remain subject to examination by the IRS for United States federal tax purposes, and the 2016 through 2021 tax years remain subject to examination by the appropriate governmental agencies for Canadian federal tax purposes. There are other on-going audits in various other jurisdictions that are not material to the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ind w:left="580" w:hanging="358"/>
        <w:spacing w:after="0"/>
        <w:tabs>
          <w:tab w:leader="none" w:pos="5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 Effect on Other Comprehensive Income</w:t>
      </w:r>
    </w:p>
    <w:p>
      <w:pPr>
        <w:spacing w:after="0" w:line="180" w:lineRule="exact"/>
        <w:rPr>
          <w:sz w:val="20"/>
          <w:szCs w:val="20"/>
          <w:color w:val="auto"/>
        </w:rPr>
      </w:pPr>
    </w:p>
    <w:p>
      <w:pPr>
        <w:jc w:val="both"/>
        <w:ind w:firstLine="225"/>
        <w:spacing w:after="0"/>
        <w:rPr>
          <w:sz w:val="20"/>
          <w:szCs w:val="20"/>
          <w:color w:val="auto"/>
        </w:rPr>
      </w:pPr>
      <w:r>
        <w:rPr>
          <w:rFonts w:ascii="Arial" w:cs="Arial" w:eastAsia="Arial" w:hAnsi="Arial"/>
          <w:sz w:val="20"/>
          <w:szCs w:val="20"/>
          <w:color w:val="auto"/>
        </w:rPr>
        <w:t xml:space="preserve">For the years ended December 31, 2021, 2020, and 2019, </w:t>
      </w:r>
      <w:r>
        <w:rPr>
          <w:rFonts w:ascii="Arial" w:cs="Arial" w:eastAsia="Arial" w:hAnsi="Arial"/>
          <w:sz w:val="17"/>
          <w:szCs w:val="17"/>
          <w:color w:val="auto"/>
        </w:rPr>
        <w:t>Income Tax Benefit (Expense) related to the components of Other Comprehensive</w:t>
      </w:r>
      <w:r>
        <w:rPr>
          <w:rFonts w:ascii="Arial" w:cs="Arial" w:eastAsia="Arial" w:hAnsi="Arial"/>
          <w:sz w:val="20"/>
          <w:szCs w:val="20"/>
          <w:color w:val="auto"/>
        </w:rPr>
        <w:t xml:space="preserve"> </w:t>
      </w:r>
      <w:r>
        <w:rPr>
          <w:rFonts w:ascii="Arial" w:cs="Arial" w:eastAsia="Arial" w:hAnsi="Arial"/>
          <w:sz w:val="17"/>
          <w:szCs w:val="17"/>
          <w:color w:val="auto"/>
        </w:rPr>
        <w:t>Income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2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2"/>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Unrealized defined benefit plan actuarial (gain) loss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Unrealized postretirement benefit plans actuarial (gain) loss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 arising during the period</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Realized change in cash flow hedging instruments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w w:val="95"/>
              </w:rPr>
              <w:t>Reclassification of unrealized change in ineffective cash flow hedging instruments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13. Other Intangible Assets</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As of December 31, 2021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2"/>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 and trademarks</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12,834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9,406</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Licenses and intellectual property</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13,642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28,571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21,544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499</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6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68,171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45,091</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23,080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As of December 31, 2020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29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2"/>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 and trademarks</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12,714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8,878</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Licenses and intellectual property</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12,182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13,986</w:t>
            </w:r>
          </w:p>
        </w:tc>
        <w:tc>
          <w:tcPr>
            <w:tcW w:w="0" w:type="dxa"/>
            <w:vAlign w:val="bottom"/>
          </w:tcPr>
          <w:p>
            <w:pPr>
              <w:spacing w:after="0"/>
              <w:rPr>
                <w:sz w:val="1"/>
                <w:szCs w:val="1"/>
                <w:color w:val="auto"/>
              </w:rPr>
            </w:pPr>
          </w:p>
        </w:tc>
      </w:tr>
      <w:tr>
        <w:trPr>
          <w:trHeight w:val="228"/>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25,009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17,568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1,445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463</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2"/>
        </w:trPr>
        <w:tc>
          <w:tcPr>
            <w:tcW w:w="6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65,336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39,091</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26,245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Fully amortized other intangible assets are still in use by the Company. In 2021, the Company identified and wrote off $0.1 million (2020 — $0.2 million) of patents and trademarks that are no longer in use.</w:t>
      </w:r>
    </w:p>
    <w:p>
      <w:pPr>
        <w:spacing w:after="0" w:line="14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During 2021, the Company capitalized $4.1 million in other intangible assets, mainly related to the development of internal use software, as well as additions in patents and trademark and other intangible assets (2020 — $2.8 million). The weighted average amortization period for these additions is 2.3 years (2020 — 6.6 years). The net book value of the other intangible assets capitalized in 2021 was $3.9 million as of December 31, 2021 (2020 — $2.6 million).</w:t>
      </w:r>
    </w:p>
    <w:p>
      <w:pPr>
        <w:spacing w:after="0" w:line="14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During 2021, the Company incurred costs of $0.1 million to renew or extend the term of acquired patents and trademarks which were recorded in Selling, General and Administrative expenses (2020 — $0.4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ind w:left="240"/>
        <w:spacing w:after="0"/>
        <w:rPr>
          <w:sz w:val="20"/>
          <w:szCs w:val="20"/>
          <w:color w:val="auto"/>
        </w:rPr>
      </w:pPr>
      <w:r>
        <w:rPr>
          <w:rFonts w:ascii="Arial" w:cs="Arial" w:eastAsia="Arial" w:hAnsi="Arial"/>
          <w:sz w:val="18"/>
          <w:szCs w:val="18"/>
          <w:color w:val="auto"/>
        </w:rPr>
        <w:t>The estimated amortization expense for each of the next five years following the December 31, 2021 balance sheet date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4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FF0FC"/>
          </w:tcPr>
          <w:p>
            <w:pPr>
              <w:jc w:val="right"/>
              <w:ind w:right="65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6,225</w:t>
            </w:r>
          </w:p>
        </w:tc>
      </w:tr>
      <w:tr>
        <w:trPr>
          <w:trHeight w:val="228"/>
        </w:trPr>
        <w:tc>
          <w:tcPr>
            <w:tcW w:w="5440" w:type="dxa"/>
            <w:vAlign w:val="bottom"/>
          </w:tcPr>
          <w:p>
            <w:pPr>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6,225</w:t>
            </w: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4,899</w:t>
            </w:r>
          </w:p>
        </w:tc>
      </w:tr>
      <w:tr>
        <w:trPr>
          <w:trHeight w:val="228"/>
        </w:trPr>
        <w:tc>
          <w:tcPr>
            <w:tcW w:w="5440" w:type="dxa"/>
            <w:vAlign w:val="bottom"/>
          </w:tcPr>
          <w:p>
            <w:pPr>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2,056</w:t>
            </w: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1,704</w:t>
            </w:r>
          </w:p>
        </w:tc>
      </w:tr>
    </w:tbl>
    <w:p>
      <w:pPr>
        <w:spacing w:after="0" w:line="196" w:lineRule="exact"/>
        <w:rPr>
          <w:sz w:val="20"/>
          <w:szCs w:val="20"/>
          <w:color w:val="auto"/>
        </w:rPr>
      </w:pPr>
    </w:p>
    <w:p>
      <w:pPr>
        <w:ind w:left="320" w:hanging="313"/>
        <w:spacing w:after="0"/>
        <w:tabs>
          <w:tab w:leader="none" w:pos="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9" w:lineRule="exact"/>
        <w:rPr>
          <w:rFonts w:ascii="Arial" w:cs="Arial" w:eastAsia="Arial" w:hAnsi="Arial"/>
          <w:sz w:val="18"/>
          <w:szCs w:val="18"/>
          <w:b w:val="1"/>
          <w:bCs w:val="1"/>
          <w:color w:val="auto"/>
        </w:rPr>
      </w:pPr>
    </w:p>
    <w:p>
      <w:pPr>
        <w:ind w:left="580" w:hanging="358"/>
        <w:spacing w:after="0"/>
        <w:tabs>
          <w:tab w:leader="none" w:pos="580" w:val="left"/>
        </w:tabs>
        <w:numPr>
          <w:ilvl w:val="1"/>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Revolving Credit Facility Borrowings, net</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2021 and 2020, Revolving Credit Facility Borrowings, net includes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2"/>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borrowings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300,000</w:t>
            </w:r>
          </w:p>
        </w:tc>
      </w:tr>
      <w:tr>
        <w:trPr>
          <w:trHeight w:val="228"/>
        </w:trPr>
        <w:tc>
          <w:tcPr>
            <w:tcW w:w="7740" w:type="dxa"/>
            <w:vAlign w:val="bottom"/>
          </w:tcPr>
          <w:p>
            <w:pPr>
              <w:spacing w:after="0"/>
              <w:rPr>
                <w:sz w:val="20"/>
                <w:szCs w:val="20"/>
                <w:color w:val="auto"/>
              </w:rPr>
            </w:pPr>
            <w:r>
              <w:rPr>
                <w:rFonts w:ascii="Arial" w:cs="Arial" w:eastAsia="Arial" w:hAnsi="Arial"/>
                <w:sz w:val="18"/>
                <w:szCs w:val="18"/>
                <w:color w:val="auto"/>
              </w:rPr>
              <w:t>Working Capital Facility borrowings</w:t>
            </w:r>
          </w:p>
        </w:tc>
        <w:tc>
          <w:tcPr>
            <w:tcW w:w="220" w:type="dxa"/>
            <w:vAlign w:val="bottom"/>
          </w:tcPr>
          <w:p>
            <w:pPr>
              <w:spacing w:after="0"/>
              <w:rPr>
                <w:sz w:val="19"/>
                <w:szCs w:val="19"/>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3,612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7,643</w:t>
            </w:r>
          </w:p>
        </w:tc>
      </w:tr>
      <w:tr>
        <w:trPr>
          <w:trHeight w:val="22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r>
      <w:tr>
        <w:trPr>
          <w:trHeight w:val="262"/>
        </w:trPr>
        <w:tc>
          <w:tcPr>
            <w:tcW w:w="7740" w:type="dxa"/>
            <w:vAlign w:val="bottom"/>
          </w:tcPr>
          <w:p>
            <w:pPr>
              <w:spacing w:after="0"/>
              <w:rPr>
                <w:sz w:val="20"/>
                <w:szCs w:val="20"/>
                <w:color w:val="auto"/>
              </w:rPr>
            </w:pPr>
            <w:r>
              <w:rPr>
                <w:rFonts w:ascii="Arial" w:cs="Arial" w:eastAsia="Arial" w:hAnsi="Arial"/>
                <w:sz w:val="18"/>
                <w:szCs w:val="18"/>
                <w:color w:val="auto"/>
              </w:rPr>
              <w:t>Revolving Credit Facility Borrowings, net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2,472</w:t>
            </w:r>
          </w:p>
        </w:tc>
        <w:tc>
          <w:tcPr>
            <w:tcW w:w="18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305,676</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Credit Facility provided by the Credit Agreement matures on June 28, 2023.</w:t>
      </w:r>
    </w:p>
    <w:p>
      <w:pPr>
        <w:spacing w:after="0" w:line="160"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43" w:lineRule="exact"/>
        <w:rPr>
          <w:sz w:val="20"/>
          <w:szCs w:val="20"/>
          <w:color w:val="auto"/>
        </w:rPr>
      </w:pPr>
    </w:p>
    <w:p>
      <w:pPr>
        <w:jc w:val="both"/>
        <w:ind w:firstLine="225"/>
        <w:spacing w:after="0" w:line="273" w:lineRule="auto"/>
        <w:rPr>
          <w:sz w:val="20"/>
          <w:szCs w:val="20"/>
          <w:color w:val="auto"/>
        </w:rPr>
      </w:pPr>
      <w:r>
        <w:rPr>
          <w:rFonts w:ascii="Arial" w:cs="Arial" w:eastAsia="Arial" w:hAnsi="Arial"/>
          <w:sz w:val="17"/>
          <w:szCs w:val="17"/>
          <w:color w:val="auto"/>
        </w:rPr>
        <w:t xml:space="preserve">In the first quarter of 2020, in response to uncertainties associated with the outbreak of the COVID-19 pandemic and its impact on the Company’s business, the Company drew down $280.0 million in available revolving borrowing capacity under the Credit Facility, resulting in total outstanding borrowings of $300.0 million, which remained outstanding as of December 31, 2020. During the first half of 2021, the Company completely repaid the $300.0 million of Credit Facility borrowings, using cash on hand following the issuance of the Convertible Notes </w:t>
      </w:r>
      <w:r>
        <w:rPr>
          <w:rFonts w:ascii="Arial" w:cs="Arial" w:eastAsia="Arial" w:hAnsi="Arial"/>
          <w:sz w:val="18"/>
          <w:szCs w:val="18"/>
          <w:color w:val="auto"/>
        </w:rPr>
        <w:t>(as discussed below). Accordingly, as</w:t>
      </w:r>
      <w:r>
        <w:rPr>
          <w:rFonts w:ascii="Arial" w:cs="Arial" w:eastAsia="Arial" w:hAnsi="Arial"/>
          <w:sz w:val="17"/>
          <w:szCs w:val="17"/>
          <w:color w:val="auto"/>
        </w:rPr>
        <w:t xml:space="preserve"> </w:t>
      </w:r>
      <w:r>
        <w:rPr>
          <w:rFonts w:ascii="Arial" w:cs="Arial" w:eastAsia="Arial" w:hAnsi="Arial"/>
          <w:sz w:val="18"/>
          <w:szCs w:val="18"/>
          <w:color w:val="auto"/>
        </w:rPr>
        <w:t>of December 31, 2021, there were no outstanding borrowings under the Credit Facility. As of December 31, 2021, and December 31, 2020, the Company did not have any letters of credit or advance payment guarantees outstanding under the Credit Facility.</w:t>
      </w:r>
    </w:p>
    <w:p>
      <w:pPr>
        <w:spacing w:after="0" w:line="13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0" w:name="page111"/>
    <w:bookmarkEnd w:id="110"/>
    <w:p>
      <w:pPr>
        <w:jc w:val="both"/>
        <w:ind w:firstLine="225"/>
        <w:spacing w:after="0" w:line="283" w:lineRule="auto"/>
        <w:rPr>
          <w:sz w:val="20"/>
          <w:szCs w:val="20"/>
          <w:color w:val="auto"/>
        </w:rPr>
      </w:pPr>
      <w:r>
        <w:rPr>
          <w:rFonts w:ascii="Arial" w:cs="Arial" w:eastAsia="Arial" w:hAnsi="Arial"/>
          <w:sz w:val="16"/>
          <w:szCs w:val="16"/>
          <w:color w:val="auto"/>
        </w:rPr>
        <w:t>On March 15, 2021, the Company entered into the Second Amendment to the Credit Agreement (as previously amended by the First Amendment to the Credit Agreement, dated as of June 10, 2020). On July 28, 2021, and December 13, 2021, the Company entered into the Third and Fourth Amendments to the Credit Agreement, respectively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 (v) permit the issuance of the Convertible Notes (as discussed below) and related transactions, including the capped call transactions, or other unsecured debt, in an amount not to exceed $290.0 million, (vi) allow $30.0 million in permitted repurchases of the Company’s common shares, subject to a $300.0 million pro forma minimum liquidity covenant, (vii) increase permitted repurchases of the common shares of IMAX China from $5.0 million to $20.0 million, subject to pro forma compliance with the existing financial covenants set forth in the Credit Agreement, and (viii) facilitate a transition from a LIBOR-based interest rate to an interest rate based on the Euro Interbank Offered Rate for non-USD denominated loans. The modifications to the negative covenants, the minimum liquidity covenant, permitted share repurchases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December 31, 2021, the Company was in compliance with all of its requirements under the Credit Agreement, as amended.</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Borrowings under the Credit Facility bear interest, at the Company’s option, at (i) LIBOR plus a margin ranging from 1.00% to 1.75% per annum; or</w:t>
      </w:r>
    </w:p>
    <w:p>
      <w:pPr>
        <w:spacing w:after="0" w:line="45" w:lineRule="exact"/>
        <w:rPr>
          <w:sz w:val="20"/>
          <w:szCs w:val="20"/>
          <w:color w:val="auto"/>
        </w:rPr>
      </w:pPr>
    </w:p>
    <w:p>
      <w:pPr>
        <w:jc w:val="both"/>
        <w:ind w:firstLine="7"/>
        <w:spacing w:after="0" w:line="251"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following the end of the Designated Period, the applicable margin for LIBOR borrowings will be 2.50% per annum and the applicable margin for U.S. base rate borrowings will be 1.75% per annum. The effective interest rate for the year ended December 31, 2021 was 2.64% (2020 — 2.38%).</w:t>
      </w:r>
    </w:p>
    <w:p>
      <w:pPr>
        <w:spacing w:after="0" w:line="151"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following the end of the Designated Period, the standby fee will be 0.50% per annum.</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incurred fees of approximately $1.6 million in connection with the Amendments, which are being amortized on a straight-line basis.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Facility</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On July 1, 2021, IMAX (Shanghai) Multimedia Technology Co., Ltd. (“IMAX Shanghai”), one of the Company’s majority-owned subsidiaries in China, renewed its unsecured revolving facility for up to 200.0 million Chinese Renminbi (“RMB”) (approximately $31.4 million), including RMB 10.0 million (approximately $1.6 million) for letters of guarantee, to fund ongoing working capital requirements (the “Working Capital Facility”). The Working Capital Facility expires in July 2022.</w:t>
      </w:r>
    </w:p>
    <w:p>
      <w:pPr>
        <w:spacing w:after="0" w:line="14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December 31, 2021, outstanding Working Capital Facility borrowings were RMB 23.0 million ($3.6 million) and outstanding letters of guarantee were RMB 2.8 million ($0.5 million). As of December 31, 2020, outstanding Working Capital Facility borrowings were RMB 49.9 million ($7.6 million) and no letters of guarantee were issued.</w:t>
      </w:r>
    </w:p>
    <w:p>
      <w:pPr>
        <w:spacing w:after="0" w:line="157"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As of December 31, 2021, the amount available for future borrowings under the Working Capital Facility was RMB 167.0 million ($26.2 million) and the amount available for letters of guarantee was RMB 7.2 million ($1.1 million). The amount available for future borrowings under the Working Capital Facility is not subject to a standby fee. The effective interest rate for the year ended December 31, 2021 was 4.31% (2020 — 4.31%).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1" w:name="page112"/>
    <w:bookmarkEnd w:id="111"/>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Within the Credit Facility, the Company is able to purchase foreign currency forward contracts and/or other swap arrangements. As of December 31, 2021, the net unrealized gain on the Company’s outstanding foreign currency forward contracts was $0.1 million, representing the amount by which the fair value of these forward contracts exceeded their notional value (December 31, 2020 — $2.0 million). As of December 31, 2021, the notional value of the Company’s outstanding foreign currency forward contracts was $26.7 million (December 31, 2020 — $26.4 million).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NBC Facility is renewed on an annual basis. It was renewed on October 15, 2021 for a one-year term on the same terms and conditions. The Company did not have any letters of credit or advance payment guarantees outstanding as of December 31, 2021 and 2020 under the NBC Facility.</w:t>
      </w:r>
    </w:p>
    <w:p>
      <w:pPr>
        <w:spacing w:after="0" w:line="131"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Convertible Notes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2021 and December 31, 2020, Convertible Notes (as defined below)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8"/>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December 31,</w:t>
            </w:r>
          </w:p>
        </w:tc>
      </w:tr>
      <w:tr>
        <w:trPr>
          <w:trHeight w:val="170"/>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2020</w:t>
            </w:r>
          </w:p>
        </w:tc>
      </w:tr>
      <w:tr>
        <w:trPr>
          <w:trHeight w:val="222"/>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230,000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w:t>
            </w:r>
          </w:p>
        </w:tc>
      </w:tr>
      <w:tr>
        <w:trPr>
          <w:trHeight w:val="228"/>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discounts and debt issuance costs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 Borrowings, net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223,641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rPr>
              <w:t>—</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outstanding Credit Facility borrowings (as discussed above), and is using the remainder for working capital or other general corporate purposes.</w:t>
      </w:r>
    </w:p>
    <w:p>
      <w:pPr>
        <w:spacing w:after="0" w:line="12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57"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27"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2" w:name="page113"/>
    <w:bookmarkEnd w:id="112"/>
    <w:p>
      <w:pPr>
        <w:jc w:val="both"/>
        <w:ind w:firstLine="225"/>
        <w:spacing w:after="0" w:line="255"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6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3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3" w:lineRule="exact"/>
        <w:rPr>
          <w:sz w:val="20"/>
          <w:szCs w:val="20"/>
          <w:color w:val="auto"/>
        </w:rPr>
      </w:pPr>
    </w:p>
    <w:p>
      <w:pPr>
        <w:jc w:val="both"/>
        <w:ind w:firstLine="225"/>
        <w:spacing w:after="0" w:line="305" w:lineRule="auto"/>
        <w:rPr>
          <w:sz w:val="20"/>
          <w:szCs w:val="20"/>
          <w:color w:val="auto"/>
        </w:rPr>
      </w:pPr>
      <w:r>
        <w:rPr>
          <w:rFonts w:ascii="Arial" w:cs="Arial" w:eastAsia="Arial" w:hAnsi="Arial"/>
          <w:sz w:val="17"/>
          <w:szCs w:val="17"/>
          <w:color w:val="auto"/>
        </w:rPr>
        <w:t>The Capped Call Transactions are separate transactions, and are not part of the terms of the Convertible Notes and will not affect any holder’s rights under the Convertible Notes. Holders of the Convertible Notes will not have any rights with respect to the Capped Call Transactions.</w:t>
      </w:r>
    </w:p>
    <w:p>
      <w:pPr>
        <w:spacing w:after="0" w:line="121"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Consolidated Statements of Shareholders’ Equity and Consolidated Balance Sheets.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15. Commitments</w:t>
      </w:r>
    </w:p>
    <w:p>
      <w:pPr>
        <w:spacing w:after="0" w:line="20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7"/>
              <w:spacing w:after="0"/>
              <w:rPr>
                <w:sz w:val="20"/>
                <w:szCs w:val="20"/>
                <w:color w:val="auto"/>
              </w:rPr>
            </w:pPr>
            <w:r>
              <w:rPr>
                <w:rFonts w:ascii="Arial" w:cs="Arial" w:eastAsia="Arial" w:hAnsi="Arial"/>
                <w:sz w:val="14"/>
                <w:szCs w:val="14"/>
                <w:b w:val="1"/>
                <w:bCs w:val="1"/>
                <w:color w:val="auto"/>
                <w:w w:val="92"/>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9"/>
              </w:rPr>
              <w:t>Total</w:t>
            </w:r>
          </w:p>
        </w:tc>
        <w:tc>
          <w:tcPr>
            <w:tcW w:w="9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3"/>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1 to 3 years</w:t>
            </w:r>
          </w:p>
        </w:tc>
        <w:tc>
          <w:tcPr>
            <w:tcW w:w="120" w:type="dxa"/>
            <w:vAlign w:val="bottom"/>
          </w:tcPr>
          <w:p>
            <w:pPr>
              <w:spacing w:after="0"/>
              <w:rPr>
                <w:sz w:val="11"/>
                <w:szCs w:val="11"/>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0"/>
              </w:rPr>
              <w:t>3 to 5 years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70"/>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Obligation</w:t>
            </w: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34,084</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33,907</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18,833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28"/>
        </w:trPr>
        <w:tc>
          <w:tcPr>
            <w:tcW w:w="3860" w:type="dxa"/>
            <w:vAlign w:val="bottom"/>
            <w:gridSpan w:val="2"/>
          </w:tcPr>
          <w:p>
            <w:pPr>
              <w:spacing w:after="0"/>
              <w:rPr>
                <w:sz w:val="20"/>
                <w:szCs w:val="20"/>
                <w:color w:val="auto"/>
              </w:rPr>
            </w:pPr>
            <w:r>
              <w:rPr>
                <w:rFonts w:ascii="Arial" w:cs="Arial" w:eastAsia="Arial" w:hAnsi="Arial"/>
                <w:sz w:val="18"/>
                <w:szCs w:val="18"/>
                <w:color w:val="auto"/>
              </w:rPr>
              <w:t>Working Capital Facility</w:t>
            </w:r>
            <w:r>
              <w:rPr>
                <w:rFonts w:ascii="Arial" w:cs="Arial" w:eastAsia="Arial" w:hAnsi="Arial"/>
                <w:sz w:val="15"/>
                <w:szCs w:val="15"/>
                <w:color w:val="auto"/>
              </w:rPr>
              <w:t>(4)</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235,175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231,725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Postretirement benefits obligations</w:t>
            </w: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3,066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2"/>
        </w:trPr>
        <w:tc>
          <w:tcPr>
            <w:tcW w:w="146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315,068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42,546</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27,575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236,114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0" w:right="20" w:hanging="353"/>
        <w:spacing w:after="0" w:line="274"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covering its Chief Executive Officer. (See Note 23.)</w:t>
      </w:r>
    </w:p>
    <w:p>
      <w:pPr>
        <w:spacing w:after="0" w:line="222"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relates to leased office space in New York. (See Note 6.)</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Working Capital Facility expires in July 2022 (See Note 14(a).)</w:t>
      </w:r>
    </w:p>
    <w:p>
      <w:pPr>
        <w:spacing w:after="0" w:line="235" w:lineRule="exact"/>
        <w:rPr>
          <w:rFonts w:ascii="Arial" w:cs="Arial" w:eastAsia="Arial" w:hAnsi="Arial"/>
          <w:sz w:val="18"/>
          <w:szCs w:val="18"/>
          <w:color w:val="auto"/>
        </w:rPr>
      </w:pPr>
    </w:p>
    <w:p>
      <w:pPr>
        <w:jc w:val="both"/>
        <w:ind w:left="360" w:hanging="353"/>
        <w:spacing w:after="0" w:line="261"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 (See Note 14.)</w:t>
      </w:r>
    </w:p>
    <w:p>
      <w:pPr>
        <w:spacing w:after="0" w:line="143"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compensates its sales force with both fixed and variable compensation. Commissions on the sale or lease of IMAX Theater Systems are payable in graduated amounts from the time of collection of the customer’s first payment to the Company up to the collection of the customer’s last initial payment. As of December 31, 2021, $1.1 million (December 31, 2020 — $1.6 million) of commissions have been accrued and will be payable in future periods.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 and Guarantees</w:t>
      </w:r>
    </w:p>
    <w:p>
      <w:pPr>
        <w:spacing w:after="0" w:line="18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14" w:name="page115"/>
    <w:bookmarkEnd w:id="114"/>
    <w:p>
      <w:pPr>
        <w:jc w:val="both"/>
        <w:ind w:firstLine="232"/>
        <w:spacing w:after="0" w:line="284" w:lineRule="auto"/>
        <w:tabs>
          <w:tab w:leader="none" w:pos="106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which award the Company calculates to be $24.4 million, inclusive of interest, as of December 31, 2021.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46" w:lineRule="exact"/>
        <w:rPr>
          <w:rFonts w:ascii="Arial" w:cs="Arial" w:eastAsia="Arial" w:hAnsi="Arial"/>
          <w:sz w:val="16"/>
          <w:szCs w:val="16"/>
          <w:color w:val="auto"/>
        </w:rPr>
      </w:pPr>
    </w:p>
    <w:p>
      <w:pPr>
        <w:jc w:val="both"/>
        <w:ind w:firstLine="232"/>
        <w:spacing w:after="0" w:line="284" w:lineRule="auto"/>
        <w:tabs>
          <w:tab w:leader="none" w:pos="10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previously collected from or owed to Giencourt principally in respect of theater systems that were not delivered and $4.1 million recorded within Legal Judgment and Arbitration Awards in the Company’s Consolidated Statements of Operations during the year ended December 31, 2020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w:t>
      </w:r>
    </w:p>
    <w:p>
      <w:pPr>
        <w:spacing w:after="0" w:line="129" w:lineRule="exact"/>
        <w:rPr>
          <w:rFonts w:ascii="Arial" w:cs="Arial" w:eastAsia="Arial" w:hAnsi="Arial"/>
          <w:sz w:val="16"/>
          <w:szCs w:val="16"/>
          <w:color w:val="auto"/>
        </w:rPr>
      </w:pPr>
    </w:p>
    <w:p>
      <w:pPr>
        <w:jc w:val="both"/>
        <w:ind w:firstLine="232"/>
        <w:spacing w:after="0" w:line="261" w:lineRule="auto"/>
        <w:tabs>
          <w:tab w:leader="none" w:pos="10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43" w:lineRule="exact"/>
        <w:rPr>
          <w:rFonts w:ascii="Arial" w:cs="Arial" w:eastAsia="Arial" w:hAnsi="Arial"/>
          <w:sz w:val="18"/>
          <w:szCs w:val="18"/>
          <w:color w:val="auto"/>
        </w:rPr>
      </w:pPr>
    </w:p>
    <w:p>
      <w:pPr>
        <w:jc w:val="both"/>
        <w:ind w:firstLine="232"/>
        <w:spacing w:after="0" w:line="274" w:lineRule="auto"/>
        <w:tabs>
          <w:tab w:leader="none" w:pos="1077"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Guarantees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subsidiaries of the Company have provided significant financial guarantees to third parties under the Credit Agreement.</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Warranties</w:t>
      </w:r>
    </w:p>
    <w:p>
      <w:pPr>
        <w:spacing w:after="0" w:line="196" w:lineRule="exact"/>
        <w:rPr>
          <w:sz w:val="20"/>
          <w:szCs w:val="20"/>
          <w:color w:val="auto"/>
        </w:rPr>
      </w:pPr>
    </w:p>
    <w:p>
      <w:pPr>
        <w:ind w:right="20" w:firstLine="225"/>
        <w:spacing w:after="0" w:line="274"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Consolidated Balance Sheets is $nil and $0.1 million as of December 31, 2021 and 2020,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15" w:name="page116"/>
    <w:bookmarkEnd w:id="115"/>
    <w:p>
      <w:pPr>
        <w:ind w:left="240"/>
        <w:spacing w:after="0"/>
        <w:rPr>
          <w:sz w:val="20"/>
          <w:szCs w:val="20"/>
          <w:color w:val="auto"/>
        </w:rPr>
      </w:pPr>
      <w:r>
        <w:rPr>
          <w:rFonts w:ascii="Arial" w:cs="Arial" w:eastAsia="Arial" w:hAnsi="Arial"/>
          <w:sz w:val="18"/>
          <w:szCs w:val="18"/>
          <w:i w:val="1"/>
          <w:iCs w:val="1"/>
          <w:color w:val="auto"/>
        </w:rPr>
        <w:t>Director/Officer Indemnifications</w:t>
      </w:r>
    </w:p>
    <w:p>
      <w:pPr>
        <w:spacing w:after="0" w:line="196"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7"/>
          <w:szCs w:val="17"/>
          <w:i w:val="1"/>
          <w:iCs w:val="1"/>
          <w:color w:val="auto"/>
        </w:rPr>
        <w:t>Canada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w:t>
      </w:r>
      <w:r>
        <w:rPr>
          <w:rFonts w:ascii="Arial" w:cs="Arial" w:eastAsia="Arial" w:hAnsi="Arial"/>
          <w:sz w:val="17"/>
          <w:szCs w:val="17"/>
          <w:color w:val="auto"/>
        </w:rPr>
        <w:t>, against expenses (including legal fees), judgments, fines and any amounts actually and reasonably incurred by them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Consolidated Balance Sheets as of December 31, 2021 and December 31, 2020 with respect to this indemnity.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Indemnification Agreements</w:t>
      </w:r>
    </w:p>
    <w:p>
      <w:pPr>
        <w:spacing w:after="0" w:line="18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Stock</w:t>
      </w:r>
    </w:p>
    <w:p>
      <w:pPr>
        <w:spacing w:after="0" w:line="186" w:lineRule="exact"/>
        <w:rPr>
          <w:sz w:val="20"/>
          <w:szCs w:val="20"/>
          <w:color w:val="auto"/>
        </w:rPr>
      </w:pPr>
    </w:p>
    <w:p>
      <w:pPr>
        <w:ind w:left="1080" w:hanging="848"/>
        <w:spacing w:after="0"/>
        <w:tabs>
          <w:tab w:leader="none" w:pos="108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Authorized Common Shares</w:t>
      </w:r>
    </w:p>
    <w:p>
      <w:pPr>
        <w:spacing w:after="0" w:line="182"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The authorized capital of the Company consists of an unlimited number of common shares. The following is a summary of the rights, privileges, restrictions, and conditions of the common shares.</w:t>
      </w:r>
    </w:p>
    <w:p>
      <w:pPr>
        <w:spacing w:after="0" w:line="145"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holders of the common shares are entitled to one vote for each common share held at all meetings of the shareholders.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16" w:name="page117"/>
    <w:bookmarkEnd w:id="116"/>
    <w:p>
      <w:pPr>
        <w:ind w:left="1080" w:hanging="848"/>
        <w:spacing w:after="0"/>
        <w:tabs>
          <w:tab w:leader="none" w:pos="108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Settlements of Share-Based Compensation</w:t>
      </w:r>
    </w:p>
    <w:p>
      <w:pPr>
        <w:spacing w:after="0" w:line="196"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During the years ended December 31, 2021, 2020, and 2019, the Company settled the exercise of stock options and the vesting of RSUs with its common shares. These settlements were either through newly issued common shares from treasury or through the purchase of common shares in the open market by the IMAX LTIP trustee. The following table summarizes the settlement of stock option and RSU transactions: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(Cash proceeds in thousands of U.S. Dollars)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120"/>
              <w:spacing w:after="0"/>
              <w:rPr>
                <w:sz w:val="20"/>
                <w:szCs w:val="20"/>
                <w:color w:val="auto"/>
              </w:rPr>
            </w:pPr>
            <w:r>
              <w:rPr>
                <w:rFonts w:ascii="Arial" w:cs="Arial" w:eastAsia="Arial" w:hAnsi="Arial"/>
                <w:sz w:val="18"/>
                <w:szCs w:val="18"/>
                <w:color w:val="auto"/>
              </w:rPr>
              <w:t>Issued from treasury</w:t>
            </w: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41,613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19,088</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Plan trustee purchases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67,840</w:t>
            </w:r>
          </w:p>
        </w:tc>
        <w:tc>
          <w:tcPr>
            <w:tcW w:w="0" w:type="dxa"/>
            <w:vAlign w:val="bottom"/>
          </w:tcPr>
          <w:p>
            <w:pPr>
              <w:spacing w:after="0"/>
              <w:rPr>
                <w:sz w:val="1"/>
                <w:szCs w:val="1"/>
                <w:color w:val="auto"/>
              </w:rPr>
            </w:pPr>
          </w:p>
        </w:tc>
      </w:tr>
      <w:tr>
        <w:trPr>
          <w:trHeight w:val="262"/>
        </w:trPr>
        <w:tc>
          <w:tcPr>
            <w:tcW w:w="65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stock options exercised</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41,613</w:t>
            </w: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86,928</w:t>
            </w:r>
          </w:p>
        </w:tc>
        <w:tc>
          <w:tcPr>
            <w:tcW w:w="0" w:type="dxa"/>
            <w:vAlign w:val="bottom"/>
          </w:tcPr>
          <w:p>
            <w:pPr>
              <w:spacing w:after="0"/>
              <w:rPr>
                <w:sz w:val="1"/>
                <w:szCs w:val="1"/>
                <w:color w:val="auto"/>
              </w:rPr>
            </w:pPr>
          </w:p>
        </w:tc>
      </w:tr>
      <w:tr>
        <w:trPr>
          <w:trHeight w:val="208"/>
        </w:trPr>
        <w:tc>
          <w:tcPr>
            <w:tcW w:w="6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540" w:type="dxa"/>
            <w:vAlign w:val="bottom"/>
          </w:tcPr>
          <w:p>
            <w:pPr>
              <w:ind w:left="120"/>
              <w:spacing w:after="0"/>
              <w:rPr>
                <w:sz w:val="20"/>
                <w:szCs w:val="20"/>
                <w:color w:val="auto"/>
              </w:rPr>
            </w:pPr>
            <w:r>
              <w:rPr>
                <w:rFonts w:ascii="Arial" w:cs="Arial" w:eastAsia="Arial" w:hAnsi="Arial"/>
                <w:sz w:val="18"/>
                <w:szCs w:val="18"/>
                <w:color w:val="auto"/>
              </w:rPr>
              <w:t>Cash proceeds from stock option exercises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08"/>
        </w:trPr>
        <w:tc>
          <w:tcPr>
            <w:tcW w:w="65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Arial" w:cs="Arial" w:eastAsia="Arial" w:hAnsi="Arial"/>
                <w:sz w:val="18"/>
                <w:szCs w:val="18"/>
                <w:b w:val="1"/>
                <w:bCs w:val="1"/>
                <w:color w:val="auto"/>
              </w:rPr>
              <w:t>RSUs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Issued from treasury</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531,629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42,982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540" w:type="dxa"/>
            <w:vAlign w:val="bottom"/>
          </w:tcPr>
          <w:p>
            <w:pPr>
              <w:ind w:left="120"/>
              <w:spacing w:after="0"/>
              <w:rPr>
                <w:sz w:val="20"/>
                <w:szCs w:val="20"/>
                <w:color w:val="auto"/>
              </w:rPr>
            </w:pPr>
            <w:r>
              <w:rPr>
                <w:rFonts w:ascii="Arial" w:cs="Arial" w:eastAsia="Arial" w:hAnsi="Arial"/>
                <w:sz w:val="18"/>
                <w:szCs w:val="18"/>
                <w:color w:val="auto"/>
              </w:rPr>
              <w:t>Plan trustee purchases</w:t>
            </w: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386,297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404,719</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Shares withheld for tax withholdings</w:t>
            </w: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157,546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24,714</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29,577</w:t>
            </w:r>
          </w:p>
        </w:tc>
        <w:tc>
          <w:tcPr>
            <w:tcW w:w="0" w:type="dxa"/>
            <w:vAlign w:val="bottom"/>
          </w:tcPr>
          <w:p>
            <w:pPr>
              <w:spacing w:after="0"/>
              <w:rPr>
                <w:sz w:val="1"/>
                <w:szCs w:val="1"/>
                <w:color w:val="auto"/>
              </w:rPr>
            </w:pPr>
          </w:p>
        </w:tc>
      </w:tr>
      <w:tr>
        <w:trPr>
          <w:trHeight w:val="222"/>
        </w:trPr>
        <w:tc>
          <w:tcPr>
            <w:tcW w:w="6540" w:type="dxa"/>
            <w:vAlign w:val="bottom"/>
          </w:tcPr>
          <w:p>
            <w:pPr>
              <w:ind w:left="120"/>
              <w:spacing w:after="0"/>
              <w:rPr>
                <w:sz w:val="20"/>
                <w:szCs w:val="20"/>
                <w:color w:val="auto"/>
              </w:rPr>
            </w:pPr>
            <w:r>
              <w:rPr>
                <w:rFonts w:ascii="Arial" w:cs="Arial" w:eastAsia="Arial" w:hAnsi="Arial"/>
                <w:sz w:val="18"/>
                <w:szCs w:val="18"/>
                <w:color w:val="auto"/>
              </w:rPr>
              <w:t>Total RSUs vested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689,898</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453,993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434,296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080" w:hanging="848"/>
        <w:spacing w:after="0"/>
        <w:tabs>
          <w:tab w:leader="none" w:pos="108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31"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Awards under the IMAX LTIP may consist of stock options, RSUs, PSUs, and other awards. Stock options are no longer granted under the Company’s previously approved Stock Option Plan (“SOP”).</w:t>
      </w:r>
    </w:p>
    <w:p>
      <w:pPr>
        <w:spacing w:after="0" w:line="14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 ended December 31, 2021, share-based compensation expense totaled $25.6 million (2020 — $21.5 million; 2019 — $22.8 million) and is reflected in the following accounts in the Consolidated Statements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23,776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20,652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25,614</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21,493</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December 31, 2021, the Company has reserved a total of 5,807,445 (December 31, 2020 — 15,486,807) common shares for future issuance under the IMAX LTIP. Of this amount, 3,736,157 common shares are reserved for the future exercise of stock options (December 31, 2020 — 4,892,962), 613,405 common shares are reserved for the future vesting of PSUs (December 31, 2020 — 361,844), and 1,457,883 common shares are reserved for the future vesting of RSUs (December 31, 2020 — 1,564,838). As of December 31, 2021, stock options in respect of 3,488,107 (December 31, 2020 — 4,311,761) common shares were vested and exercisable.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LTIP and SOP Stock Options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policy is to issue new common shares from treasury or shares purchased in the open market to satisfy stock options which are exercised.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Company no longer intends to issue new stock option awards.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17" w:name="page118"/>
    <w:bookmarkEnd w:id="117"/>
    <w:p>
      <w:pPr>
        <w:jc w:val="both"/>
        <w:ind w:firstLine="225"/>
        <w:spacing w:after="0" w:line="288" w:lineRule="auto"/>
        <w:rPr>
          <w:sz w:val="20"/>
          <w:szCs w:val="20"/>
          <w:color w:val="auto"/>
        </w:rPr>
      </w:pPr>
      <w:r>
        <w:rPr>
          <w:rFonts w:ascii="Arial" w:cs="Arial" w:eastAsia="Arial" w:hAnsi="Arial"/>
          <w:sz w:val="16"/>
          <w:szCs w:val="16"/>
          <w:color w:val="auto"/>
        </w:rPr>
        <w:t>The Company utilizes a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4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All stock option awards are granted at the fair market value of the Company’s common shares on the date of grant. The fair market value of a common share on a given date is based on the higher of the closing price of a common share on either: (i) the grant date or (ii) the most recent trading date if the grant date is not a trading date on the New York Stock Exchange (“NYSE”) or such national exchange as may be designated by the Company’s Board of Directors. The stock options vest within 4 years and expire 10 years or less from the date of grant. The SOP and IMAX LTIP provide for double-trigger accelerated vesting in the event of a change in control, as defined in each plan.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recorded the following expenses related to stock options issued to employees and directors under the IMAX LTIP and SOP: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Stock option expense</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7"/>
              </w:rPr>
              <w:t>1,064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 ended December 31, 2021, the Company’s Consolidated Statements of Operations includes an income tax benefit of $0.1 million related to stock option expense (2020 — $0.1 million; 2019 — $1.9 million).</w:t>
      </w:r>
    </w:p>
    <w:p>
      <w:pPr>
        <w:spacing w:after="0" w:line="129" w:lineRule="exact"/>
        <w:rPr>
          <w:sz w:val="20"/>
          <w:szCs w:val="20"/>
          <w:color w:val="auto"/>
        </w:rPr>
      </w:pPr>
    </w:p>
    <w:p>
      <w:pPr>
        <w:jc w:val="both"/>
        <w:ind w:firstLine="225"/>
        <w:spacing w:after="0"/>
        <w:rPr>
          <w:sz w:val="20"/>
          <w:szCs w:val="20"/>
          <w:color w:val="auto"/>
        </w:rPr>
      </w:pPr>
      <w:r>
        <w:rPr>
          <w:rFonts w:ascii="Arial" w:cs="Arial" w:eastAsia="Arial" w:hAnsi="Arial"/>
          <w:sz w:val="20"/>
          <w:szCs w:val="20"/>
          <w:color w:val="auto"/>
        </w:rPr>
        <w:t xml:space="preserve">As of December 31, 2021, 2020, and 2019, unrecognized </w:t>
      </w:r>
      <w:r>
        <w:rPr>
          <w:rFonts w:ascii="Arial" w:cs="Arial" w:eastAsia="Arial" w:hAnsi="Arial"/>
          <w:sz w:val="17"/>
          <w:szCs w:val="17"/>
          <w:color w:val="auto"/>
        </w:rPr>
        <w:t>share-based compensation expense related to non-vested employee stock options is as</w:t>
      </w:r>
      <w:r>
        <w:rPr>
          <w:rFonts w:ascii="Arial" w:cs="Arial" w:eastAsia="Arial" w:hAnsi="Arial"/>
          <w:sz w:val="20"/>
          <w:szCs w:val="20"/>
          <w:color w:val="auto"/>
        </w:rPr>
        <w:t xml:space="preserve"> </w:t>
      </w:r>
      <w:r>
        <w:rPr>
          <w:rFonts w:ascii="Arial" w:cs="Arial" w:eastAsia="Arial" w:hAnsi="Arial"/>
          <w:sz w:val="17"/>
          <w:szCs w:val="17"/>
          <w:color w:val="auto"/>
        </w:rPr>
        <w:t>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Expense related to non-vested employee stock options</w:t>
            </w:r>
          </w:p>
        </w:tc>
        <w:tc>
          <w:tcPr>
            <w:tcW w:w="940" w:type="dxa"/>
            <w:vAlign w:val="bottom"/>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25"/>
        <w:spacing w:after="0"/>
        <w:rPr>
          <w:sz w:val="20"/>
          <w:szCs w:val="20"/>
          <w:color w:val="auto"/>
        </w:rPr>
      </w:pPr>
      <w:r>
        <w:rPr>
          <w:rFonts w:ascii="Arial" w:cs="Arial" w:eastAsia="Arial" w:hAnsi="Arial"/>
          <w:sz w:val="20"/>
          <w:szCs w:val="20"/>
          <w:color w:val="auto"/>
        </w:rPr>
        <w:t xml:space="preserve">As of December 31, 2021, 2020, and 2019, unrecognized </w:t>
      </w:r>
      <w:r>
        <w:rPr>
          <w:rFonts w:ascii="Arial" w:cs="Arial" w:eastAsia="Arial" w:hAnsi="Arial"/>
          <w:sz w:val="17"/>
          <w:szCs w:val="17"/>
          <w:color w:val="auto"/>
        </w:rPr>
        <w:t>share-based compensation expense related to non-vested employee stock options is</w:t>
      </w:r>
      <w:r>
        <w:rPr>
          <w:rFonts w:ascii="Arial" w:cs="Arial" w:eastAsia="Arial" w:hAnsi="Arial"/>
          <w:sz w:val="20"/>
          <w:szCs w:val="20"/>
          <w:color w:val="auto"/>
        </w:rPr>
        <w:t xml:space="preserve"> </w:t>
      </w:r>
      <w:r>
        <w:rPr>
          <w:rFonts w:ascii="Arial" w:cs="Arial" w:eastAsia="Arial" w:hAnsi="Arial"/>
          <w:sz w:val="17"/>
          <w:szCs w:val="17"/>
          <w:color w:val="auto"/>
        </w:rPr>
        <w:t>expected to be recognized over the following weighted-average periods:</w:t>
      </w:r>
    </w:p>
    <w:p>
      <w:pPr>
        <w:spacing w:after="0" w:line="272"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period (in years)</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years ended December 31, 2021 and 2020, the Company did not grant any stock options. During the year ended 2019, the</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weighted average fair value of stock options granted to employees and directors at the measurement date and the assumptions used to estimate the average fair value of the stock options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2"/>
              </w:rPr>
              <w:t>Years Ended December 31,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54"/>
        </w:trPr>
        <w:tc>
          <w:tcPr>
            <w:tcW w:w="4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20" w:type="dxa"/>
            <w:vAlign w:val="bottom"/>
          </w:tcPr>
          <w:p>
            <w:pPr>
              <w:ind w:left="500"/>
              <w:spacing w:after="0" w:line="155" w:lineRule="exact"/>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ind w:left="8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222"/>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fair value per share</w:t>
            </w:r>
          </w:p>
        </w:tc>
        <w:tc>
          <w:tcPr>
            <w:tcW w:w="25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center"/>
              <w:ind w:right="54"/>
              <w:spacing w:after="0"/>
              <w:rPr>
                <w:sz w:val="20"/>
                <w:szCs w:val="20"/>
                <w:color w:val="auto"/>
              </w:rPr>
            </w:pPr>
            <w:r>
              <w:rPr>
                <w:rFonts w:ascii="Arial" w:cs="Arial" w:eastAsia="Arial" w:hAnsi="Arial"/>
                <w:sz w:val="18"/>
                <w:szCs w:val="18"/>
                <w:color w:val="auto"/>
                <w:w w:val="85"/>
              </w:rPr>
              <w:t>6.65</w:t>
            </w:r>
          </w:p>
        </w:tc>
      </w:tr>
      <w:tr>
        <w:trPr>
          <w:trHeight w:val="228"/>
        </w:trPr>
        <w:tc>
          <w:tcPr>
            <w:tcW w:w="41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58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20" w:type="dxa"/>
            <w:vAlign w:val="bottom"/>
          </w:tcPr>
          <w:p>
            <w:pPr>
              <w:jc w:val="center"/>
              <w:ind w:right="54"/>
              <w:spacing w:after="0"/>
              <w:rPr>
                <w:sz w:val="20"/>
                <w:szCs w:val="20"/>
                <w:color w:val="auto"/>
              </w:rPr>
            </w:pPr>
            <w:r>
              <w:rPr>
                <w:rFonts w:ascii="Arial" w:cs="Arial" w:eastAsia="Arial" w:hAnsi="Arial"/>
                <w:sz w:val="18"/>
                <w:szCs w:val="18"/>
                <w:color w:val="auto"/>
                <w:w w:val="90"/>
              </w:rPr>
              <w:t>2.64%</w:t>
            </w:r>
          </w:p>
        </w:tc>
      </w:tr>
      <w:tr>
        <w:trPr>
          <w:trHeight w:val="228"/>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(in years)</w:t>
            </w:r>
          </w:p>
        </w:tc>
        <w:tc>
          <w:tcPr>
            <w:tcW w:w="2580" w:type="dxa"/>
            <w:vAlign w:val="bottom"/>
            <w:shd w:val="clear" w:color="auto" w:fill="CFF0FC"/>
          </w:tcPr>
          <w:p>
            <w:pPr>
              <w:spacing w:after="0"/>
              <w:rPr>
                <w:sz w:val="19"/>
                <w:szCs w:val="19"/>
                <w:color w:val="auto"/>
              </w:rPr>
            </w:pPr>
          </w:p>
        </w:tc>
        <w:tc>
          <w:tcPr>
            <w:tcW w:w="1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54"/>
              <w:spacing w:after="0"/>
              <w:rPr>
                <w:sz w:val="20"/>
                <w:szCs w:val="20"/>
                <w:color w:val="auto"/>
              </w:rPr>
            </w:pPr>
            <w:r>
              <w:rPr>
                <w:rFonts w:ascii="Arial" w:cs="Arial" w:eastAsia="Arial" w:hAnsi="Arial"/>
                <w:sz w:val="18"/>
                <w:szCs w:val="18"/>
                <w:color w:val="auto"/>
                <w:w w:val="89"/>
              </w:rPr>
              <w:t>6.73 - 10.00</w:t>
            </w:r>
          </w:p>
        </w:tc>
      </w:tr>
      <w:tr>
        <w:trPr>
          <w:trHeight w:val="228"/>
        </w:trPr>
        <w:tc>
          <w:tcPr>
            <w:tcW w:w="4100" w:type="dxa"/>
            <w:vAlign w:val="bottom"/>
          </w:tcPr>
          <w:p>
            <w:pPr>
              <w:spacing w:after="0"/>
              <w:rPr>
                <w:sz w:val="20"/>
                <w:szCs w:val="20"/>
                <w:color w:val="auto"/>
              </w:rPr>
            </w:pPr>
            <w:r>
              <w:rPr>
                <w:rFonts w:ascii="Arial" w:cs="Arial" w:eastAsia="Arial" w:hAnsi="Arial"/>
                <w:sz w:val="18"/>
                <w:szCs w:val="18"/>
                <w:color w:val="auto"/>
              </w:rPr>
              <w:t>Expected volatility</w:t>
            </w:r>
          </w:p>
        </w:tc>
        <w:tc>
          <w:tcPr>
            <w:tcW w:w="258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20" w:type="dxa"/>
            <w:vAlign w:val="bottom"/>
          </w:tcPr>
          <w:p>
            <w:pPr>
              <w:jc w:val="center"/>
              <w:ind w:right="54"/>
              <w:spacing w:after="0"/>
              <w:rPr>
                <w:sz w:val="20"/>
                <w:szCs w:val="20"/>
                <w:color w:val="auto"/>
              </w:rPr>
            </w:pPr>
            <w:r>
              <w:rPr>
                <w:rFonts w:ascii="Arial" w:cs="Arial" w:eastAsia="Arial" w:hAnsi="Arial"/>
                <w:sz w:val="18"/>
                <w:szCs w:val="18"/>
                <w:color w:val="auto"/>
                <w:w w:val="94"/>
              </w:rPr>
              <w:t>31%</w:t>
            </w:r>
          </w:p>
        </w:tc>
      </w:tr>
      <w:tr>
        <w:trPr>
          <w:trHeight w:val="228"/>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580" w:type="dxa"/>
            <w:vAlign w:val="bottom"/>
            <w:shd w:val="clear" w:color="auto" w:fill="CFF0FC"/>
          </w:tcPr>
          <w:p>
            <w:pPr>
              <w:spacing w:after="0"/>
              <w:rPr>
                <w:sz w:val="19"/>
                <w:szCs w:val="19"/>
                <w:color w:val="auto"/>
              </w:rPr>
            </w:pPr>
          </w:p>
        </w:tc>
        <w:tc>
          <w:tcPr>
            <w:tcW w:w="1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92"/>
              </w:rPr>
              <w:t>0%</w:t>
            </w:r>
          </w:p>
        </w:tc>
      </w:tr>
      <w:tr>
        <w:trPr>
          <w:trHeight w:val="430"/>
        </w:trPr>
        <w:tc>
          <w:tcPr>
            <w:tcW w:w="4100" w:type="dxa"/>
            <w:vAlign w:val="bottom"/>
          </w:tcPr>
          <w:p>
            <w:pPr>
              <w:spacing w:after="0"/>
              <w:rPr>
                <w:sz w:val="24"/>
                <w:szCs w:val="24"/>
                <w:color w:val="auto"/>
              </w:rPr>
            </w:pPr>
          </w:p>
        </w:tc>
        <w:tc>
          <w:tcPr>
            <w:tcW w:w="2580" w:type="dxa"/>
            <w:vAlign w:val="bottom"/>
          </w:tcPr>
          <w:p>
            <w:pPr>
              <w:jc w:val="right"/>
              <w:ind w:right="831"/>
              <w:spacing w:after="0"/>
              <w:rPr>
                <w:sz w:val="20"/>
                <w:szCs w:val="20"/>
                <w:color w:val="auto"/>
              </w:rPr>
            </w:pPr>
            <w:r>
              <w:rPr>
                <w:rFonts w:ascii="Arial" w:cs="Arial" w:eastAsia="Arial" w:hAnsi="Arial"/>
                <w:sz w:val="18"/>
                <w:szCs w:val="18"/>
                <w:color w:val="auto"/>
              </w:rPr>
              <w:t>118</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4"/>
        </w:trPr>
        <w:tc>
          <w:tcPr>
            <w:tcW w:w="410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18" w:name="page119"/>
    <w:bookmarkEnd w:id="118"/>
    <w:p>
      <w:pPr>
        <w:ind w:left="240"/>
        <w:spacing w:after="0"/>
        <w:rPr>
          <w:sz w:val="20"/>
          <w:szCs w:val="20"/>
          <w:color w:val="auto"/>
        </w:rPr>
      </w:pPr>
      <w:r>
        <w:rPr>
          <w:rFonts w:ascii="Arial" w:cs="Arial" w:eastAsia="Arial" w:hAnsi="Arial"/>
          <w:sz w:val="17"/>
          <w:szCs w:val="17"/>
          <w:color w:val="auto"/>
        </w:rPr>
        <w:t>The following table summarizes the stock option activity under the SOP and IMAX LTIP for the years ended December 31, 2021,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center"/>
              <w:ind w:left="474"/>
              <w:spacing w:after="0"/>
              <w:rPr>
                <w:sz w:val="20"/>
                <w:szCs w:val="20"/>
                <w:color w:val="auto"/>
              </w:rPr>
            </w:pPr>
            <w:r>
              <w:rPr>
                <w:rFonts w:ascii="Arial" w:cs="Arial" w:eastAsia="Arial" w:hAnsi="Arial"/>
                <w:sz w:val="14"/>
                <w:szCs w:val="14"/>
                <w:b w:val="1"/>
                <w:bCs w:val="1"/>
                <w:color w:val="auto"/>
                <w:w w:val="90"/>
              </w:rPr>
              <w:t>Weighted Average Exercise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Price Per Share</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96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1120" w:type="dxa"/>
            <w:vAlign w:val="bottom"/>
            <w:gridSpan w:val="3"/>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0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beginning of year</w:t>
            </w:r>
          </w:p>
        </w:tc>
        <w:tc>
          <w:tcPr>
            <w:tcW w:w="96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4,892,962</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5,732,209</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5,465,046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26.81</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1,016,882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(88,934)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(34,678)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(903,038)</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(786,086)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Cancelled</w:t>
            </w:r>
          </w:p>
        </w:tc>
        <w:tc>
          <w:tcPr>
            <w:tcW w:w="960" w:type="dxa"/>
            <w:vAlign w:val="bottom"/>
          </w:tcPr>
          <w:p>
            <w:pPr>
              <w:jc w:val="right"/>
              <w:spacing w:after="0"/>
              <w:rPr>
                <w:sz w:val="20"/>
                <w:szCs w:val="20"/>
                <w:color w:val="auto"/>
              </w:rPr>
            </w:pPr>
            <w:r>
              <w:rPr>
                <w:rFonts w:ascii="Arial" w:cs="Arial" w:eastAsia="Arial" w:hAnsi="Arial"/>
                <w:sz w:val="18"/>
                <w:szCs w:val="18"/>
                <w:color w:val="auto"/>
              </w:rPr>
              <w:t>(123,220)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22"/>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year</w:t>
            </w:r>
          </w:p>
        </w:tc>
        <w:tc>
          <w:tcPr>
            <w:tcW w:w="96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3,736,157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4,892,962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5,732,209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26.61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year</w:t>
            </w:r>
          </w:p>
        </w:tc>
        <w:tc>
          <w:tcPr>
            <w:tcW w:w="9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3,488,107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4,311,761</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4,801,272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December 31, 2021, 3,736,157 options outstanding included both fully vested and unvested options with a weighted average exercise price of $26.61, an aggregate intrinsic value of $nil and a weighted average remaining contractual life of 4.1 years. The intrinsic value of the 41,613 options exercised in 2021 was $0.1 million (2020 — nil; 2019 — $0.2 million).</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LTIP Restricted Share Units</w:t>
      </w:r>
    </w:p>
    <w:p>
      <w:pPr>
        <w:spacing w:after="0" w:line="18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stock for five days prior to the date of grant. For the years ended December 31, 2021, 2020, and 2019, the Company recorded the following expenses related to RSUs issued to employees and directors in the IMAX LTIP:</w:t>
      </w: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RSU expenses</w:t>
            </w:r>
          </w:p>
        </w:tc>
        <w:tc>
          <w:tcPr>
            <w:tcW w:w="820" w:type="dxa"/>
            <w:vAlign w:val="bottom"/>
            <w:shd w:val="clear" w:color="auto" w:fill="CFF0FC"/>
          </w:tcPr>
          <w:p>
            <w:pPr>
              <w:jc w:val="right"/>
              <w:ind w:right="6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0"/>
              </w:rPr>
              <w:t>15,555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13,761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12,394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Company’s actual tax benefits realized for the tax deductions related to the vesting of RSUs was $0.6 million for the year ended December 31, 2021 (2020 — $0.3 million; 2019 — $1.6 million).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accrued liability for granted RSUs was $2.6 million as of December 31, 2021 (December 31, 2020 — $2.1 million).</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Total share-based compensation expense related to non-vested RSUs not yet recognized and the weighted average period over which the awards are expected to be recognized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2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Expense related to non-vested RSUs not yet recognized</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17,343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23,548</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period awards are expected to be recognized (in years)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activity in respect of RSUs issued under the IMAX LTIP for the years ended December 31, 2021, 2020, and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40" w:type="dxa"/>
            <w:vAlign w:val="bottom"/>
            <w:gridSpan w:val="5"/>
            <w:vMerge w:val="restart"/>
          </w:tcPr>
          <w:p>
            <w:pPr>
              <w:ind w:left="920"/>
              <w:spacing w:after="0"/>
              <w:rPr>
                <w:sz w:val="20"/>
                <w:szCs w:val="20"/>
                <w:color w:val="auto"/>
              </w:rPr>
            </w:pPr>
            <w:r>
              <w:rPr>
                <w:rFonts w:ascii="Arial" w:cs="Arial" w:eastAsia="Arial" w:hAnsi="Arial"/>
                <w:sz w:val="14"/>
                <w:szCs w:val="14"/>
                <w:b w:val="1"/>
                <w:bCs w:val="1"/>
                <w:color w:val="auto"/>
                <w:w w:val="96"/>
              </w:rPr>
              <w:t>Number of Awards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7"/>
          </w:tcPr>
          <w:p>
            <w:pPr>
              <w:ind w:left="300"/>
              <w:spacing w:after="0"/>
              <w:rPr>
                <w:sz w:val="20"/>
                <w:szCs w:val="20"/>
                <w:color w:val="auto"/>
              </w:rPr>
            </w:pPr>
            <w:r>
              <w:rPr>
                <w:rFonts w:ascii="Arial" w:cs="Arial" w:eastAsia="Arial" w:hAnsi="Arial"/>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14"/>
                <w:szCs w:val="14"/>
                <w:color w:val="auto"/>
              </w:rPr>
            </w:pPr>
          </w:p>
        </w:tc>
        <w:tc>
          <w:tcPr>
            <w:tcW w:w="2140" w:type="dxa"/>
            <w:vAlign w:val="bottom"/>
            <w:tcBorders>
              <w:bottom w:val="single" w:sz="8" w:color="auto"/>
            </w:tcBorders>
            <w:gridSpan w:val="5"/>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Value Per Share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 beginning of year</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1,564,838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4"/>
              </w:rPr>
              <w:t>1,065,347</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1,033,871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831,123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w w:val="94"/>
              </w:rPr>
              <w:t>1,050,385</w:t>
            </w:r>
          </w:p>
        </w:tc>
        <w:tc>
          <w:tcPr>
            <w:tcW w:w="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687,475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2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(689,872)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(453,993)</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(434,296)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28"/>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(248,206)</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(96,901)</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(221,703)</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19.38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18.81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2"/>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year</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1,457,883</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4"/>
              </w:rPr>
              <w:t>1,564,838</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1,065,347</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19.16</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18.33</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680" w:type="dxa"/>
            <w:vAlign w:val="bottom"/>
          </w:tcPr>
          <w:p>
            <w:pPr>
              <w:spacing w:after="0"/>
              <w:rPr>
                <w:sz w:val="24"/>
                <w:szCs w:val="2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19" w:name="page120"/>
    <w:bookmarkEnd w:id="119"/>
    <w:p>
      <w:pPr>
        <w:jc w:val="both"/>
        <w:ind w:firstLine="225"/>
        <w:spacing w:after="0" w:line="274" w:lineRule="auto"/>
        <w:rPr>
          <w:sz w:val="20"/>
          <w:szCs w:val="20"/>
          <w:color w:val="auto"/>
        </w:rPr>
      </w:pPr>
      <w:r>
        <w:rPr>
          <w:rFonts w:ascii="Arial" w:cs="Arial" w:eastAsia="Arial" w:hAnsi="Arial"/>
          <w:sz w:val="17"/>
          <w:szCs w:val="17"/>
          <w:color w:val="auto"/>
        </w:rPr>
        <w:t>Historically, RSUs granted under the IMAX LTIP have vested between immediately and three years from the grant date. In connection with the second amendment and restatement of the IMAX LTIP at the Company’s annual and special meeting of the shareholders on June 3, 2020, the IMAX LTIP plan retained the minimum one-year vesting period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Approved under the June 3, 2020 amended and restated IMAX LTIP</w:t>
            </w:r>
          </w:p>
        </w:tc>
        <w:tc>
          <w:tcPr>
            <w:tcW w:w="1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885,000</w:t>
            </w:r>
          </w:p>
        </w:tc>
      </w:tr>
      <w:tr>
        <w:trPr>
          <w:trHeight w:val="228"/>
        </w:trPr>
        <w:tc>
          <w:tcPr>
            <w:tcW w:w="9260" w:type="dxa"/>
            <w:vAlign w:val="bottom"/>
          </w:tcPr>
          <w:p>
            <w:pPr>
              <w:spacing w:after="0"/>
              <w:rPr>
                <w:sz w:val="20"/>
                <w:szCs w:val="20"/>
                <w:color w:val="auto"/>
              </w:rPr>
            </w:pPr>
            <w:r>
              <w:rPr>
                <w:rFonts w:ascii="Arial" w:cs="Arial" w:eastAsia="Arial" w:hAnsi="Arial"/>
                <w:sz w:val="18"/>
                <w:szCs w:val="18"/>
                <w:color w:val="auto"/>
              </w:rPr>
              <w:t>Issued during previous years</w:t>
            </w:r>
          </w:p>
        </w:tc>
        <w:tc>
          <w:tcPr>
            <w:tcW w:w="1980" w:type="dxa"/>
            <w:vAlign w:val="bottom"/>
          </w:tcPr>
          <w:p>
            <w:pPr>
              <w:jc w:val="right"/>
              <w:spacing w:after="0"/>
              <w:rPr>
                <w:sz w:val="20"/>
                <w:szCs w:val="20"/>
                <w:color w:val="auto"/>
              </w:rPr>
            </w:pPr>
            <w:r>
              <w:rPr>
                <w:rFonts w:ascii="Arial" w:cs="Arial" w:eastAsia="Arial" w:hAnsi="Arial"/>
                <w:sz w:val="18"/>
                <w:szCs w:val="18"/>
                <w:color w:val="auto"/>
              </w:rPr>
              <w:t>(412,045)</w:t>
            </w:r>
          </w:p>
        </w:tc>
      </w:tr>
      <w:tr>
        <w:trPr>
          <w:trHeight w:val="228"/>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Issued during 2021</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(70,867)</w:t>
            </w:r>
          </w:p>
        </w:tc>
      </w:tr>
      <w:tr>
        <w:trPr>
          <w:trHeight w:val="222"/>
        </w:trPr>
        <w:tc>
          <w:tcPr>
            <w:tcW w:w="9260" w:type="dxa"/>
            <w:vAlign w:val="bottom"/>
          </w:tcPr>
          <w:p>
            <w:pPr>
              <w:spacing w:after="0"/>
              <w:rPr>
                <w:sz w:val="20"/>
                <w:szCs w:val="20"/>
                <w:color w:val="auto"/>
              </w:rPr>
            </w:pPr>
            <w:r>
              <w:rPr>
                <w:rFonts w:ascii="Arial" w:cs="Arial" w:eastAsia="Arial" w:hAnsi="Arial"/>
                <w:sz w:val="18"/>
                <w:szCs w:val="18"/>
                <w:color w:val="auto"/>
              </w:rPr>
              <w:t>Outstanding, December 31, 2021</w:t>
            </w:r>
          </w:p>
        </w:tc>
        <w:tc>
          <w:tcPr>
            <w:tcW w:w="1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402,088</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Restricted Share Units to Non-Employees</w:t>
      </w:r>
    </w:p>
    <w:p>
      <w:pPr>
        <w:spacing w:after="0" w:line="182" w:lineRule="exact"/>
        <w:rPr>
          <w:sz w:val="20"/>
          <w:szCs w:val="20"/>
          <w:color w:val="auto"/>
        </w:rPr>
      </w:pPr>
    </w:p>
    <w:p>
      <w:pPr>
        <w:jc w:val="both"/>
        <w:ind w:right="20" w:firstLine="225"/>
        <w:spacing w:after="0" w:line="339" w:lineRule="auto"/>
        <w:rPr>
          <w:sz w:val="20"/>
          <w:szCs w:val="20"/>
          <w:color w:val="auto"/>
        </w:rPr>
      </w:pPr>
      <w:r>
        <w:rPr>
          <w:rFonts w:ascii="Arial" w:cs="Arial" w:eastAsia="Arial" w:hAnsi="Arial"/>
          <w:sz w:val="16"/>
          <w:szCs w:val="16"/>
          <w:color w:val="auto"/>
        </w:rPr>
        <w:t>There were no RSU awards granted to non-employees in 2021 (2020 ― nil; 2019 ― 12,580). The Company did not record any expenses for the year ended December 31, 2021 related to RSU grants issued to advisors and strategic partners of the Company (2020 ― $0.1 million; 2019 ― $0.1 million).</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IMAX LTIP Performance Stock Units Summary</w:t>
      </w:r>
    </w:p>
    <w:p>
      <w:pPr>
        <w:spacing w:after="0" w:line="196"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In 2020, the Company expanded its share-based compensation program to include PSUs. The Company grants two types of PSUs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9"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6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13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years ended December 31, 2021, 2020, and 2019, the Company recorded the following expenses related to outstanding PSUs, which includes adjustments reflecting management’s estimate of the number of PSUs with EBITDA-based targets expected to vest: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PSU expenses</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7"/>
              </w:rPr>
              <w:t>5,322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2,563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The Company’s actual tax benefits realized for the tax deductions related to the vesting of PSUs was $nil for the year ended December 31, 2021 (2020 and 2019 ― $nil).</w:t>
      </w:r>
    </w:p>
    <w:p>
      <w:pPr>
        <w:spacing w:after="0" w:line="14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total unrecognized share-based compensation expense related to unvested PSUs and the weighted average period over which the expense is expected to be recognized is $9.3 million and 1.7 years,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20" w:name="page121"/>
    <w:bookmarkEnd w:id="120"/>
    <w:p>
      <w:pPr>
        <w:ind w:left="240"/>
        <w:spacing w:after="0"/>
        <w:rPr>
          <w:sz w:val="20"/>
          <w:szCs w:val="20"/>
          <w:color w:val="auto"/>
        </w:rPr>
      </w:pPr>
      <w:r>
        <w:rPr>
          <w:rFonts w:ascii="Arial" w:cs="Arial" w:eastAsia="Arial" w:hAnsi="Arial"/>
          <w:sz w:val="18"/>
          <w:szCs w:val="18"/>
          <w:color w:val="auto"/>
        </w:rPr>
        <w:t>The following table summarizes the activity in respect of PSUs issued under the IMAX LTIP:</w:t>
      </w:r>
    </w:p>
    <w:tbl>
      <w:tblPr>
        <w:tblLayout w:type="fixed"/>
        <w:tblInd w:w="0" w:type="dxa"/>
        <w:tblCellMar>
          <w:top w:w="0" w:type="dxa"/>
          <w:left w:w="0" w:type="dxa"/>
          <w:bottom w:w="0" w:type="dxa"/>
          <w:right w:w="0" w:type="dxa"/>
        </w:tblCellMar>
      </w:tblPr>
      <w:tr>
        <w:trPr>
          <w:trHeight w:val="160"/>
        </w:trPr>
        <w:tc>
          <w:tcPr>
            <w:tcW w:w="5720" w:type="dxa"/>
            <w:vAlign w:val="bottom"/>
          </w:tcPr>
          <w:p>
            <w:pPr>
              <w:spacing w:after="0"/>
              <w:rPr>
                <w:sz w:val="13"/>
                <w:szCs w:val="13"/>
                <w:color w:val="auto"/>
              </w:rPr>
            </w:pPr>
          </w:p>
        </w:tc>
        <w:tc>
          <w:tcPr>
            <w:tcW w:w="2940" w:type="dxa"/>
            <w:vAlign w:val="bottom"/>
            <w:gridSpan w:val="5"/>
            <w:vMerge w:val="restart"/>
          </w:tcPr>
          <w:p>
            <w:pPr>
              <w:jc w:val="right"/>
              <w:ind w:right="1067"/>
              <w:spacing w:after="0"/>
              <w:rPr>
                <w:sz w:val="20"/>
                <w:szCs w:val="20"/>
                <w:color w:val="auto"/>
              </w:rPr>
            </w:pPr>
            <w:r>
              <w:rPr>
                <w:rFonts w:ascii="Arial" w:cs="Arial" w:eastAsia="Arial" w:hAnsi="Arial"/>
                <w:sz w:val="14"/>
                <w:szCs w:val="14"/>
                <w:b w:val="1"/>
                <w:bCs w:val="1"/>
                <w:color w:val="auto"/>
              </w:rPr>
              <w:t>Number of Awards</w:t>
            </w:r>
          </w:p>
        </w:tc>
        <w:tc>
          <w:tcPr>
            <w:tcW w:w="2580" w:type="dxa"/>
            <w:vAlign w:val="bottom"/>
            <w:gridSpan w:val="4"/>
          </w:tcPr>
          <w:p>
            <w:pPr>
              <w:jc w:val="center"/>
              <w:ind w:right="314"/>
              <w:spacing w:after="0"/>
              <w:rPr>
                <w:sz w:val="20"/>
                <w:szCs w:val="20"/>
                <w:color w:val="auto"/>
              </w:rPr>
            </w:pPr>
            <w:r>
              <w:rPr>
                <w:rFonts w:ascii="Arial" w:cs="Arial" w:eastAsia="Arial" w:hAnsi="Arial"/>
                <w:sz w:val="14"/>
                <w:szCs w:val="14"/>
                <w:b w:val="1"/>
                <w:bCs w:val="1"/>
                <w:color w:val="auto"/>
                <w:w w:val="94"/>
              </w:rPr>
              <w:t>Weighted Average Grant Date</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74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w w:val="95"/>
              </w:rPr>
              <w:t>Fair Value Per Share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2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2"/>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PSUs outstanding, beginning of year</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361,844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309,574</w:t>
            </w:r>
          </w:p>
        </w:tc>
        <w:tc>
          <w:tcPr>
            <w:tcW w:w="1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370,265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8"/>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(58,013)</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PSUs outstanding, end of year</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613,405</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361,844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the maximum number of shares of common stock that may be issued with respect to PSUs outstanding is 1,073,458, assuming full achievement of the EBITDA and stock-price targets.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China Long-Term Incentive Plan</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Each stock option (“China Option”), RSU, or PSU issued under the China LTIP represents an opportunity to participate economically in the future growth and value creation of IMAX China.</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pacing w:after="0" w:line="15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For the years ended December 31, 2021, 2020, and 2019, share-based compensation expense related to China Options, China RSUs and China PSUs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120"/>
              <w:spacing w:after="0"/>
              <w:rPr>
                <w:sz w:val="20"/>
                <w:szCs w:val="20"/>
                <w:color w:val="auto"/>
              </w:rPr>
            </w:pPr>
            <w:r>
              <w:rPr>
                <w:rFonts w:ascii="Arial" w:cs="Arial" w:eastAsia="Arial" w:hAnsi="Arial"/>
                <w:sz w:val="18"/>
                <w:szCs w:val="18"/>
                <w:color w:val="auto"/>
              </w:rPr>
              <w:t>China Options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285</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8"/>
        </w:trPr>
        <w:tc>
          <w:tcPr>
            <w:tcW w:w="6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China RSUs</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China PSUs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3,673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3,176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In 2021, IMAX China modified the terms of certain fully vested stock options to extend their contractual life by one year (2020 ― two years) and recorded an associated expense of $0.1 million (2020 ― $0.7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2"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In April 2021, the Company’s Board of Directors approved a 12-month extension to its share repurchase program through June 30, 2022. The extension authorized the Company to repurchase up to approximately $89.4 million worth of common shares, the remaining amount available of the original $200.0 million initially authorized under the share repurchase program when it commenced on July 1, 2017.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In 2021, the Company repurchased 841,331 (2020</w:t>
      </w:r>
    </w:p>
    <w:p>
      <w:pPr>
        <w:spacing w:after="0" w:line="1" w:lineRule="exact"/>
        <w:rPr>
          <w:sz w:val="20"/>
          <w:szCs w:val="20"/>
          <w:color w:val="auto"/>
        </w:rPr>
      </w:pPr>
    </w:p>
    <w:p>
      <w:pPr>
        <w:ind w:firstLine="7"/>
        <w:spacing w:after="0" w:line="287" w:lineRule="auto"/>
        <w:tabs>
          <w:tab w:leader="none" w:pos="246" w:val="left"/>
        </w:tabs>
        <w:numPr>
          <w:ilvl w:val="0"/>
          <w:numId w:val="64"/>
        </w:numPr>
        <w:rPr>
          <w:rFonts w:ascii="Arial" w:cs="Arial" w:eastAsia="Arial" w:hAnsi="Arial"/>
          <w:sz w:val="17"/>
          <w:szCs w:val="17"/>
          <w:color w:val="auto"/>
        </w:rPr>
      </w:pPr>
      <w:r>
        <w:rPr>
          <w:rFonts w:ascii="Arial" w:cs="Arial" w:eastAsia="Arial" w:hAnsi="Arial"/>
          <w:sz w:val="17"/>
          <w:szCs w:val="17"/>
          <w:color w:val="auto"/>
        </w:rPr>
        <w:t>2,484,123) common shares at an average price of $16.51 per share (2020 ― $14.72 per share), for a total of $13.9 million (2020 ― 36.6 million), excluding commissions. As of December 31, 2021, the Company has $75.5 million available under its approved repurchase program.</w:t>
      </w:r>
    </w:p>
    <w:p>
      <w:pPr>
        <w:spacing w:after="0" w:line="135"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total number of shares purchased during the year ended December 31, 2020 does not include 200,000 common shares, purchased in the administration of employee share-based compensation plans, at an average price of $15.43 per share. For the year ended December 31, 2021, there were no shares purchases in the administration of employee share based plans.</w:t>
      </w:r>
    </w:p>
    <w:p>
      <w:pPr>
        <w:spacing w:after="0" w:line="143"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the IMAX LTIP trustee held nil shares. Any shares held with the trustee are recorded at cost and are reported as a reduction against Capital Stock on the Company’s Consolidated Balance Sheets.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21" w:name="page122"/>
    <w:bookmarkEnd w:id="121"/>
    <w:p>
      <w:pPr>
        <w:jc w:val="both"/>
        <w:ind w:firstLine="225"/>
        <w:spacing w:after="0" w:line="268" w:lineRule="auto"/>
        <w:rPr>
          <w:sz w:val="20"/>
          <w:szCs w:val="20"/>
          <w:color w:val="auto"/>
        </w:rPr>
      </w:pPr>
      <w:r>
        <w:rPr>
          <w:rFonts w:ascii="Arial" w:cs="Arial" w:eastAsia="Arial" w:hAnsi="Arial"/>
          <w:sz w:val="17"/>
          <w:szCs w:val="17"/>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will be valid until the 2022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In 2021, IMAX China repurchased 6,664,700 (2020 ― 906,400) common shares at an average price of HKD 11.68 per share (U.S. $1.50 per share) for a total of HKD 77.8 million or U.S. $10.0 million (2020 ― HKD 13.07 per share or U.S. $1.68 per share, for a total of HKD 11.9 million or U.S. $1.5 million). The change in non-controlling interest as a result of common shares repurchased by IMAX China is recorded within Non-Controlling Interest in the Consolidated Balance Sheets and the Consolidated Statements of Shareholders’ Equity. The difference between the consideration paid and the ownership interest obtained as a result of IMAX China share repurchases is recorded within Other Equity in the Consolidated Balance Sheets and the Consolidated Statements of Shareholders’ Equity. (See Note 3(a).)</w:t>
      </w:r>
    </w:p>
    <w:p>
      <w:pPr>
        <w:spacing w:after="0" w:line="152" w:lineRule="exact"/>
        <w:rPr>
          <w:sz w:val="20"/>
          <w:szCs w:val="20"/>
          <w:color w:val="auto"/>
        </w:rPr>
      </w:pPr>
    </w:p>
    <w:p>
      <w:pPr>
        <w:ind w:left="1080" w:hanging="848"/>
        <w:spacing w:after="0"/>
        <w:tabs>
          <w:tab w:leader="none" w:pos="108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Basic and Diluted Weighted Average Shares Outstanding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following table reconciles the denominator of the basic and diluted weighted average share computations: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50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outstanding, beginning of period</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58,921</w:t>
            </w: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61,176</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61,434</w:t>
            </w:r>
          </w:p>
        </w:tc>
        <w:tc>
          <w:tcPr>
            <w:tcW w:w="0" w:type="dxa"/>
            <w:vAlign w:val="bottom"/>
          </w:tcPr>
          <w:p>
            <w:pPr>
              <w:spacing w:after="0"/>
              <w:rPr>
                <w:sz w:val="1"/>
                <w:szCs w:val="1"/>
                <w:color w:val="auto"/>
              </w:rPr>
            </w:pPr>
          </w:p>
        </w:tc>
      </w:tr>
      <w:tr>
        <w:trPr>
          <w:trHeight w:val="228"/>
        </w:trPr>
        <w:tc>
          <w:tcPr>
            <w:tcW w:w="7240" w:type="dxa"/>
            <w:vAlign w:val="bottom"/>
          </w:tcPr>
          <w:p>
            <w:pPr>
              <w:spacing w:after="0"/>
              <w:rPr>
                <w:sz w:val="20"/>
                <w:szCs w:val="20"/>
                <w:color w:val="auto"/>
              </w:rPr>
            </w:pPr>
            <w:r>
              <w:rPr>
                <w:rFonts w:ascii="Arial" w:cs="Arial" w:eastAsia="Arial" w:hAnsi="Arial"/>
                <w:sz w:val="18"/>
                <w:szCs w:val="18"/>
                <w:color w:val="auto"/>
              </w:rPr>
              <w:t>Weighted average number of shares issued (repurchased), net</w:t>
            </w: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(1,939)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59,126</w:t>
            </w: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59,237</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61,310</w:t>
            </w:r>
          </w:p>
        </w:tc>
        <w:tc>
          <w:tcPr>
            <w:tcW w:w="0" w:type="dxa"/>
            <w:vAlign w:val="bottom"/>
          </w:tcPr>
          <w:p>
            <w:pPr>
              <w:spacing w:after="0"/>
              <w:rPr>
                <w:sz w:val="1"/>
                <w:szCs w:val="1"/>
                <w:color w:val="auto"/>
              </w:rPr>
            </w:pPr>
          </w:p>
        </w:tc>
      </w:tr>
      <w:tr>
        <w:trPr>
          <w:trHeight w:val="228"/>
        </w:trPr>
        <w:tc>
          <w:tcPr>
            <w:tcW w:w="7240" w:type="dxa"/>
            <w:vAlign w:val="bottom"/>
          </w:tcPr>
          <w:p>
            <w:pPr>
              <w:spacing w:after="0"/>
              <w:rPr>
                <w:sz w:val="20"/>
                <w:szCs w:val="20"/>
                <w:color w:val="auto"/>
              </w:rPr>
            </w:pPr>
            <w:r>
              <w:rPr>
                <w:rFonts w:ascii="Arial" w:cs="Arial" w:eastAsia="Arial" w:hAnsi="Arial"/>
                <w:sz w:val="18"/>
                <w:szCs w:val="18"/>
                <w:color w:val="auto"/>
              </w:rPr>
              <w:t>Weighted average effect of potential common shares, if dilutive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2"/>
        </w:trPr>
        <w:tc>
          <w:tcPr>
            <w:tcW w:w="7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59,126</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59,237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61,489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For the year ended December 31, 2021, the calculation of diluted earnings per share excludes 6,131,792 (2020 and 2019 ― 6,999,667 and 5,809,468, respectively) shares that are issuable upon the vesting of 1,457,883 RSUs (2020 and 2019 ― 1,564,838 and 77,259, respectively), the vesting of 937,752 PSUs (2020 and 2019 ― 541,867), and the exercise of 3,736,157 stock options (2020 and 2019 ― 4,892,962 and 5,732,209, respectively), as the effect would be anti-dilutive.</w:t>
      </w:r>
    </w:p>
    <w:p>
      <w:pPr>
        <w:spacing w:after="0" w:line="14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calculation of diluted weighted average shares outstanding for the year ended December 31, 2021 also excludes any shares potentially issuable upon the conversion of the Convertible Notes as the average market price of the Company’s common shares during the period of time they were outstanding was less than the conversion price of the Convertible Notes. (See Note 14(b).)</w:t>
      </w:r>
    </w:p>
    <w:p>
      <w:pPr>
        <w:spacing w:after="0" w:line="157" w:lineRule="exact"/>
        <w:rPr>
          <w:sz w:val="20"/>
          <w:szCs w:val="20"/>
          <w:color w:val="auto"/>
        </w:rPr>
      </w:pPr>
    </w:p>
    <w:p>
      <w:pPr>
        <w:ind w:left="1080" w:hanging="848"/>
        <w:spacing w:after="0"/>
        <w:tabs>
          <w:tab w:leader="none" w:pos="108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Statutory Surplus Reserve</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Pursuant to the corporate law of the People’s Republic of China (the “PRC”), entities registered in the PRC are required to maintain certain statutory reserves, which are appropriated from after-tax profits, after offsetting accumulated losses from prior years, before dividends can be declared or paid to equity holders.</w:t>
      </w:r>
    </w:p>
    <w:p>
      <w:pPr>
        <w:spacing w:after="0" w:line="143"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 xml:space="preserve">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w:t>
      </w:r>
      <w:r>
        <w:rPr>
          <w:rFonts w:ascii="Arial" w:cs="Arial" w:eastAsia="Arial" w:hAnsi="Arial"/>
          <w:sz w:val="16"/>
          <w:szCs w:val="16"/>
          <w:color w:val="333333"/>
        </w:rPr>
        <w:t>The statutory surplus reserve is non-distributable other than during liquidation and may</w:t>
      </w:r>
      <w:r>
        <w:rPr>
          <w:rFonts w:ascii="Arial" w:cs="Arial" w:eastAsia="Arial" w:hAnsi="Arial"/>
          <w:sz w:val="16"/>
          <w:szCs w:val="16"/>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During the year ended December 31, 2021, one of the Company’s PRC subsidiaries declared and paid dividends of RMB 131.6 million ($20.4 million). In 2021, upon passage of the requisite resolution of the Board of Directors, a statutory surplus reserve of RMB 36.4 million ($5.6 million) was recorded within Shareholders’ Equity as an appropriation of the PRC subsidiaries’ retained earnings, of which $3.9 million is attributable to the Company’s common shareholders and $1.7 million is attributable to non-controlling shareholders. The statutory surplus reserve of RMB 36.4 million ($5.6 million) has reached 50% of its PRC subsidiaries’ registered capital.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22" w:name="page123"/>
    <w:bookmarkEnd w:id="122"/>
    <w:p>
      <w:pPr>
        <w:ind w:left="320" w:hanging="313"/>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Operations Supplemental Information</w:t>
      </w:r>
    </w:p>
    <w:p>
      <w:pPr>
        <w:spacing w:after="0" w:line="199" w:lineRule="exact"/>
        <w:rPr>
          <w:rFonts w:ascii="Arial" w:cs="Arial" w:eastAsia="Arial" w:hAnsi="Arial"/>
          <w:sz w:val="18"/>
          <w:szCs w:val="18"/>
          <w:b w:val="1"/>
          <w:bCs w:val="1"/>
          <w:color w:val="auto"/>
        </w:rPr>
      </w:pPr>
    </w:p>
    <w:p>
      <w:pPr>
        <w:ind w:left="580" w:hanging="358"/>
        <w:spacing w:after="0"/>
        <w:tabs>
          <w:tab w:leader="none" w:pos="580" w:val="left"/>
        </w:tabs>
        <w:numPr>
          <w:ilvl w:val="1"/>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following table summarizes the Company’s selling expenses, including sales commissions and other selling expenses such as direct advertising and marketing expenses, which are recognized within Costs and Expenses Applicable to Revenues in the Consolidated Statements of Operations, for the years ended December 31, 2021, 2020 and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78"/>
              <w:spacing w:after="0" w:line="132"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58"/>
              <w:spacing w:after="0" w:line="132"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8"/>
              <w:spacing w:after="0" w:line="132"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Selling</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Selling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58"/>
              <w:spacing w:after="0" w:line="148" w:lineRule="exact"/>
              <w:rPr>
                <w:sz w:val="20"/>
                <w:szCs w:val="20"/>
                <w:color w:val="auto"/>
              </w:rPr>
            </w:pPr>
            <w:r>
              <w:rPr>
                <w:rFonts w:ascii="Arial" w:cs="Arial" w:eastAsia="Arial" w:hAnsi="Arial"/>
                <w:sz w:val="14"/>
                <w:szCs w:val="14"/>
                <w:b w:val="1"/>
                <w:bCs w:val="1"/>
                <w:color w:val="auto"/>
                <w:w w:val="91"/>
              </w:rPr>
              <w:t>Selling</w:t>
            </w:r>
          </w:p>
        </w:tc>
        <w:tc>
          <w:tcPr>
            <w:tcW w:w="0" w:type="dxa"/>
            <w:vAlign w:val="bottom"/>
          </w:tcPr>
          <w:p>
            <w:pPr>
              <w:spacing w:after="0"/>
              <w:rPr>
                <w:sz w:val="1"/>
                <w:szCs w:val="1"/>
                <w:color w:val="auto"/>
              </w:rPr>
            </w:pPr>
          </w:p>
        </w:tc>
      </w:tr>
      <w:tr>
        <w:trPr>
          <w:trHeight w:val="170"/>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2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w w:val="91"/>
              </w:rPr>
              <w:t>Commissions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102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w w:val="91"/>
              </w:rPr>
              <w:t>Commissions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Commissions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22"/>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Technology sales</w:t>
            </w:r>
            <w:r>
              <w:rPr>
                <w:rFonts w:ascii="Arial" w:cs="Arial" w:eastAsia="Arial" w:hAnsi="Arial"/>
                <w:sz w:val="15"/>
                <w:szCs w:val="15"/>
                <w:color w:val="auto"/>
              </w:rPr>
              <w:t>(1)</w:t>
            </w:r>
          </w:p>
        </w:tc>
        <w:tc>
          <w:tcPr>
            <w:tcW w:w="20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1,885</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989</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1,278</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1,077</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2,031</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8"/>
        </w:trPr>
        <w:tc>
          <w:tcPr>
            <w:tcW w:w="4780" w:type="dxa"/>
            <w:vAlign w:val="bottom"/>
            <w:gridSpan w:val="2"/>
          </w:tcPr>
          <w:p>
            <w:pPr>
              <w:spacing w:after="0"/>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8,923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4,306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22,869</w:t>
            </w:r>
          </w:p>
        </w:tc>
        <w:tc>
          <w:tcPr>
            <w:tcW w:w="0" w:type="dxa"/>
            <w:vAlign w:val="bottom"/>
          </w:tcPr>
          <w:p>
            <w:pPr>
              <w:spacing w:after="0"/>
              <w:rPr>
                <w:sz w:val="1"/>
                <w:szCs w:val="1"/>
                <w:color w:val="auto"/>
              </w:rPr>
            </w:pPr>
          </w:p>
        </w:tc>
      </w:tr>
      <w:tr>
        <w:trPr>
          <w:trHeight w:val="228"/>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rentals</w:t>
            </w:r>
            <w:r>
              <w:rPr>
                <w:rFonts w:ascii="Arial" w:cs="Arial" w:eastAsia="Arial" w:hAnsi="Arial"/>
                <w:sz w:val="15"/>
                <w:szCs w:val="15"/>
                <w:color w:val="auto"/>
              </w:rPr>
              <w:t>(3)</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11,021</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2,186</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5,893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2,414</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26,893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6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0" w:right="20" w:hanging="353"/>
        <w:spacing w:after="0" w:line="274" w:lineRule="auto"/>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commissions paid prior to the recognition of the related revenue are deferred and recognized upon the client acceptance of the IMAX Theater System. Direct advertising and marketing costs for each theater are expensed as incurred.</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Film exploitation costs, including advertising and marketing costs are expensed as incurred.</w:t>
      </w:r>
    </w:p>
    <w:p>
      <w:pPr>
        <w:spacing w:after="0" w:line="182" w:lineRule="exact"/>
        <w:rPr>
          <w:rFonts w:ascii="Arial" w:cs="Arial" w:eastAsia="Arial" w:hAnsi="Arial"/>
          <w:sz w:val="18"/>
          <w:szCs w:val="18"/>
          <w:color w:val="auto"/>
        </w:rPr>
      </w:pPr>
    </w:p>
    <w:p>
      <w:pPr>
        <w:jc w:val="both"/>
        <w:ind w:left="360" w:hanging="353"/>
        <w:spacing w:after="0" w:line="261" w:lineRule="auto"/>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Sales commissions related to joint revenue sharing arrangements accounted for operating leases are recognized in the month they are earned by the salesperson, which is typically the month in which the theater system is installed. Direct advertising and marketing costs for each theater are expensed as incurred.</w:t>
      </w:r>
    </w:p>
    <w:p>
      <w:pPr>
        <w:spacing w:after="0" w:line="143" w:lineRule="exact"/>
        <w:rPr>
          <w:rFonts w:ascii="Arial" w:cs="Arial" w:eastAsia="Arial" w:hAnsi="Arial"/>
          <w:sz w:val="18"/>
          <w:szCs w:val="18"/>
          <w:color w:val="auto"/>
        </w:rPr>
      </w:pPr>
    </w:p>
    <w:p>
      <w:pPr>
        <w:ind w:left="580" w:hanging="358"/>
        <w:spacing w:after="0"/>
        <w:tabs>
          <w:tab w:leader="none" w:pos="580" w:val="left"/>
        </w:tabs>
        <w:numPr>
          <w:ilvl w:val="1"/>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w:t>
      </w:r>
    </w:p>
    <w:p>
      <w:pPr>
        <w:spacing w:after="0" w:line="182"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Included in Selling, General and Administrative Expenses for the year ended December 31, 2021 is a net gain of $1.3 million resulting from changes in exchange rates related to foreign currency denominated monetary assets and liabilities, as compared to a net gain of $0.8 million and a net loss of $0.9 million for the years ended December 31, 2020 and 2019, respectively. See Note 22(c) for additional information.</w:t>
      </w:r>
    </w:p>
    <w:p>
      <w:pPr>
        <w:spacing w:after="0" w:line="138"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Collaborative Arrangements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82"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As of December 31, 2021, the Company has signed traditional and hybrid joint revenue sharing agreements with 43 exhibitors (2020 — 43) for a total of 1,225 IMAX Theater Systems (2020 — 1,232), of which 909 theaters (2020 — 890) were operational and included in the network as of that date. The terms of these arrangements are similar in nature, rights, and obligations. (See Note 6 for a description of the material terms of the Company’s collaborative joint revenue sharing arrangements.) The accounting policy for the Company’s joint revenue sharing arrangements is disclosed in Note 3(p).</w:t>
      </w:r>
    </w:p>
    <w:p>
      <w:pPr>
        <w:spacing w:after="0" w:line="117"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Revenue attributable to transactions arising between the Company and its customers under joint revenue sharing arrangements are recorded within Revenues – Technology Sales and Revenues – Technology Rentals. For the year ended December 31, 2021, such revenues totaled $51.6 million (2020 — $19.9 million; 2019 — $92.0 million). (See Note 20(a) for a disaggregated presentation of the Company’s revenues.)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In an IMAX DMR arrangement, the Company receives a percentage of the box office receipts from a third party who owns the copyright to a film in exchange for converting the film into IMAX DMR format and distributing it through the IMAX network. The fee earned by the Company in a typical IMAX DMR arrangement averages approximately 12.5% of box office receipts (i.e. GBO receipts less applicable sales taxes), except for within Greater China, where the Company receives a lower percentage of net box office receipts for certain Hollywood films.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3" w:name="page124"/>
    <w:bookmarkEnd w:id="123"/>
    <w:p>
      <w:pPr>
        <w:jc w:val="both"/>
        <w:ind w:firstLine="225"/>
        <w:spacing w:after="0" w:line="284" w:lineRule="auto"/>
        <w:rPr>
          <w:sz w:val="20"/>
          <w:szCs w:val="20"/>
          <w:color w:val="auto"/>
        </w:rPr>
      </w:pPr>
      <w:r>
        <w:rPr>
          <w:rFonts w:ascii="Arial" w:cs="Arial" w:eastAsia="Arial" w:hAnsi="Arial"/>
          <w:sz w:val="17"/>
          <w:szCs w:val="17"/>
          <w:color w:val="auto"/>
        </w:rPr>
        <w:t>In 2021, the majority of IMAX DMR revenue was earned from the exhibition of 69 films (63 new and 6 carryovers) and the re-release of classic titles throughout the IMAX theater network, as compared to 35 films (31 new and 4 carryovers) and the re-release of classic titles in 2020, and 72 films (60 new and 12 carryovers) exhibited in 2019. The accounting policy for the Company’s IMAX DMR arrangements is disclosed in Note 3(p).</w:t>
      </w:r>
    </w:p>
    <w:p>
      <w:pPr>
        <w:spacing w:after="0" w:line="13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Revenue attributable to transactions arising between the Company and its customers under IMAX DMR arrangements are included in Revenues – Image Enhancement and Maintenance Services. For the year ended December 31, 2021, such revenues totaled $70.7 million (2020 — $28.3 million; 2019 — $120.8 million). (See Note 20(a) for a disaggregated presentation of the Company’s revenues.)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2"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57"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December 31, 2021, the Company is party to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3(a) and 3(p).</w:t>
      </w:r>
    </w:p>
    <w:p>
      <w:pPr>
        <w:spacing w:after="0" w:line="143" w:lineRule="exact"/>
        <w:rPr>
          <w:sz w:val="20"/>
          <w:szCs w:val="20"/>
          <w:color w:val="auto"/>
        </w:rPr>
      </w:pPr>
    </w:p>
    <w:p>
      <w:pPr>
        <w:jc w:val="both"/>
        <w:ind w:firstLine="225"/>
        <w:spacing w:after="0" w:line="339" w:lineRule="auto"/>
        <w:rPr>
          <w:sz w:val="20"/>
          <w:szCs w:val="20"/>
          <w:color w:val="auto"/>
        </w:rPr>
      </w:pPr>
      <w:r>
        <w:rPr>
          <w:rFonts w:ascii="Arial" w:cs="Arial" w:eastAsia="Arial" w:hAnsi="Arial"/>
          <w:sz w:val="16"/>
          <w:szCs w:val="16"/>
          <w:color w:val="auto"/>
        </w:rPr>
        <w:t>In 2021, an expense of $0.4 million (2020 — $2.0 million; 2019 — $0.6 million) attributable to transactions between the Company and other parties involved in the production of the films have been included in Costs and Expenses Applicable to Revenues – Image Enhancement and Maintenance Services.</w:t>
      </w:r>
    </w:p>
    <w:p>
      <w:pPr>
        <w:spacing w:after="0" w:line="84"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In 2017, the Company participated in one significant co-produced television arrangement. This arrangement was not a VIE. For the year ended December 31, 2021, revenues of $0.2 million (2020 — $0.3 million; 2019 — $0.4 million) and Costs and Expenses Applicable to Revenues of $nil (2020 — $nil; 2019 — less than $0.1 million) attributable to this collaborative arrangement were recorded within Revenue – Image Enhancement and Maintenance Services and Costs and Expenses Applicable to Revenues – Image Enhancement and Maintenance Services.</w:t>
      </w:r>
    </w:p>
    <w:p>
      <w:pPr>
        <w:spacing w:after="0" w:line="167" w:lineRule="exact"/>
        <w:rPr>
          <w:sz w:val="20"/>
          <w:szCs w:val="20"/>
          <w:color w:val="auto"/>
        </w:rPr>
      </w:pPr>
    </w:p>
    <w:p>
      <w:pPr>
        <w:ind w:left="320" w:hanging="313"/>
        <w:spacing w:after="0"/>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Cash Flows Supplemental Information</w:t>
      </w:r>
    </w:p>
    <w:p>
      <w:pPr>
        <w:spacing w:after="0" w:line="199" w:lineRule="exact"/>
        <w:rPr>
          <w:rFonts w:ascii="Arial" w:cs="Arial" w:eastAsia="Arial" w:hAnsi="Arial"/>
          <w:sz w:val="18"/>
          <w:szCs w:val="18"/>
          <w:b w:val="1"/>
          <w:bCs w:val="1"/>
          <w:color w:val="auto"/>
        </w:rPr>
      </w:pPr>
    </w:p>
    <w:p>
      <w:pPr>
        <w:ind w:left="580" w:hanging="358"/>
        <w:spacing w:after="0"/>
        <w:tabs>
          <w:tab w:leader="none" w:pos="580" w:val="left"/>
        </w:tabs>
        <w:numPr>
          <w:ilvl w:val="1"/>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2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tcPr>
          <w:p>
            <w:pPr>
              <w:ind w:left="260"/>
              <w:spacing w:after="0"/>
              <w:rPr>
                <w:sz w:val="20"/>
                <w:szCs w:val="20"/>
                <w:color w:val="auto"/>
              </w:rPr>
            </w:pPr>
            <w:r>
              <w:rPr>
                <w:rFonts w:ascii="Arial" w:cs="Arial" w:eastAsia="Arial" w:hAnsi="Arial"/>
                <w:sz w:val="18"/>
                <w:szCs w:val="18"/>
                <w:color w:val="auto"/>
              </w:rPr>
              <w:t>Financing receivables</w:t>
            </w:r>
          </w:p>
        </w:tc>
        <w:tc>
          <w:tcPr>
            <w:tcW w:w="260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(7,637)</w:t>
            </w:r>
          </w:p>
        </w:tc>
        <w:tc>
          <w:tcPr>
            <w:tcW w:w="50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(10,568)</w:t>
            </w:r>
          </w:p>
        </w:tc>
        <w:tc>
          <w:tcPr>
            <w:tcW w:w="100" w:type="dxa"/>
            <w:vAlign w:val="bottom"/>
          </w:tcPr>
          <w:p>
            <w:pPr>
              <w:spacing w:after="0"/>
              <w:rPr>
                <w:sz w:val="19"/>
                <w:szCs w:val="19"/>
                <w:color w:val="auto"/>
              </w:rPr>
            </w:pP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8"/>
        </w:trPr>
        <w:tc>
          <w:tcPr>
            <w:tcW w:w="4240" w:type="dxa"/>
            <w:vAlign w:val="bottom"/>
          </w:tcPr>
          <w:p>
            <w:pPr>
              <w:ind w:left="260"/>
              <w:spacing w:after="0"/>
              <w:rPr>
                <w:sz w:val="20"/>
                <w:szCs w:val="20"/>
                <w:color w:val="auto"/>
              </w:rPr>
            </w:pPr>
            <w:r>
              <w:rPr>
                <w:rFonts w:ascii="Arial" w:cs="Arial" w:eastAsia="Arial" w:hAnsi="Arial"/>
                <w:sz w:val="18"/>
                <w:szCs w:val="18"/>
                <w:color w:val="auto"/>
              </w:rPr>
              <w:t>Variable consideration receivables</w:t>
            </w: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(Decrease) increase in:</w:t>
            </w: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liabilities</w:t>
            </w:r>
          </w:p>
        </w:tc>
        <w:tc>
          <w:tcPr>
            <w:tcW w:w="2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15,167</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20"/>
              <w:spacing w:after="0"/>
              <w:rPr>
                <w:sz w:val="20"/>
                <w:szCs w:val="20"/>
                <w:color w:val="auto"/>
              </w:rPr>
            </w:pPr>
            <w:r>
              <w:rPr>
                <w:rFonts w:ascii="Arial" w:cs="Arial" w:eastAsia="Arial" w:hAnsi="Arial"/>
                <w:sz w:val="18"/>
                <w:szCs w:val="18"/>
                <w:b w:val="1"/>
                <w:bCs w:val="1"/>
                <w:i w:val="1"/>
                <w:iCs w:val="1"/>
                <w:color w:val="auto"/>
              </w:rPr>
              <w:t>(b)  Cash payments made on account</w:t>
            </w: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4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Years Ended December 31,</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5"/>
                <w:szCs w:val="15"/>
                <w:color w:val="auto"/>
              </w:rPr>
              <w:t>(1)</w:t>
            </w:r>
          </w:p>
        </w:tc>
        <w:tc>
          <w:tcPr>
            <w:tcW w:w="2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18,475</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17,298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Interest</w:t>
            </w:r>
          </w:p>
        </w:tc>
        <w:tc>
          <w:tcPr>
            <w:tcW w:w="26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3,251</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40" w:type="dxa"/>
            <w:vAlign w:val="bottom"/>
            <w:vMerge w:val="restart"/>
          </w:tcPr>
          <w:p>
            <w:pPr>
              <w:jc w:val="right"/>
              <w:ind w:right="631"/>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124" w:name="page125"/>
    <w:bookmarkEnd w:id="124"/>
    <w:p>
      <w:pPr>
        <w:jc w:val="both"/>
        <w:ind w:left="360" w:right="100" w:hanging="353"/>
        <w:spacing w:after="0" w:line="274" w:lineRule="auto"/>
        <w:tabs>
          <w:tab w:leader="none" w:pos="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310515</wp:posOffset>
            </wp:positionV>
            <wp:extent cx="9544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54405" cy="8255"/>
                    </a:xfrm>
                    <a:prstGeom prst="rect">
                      <a:avLst/>
                    </a:prstGeom>
                    <a:noFill/>
                  </pic:spPr>
                </pic:pic>
              </a:graphicData>
            </a:graphic>
          </wp:anchor>
        </w:drawing>
        <w:t>In 2021, the Canadian tax authorities denied the Company’s deduction of certain foreign taxes accrued in 2015, but not yet paid as discussions with the local authorities are ongoing. This resulted in the payment of $8.9 million in income taxes and $1.6 million in associated interest to the Canadian tax authorities in the fourth quarter of 2021. The Company has filed a waiver with the Canadian tax authorities in respect of 2015 so that when the foreign taxes are paid, the Company would be entitled to receive a refund of the $8.9 million in tax, which is recorded on the Company’s Consolidated Balance Sheets within Accounts Receivable, and the $1.6 million in associated interest.</w:t>
      </w:r>
    </w:p>
    <w:p>
      <w:pPr>
        <w:spacing w:after="0" w:line="159" w:lineRule="exact"/>
        <w:rPr>
          <w:rFonts w:ascii="Arial" w:cs="Arial" w:eastAsia="Arial" w:hAnsi="Arial"/>
          <w:sz w:val="17"/>
          <w:szCs w:val="17"/>
          <w:color w:val="auto"/>
        </w:rPr>
      </w:pPr>
    </w:p>
    <w:p>
      <w:pPr>
        <w:ind w:left="580" w:hanging="358"/>
        <w:spacing w:after="0"/>
        <w:tabs>
          <w:tab w:leader="none" w:pos="580" w:val="left"/>
        </w:tabs>
        <w:numPr>
          <w:ilvl w:val="1"/>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Depreciation and amortization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2"/>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2"/>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assets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16,316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8,838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19,176</w:t>
            </w:r>
          </w:p>
        </w:tc>
      </w:tr>
      <w:tr>
        <w:trPr>
          <w:trHeight w:val="228"/>
        </w:trPr>
        <w:tc>
          <w:tcPr>
            <w:tcW w:w="66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6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Equipment supporting joint revenue sharing arrangements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22,320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24,930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23,153</w:t>
            </w:r>
          </w:p>
        </w:tc>
      </w:tr>
      <w:tr>
        <w:trPr>
          <w:trHeight w:val="228"/>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Other property, plant and equipment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9,479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11,225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12,477</w:t>
            </w:r>
          </w:p>
        </w:tc>
      </w:tr>
      <w:tr>
        <w:trPr>
          <w:trHeight w:val="242"/>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r>
              <w:rPr>
                <w:rFonts w:ascii="Arial" w:cs="Arial" w:eastAsia="Arial" w:hAnsi="Arial"/>
                <w:sz w:val="15"/>
                <w:szCs w:val="15"/>
                <w:color w:val="auto"/>
              </w:rPr>
              <w:t>(1)</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6,079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6,565</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w:t>
            </w:r>
          </w:p>
        </w:tc>
      </w:tr>
      <w:tr>
        <w:trPr>
          <w:trHeight w:val="228"/>
        </w:trPr>
        <w:tc>
          <w:tcPr>
            <w:tcW w:w="6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1,888</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r>
      <w:tr>
        <w:trPr>
          <w:trHeight w:val="222"/>
        </w:trPr>
        <w:tc>
          <w:tcPr>
            <w:tcW w:w="6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56,082</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52,704</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62,978</w:t>
            </w:r>
          </w:p>
        </w:tc>
      </w:tr>
      <w:tr>
        <w:trPr>
          <w:trHeight w:val="20"/>
        </w:trPr>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8"/>
        </w:trPr>
        <w:tc>
          <w:tcPr>
            <w:tcW w:w="152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200" w:lineRule="exact"/>
        <w:rPr>
          <w:sz w:val="20"/>
          <w:szCs w:val="20"/>
          <w:color w:val="auto"/>
        </w:rPr>
      </w:pPr>
    </w:p>
    <w:p>
      <w:pPr>
        <w:ind w:left="360" w:right="100" w:hanging="353"/>
        <w:spacing w:after="0" w:line="274"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amortization of licenses and intellectual property recorded in Research and Development on the Consolidated Statement of Operations of $1.3 million in the year ended December 31, 2021 (2020 — $1.3 million).</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182" w:lineRule="exact"/>
        <w:rPr>
          <w:rFonts w:ascii="Arial" w:cs="Arial" w:eastAsia="Arial" w:hAnsi="Arial"/>
          <w:sz w:val="18"/>
          <w:szCs w:val="18"/>
          <w:color w:val="auto"/>
        </w:rPr>
      </w:pPr>
    </w:p>
    <w:p>
      <w:pPr>
        <w:ind w:left="580" w:hanging="358"/>
        <w:spacing w:after="0"/>
        <w:tabs>
          <w:tab w:leader="none" w:pos="580" w:val="left"/>
        </w:tabs>
        <w:numPr>
          <w:ilvl w:val="1"/>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Write-downs, net of recoveries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Years Ended 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80" w:type="dxa"/>
            <w:vAlign w:val="bottom"/>
            <w:tcBorders>
              <w:bottom w:val="single" w:sz="8" w:color="CFF0FC"/>
            </w:tcBorders>
            <w:gridSpan w:val="2"/>
            <w:vMerge w:val="continue"/>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r>
              <w:rPr>
                <w:rFonts w:ascii="Arial" w:cs="Arial" w:eastAsia="Arial" w:hAnsi="Arial"/>
                <w:sz w:val="15"/>
                <w:szCs w:val="15"/>
                <w:color w:val="auto"/>
              </w:rPr>
              <w:t>(1)</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8"/>
        </w:trPr>
        <w:tc>
          <w:tcPr>
            <w:tcW w:w="54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8"/>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8"/>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8"/>
        </w:trPr>
        <w:tc>
          <w:tcPr>
            <w:tcW w:w="5480" w:type="dxa"/>
            <w:vAlign w:val="bottom"/>
            <w:gridSpan w:val="2"/>
          </w:tcPr>
          <w:p>
            <w:pPr>
              <w:spacing w:after="0"/>
              <w:rPr>
                <w:sz w:val="20"/>
                <w:szCs w:val="20"/>
                <w:color w:val="auto"/>
              </w:rPr>
            </w:pPr>
            <w:r>
              <w:rPr>
                <w:rFonts w:ascii="Arial" w:cs="Arial" w:eastAsia="Arial" w:hAnsi="Arial"/>
                <w:sz w:val="18"/>
                <w:szCs w:val="18"/>
                <w:color w:val="auto"/>
              </w:rPr>
              <w:t>Film assets</w:t>
            </w:r>
            <w:r>
              <w:rPr>
                <w:rFonts w:ascii="Arial" w:cs="Arial" w:eastAsia="Arial" w:hAnsi="Arial"/>
                <w:sz w:val="15"/>
                <w:szCs w:val="15"/>
                <w:color w:val="auto"/>
              </w:rPr>
              <w:t>(3)</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10,804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8"/>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(4)</w:t>
            </w:r>
          </w:p>
        </w:tc>
        <w:tc>
          <w:tcPr>
            <w:tcW w:w="10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1,764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17,729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2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360" w:right="100" w:hanging="353"/>
        <w:spacing w:after="0" w:line="274" w:lineRule="auto"/>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2021, the Company recorded write-downs of $0.9 million (2020 — $3.6 million; 2019 — $0.4 million) in Costs and Expenses Applicable to Technology Sales related to excess and damaged inventory.</w:t>
      </w:r>
    </w:p>
    <w:p>
      <w:pPr>
        <w:spacing w:after="0" w:line="142" w:lineRule="exact"/>
        <w:rPr>
          <w:rFonts w:ascii="Arial" w:cs="Arial" w:eastAsia="Arial" w:hAnsi="Arial"/>
          <w:sz w:val="18"/>
          <w:szCs w:val="18"/>
          <w:color w:val="auto"/>
        </w:rPr>
      </w:pPr>
    </w:p>
    <w:p>
      <w:pPr>
        <w:jc w:val="both"/>
        <w:ind w:left="360" w:right="100" w:hanging="353"/>
        <w:spacing w:after="0" w:line="267" w:lineRule="auto"/>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 2021, the Company recorded charges </w:t>
      </w:r>
      <w:r>
        <w:rPr>
          <w:rFonts w:ascii="Arial" w:cs="Arial" w:eastAsia="Arial" w:hAnsi="Arial"/>
          <w:sz w:val="19"/>
          <w:szCs w:val="19"/>
          <w:color w:val="auto"/>
        </w:rPr>
        <w:t>of $0.4 million (2020 — $1.8 million; 2019 — $2.2 million) in Costs and Expenses Applicable to</w:t>
      </w:r>
      <w:r>
        <w:rPr>
          <w:rFonts w:ascii="Arial" w:cs="Arial" w:eastAsia="Arial" w:hAnsi="Arial"/>
          <w:sz w:val="18"/>
          <w:szCs w:val="18"/>
          <w:color w:val="auto"/>
        </w:rPr>
        <w:t xml:space="preserve"> </w:t>
      </w:r>
      <w:r>
        <w:rPr>
          <w:rFonts w:ascii="Arial" w:cs="Arial" w:eastAsia="Arial" w:hAnsi="Arial"/>
          <w:sz w:val="19"/>
          <w:szCs w:val="19"/>
          <w:color w:val="auto"/>
        </w:rPr>
        <w:t>Technology Rentals mostly related to the write-down of leased IMAX Xenon Theater Systems which were taken out of service in connection with customer upgrades to IMAX Laser Theater Systems.</w:t>
      </w:r>
    </w:p>
    <w:p>
      <w:pPr>
        <w:spacing w:after="0" w:line="172" w:lineRule="exact"/>
        <w:rPr>
          <w:rFonts w:ascii="Arial" w:cs="Arial" w:eastAsia="Arial" w:hAnsi="Arial"/>
          <w:sz w:val="18"/>
          <w:szCs w:val="18"/>
          <w:color w:val="auto"/>
        </w:rPr>
      </w:pPr>
    </w:p>
    <w:p>
      <w:pPr>
        <w:jc w:val="both"/>
        <w:ind w:left="360" w:right="100" w:hanging="353"/>
        <w:spacing w:after="0" w:line="277" w:lineRule="auto"/>
        <w:tabs>
          <w:tab w:leader="none" w:pos="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2021, the company recorded impairment losses of $0.2 million related to the write-down of DMR related film assets. In 2020, the Company recorded impairment losses of $10.8 million (2019 — $1.4 million) in Costs and Expenses Applicable to Image Enhancement and Maintenance Services principally to write-down the carrying value of certain documentary and alternative content film assets and DMR related film assets due to a decrease in projected box office totals and related revenues based on management’s regular quarterly recoverability assessments.</w:t>
      </w:r>
    </w:p>
    <w:p>
      <w:pPr>
        <w:spacing w:after="0" w:line="130" w:lineRule="exact"/>
        <w:rPr>
          <w:rFonts w:ascii="Arial" w:cs="Arial" w:eastAsia="Arial" w:hAnsi="Arial"/>
          <w:sz w:val="17"/>
          <w:szCs w:val="17"/>
          <w:color w:val="auto"/>
        </w:rPr>
      </w:pPr>
    </w:p>
    <w:p>
      <w:pPr>
        <w:ind w:left="360" w:right="100" w:hanging="353"/>
        <w:spacing w:after="0" w:line="274" w:lineRule="auto"/>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2020, the Company recorded a write-down of $1.2 million in Asset Impairments related to content-related assets which became impaired in the year. No such charge was recorded in 2021 and 2019.</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675" w:right="239" w:bottom="1440" w:gutter="0" w:footer="0" w:header="0"/>
        </w:sectPr>
      </w:pPr>
    </w:p>
    <w:bookmarkStart w:id="125" w:name="page126"/>
    <w:bookmarkEnd w:id="125"/>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Significant non-cash investing activities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Years Ended December 31,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94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accruals related to:</w:t>
            </w: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60"/>
              <w:spacing w:after="0"/>
              <w:rPr>
                <w:sz w:val="20"/>
                <w:szCs w:val="20"/>
                <w:color w:val="auto"/>
              </w:rPr>
            </w:pPr>
            <w:r>
              <w:rPr>
                <w:rFonts w:ascii="Arial" w:cs="Arial" w:eastAsia="Arial" w:hAnsi="Arial"/>
                <w:sz w:val="18"/>
                <w:szCs w:val="18"/>
                <w:color w:val="auto"/>
                <w:w w:val="98"/>
              </w:rPr>
              <w:t>Investment in equipment supporting joint revenue sharing arrangements</w:t>
            </w:r>
          </w:p>
        </w:tc>
        <w:tc>
          <w:tcPr>
            <w:tcW w:w="8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1,009</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8"/>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other intangible assets</w:t>
            </w: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2"/>
        </w:trPr>
        <w:tc>
          <w:tcPr>
            <w:tcW w:w="5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Revenue from Contracts with Customers</w:t>
      </w:r>
    </w:p>
    <w:p>
      <w:pPr>
        <w:spacing w:after="0" w:line="200" w:lineRule="exact"/>
        <w:rPr>
          <w:sz w:val="20"/>
          <w:szCs w:val="20"/>
          <w:color w:val="auto"/>
        </w:rPr>
      </w:pPr>
    </w:p>
    <w:p>
      <w:pPr>
        <w:ind w:left="440" w:hanging="428"/>
        <w:spacing w:after="0"/>
        <w:tabs>
          <w:tab w:leader="none" w:pos="44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Company’s revenues by type and reportable segment for the years ended December 31, 2021, 2020, and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Year Ended December 31, 2021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Revenue from</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53"/>
              <w:spacing w:after="0" w:line="148" w:lineRule="exact"/>
              <w:rPr>
                <w:sz w:val="20"/>
                <w:szCs w:val="20"/>
                <w:color w:val="auto"/>
              </w:rPr>
            </w:pPr>
            <w:r>
              <w:rPr>
                <w:rFonts w:ascii="Arial" w:cs="Arial" w:eastAsia="Arial" w:hAnsi="Arial"/>
                <w:sz w:val="14"/>
                <w:szCs w:val="14"/>
                <w:b w:val="1"/>
                <w:bCs w:val="1"/>
                <w:color w:val="auto"/>
                <w:w w:val="85"/>
              </w:rPr>
              <w:t>Lease</w:t>
            </w:r>
          </w:p>
        </w:tc>
        <w:tc>
          <w:tcPr>
            <w:tcW w:w="16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Finance Income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7"/>
              </w:rPr>
              <w:t>consideration</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consideration</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Arrangements</w:t>
            </w:r>
          </w:p>
        </w:tc>
        <w:tc>
          <w:tcPr>
            <w:tcW w:w="1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37,900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11,392</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54,868</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5,406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Other Theater Business</w:t>
            </w: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3,475</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2"/>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43,738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5,617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16,798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66,153</w:t>
            </w: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IMAX DMR</w:t>
            </w: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70,659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70,659</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53,339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53,339</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Film Post-Production</w:t>
            </w: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8"/>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58,181</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72,967</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131,148</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46,184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46,184</w:t>
            </w:r>
          </w:p>
        </w:tc>
        <w:tc>
          <w:tcPr>
            <w:tcW w:w="0" w:type="dxa"/>
            <w:vAlign w:val="bottom"/>
          </w:tcPr>
          <w:p>
            <w:pPr>
              <w:spacing w:after="0"/>
              <w:rPr>
                <w:sz w:val="1"/>
                <w:szCs w:val="1"/>
                <w:color w:val="auto"/>
              </w:rPr>
            </w:pPr>
          </w:p>
        </w:tc>
      </w:tr>
      <w:tr>
        <w:trPr>
          <w:trHeight w:val="228"/>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2"/>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46,790</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46,790</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10,792</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101,919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78,584</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63,588</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10,792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254,883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ind w:left="840"/>
              <w:spacing w:after="0"/>
              <w:rPr>
                <w:sz w:val="20"/>
                <w:szCs w:val="20"/>
                <w:color w:val="auto"/>
              </w:rPr>
            </w:pPr>
            <w:r>
              <w:rPr>
                <w:rFonts w:ascii="Arial" w:cs="Arial" w:eastAsia="Arial" w:hAnsi="Arial"/>
                <w:sz w:val="14"/>
                <w:szCs w:val="14"/>
                <w:b w:val="1"/>
                <w:bCs w:val="1"/>
                <w:color w:val="auto"/>
              </w:rPr>
              <w:t>Year Ended December 31, 2020</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center"/>
              <w:ind w:right="133"/>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right="153"/>
              <w:spacing w:after="0"/>
              <w:rPr>
                <w:sz w:val="20"/>
                <w:szCs w:val="20"/>
                <w:color w:val="auto"/>
              </w:rPr>
            </w:pPr>
            <w:r>
              <w:rPr>
                <w:rFonts w:ascii="Arial" w:cs="Arial" w:eastAsia="Arial" w:hAnsi="Arial"/>
                <w:sz w:val="14"/>
                <w:szCs w:val="14"/>
                <w:b w:val="1"/>
                <w:bCs w:val="1"/>
                <w:color w:val="auto"/>
                <w:w w:val="91"/>
              </w:rPr>
              <w:t>Contracts with Customers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5"/>
              </w:rPr>
              <w:t>Variable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53"/>
              <w:spacing w:after="0" w:line="148" w:lineRule="exact"/>
              <w:rPr>
                <w:sz w:val="20"/>
                <w:szCs w:val="20"/>
                <w:color w:val="auto"/>
              </w:rPr>
            </w:pPr>
            <w:r>
              <w:rPr>
                <w:rFonts w:ascii="Arial" w:cs="Arial" w:eastAsia="Arial" w:hAnsi="Arial"/>
                <w:sz w:val="14"/>
                <w:szCs w:val="14"/>
                <w:b w:val="1"/>
                <w:bCs w:val="1"/>
                <w:color w:val="auto"/>
                <w:w w:val="85"/>
              </w:rPr>
              <w:t>Lease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Income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6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consideration</w:t>
            </w: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consideration</w:t>
            </w: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33,869</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5,799</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4,271</w:t>
            </w:r>
          </w:p>
        </w:tc>
        <w:tc>
          <w:tcPr>
            <w:tcW w:w="48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43,939</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2,056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Other Theater Business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37,492</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5,909</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6,327</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49,728</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IMAX DMR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28,265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21,999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21,999</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Film Post-Production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3,878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28,877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30,441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59,318</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17,841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17,841</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Systems</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10,116</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66,369</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36,350</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24,168</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10,116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137,003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ind w:left="820"/>
              <w:spacing w:after="0"/>
              <w:rPr>
                <w:sz w:val="20"/>
                <w:szCs w:val="20"/>
                <w:color w:val="auto"/>
              </w:rPr>
            </w:pPr>
            <w:r>
              <w:rPr>
                <w:rFonts w:ascii="Arial" w:cs="Arial" w:eastAsia="Arial" w:hAnsi="Arial"/>
                <w:sz w:val="14"/>
                <w:szCs w:val="14"/>
                <w:b w:val="1"/>
                <w:bCs w:val="1"/>
                <w:color w:val="auto"/>
              </w:rPr>
              <w:t>Year Ended December 31, 2019</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center"/>
              <w:ind w:right="133"/>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right="153"/>
              <w:spacing w:after="0"/>
              <w:rPr>
                <w:sz w:val="20"/>
                <w:szCs w:val="20"/>
                <w:color w:val="auto"/>
              </w:rPr>
            </w:pPr>
            <w:r>
              <w:rPr>
                <w:rFonts w:ascii="Arial" w:cs="Arial" w:eastAsia="Arial" w:hAnsi="Arial"/>
                <w:sz w:val="14"/>
                <w:szCs w:val="14"/>
                <w:b w:val="1"/>
                <w:bCs w:val="1"/>
                <w:color w:val="auto"/>
                <w:w w:val="91"/>
              </w:rPr>
              <w:t>Contracts with Customers</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1"/>
              </w:rPr>
              <w:t>Variable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13"/>
              <w:spacing w:after="0" w:line="148" w:lineRule="exact"/>
              <w:rPr>
                <w:sz w:val="20"/>
                <w:szCs w:val="20"/>
                <w:color w:val="auto"/>
              </w:rPr>
            </w:pPr>
            <w:r>
              <w:rPr>
                <w:rFonts w:ascii="Arial" w:cs="Arial" w:eastAsia="Arial" w:hAnsi="Arial"/>
                <w:sz w:val="14"/>
                <w:szCs w:val="14"/>
                <w:b w:val="1"/>
                <w:bCs w:val="1"/>
                <w:color w:val="auto"/>
                <w:w w:val="85"/>
              </w:rPr>
              <w:t>Lease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Income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6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consideration</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consideration</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77,058</w:t>
            </w:r>
          </w:p>
        </w:tc>
        <w:tc>
          <w:tcPr>
            <w:tcW w:w="300" w:type="dxa"/>
            <w:vAlign w:val="bottom"/>
            <w:gridSpan w:val="4"/>
          </w:tcPr>
          <w:p>
            <w:pPr>
              <w:ind w:lef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10,247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9,105</w:t>
            </w:r>
          </w:p>
        </w:tc>
        <w:tc>
          <w:tcPr>
            <w:tcW w:w="4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96,410</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11,014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Other Theater Business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8,390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2,209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222</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2"/>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87,657</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10,469</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20,119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118,245</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IMAX DMR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120,765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120,765</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53,151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53,151</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color w:val="auto"/>
              </w:rPr>
              <w:t>Film Post-Production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7,392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4,818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60,543</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128,004</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188,547</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76,673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76,673</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2"/>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77,936</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77,961</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10,911</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148,200</w:t>
            </w:r>
          </w:p>
        </w:tc>
        <w:tc>
          <w:tcPr>
            <w:tcW w:w="20" w:type="dxa"/>
            <w:vAlign w:val="bottom"/>
            <w:tcBorders>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138,498</w:t>
            </w:r>
          </w:p>
        </w:tc>
        <w:tc>
          <w:tcPr>
            <w:tcW w:w="20" w:type="dxa"/>
            <w:vAlign w:val="bottom"/>
            <w:tcBorders>
              <w:bottom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98,055</w:t>
            </w:r>
          </w:p>
        </w:tc>
        <w:tc>
          <w:tcPr>
            <w:tcW w:w="20" w:type="dxa"/>
            <w:vAlign w:val="bottom"/>
            <w:tcBorders>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10,911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395,664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1" w:right="339" w:bottom="1440" w:gutter="0" w:footer="0" w:header="0"/>
        </w:sectPr>
      </w:pPr>
    </w:p>
    <w:bookmarkStart w:id="127" w:name="page128"/>
    <w:bookmarkEnd w:id="127"/>
    <w:p>
      <w:pPr>
        <w:ind w:left="360" w:hanging="353"/>
        <w:spacing w:after="0" w:line="274" w:lineRule="auto"/>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9544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54405" cy="8255"/>
                    </a:xfrm>
                    <a:prstGeom prst="rect">
                      <a:avLst/>
                    </a:prstGeom>
                    <a:noFill/>
                  </pic:spPr>
                </pic:pic>
              </a:graphicData>
            </a:graphic>
          </wp:anchor>
        </w:drawing>
        <w:t>Includes revenues earned from sales or sales-type lease arrangements involving new and upgraded IMAX Theater Systems, as well as the impact on revenue of renewals and amendments to existing theater system arrangements.</w:t>
      </w:r>
    </w:p>
    <w:p>
      <w:pPr>
        <w:spacing w:after="0" w:line="131" w:lineRule="exact"/>
        <w:rPr>
          <w:rFonts w:ascii="Arial" w:cs="Arial" w:eastAsia="Arial" w:hAnsi="Arial"/>
          <w:sz w:val="18"/>
          <w:szCs w:val="18"/>
          <w:color w:val="auto"/>
        </w:rPr>
      </w:pPr>
    </w:p>
    <w:p>
      <w:pPr>
        <w:ind w:left="360" w:hanging="353"/>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182"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period comparatives have been revised to appropriately classify $4.3 million and $9.1 million, respectively, of fixed consideration under revenue from contracts with customers to revenue from lease arrangements for the years ended December 31, 2020 and 2019.</w:t>
      </w:r>
    </w:p>
    <w:p>
      <w:pPr>
        <w:spacing w:after="0" w:line="131" w:lineRule="exact"/>
        <w:rPr>
          <w:rFonts w:ascii="Arial" w:cs="Arial" w:eastAsia="Arial" w:hAnsi="Arial"/>
          <w:sz w:val="18"/>
          <w:szCs w:val="18"/>
          <w:color w:val="auto"/>
        </w:rPr>
      </w:pPr>
    </w:p>
    <w:p>
      <w:pPr>
        <w:ind w:left="440" w:hanging="428"/>
        <w:spacing w:after="0"/>
        <w:tabs>
          <w:tab w:leader="none" w:pos="440" w:val="left"/>
        </w:tabs>
        <w:numPr>
          <w:ilvl w:val="1"/>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w:t>
      </w:r>
    </w:p>
    <w:p>
      <w:pPr>
        <w:spacing w:after="0" w:line="18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December 31, 2021, $20.2 million of consideration has been deferred in relation to outstanding maintenance services to be provided on existing maintenance contracts (December 31, 2020 — $21.6 million and 2019 — $17.7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2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21. Segment Reporting</w:t>
      </w:r>
    </w:p>
    <w:p>
      <w:pPr>
        <w:spacing w:after="0" w:line="18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4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Film Distribution; (vii) Film Post-Production; and (viii) New Business Initiatives. The Company organizes its reportable segments into the following four categories, identified by the nature of the product sold or service provided:</w:t>
      </w:r>
    </w:p>
    <w:p>
      <w:pPr>
        <w:spacing w:after="0" w:line="184" w:lineRule="exact"/>
        <w:rPr>
          <w:sz w:val="20"/>
          <w:szCs w:val="20"/>
          <w:color w:val="auto"/>
        </w:rPr>
      </w:pPr>
    </w:p>
    <w:p>
      <w:pPr>
        <w:ind w:left="1100" w:hanging="730"/>
        <w:spacing w:after="0" w:line="274"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Arrangements (“JRSA”) segment;</w:t>
      </w:r>
    </w:p>
    <w:p>
      <w:pPr>
        <w:spacing w:after="0" w:line="171" w:lineRule="exact"/>
        <w:rPr>
          <w:rFonts w:ascii="Arial" w:cs="Arial" w:eastAsia="Arial" w:hAnsi="Arial"/>
          <w:sz w:val="18"/>
          <w:szCs w:val="18"/>
          <w:color w:val="auto"/>
        </w:rPr>
      </w:pPr>
    </w:p>
    <w:p>
      <w:pPr>
        <w:ind w:left="1100" w:hanging="730"/>
        <w:spacing w:after="0" w:line="274"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1" w:lineRule="exact"/>
        <w:rPr>
          <w:rFonts w:ascii="Arial" w:cs="Arial" w:eastAsia="Arial" w:hAnsi="Arial"/>
          <w:sz w:val="18"/>
          <w:szCs w:val="18"/>
          <w:color w:val="auto"/>
        </w:rPr>
      </w:pPr>
    </w:p>
    <w:p>
      <w:pPr>
        <w:jc w:val="both"/>
        <w:ind w:left="1100" w:hanging="730"/>
        <w:spacing w:after="0" w:line="25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distribution of large-format documentary films, primarily to institutional theaters, and the distribution of exclusive experiences ranging from live performances to interactive events with leading artists and creators (through the Film Distribution segment) and the provision of film post-production and quality control services (through the Film Post-Production segment); and</w:t>
      </w:r>
    </w:p>
    <w:p>
      <w:pPr>
        <w:spacing w:after="0" w:line="200" w:lineRule="exact"/>
        <w:rPr>
          <w:rFonts w:ascii="Arial" w:cs="Arial" w:eastAsia="Arial" w:hAnsi="Arial"/>
          <w:sz w:val="18"/>
          <w:szCs w:val="18"/>
          <w:color w:val="auto"/>
        </w:rPr>
      </w:pPr>
    </w:p>
    <w:p>
      <w:pPr>
        <w:ind w:left="1100" w:hanging="730"/>
        <w:spacing w:after="0" w:line="274"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expansion of the IMAX brand across new lines of business and initiatives.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presents its segment information at a disaggregated level to provide more relevant information to the users of its financial statements.</w:t>
      </w:r>
    </w:p>
    <w:p>
      <w:pPr>
        <w:spacing w:after="0" w:line="205"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9" w:name="page130"/>
    <w:bookmarkEnd w:id="129"/>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Segment Financial Information</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the Company’s revenue and gross margin (margin loss) by category and reportable segment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6"/>
              </w:rPr>
              <w:t>Years Ended December 31,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35"/>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Gross Margin (Margin Loss)</w:t>
            </w:r>
          </w:p>
        </w:tc>
        <w:tc>
          <w:tcPr>
            <w:tcW w:w="900" w:type="dxa"/>
            <w:vAlign w:val="bottom"/>
            <w:tcBorders>
              <w:bottom w:val="single" w:sz="8" w:color="auto"/>
            </w:tcBorders>
          </w:tcPr>
          <w:p>
            <w:pPr>
              <w:spacing w:after="0"/>
              <w:rPr>
                <w:sz w:val="20"/>
                <w:szCs w:val="20"/>
                <w:color w:val="auto"/>
              </w:rPr>
            </w:pPr>
          </w:p>
        </w:tc>
      </w:tr>
      <w:tr>
        <w:trPr>
          <w:trHeight w:val="208"/>
        </w:trPr>
        <w:tc>
          <w:tcPr>
            <w:tcW w:w="3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2"/>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8"/>
        </w:trPr>
        <w:tc>
          <w:tcPr>
            <w:tcW w:w="3740" w:type="dxa"/>
            <w:vAlign w:val="bottom"/>
          </w:tcPr>
          <w:p>
            <w:pPr>
              <w:ind w:left="120"/>
              <w:spacing w:after="0"/>
              <w:rPr>
                <w:sz w:val="20"/>
                <w:szCs w:val="20"/>
                <w:color w:val="auto"/>
              </w:rPr>
            </w:pPr>
            <w:r>
              <w:rPr>
                <w:rFonts w:ascii="Arial" w:cs="Arial" w:eastAsia="Arial" w:hAnsi="Arial"/>
                <w:sz w:val="18"/>
                <w:szCs w:val="18"/>
                <w:color w:val="auto"/>
              </w:rPr>
              <w:t>IMAX DMR</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70,659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28,265</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120,765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44,782</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13,731</w:t>
            </w:r>
          </w:p>
        </w:tc>
        <w:tc>
          <w:tcPr>
            <w:tcW w:w="12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78,592</w:t>
            </w:r>
          </w:p>
        </w:tc>
      </w:tr>
      <w:tr>
        <w:trPr>
          <w:trHeight w:val="214"/>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1"/>
              </w:rPr>
              <w:t>Joint Revenue Sharing Arrangements, contingent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29"/>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rent</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46,184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17,841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76,673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21,761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48,446</w:t>
            </w:r>
          </w:p>
        </w:tc>
      </w:tr>
      <w:tr>
        <w:trPr>
          <w:trHeight w:val="222"/>
        </w:trPr>
        <w:tc>
          <w:tcPr>
            <w:tcW w:w="3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116,843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46,106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197,438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66,543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127,038</w:t>
            </w:r>
          </w:p>
        </w:tc>
      </w:tr>
      <w:tr>
        <w:trPr>
          <w:trHeight w:val="222"/>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8"/>
        </w:trPr>
        <w:tc>
          <w:tcPr>
            <w:tcW w:w="3740" w:type="dxa"/>
            <w:vAlign w:val="bottom"/>
          </w:tcPr>
          <w:p>
            <w:pPr>
              <w:ind w:left="120"/>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65,660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54,055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107,321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24,816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58,168</w:t>
            </w:r>
          </w:p>
        </w:tc>
      </w:tr>
      <w:tr>
        <w:trPr>
          <w:trHeight w:val="228"/>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2"/>
              </w:rPr>
              <w:t>Joint Revenue Sharing Arrangements, fixed fees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11,014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2,613</w:t>
            </w:r>
          </w:p>
        </w:tc>
      </w:tr>
      <w:tr>
        <w:trPr>
          <w:trHeight w:val="228"/>
        </w:trPr>
        <w:tc>
          <w:tcPr>
            <w:tcW w:w="3740" w:type="dxa"/>
            <w:vAlign w:val="bottom"/>
          </w:tcPr>
          <w:p>
            <w:pPr>
              <w:ind w:left="120"/>
              <w:spacing w:after="0"/>
              <w:rPr>
                <w:sz w:val="20"/>
                <w:szCs w:val="20"/>
                <w:color w:val="auto"/>
              </w:rPr>
            </w:pPr>
            <w:r>
              <w:rPr>
                <w:rFonts w:ascii="Arial" w:cs="Arial" w:eastAsia="Arial" w:hAnsi="Arial"/>
                <w:sz w:val="18"/>
                <w:szCs w:val="18"/>
                <w:color w:val="auto"/>
              </w:rPr>
              <w:t>IMAX Maintenance</w:t>
            </w: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21,999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53,151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23,010</w:t>
            </w:r>
          </w:p>
        </w:tc>
      </w:tr>
      <w:tr>
        <w:trPr>
          <w:trHeight w:val="228"/>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(4)</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8,390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2,624</w:t>
            </w:r>
          </w:p>
        </w:tc>
      </w:tr>
      <w:tr>
        <w:trPr>
          <w:trHeight w:val="222"/>
        </w:trPr>
        <w:tc>
          <w:tcPr>
            <w:tcW w:w="3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126,768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79,776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179,876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64,294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27,975</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86,415</w:t>
            </w:r>
          </w:p>
        </w:tc>
      </w:tr>
      <w:tr>
        <w:trPr>
          <w:trHeight w:val="222"/>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8"/>
        </w:trPr>
        <w:tc>
          <w:tcPr>
            <w:tcW w:w="3740" w:type="dxa"/>
            <w:vAlign w:val="bottom"/>
          </w:tcPr>
          <w:p>
            <w:pPr>
              <w:ind w:left="12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4,841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28"/>
        </w:trPr>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Post-Production</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3,878</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1,680</w:t>
            </w:r>
          </w:p>
        </w:tc>
      </w:tr>
      <w:tr>
        <w:trPr>
          <w:trHeight w:val="222"/>
        </w:trPr>
        <w:tc>
          <w:tcPr>
            <w:tcW w:w="3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8,719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12,210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r>
      <w:tr>
        <w:trPr>
          <w:trHeight w:val="222"/>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2,106</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Sub-total for reportable segments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253,039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136,827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392,278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135,084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23,886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214,297</w:t>
            </w: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3,386</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254,883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137,003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395,664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134,406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21,540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214,172</w:t>
            </w: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table presents the Company’s assets by category and reportable segment, reconciled to consolidated assets, as of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9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60"/>
              <w:spacing w:after="0"/>
              <w:rPr>
                <w:sz w:val="20"/>
                <w:szCs w:val="20"/>
                <w:color w:val="auto"/>
              </w:rPr>
            </w:pPr>
            <w:r>
              <w:rPr>
                <w:rFonts w:ascii="Arial" w:cs="Arial" w:eastAsia="Arial" w:hAnsi="Arial"/>
                <w:sz w:val="18"/>
                <w:szCs w:val="18"/>
                <w:color w:val="auto"/>
              </w:rPr>
              <w:t>IMAX DMR</w:t>
            </w:r>
          </w:p>
        </w:tc>
        <w:tc>
          <w:tcPr>
            <w:tcW w:w="328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48,299</w:t>
            </w:r>
          </w:p>
        </w:tc>
        <w:tc>
          <w:tcPr>
            <w:tcW w:w="72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29,672</w:t>
            </w: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Joint Revenue Sharing Arrangements, contingent rent</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196,789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195,822</w:t>
            </w:r>
          </w:p>
        </w:tc>
        <w:tc>
          <w:tcPr>
            <w:tcW w:w="0" w:type="dxa"/>
            <w:vAlign w:val="bottom"/>
          </w:tcPr>
          <w:p>
            <w:pPr>
              <w:spacing w:after="0"/>
              <w:rPr>
                <w:sz w:val="1"/>
                <w:szCs w:val="1"/>
                <w:color w:val="auto"/>
              </w:rPr>
            </w:pPr>
          </w:p>
        </w:tc>
      </w:tr>
      <w:tr>
        <w:trPr>
          <w:trHeight w:val="228"/>
        </w:trPr>
        <w:tc>
          <w:tcPr>
            <w:tcW w:w="4800" w:type="dxa"/>
            <w:vAlign w:val="bottom"/>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2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IMAX Systems</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249,672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240,972</w:t>
            </w:r>
          </w:p>
        </w:tc>
        <w:tc>
          <w:tcPr>
            <w:tcW w:w="0" w:type="dxa"/>
            <w:vAlign w:val="bottom"/>
          </w:tcPr>
          <w:p>
            <w:pPr>
              <w:spacing w:after="0"/>
              <w:rPr>
                <w:sz w:val="1"/>
                <w:szCs w:val="1"/>
                <w:color w:val="auto"/>
              </w:rPr>
            </w:pPr>
          </w:p>
        </w:tc>
      </w:tr>
      <w:tr>
        <w:trPr>
          <w:trHeight w:val="228"/>
        </w:trPr>
        <w:tc>
          <w:tcPr>
            <w:tcW w:w="4800" w:type="dxa"/>
            <w:vAlign w:val="bottom"/>
          </w:tcPr>
          <w:p>
            <w:pPr>
              <w:ind w:left="260"/>
              <w:spacing w:after="0"/>
              <w:rPr>
                <w:sz w:val="20"/>
                <w:szCs w:val="20"/>
                <w:color w:val="auto"/>
              </w:rPr>
            </w:pPr>
            <w:r>
              <w:rPr>
                <w:rFonts w:ascii="Arial" w:cs="Arial" w:eastAsia="Arial" w:hAnsi="Arial"/>
                <w:sz w:val="18"/>
                <w:szCs w:val="18"/>
                <w:color w:val="auto"/>
              </w:rPr>
              <w:t>Joint Revenue Sharing Arrangements, fixed fees</w:t>
            </w:r>
          </w:p>
        </w:tc>
        <w:tc>
          <w:tcPr>
            <w:tcW w:w="2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27,930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IMAX Maintenance</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38,530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36,949</w:t>
            </w:r>
          </w:p>
        </w:tc>
        <w:tc>
          <w:tcPr>
            <w:tcW w:w="0" w:type="dxa"/>
            <w:vAlign w:val="bottom"/>
          </w:tcPr>
          <w:p>
            <w:pPr>
              <w:spacing w:after="0"/>
              <w:rPr>
                <w:sz w:val="1"/>
                <w:szCs w:val="1"/>
                <w:color w:val="auto"/>
              </w:rPr>
            </w:pPr>
          </w:p>
        </w:tc>
      </w:tr>
      <w:tr>
        <w:trPr>
          <w:trHeight w:val="228"/>
        </w:trPr>
        <w:tc>
          <w:tcPr>
            <w:tcW w:w="4800" w:type="dxa"/>
            <w:vAlign w:val="bottom"/>
          </w:tcPr>
          <w:p>
            <w:pPr>
              <w:ind w:left="260"/>
              <w:spacing w:after="0"/>
              <w:rPr>
                <w:sz w:val="20"/>
                <w:szCs w:val="20"/>
                <w:color w:val="auto"/>
              </w:rPr>
            </w:pPr>
            <w:r>
              <w:rPr>
                <w:rFonts w:ascii="Arial" w:cs="Arial" w:eastAsia="Arial" w:hAnsi="Arial"/>
                <w:sz w:val="18"/>
                <w:szCs w:val="18"/>
                <w:color w:val="auto"/>
              </w:rPr>
              <w:t>Other Theater Business</w:t>
            </w:r>
          </w:p>
        </w:tc>
        <w:tc>
          <w:tcPr>
            <w:tcW w:w="2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60"/>
              <w:spacing w:after="0"/>
              <w:rPr>
                <w:sz w:val="20"/>
                <w:szCs w:val="20"/>
                <w:color w:val="auto"/>
              </w:rPr>
            </w:pPr>
            <w:r>
              <w:rPr>
                <w:rFonts w:ascii="Arial" w:cs="Arial" w:eastAsia="Arial" w:hAnsi="Arial"/>
                <w:sz w:val="18"/>
                <w:szCs w:val="18"/>
                <w:color w:val="auto"/>
              </w:rPr>
              <w:t>Film Distribution</w:t>
            </w:r>
          </w:p>
        </w:tc>
        <w:tc>
          <w:tcPr>
            <w:tcW w:w="2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7,185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28"/>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Post-Production</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31,575</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35,526</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New Business Initiatives</w:t>
            </w:r>
          </w:p>
        </w:tc>
        <w:tc>
          <w:tcPr>
            <w:tcW w:w="29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1,420</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2"/>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Sub-total for reportable segments</w:t>
            </w:r>
          </w:p>
        </w:tc>
        <w:tc>
          <w:tcPr>
            <w:tcW w:w="2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601,482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574,005</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 non-segment specific assets</w:t>
            </w:r>
          </w:p>
        </w:tc>
        <w:tc>
          <w:tcPr>
            <w:tcW w:w="29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281,765</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423,745</w:t>
            </w:r>
          </w:p>
        </w:tc>
        <w:tc>
          <w:tcPr>
            <w:tcW w:w="0" w:type="dxa"/>
            <w:vAlign w:val="bottom"/>
          </w:tcPr>
          <w:p>
            <w:pPr>
              <w:spacing w:after="0"/>
              <w:rPr>
                <w:sz w:val="1"/>
                <w:szCs w:val="1"/>
                <w:color w:val="auto"/>
              </w:rPr>
            </w:pPr>
          </w:p>
        </w:tc>
      </w:tr>
      <w:tr>
        <w:trPr>
          <w:trHeight w:val="222"/>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883,247</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997,750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20" w:type="dxa"/>
            <w:vAlign w:val="bottom"/>
            <w:vMerge w:val="restart"/>
          </w:tcPr>
          <w:p>
            <w:pPr>
              <w:jc w:val="right"/>
              <w:ind w:right="1871"/>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8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ind w:left="240"/>
        <w:spacing w:after="0"/>
        <w:rPr>
          <w:sz w:val="20"/>
          <w:szCs w:val="20"/>
          <w:color w:val="auto"/>
        </w:rPr>
      </w:pPr>
      <w:r>
        <w:rPr>
          <w:rFonts w:ascii="Arial" w:cs="Arial" w:eastAsia="Arial" w:hAnsi="Arial"/>
          <w:sz w:val="17"/>
          <w:szCs w:val="17"/>
          <w:color w:val="auto"/>
        </w:rPr>
        <w:t>The following table presents the Company’s amortization by category and reportable segment, and on a consolidated basis,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2"/>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DMR</w:t>
            </w:r>
          </w:p>
        </w:tc>
        <w:tc>
          <w:tcPr>
            <w:tcW w:w="15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15,917</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10,269</w:t>
            </w:r>
          </w:p>
        </w:tc>
        <w:tc>
          <w:tcPr>
            <w:tcW w:w="1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16,117</w:t>
            </w: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Joint Revenue Sharing Arrangements, contingent rent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24,208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26,076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25,036</w:t>
            </w:r>
          </w:p>
        </w:tc>
      </w:tr>
      <w:tr>
        <w:trPr>
          <w:trHeight w:val="228"/>
        </w:trPr>
        <w:tc>
          <w:tcPr>
            <w:tcW w:w="5360" w:type="dxa"/>
            <w:vAlign w:val="bottom"/>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IMAX Systems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2,076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3,548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3,878</w:t>
            </w: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w:t>
            </w: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Film Distribution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3,894</w:t>
            </w: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1,301</w:t>
            </w:r>
          </w:p>
        </w:tc>
      </w:tr>
      <w:tr>
        <w:trPr>
          <w:trHeight w:val="228"/>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New Business Initiatives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w:t>
            </w: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Sub-total for reportable segments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43,725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42,611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50,583</w:t>
            </w:r>
          </w:p>
        </w:tc>
      </w:tr>
      <w:tr>
        <w:trPr>
          <w:trHeight w:val="228"/>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 non-segment specific assets</w:t>
            </w:r>
            <w:r>
              <w:rPr>
                <w:rFonts w:ascii="Arial" w:cs="Arial" w:eastAsia="Arial" w:hAnsi="Arial"/>
                <w:sz w:val="15"/>
                <w:szCs w:val="15"/>
                <w:color w:val="auto"/>
              </w:rPr>
              <w:t>(6)</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12,357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10,093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12,395</w:t>
            </w:r>
          </w:p>
        </w:tc>
      </w:tr>
      <w:tr>
        <w:trPr>
          <w:trHeight w:val="222"/>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56,082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52,704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62,978</w:t>
            </w:r>
          </w:p>
        </w:tc>
      </w:tr>
      <w:tr>
        <w:trPr>
          <w:trHeight w:val="20"/>
        </w:trPr>
        <w:tc>
          <w:tcPr>
            <w:tcW w:w="5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table presents the Company’s write-downs, including asset impairments and credit loss (reversal) expense, by category and reportable segment, and on a consolidated basis, for the years ended December 31, 2021,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DMR</w:t>
            </w:r>
          </w:p>
        </w:tc>
        <w:tc>
          <w:tcPr>
            <w:tcW w:w="15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4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1,057</w:t>
            </w:r>
          </w:p>
        </w:tc>
        <w:tc>
          <w:tcPr>
            <w:tcW w:w="2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Joint Revenue Sharing Arrangements, contingent rent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FF0FC"/>
          </w:tcPr>
          <w:p>
            <w:pPr>
              <w:spacing w:after="0"/>
              <w:rPr>
                <w:sz w:val="19"/>
                <w:szCs w:val="19"/>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IMAX Systems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Film Distribution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360" w:type="dxa"/>
            <w:vAlign w:val="bottom"/>
          </w:tcPr>
          <w:p>
            <w:pPr>
              <w:spacing w:after="0"/>
              <w:rPr>
                <w:sz w:val="20"/>
                <w:szCs w:val="20"/>
                <w:color w:val="auto"/>
              </w:rPr>
            </w:pPr>
            <w:r>
              <w:rPr>
                <w:rFonts w:ascii="Arial" w:cs="Arial" w:eastAsia="Arial" w:hAnsi="Arial"/>
                <w:sz w:val="18"/>
                <w:szCs w:val="18"/>
                <w:b w:val="1"/>
                <w:bCs w:val="1"/>
                <w:color w:val="auto"/>
              </w:rPr>
              <w:t>New Business Initiatives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2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 for reportable segments</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Corporate and other non-segment specific assets</w:t>
            </w:r>
            <w:r>
              <w:rPr>
                <w:rFonts w:ascii="Arial" w:cs="Arial" w:eastAsia="Arial" w:hAnsi="Arial"/>
                <w:sz w:val="15"/>
                <w:szCs w:val="15"/>
                <w:color w:val="auto"/>
              </w:rPr>
              <w:t>(7)</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(3,592)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20,065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9"/>
                <w:szCs w:val="19"/>
                <w:color w:val="auto"/>
              </w:rPr>
            </w:pPr>
          </w:p>
        </w:tc>
      </w:tr>
      <w:tr>
        <w:trPr>
          <w:trHeight w:val="22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1" w:name="page132"/>
    <w:bookmarkEnd w:id="131"/>
    <w:p>
      <w:pPr>
        <w:ind w:left="240"/>
        <w:spacing w:after="0"/>
        <w:rPr>
          <w:sz w:val="20"/>
          <w:szCs w:val="20"/>
          <w:color w:val="auto"/>
        </w:rPr>
      </w:pPr>
      <w:r>
        <w:rPr>
          <w:rFonts w:ascii="Arial" w:cs="Arial" w:eastAsia="Arial" w:hAnsi="Arial"/>
          <w:sz w:val="17"/>
          <w:szCs w:val="17"/>
          <w:color w:val="auto"/>
        </w:rPr>
        <w:t>The following table presents the Company’s purchases of Property, Plant and Equipment by category and reportable segment for the years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2"/>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DMR</w:t>
            </w:r>
          </w:p>
        </w:tc>
        <w:tc>
          <w:tcPr>
            <w:tcW w:w="15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w:t>
            </w: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Joint Revenue Sharing Arrangements, contingent rent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40,489</w:t>
            </w:r>
          </w:p>
        </w:tc>
      </w:tr>
      <w:tr>
        <w:trPr>
          <w:trHeight w:val="228"/>
        </w:trPr>
        <w:tc>
          <w:tcPr>
            <w:tcW w:w="5360" w:type="dxa"/>
            <w:vAlign w:val="bottom"/>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IMAX Systems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452</w:t>
            </w: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IMAX Maintenance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311</w:t>
            </w: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Film Distribution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8"/>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Post-Production</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1,210</w:t>
            </w:r>
          </w:p>
        </w:tc>
      </w:tr>
      <w:tr>
        <w:trPr>
          <w:trHeight w:val="228"/>
        </w:trPr>
        <w:tc>
          <w:tcPr>
            <w:tcW w:w="5360" w:type="dxa"/>
            <w:vAlign w:val="bottom"/>
          </w:tcPr>
          <w:p>
            <w:pPr>
              <w:spacing w:after="0"/>
              <w:rPr>
                <w:sz w:val="20"/>
                <w:szCs w:val="20"/>
                <w:color w:val="auto"/>
              </w:rPr>
            </w:pPr>
            <w:r>
              <w:rPr>
                <w:rFonts w:ascii="Arial" w:cs="Arial" w:eastAsia="Arial" w:hAnsi="Arial"/>
                <w:sz w:val="18"/>
                <w:szCs w:val="18"/>
                <w:b w:val="1"/>
                <w:bCs w:val="1"/>
                <w:color w:val="auto"/>
              </w:rPr>
              <w:t>New Business Initiatives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 for reportable segments</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12,948</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7,160</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42,561</w:t>
            </w:r>
          </w:p>
        </w:tc>
      </w:tr>
      <w:tr>
        <w:trPr>
          <w:trHeight w:val="228"/>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 non-segment specific assets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5,349</w:t>
            </w:r>
          </w:p>
        </w:tc>
      </w:tr>
      <w:tr>
        <w:trPr>
          <w:trHeight w:val="222"/>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13,684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7,351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47,910</w:t>
            </w:r>
          </w:p>
        </w:tc>
      </w:tr>
      <w:tr>
        <w:trPr>
          <w:trHeight w:val="20"/>
        </w:trPr>
        <w:tc>
          <w:tcPr>
            <w:tcW w:w="5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920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hanging="353"/>
        <w:spacing w:after="0" w:line="274"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largest customer represents 10% of total Revenues as of December 31, 2021 (2020 ― 16%; 2019 ― 17%). No single customer comprises more than 10% of the Company’s total Accounts Receivable as of December 31, 2021 and 2020.</w:t>
      </w:r>
    </w:p>
    <w:p>
      <w:pPr>
        <w:spacing w:after="0" w:line="131" w:lineRule="exact"/>
        <w:rPr>
          <w:rFonts w:ascii="Arial" w:cs="Arial" w:eastAsia="Arial" w:hAnsi="Arial"/>
          <w:sz w:val="18"/>
          <w:szCs w:val="18"/>
          <w:color w:val="auto"/>
        </w:rPr>
      </w:pPr>
    </w:p>
    <w:p>
      <w:pPr>
        <w:jc w:val="both"/>
        <w:ind w:left="360" w:hanging="353"/>
        <w:spacing w:after="0" w:line="284" w:lineRule="auto"/>
        <w:tabs>
          <w:tab w:leader="none" w:pos="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sales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24" w:lineRule="exact"/>
        <w:rPr>
          <w:rFonts w:ascii="Arial" w:cs="Arial" w:eastAsia="Arial" w:hAnsi="Arial"/>
          <w:sz w:val="17"/>
          <w:szCs w:val="17"/>
          <w:color w:val="auto"/>
        </w:rPr>
      </w:pPr>
    </w:p>
    <w:p>
      <w:pPr>
        <w:jc w:val="both"/>
        <w:ind w:left="360" w:hanging="353"/>
        <w:spacing w:after="0" w:line="255"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Due to the global reopening of the IMAX theater network and the substantial resumption of normal operations throughout the theatrical exhibition industry, as evidenced by box office totals for the fourth quarter of 2021 exceeding pre-pandemic levels, the Company ended the temporary relief program for its exhibitor customers and, as a result, recognized maintenance revenue of $6.3 million that had been due to the potential for the waiver or reduction of maintenance fees during the COVID-19 pandemic, including $2.5 million that had been deferred from 2020 with the remainder from the first nine months of 2021.</w:t>
      </w:r>
    </w:p>
    <w:p>
      <w:pPr>
        <w:spacing w:after="0" w:line="148" w:lineRule="exact"/>
        <w:rPr>
          <w:rFonts w:ascii="Arial" w:cs="Arial" w:eastAsia="Arial" w:hAnsi="Arial"/>
          <w:sz w:val="18"/>
          <w:szCs w:val="18"/>
          <w:color w:val="auto"/>
        </w:rPr>
      </w:pPr>
    </w:p>
    <w:p>
      <w:pPr>
        <w:ind w:left="360" w:hanging="353"/>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projection system parts and 3D glasses.</w:t>
      </w:r>
    </w:p>
    <w:p>
      <w:pPr>
        <w:spacing w:after="0" w:line="182" w:lineRule="exact"/>
        <w:rPr>
          <w:rFonts w:ascii="Arial" w:cs="Arial" w:eastAsia="Arial" w:hAnsi="Arial"/>
          <w:sz w:val="18"/>
          <w:szCs w:val="18"/>
          <w:color w:val="auto"/>
        </w:rPr>
      </w:pPr>
    </w:p>
    <w:p>
      <w:pPr>
        <w:jc w:val="both"/>
        <w:ind w:left="360" w:hanging="353"/>
        <w:spacing w:after="0" w:line="257"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the year ended December 31, 2020, Film Distribution segment results were significantly influenced by impairment losses of $10.0 million, to write-down the carrying value of certain documentary and alternative content film assets due to a decrease in projected box office totals and related revenues based on management’s regular quarterly recoverability assessments (2019 ― $1.4 million). No such impairment losses were incurred in 2021.</w:t>
      </w:r>
    </w:p>
    <w:p>
      <w:pPr>
        <w:spacing w:after="0" w:line="146" w:lineRule="exact"/>
        <w:rPr>
          <w:rFonts w:ascii="Arial" w:cs="Arial" w:eastAsia="Arial" w:hAnsi="Arial"/>
          <w:sz w:val="18"/>
          <w:szCs w:val="18"/>
          <w:color w:val="auto"/>
        </w:rPr>
      </w:pPr>
    </w:p>
    <w:p>
      <w:pPr>
        <w:ind w:left="360" w:hanging="353"/>
        <w:spacing w:after="0" w:line="274"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period comparatives have been revised to exclude the amortization of deferred financing costs of $0.9 million and $0.5 million, respectively, for the years ended December 31, 2020 and 2019.</w:t>
      </w:r>
    </w:p>
    <w:p>
      <w:pPr>
        <w:spacing w:after="0" w:line="131" w:lineRule="exact"/>
        <w:rPr>
          <w:rFonts w:ascii="Arial" w:cs="Arial" w:eastAsia="Arial" w:hAnsi="Arial"/>
          <w:sz w:val="18"/>
          <w:szCs w:val="18"/>
          <w:color w:val="auto"/>
        </w:rPr>
      </w:pPr>
    </w:p>
    <w:p>
      <w:pPr>
        <w:ind w:left="360" w:hanging="353"/>
        <w:spacing w:after="0" w:line="305" w:lineRule="auto"/>
        <w:tabs>
          <w:tab w:leader="none" w:pos="3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During the year ended December 31, 2021, includes the net reversal of current expected credit losses of $4.0 million, which is excluded from the measurement of the Company’s segment performance (2020 ― provision of $18.6 million; 2019 ― provision of $2.4 million). (See Note 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2" w:name="page133"/>
    <w:bookmarkEnd w:id="132"/>
    <w:p>
      <w:pPr>
        <w:ind w:left="1000" w:hanging="768"/>
        <w:spacing w:after="0"/>
        <w:tabs>
          <w:tab w:leader="none" w:pos="10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Geographic Information</w:t>
      </w:r>
    </w:p>
    <w:p>
      <w:pPr>
        <w:spacing w:after="0" w:line="196"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revenues by geographic area for the years ended December 31, 2021, 2020, and 2019:</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2"/>
        </w:trPr>
        <w:tc>
          <w:tcPr>
            <w:tcW w:w="66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2"/>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Greater China</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112,801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52,331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124,294</w:t>
            </w:r>
          </w:p>
        </w:tc>
      </w:tr>
      <w:tr>
        <w:trPr>
          <w:trHeight w:val="228"/>
        </w:trPr>
        <w:tc>
          <w:tcPr>
            <w:tcW w:w="6620" w:type="dxa"/>
            <w:vAlign w:val="bottom"/>
          </w:tcPr>
          <w:p>
            <w:pPr>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73,499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30,157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121,264</w:t>
            </w:r>
          </w:p>
        </w:tc>
      </w:tr>
      <w:tr>
        <w:trPr>
          <w:trHeight w:val="228"/>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20,090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48,386</w:t>
            </w:r>
          </w:p>
        </w:tc>
      </w:tr>
      <w:tr>
        <w:trPr>
          <w:trHeight w:val="228"/>
        </w:trPr>
        <w:tc>
          <w:tcPr>
            <w:tcW w:w="6620" w:type="dxa"/>
            <w:vAlign w:val="bottom"/>
          </w:tcPr>
          <w:p>
            <w:pPr>
              <w:spacing w:after="0"/>
              <w:rPr>
                <w:sz w:val="20"/>
                <w:szCs w:val="20"/>
                <w:color w:val="auto"/>
              </w:rPr>
            </w:pPr>
            <w:r>
              <w:rPr>
                <w:rFonts w:ascii="Arial" w:cs="Arial" w:eastAsia="Arial" w:hAnsi="Arial"/>
                <w:sz w:val="18"/>
                <w:szCs w:val="18"/>
                <w:color w:val="auto"/>
              </w:rPr>
              <w:t>Western Europe</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20,942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13,683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46,911</w:t>
            </w:r>
          </w:p>
        </w:tc>
      </w:tr>
      <w:tr>
        <w:trPr>
          <w:trHeight w:val="228"/>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Russia &amp; the CIS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7,308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16,124</w:t>
            </w:r>
          </w:p>
        </w:tc>
      </w:tr>
      <w:tr>
        <w:trPr>
          <w:trHeight w:val="228"/>
        </w:trPr>
        <w:tc>
          <w:tcPr>
            <w:tcW w:w="6620" w:type="dxa"/>
            <w:vAlign w:val="bottom"/>
          </w:tcPr>
          <w:p>
            <w:pPr>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9,438</w:t>
            </w:r>
          </w:p>
        </w:tc>
      </w:tr>
      <w:tr>
        <w:trPr>
          <w:trHeight w:val="228"/>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3,266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9,220</w:t>
            </w:r>
          </w:p>
        </w:tc>
      </w:tr>
      <w:tr>
        <w:trPr>
          <w:trHeight w:val="228"/>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the World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9,784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10,336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20,027</w:t>
            </w:r>
          </w:p>
        </w:tc>
      </w:tr>
      <w:tr>
        <w:trPr>
          <w:trHeight w:val="222"/>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254,883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137,003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395,664</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classifications comprise more than 10% of total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breakdown of Property, Plant and Equipment by geography as of December 31, 2021 and 2020: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r>
      <w:tr>
        <w:trPr>
          <w:trHeight w:val="208"/>
        </w:trPr>
        <w:tc>
          <w:tcPr>
            <w:tcW w:w="78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22"/>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Greater China</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100,182</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104,731</w:t>
            </w: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91,856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100,495</w:t>
            </w:r>
          </w:p>
        </w:tc>
      </w:tr>
      <w:tr>
        <w:trPr>
          <w:trHeight w:val="228"/>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32,643</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31,624</w:t>
            </w: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Western Europe</w:t>
            </w:r>
          </w:p>
        </w:tc>
        <w:tc>
          <w:tcPr>
            <w:tcW w:w="3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21,684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25,487</w:t>
            </w:r>
          </w:p>
        </w:tc>
      </w:tr>
      <w:tr>
        <w:trPr>
          <w:trHeight w:val="228"/>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9,463</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9,930</w:t>
            </w:r>
          </w:p>
        </w:tc>
      </w:tr>
      <w:tr>
        <w:trPr>
          <w:trHeight w:val="228"/>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the World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4,525</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5,130</w:t>
            </w:r>
          </w:p>
        </w:tc>
      </w:tr>
      <w:tr>
        <w:trPr>
          <w:trHeight w:val="222"/>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260,353</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277,397</w:t>
            </w: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33" w:name="page134"/>
    <w:bookmarkEnd w:id="133"/>
    <w:p>
      <w:pPr>
        <w:ind w:left="320" w:hanging="313"/>
        <w:spacing w:after="0"/>
        <w:tabs>
          <w:tab w:leader="none" w:pos="3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6" w:lineRule="exact"/>
        <w:rPr>
          <w:rFonts w:ascii="Arial" w:cs="Arial" w:eastAsia="Arial" w:hAnsi="Arial"/>
          <w:sz w:val="18"/>
          <w:szCs w:val="18"/>
          <w:b w:val="1"/>
          <w:bCs w:val="1"/>
          <w:color w:val="auto"/>
        </w:rPr>
      </w:pPr>
    </w:p>
    <w:p>
      <w:pPr>
        <w:ind w:left="580" w:hanging="358"/>
        <w:spacing w:after="0"/>
        <w:tabs>
          <w:tab w:leader="none" w:pos="580" w:val="left"/>
        </w:tabs>
        <w:numPr>
          <w:ilvl w:val="1"/>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82"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The Company maintains cash with various major financial institutions. The Company’s cash is invested with highly rated financial institutions. The Company’s $189.7 million balance of cash and cash equivalents as of December 31, 2021 includes $102.1 million in cash held outside of Canada (December 31, 2020 — $89.9 million), of which $76.3 million was held in the PRC (December 31, 2020 — $77.2 million).</w:t>
      </w:r>
    </w:p>
    <w:p>
      <w:pPr>
        <w:spacing w:after="0" w:line="138"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Fair Value Measurements</w:t>
      </w:r>
    </w:p>
    <w:p>
      <w:pPr>
        <w:spacing w:after="0" w:line="18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14"/>
                <w:szCs w:val="14"/>
                <w:color w:val="auto"/>
              </w:rPr>
            </w:pPr>
          </w:p>
        </w:tc>
        <w:tc>
          <w:tcPr>
            <w:tcW w:w="24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As of December 31, 2020</w:t>
            </w:r>
          </w:p>
        </w:tc>
      </w:tr>
      <w:tr>
        <w:trPr>
          <w:trHeight w:val="132"/>
        </w:trPr>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440"/>
              <w:spacing w:after="0" w:line="132"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100"/>
              <w:spacing w:after="0" w:line="132"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34"/>
              <w:spacing w:after="0" w:line="132"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13"/>
              <w:spacing w:after="0" w:line="132" w:lineRule="exact"/>
              <w:rPr>
                <w:sz w:val="20"/>
                <w:szCs w:val="20"/>
                <w:color w:val="auto"/>
              </w:rPr>
            </w:pPr>
            <w:r>
              <w:rPr>
                <w:rFonts w:ascii="Arial" w:cs="Arial" w:eastAsia="Arial" w:hAnsi="Arial"/>
                <w:sz w:val="14"/>
                <w:szCs w:val="14"/>
                <w:b w:val="1"/>
                <w:bCs w:val="1"/>
                <w:color w:val="auto"/>
              </w:rPr>
              <w:t>Estimated</w:t>
            </w:r>
          </w:p>
        </w:tc>
      </w:tr>
      <w:tr>
        <w:trPr>
          <w:trHeight w:val="170"/>
        </w:trPr>
        <w:tc>
          <w:tcPr>
            <w:tcW w:w="500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181"/>
        </w:trPr>
        <w:tc>
          <w:tcPr>
            <w:tcW w:w="500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Level 1</w:t>
            </w:r>
          </w:p>
        </w:tc>
        <w:tc>
          <w:tcPr>
            <w:tcW w:w="8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r>
      <w:tr>
        <w:trPr>
          <w:trHeight w:val="20"/>
        </w:trPr>
        <w:tc>
          <w:tcPr>
            <w:tcW w:w="540" w:type="dxa"/>
            <w:vAlign w:val="bottom"/>
            <w:tcBorders>
              <w:top w:val="single" w:sz="8" w:color="auto"/>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r>
      <w:tr>
        <w:trPr>
          <w:trHeight w:val="228"/>
        </w:trPr>
        <w:tc>
          <w:tcPr>
            <w:tcW w:w="5000" w:type="dxa"/>
            <w:vAlign w:val="bottom"/>
            <w:gridSpan w:val="3"/>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189,711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189,711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317,379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317,379</w:t>
            </w: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(2)</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13,633</w:t>
            </w:r>
          </w:p>
        </w:tc>
      </w:tr>
      <w:tr>
        <w:trPr>
          <w:trHeight w:val="188"/>
        </w:trPr>
        <w:tc>
          <w:tcPr>
            <w:tcW w:w="5000" w:type="dxa"/>
            <w:vAlign w:val="bottom"/>
            <w:gridSpan w:val="3"/>
          </w:tcPr>
          <w:p>
            <w:pPr>
              <w:spacing w:after="0" w:line="188" w:lineRule="exact"/>
              <w:rPr>
                <w:sz w:val="20"/>
                <w:szCs w:val="20"/>
                <w:color w:val="auto"/>
              </w:rPr>
            </w:pPr>
            <w:r>
              <w:rPr>
                <w:rFonts w:ascii="Arial" w:cs="Arial" w:eastAsia="Arial" w:hAnsi="Arial"/>
                <w:sz w:val="18"/>
                <w:szCs w:val="18"/>
                <w:color w:val="auto"/>
              </w:rPr>
              <w:t>Level 2</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financed sales receivables</w:t>
            </w:r>
            <w:r>
              <w:rPr>
                <w:rFonts w:ascii="Arial" w:cs="Arial" w:eastAsia="Arial" w:hAnsi="Arial"/>
                <w:sz w:val="15"/>
                <w:szCs w:val="15"/>
                <w:color w:val="auto"/>
              </w:rPr>
              <w:t>(3)</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112,657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112,662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112,396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112,603</w:t>
            </w:r>
          </w:p>
        </w:tc>
      </w:tr>
      <w:tr>
        <w:trPr>
          <w:trHeight w:val="228"/>
        </w:trPr>
        <w:tc>
          <w:tcPr>
            <w:tcW w:w="5000" w:type="dxa"/>
            <w:vAlign w:val="bottom"/>
            <w:gridSpan w:val="3"/>
          </w:tcPr>
          <w:p>
            <w:pPr>
              <w:spacing w:after="0"/>
              <w:rPr>
                <w:sz w:val="20"/>
                <w:szCs w:val="20"/>
                <w:color w:val="auto"/>
              </w:rPr>
            </w:pPr>
            <w:r>
              <w:rPr>
                <w:rFonts w:ascii="Arial" w:cs="Arial" w:eastAsia="Arial" w:hAnsi="Arial"/>
                <w:sz w:val="18"/>
                <w:szCs w:val="18"/>
                <w:color w:val="auto"/>
              </w:rPr>
              <w:t>Net investment in sales-type leases</w:t>
            </w:r>
            <w:r>
              <w:rPr>
                <w:rFonts w:ascii="Arial" w:cs="Arial" w:eastAsia="Arial" w:hAnsi="Arial"/>
                <w:sz w:val="15"/>
                <w:szCs w:val="15"/>
                <w:color w:val="auto"/>
              </w:rPr>
              <w:t>(3)</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28,407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19,373</w:t>
            </w: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(1)</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1,000</w:t>
            </w:r>
          </w:p>
        </w:tc>
      </w:tr>
      <w:tr>
        <w:trPr>
          <w:trHeight w:val="228"/>
        </w:trPr>
        <w:tc>
          <w:tcPr>
            <w:tcW w:w="5000" w:type="dxa"/>
            <w:vAlign w:val="bottom"/>
            <w:gridSpan w:val="3"/>
          </w:tcPr>
          <w:p>
            <w:pPr>
              <w:spacing w:after="0"/>
              <w:rPr>
                <w:sz w:val="20"/>
                <w:szCs w:val="20"/>
                <w:color w:val="auto"/>
              </w:rPr>
            </w:pPr>
            <w:r>
              <w:rPr>
                <w:rFonts w:ascii="Arial" w:cs="Arial" w:eastAsia="Arial" w:hAnsi="Arial"/>
                <w:sz w:val="18"/>
                <w:szCs w:val="18"/>
                <w:color w:val="auto"/>
              </w:rPr>
              <w:t>COLI</w:t>
            </w:r>
            <w:r>
              <w:rPr>
                <w:rFonts w:ascii="Arial" w:cs="Arial" w:eastAsia="Arial" w:hAnsi="Arial"/>
                <w:sz w:val="15"/>
                <w:szCs w:val="15"/>
                <w:color w:val="auto"/>
              </w:rPr>
              <w:t>(4)</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3,155</w:t>
            </w: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15"/>
                <w:szCs w:val="15"/>
                <w:color w:val="auto"/>
              </w:rPr>
              <w:t>(2)</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1,635</w:t>
            </w:r>
          </w:p>
        </w:tc>
      </w:tr>
      <w:tr>
        <w:trPr>
          <w:trHeight w:val="228"/>
        </w:trPr>
        <w:tc>
          <w:tcPr>
            <w:tcW w:w="5000" w:type="dxa"/>
            <w:vAlign w:val="bottom"/>
            <w:gridSpan w:val="3"/>
          </w:tcPr>
          <w:p>
            <w:pPr>
              <w:spacing w:after="0"/>
              <w:rPr>
                <w:sz w:val="20"/>
                <w:szCs w:val="20"/>
                <w:color w:val="auto"/>
              </w:rPr>
            </w:pPr>
            <w:r>
              <w:rPr>
                <w:rFonts w:ascii="Arial" w:cs="Arial" w:eastAsia="Arial" w:hAnsi="Arial"/>
                <w:sz w:val="18"/>
                <w:szCs w:val="18"/>
                <w:color w:val="auto"/>
              </w:rPr>
              <w:t>Foreign exchange contracts — non-designated forwards</w:t>
            </w:r>
            <w:r>
              <w:rPr>
                <w:rFonts w:ascii="Arial" w:cs="Arial" w:eastAsia="Arial" w:hAnsi="Arial"/>
                <w:sz w:val="15"/>
                <w:szCs w:val="15"/>
                <w:color w:val="auto"/>
              </w:rPr>
              <w:t>(2)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344</w:t>
            </w: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Facility borrowings</w:t>
            </w:r>
            <w:r>
              <w:rPr>
                <w:rFonts w:ascii="Arial" w:cs="Arial" w:eastAsia="Arial" w:hAnsi="Arial"/>
                <w:sz w:val="15"/>
                <w:szCs w:val="15"/>
                <w:color w:val="auto"/>
              </w:rPr>
              <w:t>(1)</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r>
      <w:tr>
        <w:trPr>
          <w:trHeight w:val="228"/>
        </w:trPr>
        <w:tc>
          <w:tcPr>
            <w:tcW w:w="5000" w:type="dxa"/>
            <w:vAlign w:val="bottom"/>
            <w:gridSpan w:val="3"/>
          </w:tcPr>
          <w:p>
            <w:pPr>
              <w:spacing w:after="0"/>
              <w:rPr>
                <w:sz w:val="20"/>
                <w:szCs w:val="20"/>
                <w:color w:val="auto"/>
              </w:rPr>
            </w:pPr>
            <w:r>
              <w:rPr>
                <w:rFonts w:ascii="Arial" w:cs="Arial" w:eastAsia="Arial" w:hAnsi="Arial"/>
                <w:sz w:val="18"/>
                <w:szCs w:val="18"/>
                <w:color w:val="auto"/>
              </w:rPr>
              <w:t>Credit Facility borrowings</w:t>
            </w:r>
            <w:r>
              <w:rPr>
                <w:rFonts w:ascii="Arial" w:cs="Arial" w:eastAsia="Arial" w:hAnsi="Arial"/>
                <w:sz w:val="15"/>
                <w:szCs w:val="15"/>
                <w:color w:val="auto"/>
              </w:rPr>
              <w:t>(1)</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8"/>
        </w:trPr>
        <w:tc>
          <w:tcPr>
            <w:tcW w:w="5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134"/>
        </w:trPr>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60" w:lineRule="exact"/>
        <w:rPr>
          <w:sz w:val="20"/>
          <w:szCs w:val="20"/>
          <w:color w:val="auto"/>
        </w:rPr>
      </w:pPr>
    </w:p>
    <w:p>
      <w:pPr>
        <w:ind w:left="360" w:hanging="353"/>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82" w:lineRule="exact"/>
        <w:rPr>
          <w:rFonts w:ascii="Arial" w:cs="Arial" w:eastAsia="Arial" w:hAnsi="Arial"/>
          <w:sz w:val="18"/>
          <w:szCs w:val="18"/>
          <w:color w:val="auto"/>
        </w:rPr>
      </w:pPr>
    </w:p>
    <w:p>
      <w:pPr>
        <w:ind w:left="360" w:hanging="353"/>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82" w:lineRule="exact"/>
        <w:rPr>
          <w:rFonts w:ascii="Arial" w:cs="Arial" w:eastAsia="Arial" w:hAnsi="Arial"/>
          <w:sz w:val="18"/>
          <w:szCs w:val="18"/>
          <w:color w:val="auto"/>
        </w:rPr>
      </w:pPr>
    </w:p>
    <w:p>
      <w:pPr>
        <w:ind w:left="360" w:hanging="353"/>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2" w:lineRule="exact"/>
        <w:rPr>
          <w:rFonts w:ascii="Arial" w:cs="Arial" w:eastAsia="Arial" w:hAnsi="Arial"/>
          <w:sz w:val="18"/>
          <w:szCs w:val="18"/>
          <w:color w:val="auto"/>
        </w:rPr>
      </w:pPr>
    </w:p>
    <w:p>
      <w:pPr>
        <w:ind w:left="360" w:hanging="353"/>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2" w:lineRule="exact"/>
        <w:rPr>
          <w:rFonts w:ascii="Arial" w:cs="Arial" w:eastAsia="Arial" w:hAnsi="Arial"/>
          <w:sz w:val="18"/>
          <w:szCs w:val="18"/>
          <w:color w:val="auto"/>
        </w:rPr>
      </w:pPr>
    </w:p>
    <w:p>
      <w:pPr>
        <w:ind w:left="240" w:right="900" w:hanging="233"/>
        <w:spacing w:after="0" w:line="516" w:lineRule="auto"/>
        <w:tabs>
          <w:tab w:leader="none" w:pos="3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Fair value is determined using quoted market prices that are observable in the market or that could be derived from observable market data. The Company did not have any material amounts of Level 3 assets or liabilities as of December 31, 2021 and December 30, 2020.</w:t>
      </w:r>
    </w:p>
    <w:p>
      <w:pPr>
        <w:spacing w:after="0" w:line="1"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Foreign Exchange Risk Management</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exposed to market risk from changes in foreign currency rates.</w:t>
      </w:r>
    </w:p>
    <w:p>
      <w:pPr>
        <w:spacing w:after="0" w:line="18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the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unfavourable exchange rates between applicable local currencies and the U.S. Dollar could have an impact on box office receipts and the Company’s revenues and results of operations. The Company’s policy is to not use any financial instruments for trading or other speculative purposes.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4" w:name="page135"/>
    <w:bookmarkEnd w:id="134"/>
    <w:p>
      <w:pPr>
        <w:jc w:val="both"/>
        <w:ind w:firstLine="225"/>
        <w:spacing w:after="0" w:line="285" w:lineRule="auto"/>
        <w:rPr>
          <w:sz w:val="20"/>
          <w:szCs w:val="20"/>
          <w:color w:val="auto"/>
        </w:rPr>
      </w:pPr>
      <w:r>
        <w:rPr>
          <w:rFonts w:ascii="Arial" w:cs="Arial" w:eastAsia="Arial" w:hAnsi="Arial"/>
          <w:sz w:val="16"/>
          <w:szCs w:val="16"/>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December 31, 2021 (the “Foreign Currency Hedges”), with settlement dates throughout 2022.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Other Comprehensive Income and reclassified to the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in the Consolidated Balance Sheets when the forecasted transaction occurs. For foreign currency cash flow hedging instruments related to capital expenditures, the effective portion of the gain or loss in a hedge of a forecasted transaction is reported in Other Comprehensive Income and reclassified to Property, Plant and Equipment on the Consolidated Balance Sheets when the forecasted transaction occurs. Any ineffective portion is recognized immediately in the Consolidated Statements of Operations.</w:t>
      </w:r>
    </w:p>
    <w:p>
      <w:pPr>
        <w:spacing w:after="0" w:line="139"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Consolidated Financial Statements: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48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gridSpan w:val="4"/>
          </w:tcPr>
          <w:p>
            <w:pPr>
              <w:ind w:left="120"/>
              <w:spacing w:after="0"/>
              <w:rPr>
                <w:sz w:val="20"/>
                <w:szCs w:val="20"/>
                <w:color w:val="auto"/>
              </w:rPr>
            </w:pPr>
            <w:r>
              <w:rPr>
                <w:rFonts w:ascii="Arial" w:cs="Arial" w:eastAsia="Arial" w:hAnsi="Arial"/>
                <w:sz w:val="18"/>
                <w:szCs w:val="18"/>
                <w:color w:val="auto"/>
              </w:rPr>
              <w:t>Foreign exchange contracts — Forwards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26,702</w:t>
            </w:r>
          </w:p>
        </w:tc>
        <w:tc>
          <w:tcPr>
            <w:tcW w:w="1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28"/>
        </w:trPr>
        <w:tc>
          <w:tcPr>
            <w:tcW w:w="48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gridSpan w:val="4"/>
          </w:tcPr>
          <w:p>
            <w:pPr>
              <w:ind w:left="120"/>
              <w:spacing w:after="0"/>
              <w:rPr>
                <w:sz w:val="20"/>
                <w:szCs w:val="20"/>
                <w:color w:val="auto"/>
              </w:rPr>
            </w:pPr>
            <w:r>
              <w:rPr>
                <w:rFonts w:ascii="Arial" w:cs="Arial" w:eastAsia="Arial" w:hAnsi="Arial"/>
                <w:sz w:val="18"/>
                <w:szCs w:val="18"/>
                <w:color w:val="auto"/>
              </w:rPr>
              <w:t>Foreign exchange contracts — Forwards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2"/>
        </w:trPr>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26,702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31,910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Fair value of derivatives in foreign exchange contracts: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40" w:type="dxa"/>
            <w:vAlign w:val="bottom"/>
          </w:tcPr>
          <w:p>
            <w:pPr>
              <w:spacing w:after="0"/>
              <w:rPr>
                <w:sz w:val="24"/>
                <w:szCs w:val="24"/>
                <w:color w:val="auto"/>
              </w:rPr>
            </w:pPr>
          </w:p>
        </w:tc>
        <w:tc>
          <w:tcPr>
            <w:tcW w:w="45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Balance Sheet Location</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482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4580" w:type="dxa"/>
            <w:vAlign w:val="bottom"/>
            <w:gridSpan w:val="3"/>
          </w:tcPr>
          <w:p>
            <w:pPr>
              <w:ind w:left="20"/>
              <w:spacing w:after="0"/>
              <w:rPr>
                <w:sz w:val="20"/>
                <w:szCs w:val="20"/>
                <w:color w:val="auto"/>
              </w:rPr>
            </w:pPr>
            <w:r>
              <w:rPr>
                <w:rFonts w:ascii="Arial" w:cs="Arial" w:eastAsia="Arial" w:hAnsi="Arial"/>
                <w:sz w:val="18"/>
                <w:szCs w:val="18"/>
                <w:color w:val="auto"/>
              </w:rPr>
              <w:t>Foreign exchange contracts — Forwards</w:t>
            </w: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Other assets</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8"/>
        </w:trPr>
        <w:tc>
          <w:tcPr>
            <w:tcW w:w="24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60" w:type="dxa"/>
            <w:vAlign w:val="bottom"/>
            <w:gridSpan w:val="10"/>
            <w:shd w:val="clear" w:color="auto" w:fill="CFF0FC"/>
          </w:tcPr>
          <w:p>
            <w:pPr>
              <w:ind w:left="12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20" w:type="dxa"/>
            <w:vAlign w:val="bottom"/>
            <w:gridSpan w:val="4"/>
          </w:tcPr>
          <w:p>
            <w:pPr>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Foreign exchange contracts — Forwards</w:t>
            </w:r>
          </w:p>
        </w:tc>
        <w:tc>
          <w:tcPr>
            <w:tcW w:w="182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0" w:type="dxa"/>
            <w:vAlign w:val="bottom"/>
            <w:gridSpan w:val="8"/>
            <w:vMerge w:val="restart"/>
          </w:tcPr>
          <w:p>
            <w:pPr>
              <w:spacing w:after="0"/>
              <w:rPr>
                <w:sz w:val="20"/>
                <w:szCs w:val="20"/>
                <w:color w:val="auto"/>
              </w:rPr>
            </w:pPr>
            <w:r>
              <w:rPr>
                <w:rFonts w:ascii="Arial" w:cs="Arial" w:eastAsia="Arial" w:hAnsi="Arial"/>
                <w:sz w:val="18"/>
                <w:szCs w:val="18"/>
                <w:color w:val="auto"/>
              </w:rPr>
              <w:t>Derivatives in foreign currency hedging relationships are as follows:</w:t>
            </w: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40" w:type="dxa"/>
            <w:vAlign w:val="bottom"/>
          </w:tcPr>
          <w:p>
            <w:pPr>
              <w:spacing w:after="0"/>
              <w:rPr>
                <w:sz w:val="24"/>
                <w:szCs w:val="24"/>
                <w:color w:val="auto"/>
              </w:rPr>
            </w:pPr>
          </w:p>
        </w:tc>
        <w:tc>
          <w:tcPr>
            <w:tcW w:w="6400" w:type="dxa"/>
            <w:vAlign w:val="bottom"/>
            <w:gridSpan w:val="8"/>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Derivative Gain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tcPr>
          <w:p>
            <w:pPr>
              <w:ind w:left="120"/>
              <w:spacing w:after="0"/>
              <w:rPr>
                <w:sz w:val="20"/>
                <w:szCs w:val="20"/>
                <w:color w:val="auto"/>
              </w:rPr>
            </w:pPr>
            <w:r>
              <w:rPr>
                <w:rFonts w:ascii="Arial" w:cs="Arial" w:eastAsia="Arial" w:hAnsi="Arial"/>
                <w:sz w:val="18"/>
                <w:szCs w:val="18"/>
                <w:color w:val="auto"/>
              </w:rPr>
              <w:t>— Forwards</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Recognized in OCI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(Effective Portion)</w:t>
            </w:r>
          </w:p>
        </w:tc>
        <w:tc>
          <w:tcPr>
            <w:tcW w:w="1480" w:type="dxa"/>
            <w:vAlign w:val="bottom"/>
            <w:gridSpan w:val="4"/>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550</w:t>
            </w:r>
          </w:p>
        </w:tc>
        <w:tc>
          <w:tcPr>
            <w:tcW w:w="580" w:type="dxa"/>
            <w:vAlign w:val="bottom"/>
            <w:gridSpan w:val="4"/>
            <w:shd w:val="clear" w:color="auto" w:fill="CFF0FC"/>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gridSpan w:val="3"/>
          </w:tcPr>
          <w:p>
            <w:pPr>
              <w:spacing w:after="0" w:line="20" w:lineRule="exact"/>
              <w:rPr>
                <w:sz w:val="1"/>
                <w:szCs w:val="1"/>
                <w:color w:val="auto"/>
              </w:rPr>
            </w:pPr>
          </w:p>
        </w:tc>
        <w:tc>
          <w:tcPr>
            <w:tcW w:w="1220" w:type="dxa"/>
            <w:vAlign w:val="bottom"/>
            <w:tcBorders>
              <w:top w:val="single" w:sz="8" w:color="CFF0FC"/>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gridSpan w:val="7"/>
          </w:tcPr>
          <w:p>
            <w:pPr>
              <w:jc w:val="center"/>
              <w:ind w:right="411"/>
              <w:spacing w:after="0"/>
              <w:rPr>
                <w:sz w:val="20"/>
                <w:szCs w:val="20"/>
                <w:color w:val="auto"/>
              </w:rPr>
            </w:pPr>
            <w:r>
              <w:rPr>
                <w:rFonts w:ascii="Arial" w:cs="Arial" w:eastAsia="Arial" w:hAnsi="Arial"/>
                <w:sz w:val="14"/>
                <w:szCs w:val="14"/>
                <w:b w:val="1"/>
                <w:bCs w:val="1"/>
                <w:color w:val="auto"/>
                <w:w w:val="93"/>
              </w:rPr>
              <w:t>Location of Derivative Gain (Loss)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Reclassified from AOCI</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3780" w:type="dxa"/>
            <w:vAlign w:val="bottom"/>
            <w:gridSpan w:val="7"/>
          </w:tcPr>
          <w:p>
            <w:pPr>
              <w:jc w:val="center"/>
              <w:ind w:right="411"/>
              <w:spacing w:after="0"/>
              <w:rPr>
                <w:sz w:val="20"/>
                <w:szCs w:val="20"/>
                <w:color w:val="auto"/>
              </w:rPr>
            </w:pPr>
            <w:r>
              <w:rPr>
                <w:rFonts w:ascii="Arial" w:cs="Arial" w:eastAsia="Arial" w:hAnsi="Arial"/>
                <w:sz w:val="14"/>
                <w:szCs w:val="14"/>
                <w:b w:val="1"/>
                <w:bCs w:val="1"/>
                <w:color w:val="auto"/>
                <w:w w:val="92"/>
              </w:rPr>
              <w:t>(Effective Portion)</w:t>
            </w: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2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9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gridSpan w:val="2"/>
          </w:tcPr>
          <w:p>
            <w:pPr>
              <w:ind w:left="120"/>
              <w:spacing w:after="0"/>
              <w:rPr>
                <w:sz w:val="20"/>
                <w:szCs w:val="20"/>
                <w:color w:val="auto"/>
              </w:rPr>
            </w:pPr>
            <w:r>
              <w:rPr>
                <w:rFonts w:ascii="Arial" w:cs="Arial" w:eastAsia="Arial" w:hAnsi="Arial"/>
                <w:sz w:val="18"/>
                <w:szCs w:val="18"/>
                <w:color w:val="auto"/>
              </w:rPr>
              <w:t>— Forwards</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w w:val="94"/>
              </w:rPr>
              <w:t>administrative expenses</w:t>
            </w:r>
          </w:p>
        </w:tc>
        <w:tc>
          <w:tcPr>
            <w:tcW w:w="1820" w:type="dxa"/>
            <w:vAlign w:val="bottom"/>
            <w:gridSpan w:val="5"/>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580" w:type="dxa"/>
            <w:vAlign w:val="bottom"/>
            <w:gridSpan w:val="4"/>
          </w:tcPr>
          <w:p>
            <w:pPr>
              <w:jc w:val="right"/>
              <w:ind w:right="25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8"/>
        </w:trPr>
        <w:tc>
          <w:tcPr>
            <w:tcW w:w="24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780" w:type="dxa"/>
            <w:vAlign w:val="bottom"/>
            <w:gridSpan w:val="7"/>
          </w:tcPr>
          <w:p>
            <w:pPr>
              <w:spacing w:after="0"/>
              <w:rPr>
                <w:sz w:val="20"/>
                <w:szCs w:val="20"/>
                <w:color w:val="auto"/>
              </w:rPr>
            </w:pPr>
            <w:r>
              <w:rPr>
                <w:rFonts w:ascii="Arial" w:cs="Arial" w:eastAsia="Arial" w:hAnsi="Arial"/>
                <w:sz w:val="18"/>
                <w:szCs w:val="18"/>
                <w:color w:val="auto"/>
              </w:rPr>
              <w:t>Property, plant and equipment</w:t>
            </w: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22"/>
        </w:trPr>
        <w:tc>
          <w:tcPr>
            <w:tcW w:w="24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8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r>
      <w:tr>
        <w:trPr>
          <w:trHeight w:val="222"/>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Derivative Gain (Loss) Recognized</w:t>
            </w: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8"/>
        </w:trPr>
        <w:tc>
          <w:tcPr>
            <w:tcW w:w="2420" w:type="dxa"/>
            <w:vAlign w:val="bottom"/>
          </w:tcPr>
          <w:p>
            <w:pPr>
              <w:spacing w:after="0"/>
              <w:rPr>
                <w:sz w:val="20"/>
                <w:szCs w:val="20"/>
                <w:color w:val="auto"/>
              </w:rPr>
            </w:pPr>
            <w:r>
              <w:rPr>
                <w:rFonts w:ascii="Arial" w:cs="Arial" w:eastAsia="Arial" w:hAnsi="Arial"/>
                <w:sz w:val="18"/>
                <w:szCs w:val="18"/>
                <w:color w:val="auto"/>
              </w:rPr>
              <w:t>— Forwards</w:t>
            </w:r>
          </w:p>
        </w:tc>
        <w:tc>
          <w:tcPr>
            <w:tcW w:w="3880" w:type="dxa"/>
            <w:vAlign w:val="bottom"/>
          </w:tcPr>
          <w:p>
            <w:pPr>
              <w:ind w:left="560"/>
              <w:spacing w:after="0"/>
              <w:rPr>
                <w:sz w:val="20"/>
                <w:szCs w:val="20"/>
                <w:color w:val="auto"/>
              </w:rPr>
            </w:pPr>
            <w:r>
              <w:rPr>
                <w:rFonts w:ascii="Arial" w:cs="Arial" w:eastAsia="Arial" w:hAnsi="Arial"/>
                <w:sz w:val="18"/>
                <w:szCs w:val="18"/>
                <w:color w:val="auto"/>
              </w:rPr>
              <w:t>In and out of OCI</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2420" w:type="dxa"/>
            <w:vAlign w:val="bottom"/>
            <w:shd w:val="clear" w:color="auto" w:fill="CFF0FC"/>
          </w:tcPr>
          <w:p>
            <w:pPr>
              <w:spacing w:after="0"/>
              <w:rPr>
                <w:sz w:val="19"/>
                <w:szCs w:val="19"/>
                <w:color w:val="auto"/>
              </w:rPr>
            </w:pPr>
          </w:p>
        </w:tc>
        <w:tc>
          <w:tcPr>
            <w:tcW w:w="38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(Effective Portion)</w:t>
            </w:r>
          </w:p>
        </w:tc>
        <w:tc>
          <w:tcPr>
            <w:tcW w:w="1060" w:type="dxa"/>
            <w:vAlign w:val="bottom"/>
            <w:shd w:val="clear" w:color="auto" w:fill="CFF0FC"/>
          </w:tcPr>
          <w:p>
            <w:pPr>
              <w:jc w:val="right"/>
              <w:ind w:right="8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420" w:type="dxa"/>
            <w:vAlign w:val="bottom"/>
            <w:tcBorders>
              <w:top w:val="single" w:sz="8" w:color="CFF0FC"/>
            </w:tcBorders>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Non-designated derivatives in foreign currency relationships are as follows</w:t>
      </w:r>
      <w:r>
        <w:rPr>
          <w:rFonts w:ascii="Arial" w:cs="Arial" w:eastAsia="Arial" w:hAnsi="Arial"/>
          <w:sz w:val="18"/>
          <w:szCs w:val="18"/>
          <w:color w:val="auto"/>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22"/>
        </w:trPr>
        <w:tc>
          <w:tcPr>
            <w:tcW w:w="28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70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r>
      <w:tr>
        <w:trPr>
          <w:trHeight w:val="222"/>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Derivative Gain Reclassified</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8"/>
        </w:trPr>
        <w:tc>
          <w:tcPr>
            <w:tcW w:w="2860" w:type="dxa"/>
            <w:vAlign w:val="bottom"/>
          </w:tcPr>
          <w:p>
            <w:pPr>
              <w:spacing w:after="0"/>
              <w:rPr>
                <w:sz w:val="20"/>
                <w:szCs w:val="20"/>
                <w:color w:val="auto"/>
              </w:rPr>
            </w:pPr>
            <w:r>
              <w:rPr>
                <w:rFonts w:ascii="Arial" w:cs="Arial" w:eastAsia="Arial" w:hAnsi="Arial"/>
                <w:sz w:val="18"/>
                <w:szCs w:val="18"/>
                <w:color w:val="auto"/>
              </w:rPr>
              <w:t>— Forwards</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From AOCI</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286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(Ineffective Portion)</w:t>
            </w:r>
          </w:p>
        </w:tc>
        <w:tc>
          <w:tcPr>
            <w:tcW w:w="980" w:type="dxa"/>
            <w:vAlign w:val="bottom"/>
            <w:shd w:val="clear" w:color="auto" w:fill="CFF0FC"/>
          </w:tcPr>
          <w:p>
            <w:pPr>
              <w:jc w:val="right"/>
              <w:ind w:right="8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8"/>
        </w:trPr>
        <w:tc>
          <w:tcPr>
            <w:tcW w:w="28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Location of Derivative Gain</w:t>
            </w:r>
          </w:p>
        </w:tc>
        <w:tc>
          <w:tcPr>
            <w:tcW w:w="17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center"/>
              <w:ind w:right="380"/>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620"/>
              <w:spacing w:after="0"/>
              <w:rPr>
                <w:sz w:val="20"/>
                <w:szCs w:val="20"/>
                <w:color w:val="auto"/>
              </w:rPr>
            </w:pPr>
            <w:r>
              <w:rPr>
                <w:rFonts w:ascii="Arial" w:cs="Arial" w:eastAsia="Arial" w:hAnsi="Arial"/>
                <w:sz w:val="14"/>
                <w:szCs w:val="14"/>
                <w:b w:val="1"/>
                <w:bCs w:val="1"/>
                <w:color w:val="auto"/>
              </w:rPr>
              <w:t>2019</w:t>
            </w:r>
          </w:p>
        </w:tc>
      </w:tr>
      <w:tr>
        <w:trPr>
          <w:trHeight w:val="215"/>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r>
      <w:tr>
        <w:trPr>
          <w:trHeight w:val="228"/>
        </w:trPr>
        <w:tc>
          <w:tcPr>
            <w:tcW w:w="28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rPr>
              <w:t>administrative expenses</w:t>
            </w:r>
          </w:p>
        </w:tc>
        <w:tc>
          <w:tcPr>
            <w:tcW w:w="980" w:type="dxa"/>
            <w:vAlign w:val="bottom"/>
          </w:tcPr>
          <w:p>
            <w:pPr>
              <w:jc w:val="right"/>
              <w:ind w:right="8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344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The Company's estimated net amount of the existing gains as of December 31, 2021 is $0.1 million, which is expected to be reclassified to earnings within the next twelve months.</w:t>
      </w:r>
    </w:p>
    <w:p>
      <w:pPr>
        <w:spacing w:after="0" w:line="131"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Investments in Equity Securities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As of December 31, 2021, the Consolidated Balance Sheets includes $1.1 million (December 31, 2020 — $13.6 million) of investments in equity securities.</w:t>
      </w:r>
    </w:p>
    <w:p>
      <w:pPr>
        <w:spacing w:after="0" w:line="145"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Consolidated Statements of Operations. For the year ended December 31, 2020, the Company recorded a net unrealized loss of $2.1 million. As of December 31, 2020, the value of the Company’s investment in Maoyan was $12.6 million.</w:t>
      </w:r>
    </w:p>
    <w:p>
      <w:pPr>
        <w:spacing w:after="0" w:line="129"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has an investment of $1.1 million (December 31, 2020 — $1.1 million) in the shares of an exchange traded fund. This investment is classified as an equity investment.</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December 31, 2021, the Company held investments in the preferred shares of enterprises which meet the criteria for classification as an equity security under FASB ASC 325, carried at historical cost, net of impairment charges. The carrying value of these equity security investments was $1.0 million as of December 31, 2021 (December 31, 2020 — $1.0 million) and is recorded in Other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6" w:name="page137"/>
    <w:bookmarkEnd w:id="136"/>
    <w:p>
      <w:pPr>
        <w:ind w:left="320" w:hanging="313"/>
        <w:spacing w:after="0"/>
        <w:tabs>
          <w:tab w:leader="none" w:pos="3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99" w:lineRule="exact"/>
        <w:rPr>
          <w:rFonts w:ascii="Arial" w:cs="Arial" w:eastAsia="Arial" w:hAnsi="Arial"/>
          <w:sz w:val="18"/>
          <w:szCs w:val="18"/>
          <w:b w:val="1"/>
          <w:bCs w:val="1"/>
          <w:color w:val="auto"/>
        </w:rPr>
      </w:pPr>
    </w:p>
    <w:p>
      <w:pPr>
        <w:ind w:left="580" w:hanging="358"/>
        <w:spacing w:after="0"/>
        <w:tabs>
          <w:tab w:leader="none" w:pos="580" w:val="left"/>
        </w:tabs>
        <w:numPr>
          <w:ilvl w:val="1"/>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2021 and 2020, the projected benefit obligation for SERP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774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40" w:type="dxa"/>
            <w:vAlign w:val="bottom"/>
          </w:tcPr>
          <w:p>
            <w:pPr>
              <w:ind w:left="260"/>
              <w:spacing w:after="0"/>
              <w:rPr>
                <w:sz w:val="20"/>
                <w:szCs w:val="20"/>
                <w:color w:val="auto"/>
              </w:rPr>
            </w:pPr>
            <w:r>
              <w:rPr>
                <w:rFonts w:ascii="Arial" w:cs="Arial" w:eastAsia="Arial" w:hAnsi="Arial"/>
                <w:sz w:val="18"/>
                <w:szCs w:val="18"/>
                <w:color w:val="auto"/>
              </w:rPr>
              <w:t>Obligation, beginning of period</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20,116</w:t>
            </w:r>
          </w:p>
        </w:tc>
        <w:tc>
          <w:tcPr>
            <w:tcW w:w="5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8"/>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Actuarial (gain) loss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2"/>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Obligation, end of period and unfunded status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20,056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225"/>
        <w:spacing w:after="0" w:line="305" w:lineRule="auto"/>
        <w:rPr>
          <w:sz w:val="20"/>
          <w:szCs w:val="20"/>
          <w:color w:val="auto"/>
        </w:rPr>
      </w:pPr>
      <w:r>
        <w:rPr>
          <w:rFonts w:ascii="Arial" w:cs="Arial" w:eastAsia="Arial" w:hAnsi="Arial"/>
          <w:sz w:val="17"/>
          <w:szCs w:val="17"/>
          <w:color w:val="auto"/>
        </w:rPr>
        <w:t>As of December 31, 2021, 2020, and 2019, the following amounts related to the SERP were recorded on the Company’s Consolidated Balance Sheets within Accumulated Other Comprehensive Income and will be recognized as components of net periodic benefit cost in future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Unrealized actuarial gain</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prior service cost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369</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costs to be recognized in future periods</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120" w:type="dxa"/>
            <w:vAlign w:val="bottom"/>
            <w:gridSpan w:val="9"/>
          </w:tcPr>
          <w:p>
            <w:pPr>
              <w:ind w:left="240"/>
              <w:spacing w:after="0"/>
              <w:rPr>
                <w:sz w:val="20"/>
                <w:szCs w:val="20"/>
                <w:color w:val="auto"/>
              </w:rPr>
            </w:pPr>
            <w:r>
              <w:rPr>
                <w:rFonts w:ascii="Arial" w:cs="Arial" w:eastAsia="Arial" w:hAnsi="Arial"/>
                <w:sz w:val="20"/>
                <w:szCs w:val="20"/>
                <w:color w:val="auto"/>
                <w:w w:val="92"/>
              </w:rPr>
              <w:t xml:space="preserve">For the years ended </w:t>
            </w:r>
            <w:r>
              <w:rPr>
                <w:rFonts w:ascii="Arial" w:cs="Arial" w:eastAsia="Arial" w:hAnsi="Arial"/>
                <w:sz w:val="17"/>
                <w:szCs w:val="17"/>
                <w:color w:val="auto"/>
                <w:w w:val="92"/>
              </w:rPr>
              <w:t>December 31, 2021</w:t>
            </w:r>
            <w:r>
              <w:rPr>
                <w:rFonts w:ascii="Arial" w:cs="Arial" w:eastAsia="Arial" w:hAnsi="Arial"/>
                <w:sz w:val="20"/>
                <w:szCs w:val="20"/>
                <w:color w:val="auto"/>
                <w:w w:val="92"/>
              </w:rPr>
              <w:t xml:space="preserve">, </w:t>
            </w:r>
            <w:r>
              <w:rPr>
                <w:rFonts w:ascii="Arial" w:cs="Arial" w:eastAsia="Arial" w:hAnsi="Arial"/>
                <w:sz w:val="17"/>
                <w:szCs w:val="17"/>
                <w:color w:val="auto"/>
                <w:w w:val="92"/>
              </w:rPr>
              <w:t>2020</w:t>
            </w:r>
            <w:r>
              <w:rPr>
                <w:rFonts w:ascii="Arial" w:cs="Arial" w:eastAsia="Arial" w:hAnsi="Arial"/>
                <w:sz w:val="20"/>
                <w:szCs w:val="20"/>
                <w:color w:val="auto"/>
                <w:w w:val="92"/>
              </w:rPr>
              <w:t xml:space="preserve">, and 2019, the components of </w:t>
            </w:r>
            <w:r>
              <w:rPr>
                <w:rFonts w:ascii="Arial" w:cs="Arial" w:eastAsia="Arial" w:hAnsi="Arial"/>
                <w:sz w:val="17"/>
                <w:szCs w:val="17"/>
                <w:color w:val="auto"/>
                <w:w w:val="92"/>
              </w:rPr>
              <w:t>pension expense related to the SERP were as follows: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5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8"/>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expense</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The following assumptions were used to determine the SERP obligation and any related costs as of and for the years ended December 31, 2021</w:t>
      </w:r>
      <w:r>
        <w:rPr>
          <w:rFonts w:ascii="Arial" w:cs="Arial" w:eastAsia="Arial" w:hAnsi="Arial"/>
          <w:sz w:val="19"/>
          <w:szCs w:val="19"/>
          <w:color w:val="auto"/>
        </w:rPr>
        <w:t>,</w:t>
      </w:r>
      <w:r>
        <w:rPr>
          <w:rFonts w:ascii="Arial" w:cs="Arial" w:eastAsia="Arial" w:hAnsi="Arial"/>
          <w:sz w:val="18"/>
          <w:szCs w:val="18"/>
          <w:color w:val="auto"/>
        </w:rPr>
        <w:t xml:space="preserve"> 2020, and 2019:</w:t>
      </w:r>
    </w:p>
    <w:p>
      <w:pPr>
        <w:spacing w:after="0" w:line="24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20" w:type="dxa"/>
            <w:vAlign w:val="bottom"/>
          </w:tcPr>
          <w:p>
            <w:pPr>
              <w:spacing w:after="0"/>
              <w:rPr>
                <w:sz w:val="13"/>
                <w:szCs w:val="13"/>
                <w:color w:val="auto"/>
              </w:rPr>
            </w:pPr>
          </w:p>
        </w:tc>
        <w:tc>
          <w:tcPr>
            <w:tcW w:w="8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1620" w:type="dxa"/>
            <w:vAlign w:val="bottom"/>
            <w:tcBorders>
              <w:top w:val="single" w:sz="8" w:color="auto"/>
            </w:tcBorders>
            <w:gridSpan w:val="3"/>
          </w:tcPr>
          <w:p>
            <w:pPr>
              <w:ind w:left="1240"/>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3"/>
              </w:rPr>
              <w:t>0.80%</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3"/>
              </w:rPr>
              <w:t>0.36%</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3"/>
              </w:rPr>
              <w:t>2.00%</w:t>
            </w:r>
          </w:p>
        </w:tc>
      </w:tr>
      <w:tr>
        <w:trPr>
          <w:trHeight w:val="228"/>
        </w:trPr>
        <w:tc>
          <w:tcPr>
            <w:tcW w:w="7400" w:type="dxa"/>
            <w:vAlign w:val="bottom"/>
            <w:gridSpan w:val="2"/>
          </w:tcPr>
          <w:p>
            <w:pPr>
              <w:spacing w:after="0"/>
              <w:rPr>
                <w:sz w:val="20"/>
                <w:szCs w:val="20"/>
                <w:color w:val="auto"/>
              </w:rPr>
            </w:pPr>
            <w:r>
              <w:rPr>
                <w:rFonts w:ascii="Arial" w:cs="Arial" w:eastAsia="Arial" w:hAnsi="Arial"/>
                <w:sz w:val="18"/>
                <w:szCs w:val="18"/>
                <w:color w:val="auto"/>
              </w:rPr>
              <w:t>Lump sum interest rate: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8"/>
        </w:trPr>
        <w:tc>
          <w:tcPr>
            <w:tcW w:w="7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25 years</w:t>
            </w:r>
          </w:p>
        </w:tc>
        <w:tc>
          <w:tcPr>
            <w:tcW w:w="1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3"/>
              </w:rPr>
              <w:t>2.12%</w:t>
            </w:r>
          </w:p>
        </w:tc>
      </w:tr>
      <w:tr>
        <w:trPr>
          <w:trHeight w:val="228"/>
        </w:trPr>
        <w:tc>
          <w:tcPr>
            <w:tcW w:w="7400" w:type="dxa"/>
            <w:vAlign w:val="bottom"/>
            <w:gridSpan w:val="2"/>
          </w:tcPr>
          <w:p>
            <w:pPr>
              <w:ind w:left="260"/>
              <w:spacing w:after="0"/>
              <w:rPr>
                <w:sz w:val="20"/>
                <w:szCs w:val="20"/>
                <w:color w:val="auto"/>
              </w:rPr>
            </w:pPr>
            <w:r>
              <w:rPr>
                <w:rFonts w:ascii="Arial" w:cs="Arial" w:eastAsia="Arial" w:hAnsi="Arial"/>
                <w:sz w:val="18"/>
                <w:szCs w:val="18"/>
                <w:color w:val="auto"/>
              </w:rPr>
              <w:t>First 20 years</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480" w:type="dxa"/>
            <w:vAlign w:val="bottom"/>
          </w:tcPr>
          <w:p>
            <w:pPr>
              <w:ind w:left="980"/>
              <w:spacing w:after="0"/>
              <w:rPr>
                <w:sz w:val="20"/>
                <w:szCs w:val="20"/>
                <w:color w:val="auto"/>
              </w:rPr>
            </w:pPr>
            <w:r>
              <w:rPr>
                <w:rFonts w:ascii="Arial" w:cs="Arial" w:eastAsia="Arial" w:hAnsi="Arial"/>
                <w:sz w:val="18"/>
                <w:szCs w:val="18"/>
                <w:color w:val="auto"/>
              </w:rPr>
              <w:t>N/A</w:t>
            </w:r>
          </w:p>
        </w:tc>
      </w:tr>
      <w:tr>
        <w:trPr>
          <w:trHeight w:val="228"/>
        </w:trPr>
        <w:tc>
          <w:tcPr>
            <w:tcW w:w="7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Thereafter</w:t>
            </w:r>
          </w:p>
        </w:tc>
        <w:tc>
          <w:tcPr>
            <w:tcW w:w="16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4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3"/>
              </w:rPr>
              <w:t>2.26%</w:t>
            </w:r>
          </w:p>
        </w:tc>
      </w:tr>
      <w:tr>
        <w:trPr>
          <w:trHeight w:val="229"/>
        </w:trPr>
        <w:tc>
          <w:tcPr>
            <w:tcW w:w="7400" w:type="dxa"/>
            <w:vAlign w:val="bottom"/>
            <w:gridSpan w:val="2"/>
          </w:tcPr>
          <w:p>
            <w:pPr>
              <w:spacing w:after="0"/>
              <w:rPr>
                <w:sz w:val="20"/>
                <w:szCs w:val="20"/>
                <w:color w:val="auto"/>
              </w:rPr>
            </w:pPr>
            <w:r>
              <w:rPr>
                <w:rFonts w:ascii="Arial" w:cs="Arial" w:eastAsia="Arial" w:hAnsi="Arial"/>
                <w:sz w:val="18"/>
                <w:szCs w:val="18"/>
                <w:color w:val="auto"/>
              </w:rPr>
              <w:t>Cost of living adjustment on benefits</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480" w:type="dxa"/>
            <w:vAlign w:val="bottom"/>
          </w:tcPr>
          <w:p>
            <w:pPr>
              <w:ind w:left="980"/>
              <w:spacing w:after="0"/>
              <w:rPr>
                <w:sz w:val="20"/>
                <w:szCs w:val="20"/>
                <w:color w:val="auto"/>
              </w:rPr>
            </w:pPr>
            <w:r>
              <w:rPr>
                <w:rFonts w:ascii="Arial" w:cs="Arial" w:eastAsia="Arial" w:hAnsi="Arial"/>
                <w:sz w:val="18"/>
                <w:szCs w:val="18"/>
                <w:color w:val="auto"/>
                <w:w w:val="93"/>
              </w:rPr>
              <w:t>1.20%</w:t>
            </w:r>
          </w:p>
        </w:tc>
      </w:tr>
    </w:tbl>
    <w:p>
      <w:pPr>
        <w:spacing w:after="0" w:line="199"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No contributions were made for the SERP during 2021. The Company expects interest costs of $0.2 million to be recognized as a component of pension cost for the year ended December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7" w:name="page138"/>
    <w:bookmarkEnd w:id="137"/>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Defined Contribution Pension Plan</w:t>
      </w:r>
    </w:p>
    <w:p>
      <w:pPr>
        <w:spacing w:after="0" w:line="182"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The Company also maintains defined contribution pension plans for its employees, including its executive officers. The Company makes contributions to these plans on behalf of employees in an amount up to 5% of their base salary subject to certain prescribed maximums. During 2021, the Company contributed and recorded expense of $1.1 million (2020 — $1.1 million; 2019 — $1.2 million) to its Canadian plan and $0.5 million (2020 — $0.6 million; 2019 — $0.6 million) to its defined contribution employee pension plan under Section 401(k) of the U.S. Internal Revenue Code.</w:t>
      </w:r>
    </w:p>
    <w:p>
      <w:pPr>
        <w:spacing w:after="0" w:line="13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Postretirement Benefits - Executives</w:t>
      </w:r>
    </w:p>
    <w:p>
      <w:pPr>
        <w:spacing w:after="0" w:line="182" w:lineRule="exact"/>
        <w:rPr>
          <w:sz w:val="20"/>
          <w:szCs w:val="20"/>
          <w:color w:val="auto"/>
        </w:rPr>
      </w:pPr>
    </w:p>
    <w:p>
      <w:pPr>
        <w:jc w:val="both"/>
        <w:ind w:firstLine="225"/>
        <w:spacing w:after="0" w:line="294" w:lineRule="auto"/>
        <w:rPr>
          <w:sz w:val="20"/>
          <w:szCs w:val="20"/>
          <w:color w:val="auto"/>
        </w:rPr>
      </w:pPr>
      <w:r>
        <w:rPr>
          <w:rFonts w:ascii="Arial" w:cs="Arial" w:eastAsia="Arial" w:hAnsi="Arial"/>
          <w:sz w:val="16"/>
          <w:szCs w:val="16"/>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Mr. Gelfond and Wechsler until they become eligible for Medicare and, thereafter, the Company will provide Medicare supplemental coverage as selected by Mr. Gelfond and Wechsler. Mr. Wechsler retired from the Company’s Board of Directors on June 9, 2021. The Company maintained Mr. Wechsler’s health benefits through December 31, 2021, and thereafter will provide him with Medicare supplemental coverage or its equivalent value.</w:t>
      </w:r>
    </w:p>
    <w:p>
      <w:pPr>
        <w:spacing w:after="0" w:line="119"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20"/>
          <w:szCs w:val="20"/>
          <w:color w:val="auto"/>
        </w:rPr>
        <w:t xml:space="preserve">As of </w:t>
      </w:r>
      <w:r>
        <w:rPr>
          <w:rFonts w:ascii="Arial" w:cs="Arial" w:eastAsia="Arial" w:hAnsi="Arial"/>
          <w:sz w:val="17"/>
          <w:szCs w:val="17"/>
          <w:color w:val="auto"/>
        </w:rPr>
        <w:t>December 31, 2021 and 2020, the</w:t>
      </w:r>
      <w:r>
        <w:rPr>
          <w:rFonts w:ascii="Arial" w:cs="Arial" w:eastAsia="Arial" w:hAnsi="Arial"/>
          <w:sz w:val="20"/>
          <w:szCs w:val="20"/>
          <w:color w:val="auto"/>
        </w:rPr>
        <w:t xml:space="preserve"> Company’s Consolidated Balance Sheets include the following amounts within Accrued and Other Liabilities related to the </w:t>
      </w:r>
      <w:r>
        <w:rPr>
          <w:rFonts w:ascii="Arial" w:cs="Arial" w:eastAsia="Arial" w:hAnsi="Arial"/>
          <w:sz w:val="17"/>
          <w:szCs w:val="17"/>
          <w:color w:val="auto"/>
        </w:rPr>
        <w:t>Executive Postretirement Benefit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40" w:type="dxa"/>
            <w:vAlign w:val="bottom"/>
            <w:tcBorders>
              <w:bottom w:val="single" w:sz="8" w:color="CFF0FC"/>
            </w:tcBorders>
            <w:vMerge w:val="continue"/>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120"/>
              <w:spacing w:after="0"/>
              <w:rPr>
                <w:sz w:val="20"/>
                <w:szCs w:val="20"/>
                <w:color w:val="auto"/>
              </w:rPr>
            </w:pPr>
            <w:r>
              <w:rPr>
                <w:rFonts w:ascii="Arial" w:cs="Arial" w:eastAsia="Arial" w:hAnsi="Arial"/>
                <w:sz w:val="18"/>
                <w:szCs w:val="18"/>
                <w:color w:val="auto"/>
              </w:rPr>
              <w:t>Obligation, beginning of year</w:t>
            </w:r>
          </w:p>
        </w:tc>
        <w:tc>
          <w:tcPr>
            <w:tcW w:w="2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54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Actuarial (gain) loss</w:t>
            </w:r>
          </w:p>
        </w:tc>
        <w:tc>
          <w:tcPr>
            <w:tcW w:w="2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5440" w:type="dxa"/>
            <w:vAlign w:val="bottom"/>
          </w:tcPr>
          <w:p>
            <w:pPr>
              <w:ind w:left="120"/>
              <w:spacing w:after="0"/>
              <w:rPr>
                <w:sz w:val="20"/>
                <w:szCs w:val="20"/>
                <w:color w:val="auto"/>
              </w:rPr>
            </w:pPr>
            <w:r>
              <w:rPr>
                <w:rFonts w:ascii="Arial" w:cs="Arial" w:eastAsia="Arial" w:hAnsi="Arial"/>
                <w:sz w:val="18"/>
                <w:szCs w:val="18"/>
                <w:color w:val="auto"/>
              </w:rPr>
              <w:t>Obligation, end of year and unfunded status</w:t>
            </w:r>
          </w:p>
        </w:tc>
        <w:tc>
          <w:tcPr>
            <w:tcW w:w="2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25"/>
        <w:spacing w:after="0" w:line="258" w:lineRule="auto"/>
        <w:rPr>
          <w:sz w:val="20"/>
          <w:szCs w:val="20"/>
          <w:color w:val="auto"/>
        </w:rPr>
      </w:pPr>
      <w:r>
        <w:rPr>
          <w:rFonts w:ascii="Arial" w:cs="Arial" w:eastAsia="Arial" w:hAnsi="Arial"/>
          <w:sz w:val="20"/>
          <w:szCs w:val="20"/>
          <w:color w:val="auto"/>
        </w:rPr>
        <w:t xml:space="preserve">For the years </w:t>
      </w:r>
      <w:r>
        <w:rPr>
          <w:rFonts w:ascii="Arial" w:cs="Arial" w:eastAsia="Arial" w:hAnsi="Arial"/>
          <w:sz w:val="17"/>
          <w:szCs w:val="17"/>
          <w:color w:val="auto"/>
        </w:rPr>
        <w:t>ended 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components of pension expense related to the </w:t>
      </w:r>
      <w:r>
        <w:rPr>
          <w:rFonts w:ascii="Arial" w:cs="Arial" w:eastAsia="Arial" w:hAnsi="Arial"/>
          <w:sz w:val="17"/>
          <w:szCs w:val="17"/>
          <w:color w:val="auto"/>
        </w:rPr>
        <w:t>Executive Postretirement Benefit Plan</w:t>
      </w:r>
      <w:r>
        <w:rPr>
          <w:rFonts w:ascii="Arial" w:cs="Arial" w:eastAsia="Arial" w:hAnsi="Arial"/>
          <w:sz w:val="20"/>
          <w:szCs w:val="20"/>
          <w:color w:val="auto"/>
        </w:rPr>
        <w:t xml:space="preserve"> were as follows</w:t>
      </w:r>
      <w:r>
        <w:rPr>
          <w:rFonts w:ascii="Arial" w:cs="Arial" w:eastAsia="Arial" w:hAnsi="Arial"/>
          <w:sz w:val="17"/>
          <w:szCs w:val="17"/>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00" w:type="dxa"/>
            <w:vAlign w:val="bottom"/>
            <w:tcBorders>
              <w:bottom w:val="single" w:sz="8" w:color="CFF0FC"/>
            </w:tcBorders>
            <w:vMerge w:val="continue"/>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actuarial gain</w:t>
            </w:r>
          </w:p>
        </w:tc>
        <w:tc>
          <w:tcPr>
            <w:tcW w:w="2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expense</w:t>
            </w:r>
          </w:p>
        </w:tc>
        <w:tc>
          <w:tcPr>
            <w:tcW w:w="2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8"/>
          <w:szCs w:val="18"/>
          <w:color w:val="auto"/>
        </w:rPr>
        <w:t xml:space="preserve">As of December 31, 2021, 2020, and 2019, the following amounts </w:t>
      </w:r>
      <w:r>
        <w:rPr>
          <w:rFonts w:ascii="Arial" w:cs="Arial" w:eastAsia="Arial" w:hAnsi="Arial"/>
          <w:sz w:val="19"/>
          <w:szCs w:val="19"/>
          <w:color w:val="auto"/>
        </w:rPr>
        <w:t>related to the</w:t>
      </w:r>
      <w:r>
        <w:rPr>
          <w:rFonts w:ascii="Arial" w:cs="Arial" w:eastAsia="Arial" w:hAnsi="Arial"/>
          <w:sz w:val="18"/>
          <w:szCs w:val="18"/>
          <w:color w:val="auto"/>
        </w:rPr>
        <w:t xml:space="preserve"> Executive Postretirement Benefit Plan were recorded on the Company’s Consolidated Balance Sheets within Accumulated Other Comprehensive Income and will be recognized as components of net pension cost in future periods: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40" w:type="dxa"/>
            <w:vAlign w:val="bottom"/>
            <w:tcBorders>
              <w:bottom w:val="single" w:sz="8" w:color="CFF0FC"/>
            </w:tcBorders>
            <w:vMerge w:val="continue"/>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actuarial (gain) loss</w:t>
            </w:r>
          </w:p>
        </w:tc>
        <w:tc>
          <w:tcPr>
            <w:tcW w:w="2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25"/>
        <w:spacing w:after="0"/>
        <w:rPr>
          <w:sz w:val="20"/>
          <w:szCs w:val="20"/>
          <w:color w:val="auto"/>
        </w:rPr>
      </w:pPr>
      <w:r>
        <w:rPr>
          <w:rFonts w:ascii="Arial" w:cs="Arial" w:eastAsia="Arial" w:hAnsi="Arial"/>
          <w:sz w:val="20"/>
          <w:szCs w:val="20"/>
          <w:color w:val="auto"/>
        </w:rPr>
        <w:t xml:space="preserve">As of </w:t>
      </w:r>
      <w:r>
        <w:rPr>
          <w:rFonts w:ascii="Arial" w:cs="Arial" w:eastAsia="Arial" w:hAnsi="Arial"/>
          <w:sz w:val="17"/>
          <w:szCs w:val="17"/>
          <w:color w:val="auto"/>
        </w:rPr>
        <w:t>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w:t>
      </w:r>
      <w:r>
        <w:rPr>
          <w:rFonts w:ascii="Arial" w:cs="Arial" w:eastAsia="Arial" w:hAnsi="Arial"/>
          <w:sz w:val="17"/>
          <w:szCs w:val="17"/>
          <w:color w:val="auto"/>
        </w:rPr>
        <w:t>weighted average assumptions used to determine the benefit obligation related to the Executive</w:t>
      </w:r>
      <w:r>
        <w:rPr>
          <w:rFonts w:ascii="Arial" w:cs="Arial" w:eastAsia="Arial" w:hAnsi="Arial"/>
          <w:sz w:val="20"/>
          <w:szCs w:val="20"/>
          <w:color w:val="auto"/>
        </w:rPr>
        <w:t xml:space="preserve"> </w:t>
      </w:r>
      <w:r>
        <w:rPr>
          <w:rFonts w:ascii="Arial" w:cs="Arial" w:eastAsia="Arial" w:hAnsi="Arial"/>
          <w:sz w:val="17"/>
          <w:szCs w:val="17"/>
          <w:color w:val="auto"/>
        </w:rPr>
        <w:t>Postretirement Benefit Plan are as follows:</w:t>
      </w:r>
    </w:p>
    <w:p>
      <w:pPr>
        <w:spacing w:after="0" w:line="272"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2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00" w:type="dxa"/>
            <w:vAlign w:val="bottom"/>
            <w:shd w:val="clear" w:color="auto" w:fill="CFF0FC"/>
          </w:tcPr>
          <w:p>
            <w:pPr>
              <w:jc w:val="right"/>
              <w:ind w:right="5451"/>
              <w:spacing w:after="0"/>
              <w:rPr>
                <w:sz w:val="20"/>
                <w:szCs w:val="20"/>
                <w:color w:val="auto"/>
              </w:rPr>
            </w:pPr>
            <w:r>
              <w:rPr>
                <w:rFonts w:ascii="Arial" w:cs="Arial" w:eastAsia="Arial" w:hAnsi="Arial"/>
                <w:sz w:val="18"/>
                <w:szCs w:val="18"/>
                <w:color w:val="auto"/>
                <w:w w:val="88"/>
              </w:rPr>
              <w:t>Discount rate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r>
      <w:tr>
        <w:trPr>
          <w:trHeight w:val="645"/>
        </w:trPr>
        <w:tc>
          <w:tcPr>
            <w:tcW w:w="6500" w:type="dxa"/>
            <w:vAlign w:val="bottom"/>
          </w:tcPr>
          <w:p>
            <w:pPr>
              <w:jc w:val="right"/>
              <w:ind w:right="651"/>
              <w:spacing w:after="0"/>
              <w:rPr>
                <w:sz w:val="20"/>
                <w:szCs w:val="20"/>
                <w:color w:val="auto"/>
              </w:rPr>
            </w:pPr>
            <w:r>
              <w:rPr>
                <w:rFonts w:ascii="Arial" w:cs="Arial" w:eastAsia="Arial" w:hAnsi="Arial"/>
                <w:sz w:val="18"/>
                <w:szCs w:val="18"/>
                <w:color w:val="auto"/>
              </w:rPr>
              <w:t>138</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4"/>
        </w:trPr>
        <w:tc>
          <w:tcPr>
            <w:tcW w:w="65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8" w:name="page139"/>
    <w:bookmarkEnd w:id="138"/>
    <w:p>
      <w:pPr>
        <w:ind w:firstLine="225"/>
        <w:spacing w:after="0"/>
        <w:rPr>
          <w:sz w:val="20"/>
          <w:szCs w:val="20"/>
          <w:color w:val="auto"/>
        </w:rPr>
      </w:pPr>
      <w:r>
        <w:rPr>
          <w:rFonts w:ascii="Arial" w:cs="Arial" w:eastAsia="Arial" w:hAnsi="Arial"/>
          <w:sz w:val="20"/>
          <w:szCs w:val="20"/>
          <w:color w:val="auto"/>
        </w:rPr>
        <w:t xml:space="preserve">For the years ended </w:t>
      </w:r>
      <w:r>
        <w:rPr>
          <w:rFonts w:ascii="Arial" w:cs="Arial" w:eastAsia="Arial" w:hAnsi="Arial"/>
          <w:sz w:val="17"/>
          <w:szCs w:val="17"/>
          <w:color w:val="auto"/>
        </w:rPr>
        <w:t>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w:t>
      </w:r>
      <w:r>
        <w:rPr>
          <w:rFonts w:ascii="Arial" w:cs="Arial" w:eastAsia="Arial" w:hAnsi="Arial"/>
          <w:sz w:val="17"/>
          <w:szCs w:val="17"/>
          <w:color w:val="auto"/>
        </w:rPr>
        <w:t>weighted average assumptions used to determine the net postretirement benefit expense</w:t>
      </w:r>
      <w:r>
        <w:rPr>
          <w:rFonts w:ascii="Arial" w:cs="Arial" w:eastAsia="Arial" w:hAnsi="Arial"/>
          <w:sz w:val="20"/>
          <w:szCs w:val="20"/>
          <w:color w:val="auto"/>
        </w:rPr>
        <w:t xml:space="preserve"> </w:t>
      </w:r>
      <w:r>
        <w:rPr>
          <w:rFonts w:ascii="Arial" w:cs="Arial" w:eastAsia="Arial" w:hAnsi="Arial"/>
          <w:sz w:val="17"/>
          <w:szCs w:val="17"/>
          <w:color w:val="auto"/>
        </w:rPr>
        <w:t>related to the Executive Postretirement Benefit Plan are as follows:</w:t>
      </w:r>
    </w:p>
    <w:p>
      <w:pPr>
        <w:spacing w:after="0" w:line="27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2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benefit payments are expected to be made as per the current plan assumptions for the Executive Postretirement Benefit Plan in each of the next five years and thereafter following the December 31, 2021 balance sheet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540" w:type="dxa"/>
            <w:vAlign w:val="bottom"/>
            <w:gridSpan w:val="2"/>
            <w:shd w:val="clear" w:color="auto" w:fill="CFF0FC"/>
          </w:tcPr>
          <w:p>
            <w:pPr>
              <w:jc w:val="right"/>
              <w:ind w:right="63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r>
      <w:tr>
        <w:trPr>
          <w:trHeight w:val="228"/>
        </w:trPr>
        <w:tc>
          <w:tcPr>
            <w:tcW w:w="5460" w:type="dxa"/>
            <w:vAlign w:val="bottom"/>
          </w:tcPr>
          <w:p>
            <w:pPr>
              <w:spacing w:after="0"/>
              <w:rPr>
                <w:sz w:val="20"/>
                <w:szCs w:val="20"/>
                <w:color w:val="auto"/>
              </w:rPr>
            </w:pPr>
            <w:r>
              <w:rPr>
                <w:rFonts w:ascii="Arial" w:cs="Arial" w:eastAsia="Arial" w:hAnsi="Arial"/>
                <w:sz w:val="18"/>
                <w:szCs w:val="18"/>
                <w:color w:val="auto"/>
              </w:rPr>
              <w:t>2025</w:t>
            </w:r>
          </w:p>
        </w:tc>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w:t>
            </w:r>
          </w:p>
        </w:tc>
      </w:tr>
      <w:tr>
        <w:trPr>
          <w:trHeight w:val="228"/>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r>
      <w:tr>
        <w:trPr>
          <w:trHeight w:val="228"/>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7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938</w:t>
            </w:r>
          </w:p>
        </w:tc>
      </w:tr>
      <w:tr>
        <w:trPr>
          <w:trHeight w:val="222"/>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1,030</w:t>
            </w:r>
          </w:p>
        </w:tc>
      </w:tr>
      <w:tr>
        <w:trPr>
          <w:trHeight w:val="20"/>
        </w:trPr>
        <w:tc>
          <w:tcPr>
            <w:tcW w:w="5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Postretirement Benefits – Canadian Employees</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Company has an unfunded postretirement plan for its Canadian employees meeting specific eligibility requirements (the “Canadian Postretirement Benefit Plan”). The Company will provide eligible participants, upon retirement, with health and welfare benefits.</w:t>
      </w:r>
    </w:p>
    <w:p>
      <w:pPr>
        <w:spacing w:after="0" w:line="129"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20"/>
          <w:szCs w:val="20"/>
          <w:color w:val="auto"/>
        </w:rPr>
        <w:t xml:space="preserve">As of </w:t>
      </w:r>
      <w:r>
        <w:rPr>
          <w:rFonts w:ascii="Arial" w:cs="Arial" w:eastAsia="Arial" w:hAnsi="Arial"/>
          <w:sz w:val="17"/>
          <w:szCs w:val="17"/>
          <w:color w:val="auto"/>
        </w:rPr>
        <w:t>December 31, 2021</w:t>
      </w:r>
      <w:r>
        <w:rPr>
          <w:rFonts w:ascii="Arial" w:cs="Arial" w:eastAsia="Arial" w:hAnsi="Arial"/>
          <w:sz w:val="20"/>
          <w:szCs w:val="20"/>
          <w:color w:val="auto"/>
        </w:rPr>
        <w:t xml:space="preserve"> and </w:t>
      </w:r>
      <w:r>
        <w:rPr>
          <w:rFonts w:ascii="Arial" w:cs="Arial" w:eastAsia="Arial" w:hAnsi="Arial"/>
          <w:sz w:val="17"/>
          <w:szCs w:val="17"/>
          <w:color w:val="auto"/>
        </w:rPr>
        <w:t>2020</w:t>
      </w:r>
      <w:r>
        <w:rPr>
          <w:rFonts w:ascii="Arial" w:cs="Arial" w:eastAsia="Arial" w:hAnsi="Arial"/>
          <w:sz w:val="20"/>
          <w:szCs w:val="20"/>
          <w:color w:val="auto"/>
        </w:rPr>
        <w:t xml:space="preserve">, the Company’s Consolidated Balance Sheets include the following amounts within Accrued and Other Liabilities related to the </w:t>
      </w:r>
      <w:r>
        <w:rPr>
          <w:rFonts w:ascii="Arial" w:cs="Arial" w:eastAsia="Arial" w:hAnsi="Arial"/>
          <w:sz w:val="17"/>
          <w:szCs w:val="17"/>
          <w:color w:val="auto"/>
        </w:rPr>
        <w:t>Canadian Postretirement Benefit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40" w:type="dxa"/>
            <w:vAlign w:val="bottom"/>
            <w:tcBorders>
              <w:bottom w:val="single" w:sz="8" w:color="CFF0FC"/>
            </w:tcBorders>
            <w:vMerge w:val="continue"/>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obligations:</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120"/>
              <w:spacing w:after="0"/>
              <w:rPr>
                <w:sz w:val="20"/>
                <w:szCs w:val="20"/>
                <w:color w:val="auto"/>
              </w:rPr>
            </w:pPr>
            <w:r>
              <w:rPr>
                <w:rFonts w:ascii="Arial" w:cs="Arial" w:eastAsia="Arial" w:hAnsi="Arial"/>
                <w:sz w:val="18"/>
                <w:szCs w:val="18"/>
                <w:color w:val="auto"/>
              </w:rPr>
              <w:t>Obligation, beginning of year</w:t>
            </w:r>
          </w:p>
        </w:tc>
        <w:tc>
          <w:tcPr>
            <w:tcW w:w="2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54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8"/>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Actuarial (gain) loss</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8"/>
        </w:trPr>
        <w:tc>
          <w:tcPr>
            <w:tcW w:w="54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Unrealized foreign exchange loss</w:t>
            </w:r>
          </w:p>
        </w:tc>
        <w:tc>
          <w:tcPr>
            <w:tcW w:w="2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5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Obligation, end of year and unfunded status</w:t>
            </w:r>
          </w:p>
        </w:tc>
        <w:tc>
          <w:tcPr>
            <w:tcW w:w="2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1,702</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20"/>
          <w:szCs w:val="20"/>
          <w:color w:val="auto"/>
        </w:rPr>
        <w:t xml:space="preserve">For the years ended </w:t>
      </w:r>
      <w:r>
        <w:rPr>
          <w:rFonts w:ascii="Arial" w:cs="Arial" w:eastAsia="Arial" w:hAnsi="Arial"/>
          <w:sz w:val="17"/>
          <w:szCs w:val="17"/>
          <w:color w:val="auto"/>
        </w:rPr>
        <w:t>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components of pension expense related to the </w:t>
      </w:r>
      <w:r>
        <w:rPr>
          <w:rFonts w:ascii="Arial" w:cs="Arial" w:eastAsia="Arial" w:hAnsi="Arial"/>
          <w:sz w:val="17"/>
          <w:szCs w:val="17"/>
          <w:color w:val="auto"/>
        </w:rPr>
        <w:t>Canadian Postretirement Benefit Plan</w:t>
      </w:r>
      <w:r>
        <w:rPr>
          <w:rFonts w:ascii="Arial" w:cs="Arial" w:eastAsia="Arial" w:hAnsi="Arial"/>
          <w:sz w:val="20"/>
          <w:szCs w:val="20"/>
          <w:color w:val="auto"/>
        </w:rPr>
        <w:t xml:space="preserve"> were as follows</w:t>
      </w:r>
      <w:r>
        <w:rPr>
          <w:rFonts w:ascii="Arial" w:cs="Arial" w:eastAsia="Arial" w:hAnsi="Arial"/>
          <w:sz w:val="17"/>
          <w:szCs w:val="17"/>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0" w:type="dxa"/>
            <w:vAlign w:val="bottom"/>
            <w:tcBorders>
              <w:bottom w:val="single" w:sz="8" w:color="CFF0FC"/>
            </w:tcBorders>
            <w:vMerge w:val="continue"/>
          </w:tcPr>
          <w:p>
            <w:pPr>
              <w:spacing w:after="0"/>
              <w:rPr>
                <w:sz w:val="13"/>
                <w:szCs w:val="13"/>
                <w:color w:val="auto"/>
              </w:rPr>
            </w:pPr>
          </w:p>
        </w:tc>
        <w:tc>
          <w:tcPr>
            <w:tcW w:w="24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Pension expense</w:t>
            </w:r>
          </w:p>
        </w:tc>
        <w:tc>
          <w:tcPr>
            <w:tcW w:w="246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expects interest costs of less than $0.1 million to be recognized as a component of benefit cost for the year ended December 31, 2022.</w:t>
      </w:r>
    </w:p>
    <w:p>
      <w:pPr>
        <w:spacing w:after="0" w:line="243" w:lineRule="exact"/>
        <w:rPr>
          <w:sz w:val="20"/>
          <w:szCs w:val="20"/>
          <w:color w:val="auto"/>
        </w:rPr>
      </w:pPr>
    </w:p>
    <w:p>
      <w:pPr>
        <w:jc w:val="both"/>
        <w:ind w:firstLine="225"/>
        <w:spacing w:after="0" w:line="345" w:lineRule="auto"/>
        <w:rPr>
          <w:sz w:val="20"/>
          <w:szCs w:val="20"/>
          <w:color w:val="auto"/>
        </w:rPr>
      </w:pPr>
      <w:r>
        <w:rPr>
          <w:rFonts w:ascii="Arial" w:cs="Arial" w:eastAsia="Arial" w:hAnsi="Arial"/>
          <w:sz w:val="16"/>
          <w:szCs w:val="16"/>
          <w:color w:val="auto"/>
        </w:rPr>
        <w:t>As of December 31, 2021</w:t>
      </w:r>
      <w:r>
        <w:rPr>
          <w:rFonts w:ascii="Arial" w:cs="Arial" w:eastAsia="Arial" w:hAnsi="Arial"/>
          <w:sz w:val="17"/>
          <w:szCs w:val="17"/>
          <w:color w:val="auto"/>
        </w:rPr>
        <w:t>,</w:t>
      </w:r>
      <w:r>
        <w:rPr>
          <w:rFonts w:ascii="Arial" w:cs="Arial" w:eastAsia="Arial" w:hAnsi="Arial"/>
          <w:sz w:val="16"/>
          <w:szCs w:val="16"/>
          <w:color w:val="auto"/>
        </w:rPr>
        <w:t xml:space="preserve"> 2020, and 2019, the following amounts </w:t>
      </w:r>
      <w:r>
        <w:rPr>
          <w:rFonts w:ascii="Arial" w:cs="Arial" w:eastAsia="Arial" w:hAnsi="Arial"/>
          <w:sz w:val="17"/>
          <w:szCs w:val="17"/>
          <w:color w:val="auto"/>
        </w:rPr>
        <w:t>related to the</w:t>
      </w:r>
      <w:r>
        <w:rPr>
          <w:rFonts w:ascii="Arial" w:cs="Arial" w:eastAsia="Arial" w:hAnsi="Arial"/>
          <w:sz w:val="16"/>
          <w:szCs w:val="16"/>
          <w:color w:val="auto"/>
        </w:rPr>
        <w:t xml:space="preserve"> Canadian Postretirement Benefit Plan were recorded on the Company’s Consolidated Balance Sheets within Accumulated Other Comprehensive Income and will be recognized as components of net pension cost in future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60" w:type="dxa"/>
            <w:vAlign w:val="bottom"/>
            <w:tcBorders>
              <w:bottom w:val="single" w:sz="8" w:color="CFF0FC"/>
            </w:tcBorders>
            <w:vMerge w:val="continue"/>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actuarial loss (gain)</w:t>
            </w:r>
          </w:p>
        </w:tc>
        <w:tc>
          <w:tcPr>
            <w:tcW w:w="28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0" w:type="dxa"/>
            <w:vAlign w:val="bottom"/>
            <w:vMerge w:val="restart"/>
          </w:tcPr>
          <w:p>
            <w:pPr>
              <w:jc w:val="right"/>
              <w:ind w:right="811"/>
              <w:spacing w:after="0"/>
              <w:rPr>
                <w:sz w:val="20"/>
                <w:szCs w:val="20"/>
                <w:color w:val="auto"/>
              </w:rPr>
            </w:pPr>
            <w:r>
              <w:rPr>
                <w:rFonts w:ascii="Arial" w:cs="Arial" w:eastAsia="Arial" w:hAnsi="Arial"/>
                <w:sz w:val="18"/>
                <w:szCs w:val="18"/>
                <w:color w:val="auto"/>
              </w:rPr>
              <w:t>139</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8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8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ind w:firstLine="225"/>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17"/>
          <w:szCs w:val="17"/>
          <w:color w:val="auto"/>
        </w:rPr>
        <w:t>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w:t>
      </w:r>
      <w:r>
        <w:rPr>
          <w:rFonts w:ascii="Arial" w:cs="Arial" w:eastAsia="Arial" w:hAnsi="Arial"/>
          <w:sz w:val="17"/>
          <w:szCs w:val="17"/>
          <w:color w:val="auto"/>
        </w:rPr>
        <w:t>weighted average assumptions used to determine the benefit obligation</w:t>
      </w:r>
      <w:r>
        <w:rPr>
          <w:rFonts w:ascii="Arial" w:cs="Arial" w:eastAsia="Arial" w:hAnsi="Arial"/>
          <w:sz w:val="20"/>
          <w:szCs w:val="20"/>
          <w:color w:val="auto"/>
        </w:rPr>
        <w:t xml:space="preserve"> related to the </w:t>
      </w:r>
      <w:r>
        <w:rPr>
          <w:rFonts w:ascii="Arial" w:cs="Arial" w:eastAsia="Arial" w:hAnsi="Arial"/>
          <w:sz w:val="17"/>
          <w:szCs w:val="17"/>
          <w:color w:val="auto"/>
        </w:rPr>
        <w:t>Canadian</w:t>
      </w:r>
      <w:r>
        <w:rPr>
          <w:rFonts w:ascii="Arial" w:cs="Arial" w:eastAsia="Arial" w:hAnsi="Arial"/>
          <w:sz w:val="20"/>
          <w:szCs w:val="20"/>
          <w:color w:val="auto"/>
        </w:rPr>
        <w:t xml:space="preserve"> </w:t>
      </w:r>
      <w:r>
        <w:rPr>
          <w:rFonts w:ascii="Arial" w:cs="Arial" w:eastAsia="Arial" w:hAnsi="Arial"/>
          <w:sz w:val="17"/>
          <w:szCs w:val="17"/>
          <w:color w:val="auto"/>
        </w:rPr>
        <w:t>Postretirement Benefit Plan are as follows:</w:t>
      </w:r>
    </w:p>
    <w:p>
      <w:pPr>
        <w:spacing w:after="0" w:line="272"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2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r>
    </w:tbl>
    <w:p>
      <w:pPr>
        <w:spacing w:after="0" w:line="198" w:lineRule="exact"/>
        <w:rPr>
          <w:sz w:val="20"/>
          <w:szCs w:val="20"/>
          <w:color w:val="auto"/>
        </w:rPr>
      </w:pPr>
    </w:p>
    <w:p>
      <w:pPr>
        <w:jc w:val="both"/>
        <w:ind w:firstLine="225"/>
        <w:spacing w:after="0"/>
        <w:rPr>
          <w:sz w:val="20"/>
          <w:szCs w:val="20"/>
          <w:color w:val="auto"/>
        </w:rPr>
      </w:pPr>
      <w:r>
        <w:rPr>
          <w:rFonts w:ascii="Arial" w:cs="Arial" w:eastAsia="Arial" w:hAnsi="Arial"/>
          <w:sz w:val="20"/>
          <w:szCs w:val="20"/>
          <w:color w:val="auto"/>
        </w:rPr>
        <w:t xml:space="preserve">For the years ended </w:t>
      </w:r>
      <w:r>
        <w:rPr>
          <w:rFonts w:ascii="Arial" w:cs="Arial" w:eastAsia="Arial" w:hAnsi="Arial"/>
          <w:sz w:val="17"/>
          <w:szCs w:val="17"/>
          <w:color w:val="auto"/>
        </w:rPr>
        <w:t>December 31, 2021</w:t>
      </w:r>
      <w:r>
        <w:rPr>
          <w:rFonts w:ascii="Arial" w:cs="Arial" w:eastAsia="Arial" w:hAnsi="Arial"/>
          <w:sz w:val="20"/>
          <w:szCs w:val="20"/>
          <w:color w:val="auto"/>
        </w:rPr>
        <w:t xml:space="preserve">, </w:t>
      </w:r>
      <w:r>
        <w:rPr>
          <w:rFonts w:ascii="Arial" w:cs="Arial" w:eastAsia="Arial" w:hAnsi="Arial"/>
          <w:sz w:val="17"/>
          <w:szCs w:val="17"/>
          <w:color w:val="auto"/>
        </w:rPr>
        <w:t>2020</w:t>
      </w:r>
      <w:r>
        <w:rPr>
          <w:rFonts w:ascii="Arial" w:cs="Arial" w:eastAsia="Arial" w:hAnsi="Arial"/>
          <w:sz w:val="20"/>
          <w:szCs w:val="20"/>
          <w:color w:val="auto"/>
        </w:rPr>
        <w:t xml:space="preserve">, and 2019, the </w:t>
      </w:r>
      <w:r>
        <w:rPr>
          <w:rFonts w:ascii="Arial" w:cs="Arial" w:eastAsia="Arial" w:hAnsi="Arial"/>
          <w:sz w:val="17"/>
          <w:szCs w:val="17"/>
          <w:color w:val="auto"/>
        </w:rPr>
        <w:t>weighted average assumptions used to determine the net postretirement benefit expense</w:t>
      </w:r>
      <w:r>
        <w:rPr>
          <w:rFonts w:ascii="Arial" w:cs="Arial" w:eastAsia="Arial" w:hAnsi="Arial"/>
          <w:sz w:val="20"/>
          <w:szCs w:val="20"/>
          <w:color w:val="auto"/>
        </w:rPr>
        <w:t xml:space="preserve"> </w:t>
      </w:r>
      <w:r>
        <w:rPr>
          <w:rFonts w:ascii="Arial" w:cs="Arial" w:eastAsia="Arial" w:hAnsi="Arial"/>
          <w:sz w:val="17"/>
          <w:szCs w:val="17"/>
          <w:color w:val="auto"/>
        </w:rPr>
        <w:t>related to the Canadian Postretirement Benefit Plan are as follows:</w:t>
      </w:r>
    </w:p>
    <w:p>
      <w:pPr>
        <w:spacing w:after="0" w:line="27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20"/>
              <w:spacing w:after="0" w:line="155" w:lineRule="exact"/>
              <w:rPr>
                <w:sz w:val="20"/>
                <w:szCs w:val="20"/>
                <w:color w:val="auto"/>
              </w:rPr>
            </w:pPr>
            <w:r>
              <w:rPr>
                <w:rFonts w:ascii="Arial" w:cs="Arial" w:eastAsia="Arial" w:hAnsi="Arial"/>
                <w:sz w:val="14"/>
                <w:szCs w:val="14"/>
                <w:b w:val="1"/>
                <w:bCs w:val="1"/>
                <w:color w:val="auto"/>
              </w:rPr>
              <w:t>2019</w:t>
            </w:r>
          </w:p>
        </w:tc>
      </w:tr>
      <w:tr>
        <w:trPr>
          <w:trHeight w:val="222"/>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r>
    </w:tbl>
    <w:p>
      <w:pPr>
        <w:spacing w:after="0" w:line="200"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The following benefit payments are expected to be made as per the current plan assumptions for the Canadian Postretirement Benefit Plan in each of the next five years and thereafter following the December 31, 2021 balance sheet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3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8"/>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jc w:val="right"/>
              <w:ind w:right="5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w:t>
            </w:r>
          </w:p>
        </w:tc>
      </w:tr>
      <w:tr>
        <w:trPr>
          <w:trHeight w:val="228"/>
        </w:trPr>
        <w:tc>
          <w:tcPr>
            <w:tcW w:w="9360" w:type="dxa"/>
            <w:vAlign w:val="bottom"/>
          </w:tcPr>
          <w:p>
            <w:pP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115</w:t>
            </w:r>
          </w:p>
        </w:tc>
      </w:tr>
      <w:tr>
        <w:trPr>
          <w:trHeight w:val="228"/>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r>
      <w:tr>
        <w:trPr>
          <w:trHeight w:val="228"/>
        </w:trPr>
        <w:tc>
          <w:tcPr>
            <w:tcW w:w="9360" w:type="dxa"/>
            <w:vAlign w:val="bottom"/>
          </w:tcPr>
          <w:p>
            <w:pPr>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w:t>
            </w:r>
          </w:p>
        </w:tc>
      </w:tr>
      <w:tr>
        <w:trPr>
          <w:trHeight w:val="228"/>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w:t>
            </w:r>
          </w:p>
        </w:tc>
      </w:tr>
      <w:tr>
        <w:trPr>
          <w:trHeight w:val="228"/>
        </w:trPr>
        <w:tc>
          <w:tcPr>
            <w:tcW w:w="9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1,483</w:t>
            </w:r>
          </w:p>
        </w:tc>
      </w:tr>
      <w:tr>
        <w:trPr>
          <w:trHeight w:val="222"/>
        </w:trPr>
        <w:tc>
          <w:tcPr>
            <w:tcW w:w="9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2,036</w:t>
            </w: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Deferred Compensation Benefit Plan</w:t>
      </w:r>
    </w:p>
    <w:p>
      <w:pPr>
        <w:spacing w:after="0" w:line="182"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47"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As of December 31, 2021, the benefit obligation related to the Retirement Plan was $3.8 million (December 31, 2020 — $3.7 million) and is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Expenses.</w:t>
      </w:r>
    </w:p>
    <w:p>
      <w:pPr>
        <w:spacing w:after="0" w:line="160"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Retirement Plan is funded by an investment in company-owned life insurance (“COLI”), which is recorded at its fair value on the Company’s Consolidated Balance Sheets within Prepaid Expenses. As of December 31, 2021, fair value of the COLI asset was $3.3 million (December 31, 2020 — $3.2 million). Gains and losses resulting from changes in the cash surrender value of the COLI asset are recognized in the Consolidated Statements of Operations within Realized and Unrealized Investment Gains (Losses).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40" w:name="page141"/>
    <w:bookmarkEnd w:id="140"/>
    <w:p>
      <w:pPr>
        <w:ind w:left="320" w:hanging="313"/>
        <w:spacing w:after="0"/>
        <w:tabs>
          <w:tab w:leader="none" w:pos="3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86" w:lineRule="exact"/>
        <w:rPr>
          <w:rFonts w:ascii="Arial" w:cs="Arial" w:eastAsia="Arial" w:hAnsi="Arial"/>
          <w:sz w:val="18"/>
          <w:szCs w:val="18"/>
          <w:b w:val="1"/>
          <w:bCs w:val="1"/>
          <w:color w:val="auto"/>
        </w:rPr>
      </w:pPr>
    </w:p>
    <w:p>
      <w:pPr>
        <w:ind w:left="580" w:hanging="358"/>
        <w:spacing w:after="0"/>
        <w:tabs>
          <w:tab w:leader="none" w:pos="580" w:val="left"/>
        </w:tabs>
        <w:numPr>
          <w:ilvl w:val="1"/>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2" w:lineRule="exact"/>
        <w:rPr>
          <w:sz w:val="20"/>
          <w:szCs w:val="20"/>
          <w:color w:val="auto"/>
        </w:rPr>
      </w:pPr>
    </w:p>
    <w:p>
      <w:pPr>
        <w:jc w:val="both"/>
        <w:ind w:firstLine="225"/>
        <w:spacing w:after="0" w:line="299" w:lineRule="auto"/>
        <w:rPr>
          <w:sz w:val="20"/>
          <w:szCs w:val="20"/>
          <w:color w:val="auto"/>
        </w:rPr>
      </w:pPr>
      <w:r>
        <w:rPr>
          <w:rFonts w:ascii="Arial" w:cs="Arial" w:eastAsia="Arial" w:hAnsi="Arial"/>
          <w:sz w:val="16"/>
          <w:szCs w:val="16"/>
          <w:color w:val="auto"/>
        </w:rPr>
        <w:t>As of December 31, 2021, the Company indirectly owns 71.11% of IMAX China, whose shares trade on the Hong Kong Stock Exchange (December 31, 2020 — 69.89%). IMAX China remains a consolidated subsidiary of the Company. The balance of non-controlling interest in IMAX China as of December 31, 2021 is $73.5 million (December 31, 2020 — $70.0 million). The net income attributable to non-controlling interest of IMAX China for the year ended December 31, 2021 is $12.8 million (December 31, 2020 — loss of $(8.6) million; December 31, 2019 — income of $13.3 million).</w:t>
      </w:r>
    </w:p>
    <w:p>
      <w:pPr>
        <w:spacing w:after="0" w:line="130"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Other Non-Controlling Interests</w:t>
      </w:r>
    </w:p>
    <w:p>
      <w:pPr>
        <w:spacing w:after="0" w:line="182"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7"/>
          <w:szCs w:val="17"/>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2021,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32" w:lineRule="exact"/>
        <w:rPr>
          <w:sz w:val="20"/>
          <w:szCs w:val="20"/>
          <w:color w:val="auto"/>
        </w:rPr>
      </w:pPr>
    </w:p>
    <w:p>
      <w:pPr>
        <w:ind w:left="220"/>
        <w:spacing w:after="0"/>
        <w:tabs>
          <w:tab w:leader="none" w:pos="5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Non-Controlling Interest in Temporary Equity</w:t>
      </w:r>
    </w:p>
    <w:p>
      <w:pPr>
        <w:spacing w:after="0" w:line="182"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8"/>
          <w:szCs w:val="18"/>
          <w:color w:val="auto"/>
        </w:rPr>
        <w:t>The following summarizes the movement of the non-controlling interest in temporary equity, in the Original Film Fund for the years ended December 31, 2021,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i w:val="1"/>
                <w:iCs w:val="1"/>
                <w:color w:val="auto"/>
              </w:rPr>
              <w:t>(In thousands of U.S. Dollars)</w:t>
            </w:r>
          </w:p>
        </w:tc>
        <w:tc>
          <w:tcPr>
            <w:tcW w:w="7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Return of capital to non-controlling interests</w:t>
            </w:r>
          </w:p>
        </w:tc>
        <w:tc>
          <w:tcPr>
            <w:tcW w:w="7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Arial" w:cs="Arial" w:eastAsia="Arial" w:hAnsi="Arial"/>
                <w:sz w:val="18"/>
                <w:szCs w:val="18"/>
                <w:color w:val="auto"/>
              </w:rPr>
              <w:t>Share issuance costs from the issuance of subsidiary shares to a non-controlling interest</w:t>
            </w:r>
          </w:p>
        </w:tc>
        <w:tc>
          <w:tcPr>
            <w:tcW w:w="76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76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Return of capital to non-controlling interests</w:t>
            </w:r>
          </w:p>
        </w:tc>
        <w:tc>
          <w:tcPr>
            <w:tcW w:w="7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2"/>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7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Arial" w:cs="Arial" w:eastAsia="Arial" w:hAnsi="Arial"/>
                <w:sz w:val="18"/>
                <w:szCs w:val="18"/>
                <w:color w:val="auto"/>
              </w:rPr>
              <w:t>Return of capital to non-controlling interests</w:t>
            </w:r>
          </w:p>
        </w:tc>
        <w:tc>
          <w:tcPr>
            <w:tcW w:w="76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7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5480"/>
              <w:spacing w:after="0"/>
              <w:rPr>
                <w:sz w:val="20"/>
                <w:szCs w:val="20"/>
                <w:color w:val="auto"/>
              </w:rPr>
            </w:pPr>
            <w:r>
              <w:rPr>
                <w:rFonts w:ascii="Arial" w:cs="Arial" w:eastAsia="Arial" w:hAnsi="Arial"/>
                <w:sz w:val="18"/>
                <w:szCs w:val="18"/>
                <w:color w:val="auto"/>
              </w:rPr>
              <w:t>141</w:t>
            </w: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92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6" w:lineRule="exact"/>
        <w:rPr>
          <w:sz w:val="20"/>
          <w:szCs w:val="20"/>
          <w:color w:val="auto"/>
        </w:rPr>
      </w:pPr>
    </w:p>
    <w:p>
      <w:pPr>
        <w:jc w:val="both"/>
        <w:ind w:firstLine="225"/>
        <w:spacing w:after="0" w:line="254"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Interim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2" w:lineRule="exact"/>
        <w:rPr>
          <w:sz w:val="20"/>
          <w:szCs w:val="20"/>
          <w:color w:val="auto"/>
        </w:rPr>
      </w:pPr>
    </w:p>
    <w:p>
      <w:pPr>
        <w:jc w:val="both"/>
        <w:ind w:right="20" w:firstLine="225"/>
        <w:spacing w:after="0" w:line="274"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December 31, 2021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w:t>
      </w:r>
    </w:p>
    <w:p>
      <w:pPr>
        <w:spacing w:after="0" w:line="196"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Management has used the Committee of Sponsoring Organizations of the Treadway Commission (“COSO”) framework in Internal Control-Integrated Framework (2013) to assess the effectiveness of the Company’s internal control over financial reporting.</w:t>
      </w:r>
    </w:p>
    <w:p>
      <w:pPr>
        <w:spacing w:after="0" w:line="131"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2021 and has concluded that such internal control over financial reporting were effective as of that date.</w:t>
      </w:r>
    </w:p>
    <w:p>
      <w:pPr>
        <w:spacing w:after="0" w:line="13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Company’s internal control over financial reporting as of December 31, 2021, as stated in their report, which appears in Part II, Item 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December 31, 2021, that have materially affected, or are reasonably likely to materially affect, the Company’s internal control over financial reporting. The Company has not experienced any material impact to its internal control over financial reporting despite the fact that most of its Finance employees are working remotely due to the COVID-19 pandemic. The Company will continue to monitor the evolving COVID-19 situation to minimize its impact on the design and operating effectiveness of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PART III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00"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The information required by Item 10 is incorporated by reference from the information under the following captions in the Company’s Proxy Statement: “Item No. 1 – Election of Directors;” “Executive Officers;” “Section 16(a) Beneficial Ownership Reporting Compliance;” “Code of Business Conduct and Ethics;” and “Audit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6"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The information required by Item 11 is incorporated by reference from the information under the following captions in the Company’s Proxy Statement: “Compensation Discussion and Analysis;” “Summary Compensation Table;” “Grants of Plan-Based Awards;” “Outstanding Equity Awards at Fiscal Year-End;” “Option Exercise and Stock Vested;” “Pension Benefits;” “Employment Agreements and Potential Payments upon Termination or Change-in-Control;” “Compensation of Directors;” and “Compensation Committee Interlocks and Insider Participation.”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information required by Item 12 is incorporated by reference from the information under the following captions in the Company’s Proxy Statement: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 “Principal Shareholders of Voting Shares;” and “Security Ownership of Directors and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information required by Item 13 is incorporated by reference from the information under the following caption in the Company’s Proxy Statement: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“Certain Relationships and Related Transactions,” “Review, Approval or Ratification of Transactions with Related Persons,” and “Director Independence.”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information required by Item 14 is incorporated by reference from the information under the following captions in the Company’s Proxy Statement: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“Audit Fees;” “Audit-Related Fees;” “Tax Fees;” “All Other Fees;” and “Audit Committee’s Pre-Approval Policies and Procedures.”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PART IV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and Schedules</w:t>
      </w:r>
    </w:p>
    <w:p>
      <w:pPr>
        <w:spacing w:after="0" w:line="186" w:lineRule="exact"/>
        <w:rPr>
          <w:sz w:val="20"/>
          <w:szCs w:val="20"/>
          <w:color w:val="auto"/>
        </w:rPr>
      </w:pPr>
    </w:p>
    <w:p>
      <w:pPr>
        <w:ind w:firstLine="225"/>
        <w:spacing w:after="0" w:line="339" w:lineRule="auto"/>
        <w:rPr>
          <w:sz w:val="20"/>
          <w:szCs w:val="20"/>
          <w:color w:val="auto"/>
        </w:rPr>
      </w:pPr>
      <w:r>
        <w:rPr>
          <w:rFonts w:ascii="Arial" w:cs="Arial" w:eastAsia="Arial" w:hAnsi="Arial"/>
          <w:sz w:val="16"/>
          <w:szCs w:val="16"/>
          <w:color w:val="auto"/>
        </w:rPr>
        <w:t>The Consolidated Financial Statements filed as part of this Report are included under Item 8 in Part II. Financial Statement Schedules have been omitted since they either are not required, not applicable, or the information required is included in the financial statements or the accompanying notes thereto.</w:t>
      </w:r>
    </w:p>
    <w:p>
      <w:pPr>
        <w:spacing w:after="0" w:line="84" w:lineRule="exact"/>
        <w:rPr>
          <w:sz w:val="20"/>
          <w:szCs w:val="20"/>
          <w:color w:val="auto"/>
        </w:rPr>
      </w:pPr>
    </w:p>
    <w:p>
      <w:pPr>
        <w:ind w:firstLine="225"/>
        <w:spacing w:after="0" w:line="274" w:lineRule="auto"/>
        <w:rPr>
          <w:sz w:val="20"/>
          <w:szCs w:val="20"/>
          <w:color w:val="auto"/>
        </w:rPr>
      </w:pPr>
      <w:r>
        <w:rPr>
          <w:rFonts w:ascii="Arial" w:cs="Arial" w:eastAsia="Arial" w:hAnsi="Arial"/>
          <w:sz w:val="18"/>
          <w:szCs w:val="18"/>
          <w:color w:val="auto"/>
        </w:rPr>
        <w:t>Report of Independent Registered Public Accounting Firm, which covers the financial statements, the accompanying notes to the financial statements and the Company’s internal control over financial reporting, is included under Part II, Item 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 w:type="dxa"/>
            <w:vAlign w:val="bottom"/>
            <w:vMerge w:val="restart"/>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0"/>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89"/>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6160" w:type="dxa"/>
            <w:vAlign w:val="bottom"/>
            <w:gridSpan w:val="24"/>
          </w:tcPr>
          <w:p>
            <w:pPr>
              <w:spacing w:after="0"/>
              <w:rPr>
                <w:rFonts w:ascii="Arial" w:cs="Arial" w:eastAsia="Arial" w:hAnsi="Arial"/>
                <w:sz w:val="18"/>
                <w:szCs w:val="18"/>
                <w:color w:val="0000EE"/>
              </w:rPr>
            </w:pPr>
            <w:hyperlink r:id="rId187">
              <w:r>
                <w:rPr>
                  <w:rFonts w:ascii="Arial" w:cs="Arial" w:eastAsia="Arial" w:hAnsi="Arial"/>
                  <w:sz w:val="18"/>
                  <w:szCs w:val="18"/>
                  <w:color w:val="0000EE"/>
                </w:rPr>
                <w:t>Restated Articles of Incorporation of IMAX Corporation, dated July 30, 2013.</w:t>
              </w:r>
            </w:hyperlink>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10/24/13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3"/>
              </w:rPr>
            </w:pPr>
            <w:hyperlink r:id="rId188">
              <w:r>
                <w:rPr>
                  <w:rFonts w:ascii="Arial" w:cs="Arial" w:eastAsia="Arial" w:hAnsi="Arial"/>
                  <w:sz w:val="18"/>
                  <w:szCs w:val="18"/>
                  <w:color w:val="0000EE"/>
                  <w:w w:val="93"/>
                </w:rPr>
                <w:t>Amended and Restated By-Law No. 1 of IMAX Corporation, enacted on March 4,</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07/27/21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r:id="rId188">
              <w:r>
                <w:rPr>
                  <w:rFonts w:ascii="Arial" w:cs="Arial" w:eastAsia="Arial" w:hAnsi="Arial"/>
                  <w:sz w:val="18"/>
                  <w:szCs w:val="18"/>
                  <w:color w:val="0000EE"/>
                  <w:w w:val="84"/>
                </w:rPr>
                <w:t>2021.</w:t>
              </w:r>
            </w:hyperlink>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37"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c>
          <w:tcPr>
            <w:tcW w:w="6160" w:type="dxa"/>
            <w:vAlign w:val="bottom"/>
            <w:gridSpan w:val="24"/>
          </w:tcPr>
          <w:p>
            <w:pPr>
              <w:spacing w:after="0"/>
              <w:rPr>
                <w:rFonts w:ascii="Arial" w:cs="Arial" w:eastAsia="Arial" w:hAnsi="Arial"/>
                <w:sz w:val="18"/>
                <w:szCs w:val="18"/>
                <w:color w:val="0000EE"/>
                <w:w w:val="93"/>
              </w:rPr>
            </w:pPr>
            <w:hyperlink r:id="rId189">
              <w:r>
                <w:rPr>
                  <w:rFonts w:ascii="Arial" w:cs="Arial" w:eastAsia="Arial" w:hAnsi="Arial"/>
                  <w:sz w:val="18"/>
                  <w:szCs w:val="18"/>
                  <w:color w:val="0000EE"/>
                  <w:w w:val="93"/>
                </w:rPr>
                <w:t>Registration Rights Agreement, dated as of February 9, 1999, by and among IMAX</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2/21/13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6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Corporation,  Wasserstein  Perella  Partners,  L.P.,  Wasserstein  Perella  Offshore</w:t>
              </w:r>
            </w:hyperlink>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00" w:type="dxa"/>
            <w:vAlign w:val="bottom"/>
            <w:tcBorders>
              <w:bottom w:val="single" w:sz="8" w:color="0000EE"/>
            </w:tcBorders>
            <w:gridSpan w:val="21"/>
          </w:tcPr>
          <w:p>
            <w:pPr>
              <w:spacing w:after="0" w:line="195"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Partners, L.P., WPPN Inc., the Michael J. Biondi Voting Trust, Bradley J. Wechsler</w:t>
              </w:r>
            </w:hyperlink>
          </w:p>
        </w:tc>
        <w:tc>
          <w:tcPr>
            <w:tcW w:w="6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24"/>
          </w:tcPr>
          <w:p>
            <w:pPr>
              <w:spacing w:after="0" w:line="195" w:lineRule="exact"/>
              <w:rPr>
                <w:rFonts w:ascii="Arial" w:cs="Arial" w:eastAsia="Arial" w:hAnsi="Arial"/>
                <w:sz w:val="18"/>
                <w:szCs w:val="18"/>
                <w:color w:val="0000EE"/>
              </w:rPr>
            </w:pPr>
            <w:hyperlink r:id="rId189">
              <w:r>
                <w:rPr>
                  <w:rFonts w:ascii="Arial" w:cs="Arial" w:eastAsia="Arial" w:hAnsi="Arial"/>
                  <w:sz w:val="18"/>
                  <w:szCs w:val="18"/>
                  <w:color w:val="0000EE"/>
                </w:rPr>
                <w:t>and Richard L. Gelfond.</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Description of IMAX Corporation’s Securities Registered Pursuant to Section 12 of</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2/19/20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24"/>
          </w:tcPr>
          <w:p>
            <w:pPr>
              <w:spacing w:after="0" w:line="195" w:lineRule="exact"/>
              <w:rPr>
                <w:rFonts w:ascii="Arial" w:cs="Arial" w:eastAsia="Arial" w:hAnsi="Arial"/>
                <w:sz w:val="18"/>
                <w:szCs w:val="18"/>
                <w:color w:val="0000EE"/>
              </w:rPr>
            </w:pPr>
            <w:hyperlink r:id="rId190">
              <w:r>
                <w:rPr>
                  <w:rFonts w:ascii="Arial" w:cs="Arial" w:eastAsia="Arial" w:hAnsi="Arial"/>
                  <w:sz w:val="18"/>
                  <w:szCs w:val="18"/>
                  <w:color w:val="0000EE"/>
                </w:rPr>
                <w:t>the Securities Exchange Act of 1934.</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Indenture, dated as of March 19, 2021, between IMAX Corporation and U.S. Bank</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4/29/21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Borders>
              <w:bottom w:val="single" w:sz="8" w:color="0000EE"/>
            </w:tcBorders>
            <w:gridSpan w:val="6"/>
          </w:tcPr>
          <w:p>
            <w:pPr>
              <w:spacing w:after="0" w:line="195"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National Association.</w:t>
              </w:r>
            </w:hyperlink>
          </w:p>
        </w:tc>
        <w:tc>
          <w:tcPr>
            <w:tcW w:w="4600" w:type="dxa"/>
            <w:vAlign w:val="bottom"/>
            <w:gridSpan w:val="18"/>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6080" w:type="dxa"/>
            <w:vAlign w:val="bottom"/>
            <w:tcBorders>
              <w:bottom w:val="single" w:sz="8" w:color="0000EE"/>
            </w:tcBorders>
            <w:gridSpan w:val="20"/>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Form of 0.500% Convertible Senior Notes due April 1, 2026 (included as Exhibit A</w:t>
              </w:r>
            </w:hyperlink>
          </w:p>
        </w:tc>
        <w:tc>
          <w:tcPr>
            <w:tcW w:w="80" w:type="dxa"/>
            <w:vAlign w:val="bottom"/>
            <w:gridSpan w:val="4"/>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4/29/21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24"/>
          </w:tcPr>
          <w:p>
            <w:pPr>
              <w:spacing w:after="0" w:line="195" w:lineRule="exact"/>
              <w:rPr>
                <w:rFonts w:ascii="Arial" w:cs="Arial" w:eastAsia="Arial" w:hAnsi="Arial"/>
                <w:sz w:val="18"/>
                <w:szCs w:val="18"/>
                <w:color w:val="0000EE"/>
              </w:rPr>
            </w:pPr>
            <w:hyperlink r:id="rId191">
              <w:r>
                <w:rPr>
                  <w:rFonts w:ascii="Arial" w:cs="Arial" w:eastAsia="Arial" w:hAnsi="Arial"/>
                  <w:sz w:val="18"/>
                  <w:szCs w:val="18"/>
                  <w:color w:val="0000EE"/>
                </w:rPr>
                <w:t>to Exhibit 4.3)</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20" w:type="dxa"/>
            <w:vAlign w:val="bottom"/>
          </w:tcPr>
          <w:p>
            <w:pPr>
              <w:spacing w:after="0"/>
              <w:rPr>
                <w:sz w:val="24"/>
                <w:szCs w:val="24"/>
                <w:color w:val="auto"/>
              </w:rPr>
            </w:pPr>
          </w:p>
        </w:tc>
        <w:tc>
          <w:tcPr>
            <w:tcW w:w="6160" w:type="dxa"/>
            <w:vAlign w:val="bottom"/>
            <w:gridSpan w:val="24"/>
          </w:tcPr>
          <w:p>
            <w:pPr>
              <w:spacing w:after="0"/>
              <w:rPr>
                <w:rFonts w:ascii="Arial" w:cs="Arial" w:eastAsia="Arial" w:hAnsi="Arial"/>
                <w:sz w:val="18"/>
                <w:szCs w:val="18"/>
                <w:color w:val="0000EE"/>
              </w:rPr>
            </w:pPr>
            <w:hyperlink r:id="rId192">
              <w:r>
                <w:rPr>
                  <w:rFonts w:ascii="Arial" w:cs="Arial" w:eastAsia="Arial" w:hAnsi="Arial"/>
                  <w:sz w:val="18"/>
                  <w:szCs w:val="18"/>
                  <w:color w:val="0000EE"/>
                </w:rPr>
                <w:t>Stock Option Plan of IMAX Corporation, dated June 18, 2008.</w:t>
              </w:r>
            </w:hyperlink>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10-K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2/24/16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20" w:type="dxa"/>
            <w:vAlign w:val="bottom"/>
          </w:tcPr>
          <w:p>
            <w:pPr>
              <w:spacing w:after="0"/>
              <w:rPr>
                <w:sz w:val="24"/>
                <w:szCs w:val="24"/>
                <w:color w:val="auto"/>
              </w:rPr>
            </w:pPr>
          </w:p>
        </w:tc>
        <w:tc>
          <w:tcPr>
            <w:tcW w:w="6160" w:type="dxa"/>
            <w:vAlign w:val="bottom"/>
            <w:gridSpan w:val="24"/>
          </w:tcPr>
          <w:p>
            <w:pPr>
              <w:spacing w:after="0"/>
              <w:rPr>
                <w:rFonts w:ascii="Arial" w:cs="Arial" w:eastAsia="Arial" w:hAnsi="Arial"/>
                <w:sz w:val="18"/>
                <w:szCs w:val="18"/>
                <w:color w:val="0000EE"/>
              </w:rPr>
            </w:pPr>
            <w:hyperlink r:id="rId193">
              <w:r>
                <w:rPr>
                  <w:rFonts w:ascii="Arial" w:cs="Arial" w:eastAsia="Arial" w:hAnsi="Arial"/>
                  <w:sz w:val="18"/>
                  <w:szCs w:val="18"/>
                  <w:color w:val="0000EE"/>
                </w:rPr>
                <w:t>IMAX Corporation Form of Restricted Stock Unit Award Agreement.</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2/19/20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20" w:type="dxa"/>
            <w:vAlign w:val="bottom"/>
          </w:tcPr>
          <w:p>
            <w:pPr>
              <w:spacing w:after="0"/>
              <w:rPr>
                <w:sz w:val="24"/>
                <w:szCs w:val="24"/>
                <w:color w:val="auto"/>
              </w:rPr>
            </w:pPr>
          </w:p>
        </w:tc>
        <w:tc>
          <w:tcPr>
            <w:tcW w:w="6120" w:type="dxa"/>
            <w:vAlign w:val="bottom"/>
            <w:tcBorders>
              <w:bottom w:val="single" w:sz="8" w:color="0000EE"/>
            </w:tcBorders>
            <w:gridSpan w:val="22"/>
          </w:tcPr>
          <w:p>
            <w:pPr>
              <w:spacing w:after="0"/>
              <w:rPr>
                <w:rFonts w:ascii="Arial" w:cs="Arial" w:eastAsia="Arial" w:hAnsi="Arial"/>
                <w:sz w:val="18"/>
                <w:szCs w:val="18"/>
                <w:color w:val="0000EE"/>
                <w:w w:val="98"/>
              </w:rPr>
            </w:pPr>
            <w:hyperlink r:id="rId194">
              <w:r>
                <w:rPr>
                  <w:rFonts w:ascii="Arial" w:cs="Arial" w:eastAsia="Arial" w:hAnsi="Arial"/>
                  <w:sz w:val="18"/>
                  <w:szCs w:val="18"/>
                  <w:color w:val="0000EE"/>
                  <w:w w:val="98"/>
                </w:rPr>
                <w:t>IMAX Corporation Second Amended and Restated Long-Term Incentive Plan,</w:t>
              </w:r>
            </w:hyperlink>
          </w:p>
        </w:tc>
        <w:tc>
          <w:tcPr>
            <w:tcW w:w="40" w:type="dxa"/>
            <w:vAlign w:val="bottom"/>
            <w:gridSpan w:val="2"/>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6/5/20</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Borders>
              <w:bottom w:val="single" w:sz="8" w:color="0000EE"/>
            </w:tcBorders>
            <w:gridSpan w:val="4"/>
          </w:tcPr>
          <w:p>
            <w:pPr>
              <w:spacing w:after="0" w:line="195" w:lineRule="exact"/>
              <w:rPr>
                <w:rFonts w:ascii="Arial" w:cs="Arial" w:eastAsia="Arial" w:hAnsi="Arial"/>
                <w:sz w:val="18"/>
                <w:szCs w:val="18"/>
                <w:color w:val="0000EE"/>
                <w:w w:val="86"/>
              </w:rPr>
            </w:pPr>
            <w:hyperlink r:id="rId194">
              <w:r>
                <w:rPr>
                  <w:rFonts w:ascii="Arial" w:cs="Arial" w:eastAsia="Arial" w:hAnsi="Arial"/>
                  <w:sz w:val="18"/>
                  <w:szCs w:val="18"/>
                  <w:color w:val="0000EE"/>
                  <w:w w:val="86"/>
                </w:rPr>
                <w:t>dated June 3, 2020.</w:t>
              </w:r>
            </w:hyperlink>
          </w:p>
        </w:tc>
        <w:tc>
          <w:tcPr>
            <w:tcW w:w="4760" w:type="dxa"/>
            <w:vAlign w:val="bottom"/>
            <w:gridSpan w:val="20"/>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4"/>
              </w:rPr>
            </w:pPr>
            <w:hyperlink r:id="rId195">
              <w:r>
                <w:rPr>
                  <w:rFonts w:ascii="Arial" w:cs="Arial" w:eastAsia="Arial" w:hAnsi="Arial"/>
                  <w:sz w:val="18"/>
                  <w:szCs w:val="18"/>
                  <w:color w:val="0000EE"/>
                  <w:w w:val="94"/>
                </w:rPr>
                <w:t>Form of IMAX Corporation Second Amended and Restated Long-Term Incentive</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4/29/21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24"/>
          </w:tcPr>
          <w:p>
            <w:pPr>
              <w:spacing w:after="0" w:line="195" w:lineRule="exact"/>
              <w:rPr>
                <w:rFonts w:ascii="Arial" w:cs="Arial" w:eastAsia="Arial" w:hAnsi="Arial"/>
                <w:sz w:val="18"/>
                <w:szCs w:val="18"/>
                <w:color w:val="0000EE"/>
              </w:rPr>
            </w:pPr>
            <w:hyperlink r:id="rId195">
              <w:r>
                <w:rPr>
                  <w:rFonts w:ascii="Arial" w:cs="Arial" w:eastAsia="Arial" w:hAnsi="Arial"/>
                  <w:sz w:val="18"/>
                  <w:szCs w:val="18"/>
                  <w:color w:val="0000EE"/>
                </w:rPr>
                <w:t>Plan Restricted Stock Unit Award Agreement.</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20" w:type="dxa"/>
            <w:vAlign w:val="bottom"/>
          </w:tcPr>
          <w:p>
            <w:pPr>
              <w:spacing w:after="0"/>
              <w:rPr>
                <w:sz w:val="24"/>
                <w:szCs w:val="24"/>
                <w:color w:val="auto"/>
              </w:rPr>
            </w:pPr>
          </w:p>
        </w:tc>
        <w:tc>
          <w:tcPr>
            <w:tcW w:w="6100" w:type="dxa"/>
            <w:vAlign w:val="bottom"/>
            <w:tcBorders>
              <w:bottom w:val="single" w:sz="8" w:color="0000EE"/>
            </w:tcBorders>
            <w:gridSpan w:val="21"/>
          </w:tcPr>
          <w:p>
            <w:pPr>
              <w:spacing w:after="0"/>
              <w:rPr>
                <w:rFonts w:ascii="Arial" w:cs="Arial" w:eastAsia="Arial" w:hAnsi="Arial"/>
                <w:sz w:val="18"/>
                <w:szCs w:val="18"/>
                <w:color w:val="0000EE"/>
                <w:w w:val="96"/>
              </w:rPr>
            </w:pPr>
            <w:hyperlink r:id="rId196">
              <w:r>
                <w:rPr>
                  <w:rFonts w:ascii="Arial" w:cs="Arial" w:eastAsia="Arial" w:hAnsi="Arial"/>
                  <w:sz w:val="18"/>
                  <w:szCs w:val="18"/>
                  <w:color w:val="0000EE"/>
                  <w:w w:val="96"/>
                </w:rPr>
                <w:t>Form  of  IMAX  Second  Amended  and  Restated  Long-Term  Incentive  Plan</w:t>
              </w:r>
            </w:hyperlink>
          </w:p>
        </w:tc>
        <w:tc>
          <w:tcPr>
            <w:tcW w:w="60" w:type="dxa"/>
            <w:vAlign w:val="bottom"/>
            <w:gridSpan w:val="3"/>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4/29/21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140" w:type="dxa"/>
            <w:vAlign w:val="bottom"/>
            <w:tcBorders>
              <w:bottom w:val="single" w:sz="8" w:color="0000EE"/>
            </w:tcBorders>
            <w:gridSpan w:val="12"/>
          </w:tcPr>
          <w:p>
            <w:pPr>
              <w:spacing w:after="0" w:line="195"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Performance Stock Unit Award Agreement.</w:t>
              </w:r>
            </w:hyperlink>
          </w:p>
        </w:tc>
        <w:tc>
          <w:tcPr>
            <w:tcW w:w="3020" w:type="dxa"/>
            <w:vAlign w:val="bottom"/>
            <w:gridSpan w:val="12"/>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4"/>
              </w:rPr>
            </w:pPr>
            <w:hyperlink r:id="rId197">
              <w:r>
                <w:rPr>
                  <w:rFonts w:ascii="Arial" w:cs="Arial" w:eastAsia="Arial" w:hAnsi="Arial"/>
                  <w:sz w:val="18"/>
                  <w:szCs w:val="18"/>
                  <w:color w:val="0000EE"/>
                  <w:w w:val="94"/>
                </w:rPr>
                <w:t>Form of IMAX Corporation Second Amended and Restated Long-Term Incentive</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7/27/21</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380" w:type="dxa"/>
            <w:vAlign w:val="bottom"/>
            <w:tcBorders>
              <w:bottom w:val="single" w:sz="8" w:color="0000EE"/>
            </w:tcBorders>
            <w:gridSpan w:val="16"/>
          </w:tcPr>
          <w:p>
            <w:pPr>
              <w:spacing w:after="0" w:line="195"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Plan Restricted Stock Unit Award Agreement for Non-employee Directors.</w:t>
              </w:r>
            </w:hyperlink>
          </w:p>
        </w:tc>
        <w:tc>
          <w:tcPr>
            <w:tcW w:w="78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20" w:type="dxa"/>
            <w:vAlign w:val="bottom"/>
          </w:tcPr>
          <w:p>
            <w:pPr>
              <w:spacing w:after="0"/>
              <w:rPr>
                <w:sz w:val="24"/>
                <w:szCs w:val="24"/>
                <w:color w:val="auto"/>
              </w:rPr>
            </w:pPr>
          </w:p>
        </w:tc>
        <w:tc>
          <w:tcPr>
            <w:tcW w:w="6100" w:type="dxa"/>
            <w:vAlign w:val="bottom"/>
            <w:tcBorders>
              <w:bottom w:val="single" w:sz="8" w:color="0000EE"/>
            </w:tcBorders>
            <w:gridSpan w:val="21"/>
          </w:tcPr>
          <w:p>
            <w:pPr>
              <w:spacing w:after="0"/>
              <w:rPr>
                <w:rFonts w:ascii="Arial" w:cs="Arial" w:eastAsia="Arial" w:hAnsi="Arial"/>
                <w:sz w:val="18"/>
                <w:szCs w:val="18"/>
                <w:color w:val="0000EE"/>
                <w:w w:val="98"/>
              </w:rPr>
            </w:pPr>
            <w:hyperlink r:id="rId198">
              <w:r>
                <w:rPr>
                  <w:rFonts w:ascii="Arial" w:cs="Arial" w:eastAsia="Arial" w:hAnsi="Arial"/>
                  <w:sz w:val="18"/>
                  <w:szCs w:val="18"/>
                  <w:color w:val="0000EE"/>
                  <w:w w:val="98"/>
                </w:rPr>
                <w:t>IMAX Corporation Supplemental Executive Retirement Plan, as amended and</w:t>
              </w:r>
            </w:hyperlink>
          </w:p>
        </w:tc>
        <w:tc>
          <w:tcPr>
            <w:tcW w:w="60" w:type="dxa"/>
            <w:vAlign w:val="bottom"/>
            <w:gridSpan w:val="3"/>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r:id="rId198">
              <w:r>
                <w:rPr>
                  <w:rFonts w:ascii="Arial" w:cs="Arial" w:eastAsia="Arial" w:hAnsi="Arial"/>
                  <w:sz w:val="18"/>
                  <w:szCs w:val="18"/>
                  <w:color w:val="0000EE"/>
                  <w:w w:val="87"/>
                </w:rPr>
                <w:t>restated as of January 1, 2006.</w:t>
              </w:r>
            </w:hyperlink>
          </w:p>
        </w:tc>
        <w:tc>
          <w:tcPr>
            <w:tcW w:w="3980" w:type="dxa"/>
            <w:vAlign w:val="bottom"/>
            <w:gridSpan w:val="16"/>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20" w:type="dxa"/>
            <w:vAlign w:val="bottom"/>
          </w:tcPr>
          <w:p>
            <w:pPr>
              <w:spacing w:after="0"/>
              <w:rPr>
                <w:sz w:val="24"/>
                <w:szCs w:val="24"/>
                <w:color w:val="auto"/>
              </w:rPr>
            </w:pPr>
          </w:p>
        </w:tc>
        <w:tc>
          <w:tcPr>
            <w:tcW w:w="6160" w:type="dxa"/>
            <w:vAlign w:val="bottom"/>
            <w:gridSpan w:val="24"/>
          </w:tcPr>
          <w:p>
            <w:pPr>
              <w:spacing w:after="0"/>
              <w:rPr>
                <w:rFonts w:ascii="Arial" w:cs="Arial" w:eastAsia="Arial" w:hAnsi="Arial"/>
                <w:sz w:val="18"/>
                <w:szCs w:val="18"/>
                <w:color w:val="0000EE"/>
              </w:rPr>
            </w:pPr>
            <w:hyperlink r:id="rId199">
              <w:r>
                <w:rPr>
                  <w:rFonts w:ascii="Arial" w:cs="Arial" w:eastAsia="Arial" w:hAnsi="Arial"/>
                  <w:sz w:val="18"/>
                  <w:szCs w:val="18"/>
                  <w:color w:val="0000EE"/>
                </w:rPr>
                <w:t>Employment Agreement, dated July 1, 1998, between IMAX Corporation and</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Bradley J. Wechsler.</w:t>
              </w:r>
            </w:hyperlink>
          </w:p>
        </w:tc>
        <w:tc>
          <w:tcPr>
            <w:tcW w:w="4560" w:type="dxa"/>
            <w:vAlign w:val="bottom"/>
            <w:tcBorders>
              <w:top w:val="single" w:sz="8" w:color="0000EE"/>
            </w:tcBorders>
            <w:gridSpan w:val="13"/>
          </w:tcPr>
          <w:p>
            <w:pPr>
              <w:spacing w:after="0"/>
              <w:rPr>
                <w:sz w:val="16"/>
                <w:szCs w:val="16"/>
                <w:color w:val="auto"/>
              </w:rPr>
            </w:pPr>
          </w:p>
        </w:tc>
        <w:tc>
          <w:tcPr>
            <w:tcW w:w="12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20" w:type="dxa"/>
            <w:vAlign w:val="bottom"/>
          </w:tcPr>
          <w:p>
            <w:pPr>
              <w:spacing w:after="0"/>
              <w:rPr>
                <w:sz w:val="24"/>
                <w:szCs w:val="24"/>
                <w:color w:val="auto"/>
              </w:rPr>
            </w:pPr>
          </w:p>
        </w:tc>
        <w:tc>
          <w:tcPr>
            <w:tcW w:w="6080" w:type="dxa"/>
            <w:vAlign w:val="bottom"/>
            <w:tcBorders>
              <w:bottom w:val="single" w:sz="8" w:color="0000EE"/>
            </w:tcBorders>
            <w:gridSpan w:val="20"/>
          </w:tcPr>
          <w:p>
            <w:pPr>
              <w:spacing w:after="0"/>
              <w:rPr>
                <w:rFonts w:ascii="Arial" w:cs="Arial" w:eastAsia="Arial" w:hAnsi="Arial"/>
                <w:sz w:val="18"/>
                <w:szCs w:val="18"/>
                <w:color w:val="0000EE"/>
                <w:w w:val="99"/>
              </w:rPr>
            </w:pPr>
            <w:hyperlink r:id="rId200">
              <w:r>
                <w:rPr>
                  <w:rFonts w:ascii="Arial" w:cs="Arial" w:eastAsia="Arial" w:hAnsi="Arial"/>
                  <w:sz w:val="18"/>
                  <w:szCs w:val="18"/>
                  <w:color w:val="0000EE"/>
                  <w:w w:val="99"/>
                </w:rPr>
                <w:t>Amended  Employment  Agreement,  dated  July  12,  2000,  between  IMAX</w:t>
              </w:r>
            </w:hyperlink>
          </w:p>
        </w:tc>
        <w:tc>
          <w:tcPr>
            <w:tcW w:w="80" w:type="dxa"/>
            <w:vAlign w:val="bottom"/>
            <w:gridSpan w:val="4"/>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2/21/13</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0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Corporation and Bradley J. Wechsler.</w:t>
              </w:r>
            </w:hyperlink>
          </w:p>
        </w:tc>
        <w:tc>
          <w:tcPr>
            <w:tcW w:w="3460" w:type="dxa"/>
            <w:vAlign w:val="bottom"/>
            <w:gridSpan w:val="13"/>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20" w:type="dxa"/>
            <w:vAlign w:val="bottom"/>
          </w:tcPr>
          <w:p>
            <w:pPr>
              <w:spacing w:after="0"/>
              <w:rPr>
                <w:sz w:val="24"/>
                <w:szCs w:val="24"/>
                <w:color w:val="auto"/>
              </w:rPr>
            </w:pPr>
          </w:p>
        </w:tc>
        <w:tc>
          <w:tcPr>
            <w:tcW w:w="6060" w:type="dxa"/>
            <w:vAlign w:val="bottom"/>
            <w:tcBorders>
              <w:bottom w:val="single" w:sz="8" w:color="0000EE"/>
            </w:tcBorders>
            <w:gridSpan w:val="19"/>
          </w:tcPr>
          <w:p>
            <w:pPr>
              <w:spacing w:after="0"/>
              <w:rPr>
                <w:rFonts w:ascii="Arial" w:cs="Arial" w:eastAsia="Arial" w:hAnsi="Arial"/>
                <w:sz w:val="18"/>
                <w:szCs w:val="18"/>
                <w:color w:val="0000EE"/>
                <w:w w:val="97"/>
              </w:rPr>
            </w:pPr>
            <w:hyperlink r:id="rId201">
              <w:r>
                <w:rPr>
                  <w:rFonts w:ascii="Arial" w:cs="Arial" w:eastAsia="Arial" w:hAnsi="Arial"/>
                  <w:sz w:val="18"/>
                  <w:szCs w:val="18"/>
                  <w:color w:val="0000EE"/>
                  <w:w w:val="97"/>
                </w:rPr>
                <w:t>Amended  Employment  Agreement,  dated  March  8,  2006,  between  IMAX</w:t>
              </w:r>
            </w:hyperlink>
          </w:p>
        </w:tc>
        <w:tc>
          <w:tcPr>
            <w:tcW w:w="100" w:type="dxa"/>
            <w:vAlign w:val="bottom"/>
            <w:gridSpan w:val="5"/>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001-35066</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2/24/12</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60" w:type="dxa"/>
            <w:vAlign w:val="bottom"/>
            <w:gridSpan w:val="24"/>
          </w:tcPr>
          <w:p>
            <w:pPr>
              <w:spacing w:after="0" w:line="195" w:lineRule="exact"/>
              <w:rPr>
                <w:rFonts w:ascii="Arial" w:cs="Arial" w:eastAsia="Arial" w:hAnsi="Arial"/>
                <w:sz w:val="18"/>
                <w:szCs w:val="18"/>
                <w:color w:val="0000EE"/>
              </w:rPr>
            </w:pPr>
            <w:hyperlink r:id="rId201">
              <w:r>
                <w:rPr>
                  <w:rFonts w:ascii="Arial" w:cs="Arial" w:eastAsia="Arial" w:hAnsi="Arial"/>
                  <w:sz w:val="18"/>
                  <w:szCs w:val="18"/>
                  <w:color w:val="0000EE"/>
                </w:rPr>
                <w:t>Corporation and Bradley J. Wechsler.</w:t>
              </w:r>
            </w:hyperlink>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82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2660" w:type="dxa"/>
            <w:vAlign w:val="bottom"/>
            <w:tcBorders>
              <w:top w:val="single" w:sz="8" w:color="0000EE"/>
            </w:tcBorders>
            <w:gridSpan w:val="9"/>
          </w:tcPr>
          <w:p>
            <w:pPr>
              <w:spacing w:after="0"/>
              <w:rPr>
                <w:sz w:val="24"/>
                <w:szCs w:val="24"/>
                <w:color w:val="auto"/>
              </w:rPr>
            </w:pPr>
          </w:p>
        </w:tc>
        <w:tc>
          <w:tcPr>
            <w:tcW w:w="1820" w:type="dxa"/>
            <w:vAlign w:val="bottom"/>
            <w:gridSpan w:val="4"/>
          </w:tcPr>
          <w:p>
            <w:pPr>
              <w:jc w:val="right"/>
              <w:ind w:right="580"/>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37"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6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0"/>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20" w:type="dxa"/>
            <w:vAlign w:val="bottom"/>
          </w:tcPr>
          <w:p>
            <w:pPr>
              <w:spacing w:after="0"/>
              <w:rPr>
                <w:sz w:val="14"/>
                <w:szCs w:val="14"/>
                <w:color w:val="auto"/>
              </w:rPr>
            </w:pPr>
          </w:p>
        </w:tc>
        <w:tc>
          <w:tcPr>
            <w:tcW w:w="6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 w:right="3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jc w:val="right"/>
              <w:ind w:right="1251"/>
              <w:spacing w:after="0"/>
              <w:rPr>
                <w:sz w:val="20"/>
                <w:szCs w:val="20"/>
                <w:color w:val="auto"/>
              </w:rPr>
            </w:pPr>
            <w:r>
              <w:rPr>
                <w:rFonts w:ascii="Arial" w:cs="Arial" w:eastAsia="Arial" w:hAnsi="Arial"/>
                <w:sz w:val="18"/>
                <w:szCs w:val="18"/>
                <w:color w:val="auto"/>
                <w:w w:val="86"/>
              </w:rPr>
              <w:t>+10.11</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9"/>
              </w:rPr>
            </w:pPr>
            <w:hyperlink r:id="rId204">
              <w:r>
                <w:rPr>
                  <w:rFonts w:ascii="Arial" w:cs="Arial" w:eastAsia="Arial" w:hAnsi="Arial"/>
                  <w:sz w:val="18"/>
                  <w:szCs w:val="18"/>
                  <w:color w:val="0000EE"/>
                  <w:w w:val="99"/>
                </w:rPr>
                <w:t>Amended Employment Agreement, dated February 15, 2007, between IMAX</w:t>
              </w:r>
            </w:hyperlink>
          </w:p>
        </w:tc>
      </w:tr>
      <w:tr>
        <w:trPr>
          <w:trHeight w:val="195"/>
        </w:trPr>
        <w:tc>
          <w:tcPr>
            <w:tcW w:w="1840" w:type="dxa"/>
            <w:vAlign w:val="bottom"/>
          </w:tcPr>
          <w:p>
            <w:pPr>
              <w:spacing w:after="0"/>
              <w:rPr>
                <w:sz w:val="16"/>
                <w:szCs w:val="16"/>
                <w:color w:val="auto"/>
              </w:rPr>
            </w:pPr>
          </w:p>
        </w:tc>
        <w:tc>
          <w:tcPr>
            <w:tcW w:w="270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Corporation and Bradley J. Wechsler.</w:t>
              </w:r>
            </w:hyperlink>
          </w:p>
        </w:tc>
        <w:tc>
          <w:tcPr>
            <w:tcW w:w="3360" w:type="dxa"/>
            <w:vAlign w:val="bottom"/>
            <w:gridSpan w:val="2"/>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+10.12</w:t>
            </w:r>
          </w:p>
        </w:tc>
        <w:tc>
          <w:tcPr>
            <w:tcW w:w="6060" w:type="dxa"/>
            <w:vAlign w:val="bottom"/>
            <w:gridSpan w:val="11"/>
          </w:tcPr>
          <w:p>
            <w:pPr>
              <w:spacing w:after="0"/>
              <w:rPr>
                <w:rFonts w:ascii="Arial" w:cs="Arial" w:eastAsia="Arial" w:hAnsi="Arial"/>
                <w:sz w:val="18"/>
                <w:szCs w:val="18"/>
                <w:color w:val="0000EE"/>
                <w:w w:val="97"/>
              </w:rPr>
            </w:pPr>
            <w:hyperlink r:id="rId205">
              <w:r>
                <w:rPr>
                  <w:rFonts w:ascii="Arial" w:cs="Arial" w:eastAsia="Arial" w:hAnsi="Arial"/>
                  <w:sz w:val="18"/>
                  <w:szCs w:val="18"/>
                  <w:color w:val="0000EE"/>
                  <w:w w:val="97"/>
                </w:rPr>
                <w:t>Amended Employment Agreement, dated December 31, 2007, between IMAX</w:t>
              </w:r>
            </w:hyperlink>
          </w:p>
        </w:tc>
      </w:tr>
      <w:tr>
        <w:trPr>
          <w:trHeight w:val="195"/>
        </w:trPr>
        <w:tc>
          <w:tcPr>
            <w:tcW w:w="1840" w:type="dxa"/>
            <w:vAlign w:val="bottom"/>
          </w:tcPr>
          <w:p>
            <w:pPr>
              <w:spacing w:after="0"/>
              <w:rPr>
                <w:sz w:val="16"/>
                <w:szCs w:val="16"/>
                <w:color w:val="auto"/>
              </w:rPr>
            </w:pPr>
          </w:p>
        </w:tc>
        <w:tc>
          <w:tcPr>
            <w:tcW w:w="270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Corporation and Bradley J. Wechsler.</w:t>
              </w:r>
            </w:hyperlink>
          </w:p>
        </w:tc>
        <w:tc>
          <w:tcPr>
            <w:tcW w:w="33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+10.13</w:t>
            </w:r>
          </w:p>
        </w:tc>
        <w:tc>
          <w:tcPr>
            <w:tcW w:w="6060" w:type="dxa"/>
            <w:vAlign w:val="bottom"/>
            <w:gridSpan w:val="11"/>
          </w:tcPr>
          <w:p>
            <w:pPr>
              <w:spacing w:after="0"/>
              <w:rPr>
                <w:rFonts w:ascii="Arial" w:cs="Arial" w:eastAsia="Arial" w:hAnsi="Arial"/>
                <w:sz w:val="18"/>
                <w:szCs w:val="18"/>
                <w:color w:val="0000EE"/>
                <w:w w:val="94"/>
              </w:rPr>
            </w:pPr>
            <w:hyperlink r:id="rId206">
              <w:r>
                <w:rPr>
                  <w:rFonts w:ascii="Arial" w:cs="Arial" w:eastAsia="Arial" w:hAnsi="Arial"/>
                  <w:sz w:val="18"/>
                  <w:szCs w:val="18"/>
                  <w:color w:val="0000EE"/>
                  <w:w w:val="94"/>
                </w:rPr>
                <w:t>Services Agreement, dated December 11, 2008, between IMAX Corporation and</w:t>
              </w:r>
            </w:hyperlink>
          </w:p>
        </w:tc>
      </w:tr>
      <w:tr>
        <w:trPr>
          <w:trHeight w:val="195"/>
        </w:trPr>
        <w:tc>
          <w:tcPr>
            <w:tcW w:w="184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Bradley J. Wechsler.</w:t>
              </w:r>
            </w:hyperlink>
          </w:p>
        </w:tc>
        <w:tc>
          <w:tcPr>
            <w:tcW w:w="4560" w:type="dxa"/>
            <w:vAlign w:val="bottom"/>
            <w:tcBorders>
              <w:top w:val="single" w:sz="8" w:color="0000EE"/>
            </w:tcBorders>
            <w:gridSpan w:val="7"/>
          </w:tcPr>
          <w:p>
            <w:pPr>
              <w:spacing w:after="0"/>
              <w:rPr>
                <w:sz w:val="16"/>
                <w:szCs w:val="16"/>
                <w:color w:val="auto"/>
              </w:rPr>
            </w:pPr>
          </w:p>
        </w:tc>
        <w:tc>
          <w:tcPr>
            <w:tcW w:w="20" w:type="dxa"/>
            <w:vAlign w:val="bottom"/>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+10.14</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4"/>
              </w:rPr>
            </w:pPr>
            <w:hyperlink r:id="rId207">
              <w:r>
                <w:rPr>
                  <w:rFonts w:ascii="Arial" w:cs="Arial" w:eastAsia="Arial" w:hAnsi="Arial"/>
                  <w:sz w:val="18"/>
                  <w:szCs w:val="18"/>
                  <w:color w:val="0000EE"/>
                  <w:w w:val="94"/>
                </w:rPr>
                <w:t>Services  Agreement  Amendment,  dated  February  14,  2011,  between  IMAX</w:t>
              </w:r>
            </w:hyperlink>
          </w:p>
        </w:tc>
      </w:tr>
      <w:tr>
        <w:trPr>
          <w:trHeight w:val="195"/>
        </w:trPr>
        <w:tc>
          <w:tcPr>
            <w:tcW w:w="1840" w:type="dxa"/>
            <w:vAlign w:val="bottom"/>
          </w:tcPr>
          <w:p>
            <w:pPr>
              <w:spacing w:after="0"/>
              <w:rPr>
                <w:sz w:val="16"/>
                <w:szCs w:val="16"/>
                <w:color w:val="auto"/>
              </w:rPr>
            </w:pPr>
          </w:p>
        </w:tc>
        <w:tc>
          <w:tcPr>
            <w:tcW w:w="270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Corporation and Bradley J. Wechsler.</w:t>
              </w:r>
            </w:hyperlink>
          </w:p>
        </w:tc>
        <w:tc>
          <w:tcPr>
            <w:tcW w:w="3360" w:type="dxa"/>
            <w:vAlign w:val="bottom"/>
            <w:gridSpan w:val="2"/>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+10.15</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Services Agreement Amendment, dated April 1, 2013, between IMAX Corporation</w:t>
              </w:r>
            </w:hyperlink>
          </w:p>
        </w:tc>
      </w:tr>
      <w:tr>
        <w:trPr>
          <w:trHeight w:val="195"/>
        </w:trPr>
        <w:tc>
          <w:tcPr>
            <w:tcW w:w="1840" w:type="dxa"/>
            <w:vAlign w:val="bottom"/>
          </w:tcPr>
          <w:p>
            <w:pPr>
              <w:spacing w:after="0"/>
              <w:rPr>
                <w:sz w:val="16"/>
                <w:szCs w:val="16"/>
                <w:color w:val="auto"/>
              </w:rPr>
            </w:pPr>
          </w:p>
        </w:tc>
        <w:tc>
          <w:tcPr>
            <w:tcW w:w="1780" w:type="dxa"/>
            <w:vAlign w:val="bottom"/>
            <w:tcBorders>
              <w:bottom w:val="single" w:sz="8" w:color="0000EE"/>
            </w:tcBorders>
            <w:gridSpan w:val="6"/>
          </w:tcPr>
          <w:p>
            <w:pPr>
              <w:spacing w:after="0" w:line="195" w:lineRule="exact"/>
              <w:rPr>
                <w:rFonts w:ascii="Arial" w:cs="Arial" w:eastAsia="Arial" w:hAnsi="Arial"/>
                <w:sz w:val="18"/>
                <w:szCs w:val="18"/>
                <w:color w:val="0000EE"/>
                <w:w w:val="87"/>
              </w:rPr>
            </w:pPr>
            <w:hyperlink r:id="rId208">
              <w:r>
                <w:rPr>
                  <w:rFonts w:ascii="Arial" w:cs="Arial" w:eastAsia="Arial" w:hAnsi="Arial"/>
                  <w:sz w:val="18"/>
                  <w:szCs w:val="18"/>
                  <w:color w:val="0000EE"/>
                  <w:w w:val="87"/>
                </w:rPr>
                <w:t>and Bradley J. Wechsler.</w:t>
              </w:r>
            </w:hyperlink>
          </w:p>
        </w:tc>
        <w:tc>
          <w:tcPr>
            <w:tcW w:w="4280" w:type="dxa"/>
            <w:vAlign w:val="bottom"/>
            <w:gridSpan w:val="5"/>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+10.16</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7"/>
              </w:rPr>
            </w:pPr>
            <w:hyperlink r:id="rId209">
              <w:r>
                <w:rPr>
                  <w:rFonts w:ascii="Arial" w:cs="Arial" w:eastAsia="Arial" w:hAnsi="Arial"/>
                  <w:sz w:val="18"/>
                  <w:szCs w:val="18"/>
                  <w:color w:val="0000EE"/>
                  <w:w w:val="97"/>
                </w:rPr>
                <w:t>Services  Agreement  Amendment,  dated  March  30,  2021,  between  IMAX</w:t>
              </w:r>
            </w:hyperlink>
          </w:p>
        </w:tc>
      </w:tr>
      <w:tr>
        <w:trPr>
          <w:trHeight w:val="195"/>
        </w:trPr>
        <w:tc>
          <w:tcPr>
            <w:tcW w:w="1840" w:type="dxa"/>
            <w:vAlign w:val="bottom"/>
          </w:tcPr>
          <w:p>
            <w:pPr>
              <w:spacing w:after="0"/>
              <w:rPr>
                <w:sz w:val="16"/>
                <w:szCs w:val="16"/>
                <w:color w:val="auto"/>
              </w:rPr>
            </w:pPr>
          </w:p>
        </w:tc>
        <w:tc>
          <w:tcPr>
            <w:tcW w:w="270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Corporation and Bradley J. Wechsler.</w:t>
              </w:r>
            </w:hyperlink>
          </w:p>
        </w:tc>
        <w:tc>
          <w:tcPr>
            <w:tcW w:w="3360" w:type="dxa"/>
            <w:vAlign w:val="bottom"/>
            <w:gridSpan w:val="2"/>
          </w:tcPr>
          <w:p>
            <w:pPr>
              <w:spacing w:after="0"/>
              <w:rPr>
                <w:sz w:val="16"/>
                <w:szCs w:val="16"/>
                <w:color w:val="auto"/>
              </w:rPr>
            </w:pPr>
          </w:p>
        </w:tc>
      </w:tr>
      <w:tr>
        <w:trPr>
          <w:trHeight w:val="409"/>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+10.17</w:t>
            </w:r>
          </w:p>
        </w:tc>
        <w:tc>
          <w:tcPr>
            <w:tcW w:w="6060" w:type="dxa"/>
            <w:vAlign w:val="bottom"/>
            <w:gridSpan w:val="11"/>
          </w:tcPr>
          <w:p>
            <w:pPr>
              <w:spacing w:after="0"/>
              <w:rPr>
                <w:rFonts w:ascii="Arial" w:cs="Arial" w:eastAsia="Arial" w:hAnsi="Arial"/>
                <w:sz w:val="18"/>
                <w:szCs w:val="18"/>
                <w:color w:val="0000EE"/>
                <w:w w:val="98"/>
              </w:rPr>
            </w:pPr>
            <w:hyperlink r:id="rId210">
              <w:r>
                <w:rPr>
                  <w:rFonts w:ascii="Arial" w:cs="Arial" w:eastAsia="Arial" w:hAnsi="Arial"/>
                  <w:sz w:val="18"/>
                  <w:szCs w:val="18"/>
                  <w:color w:val="0000EE"/>
                  <w:w w:val="98"/>
                </w:rPr>
                <w:t>Employment Agreement, dated July 1, 1998, between IMAX Corporation and</w:t>
              </w:r>
            </w:hyperlink>
          </w:p>
        </w:tc>
      </w:tr>
      <w:tr>
        <w:trPr>
          <w:trHeight w:val="195"/>
        </w:trPr>
        <w:tc>
          <w:tcPr>
            <w:tcW w:w="1840" w:type="dxa"/>
            <w:vAlign w:val="bottom"/>
          </w:tcPr>
          <w:p>
            <w:pPr>
              <w:spacing w:after="0"/>
              <w:rPr>
                <w:sz w:val="16"/>
                <w:szCs w:val="16"/>
                <w:color w:val="auto"/>
              </w:rPr>
            </w:pPr>
          </w:p>
        </w:tc>
        <w:tc>
          <w:tcPr>
            <w:tcW w:w="604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r:id="rId210">
              <w:r>
                <w:rPr>
                  <w:rFonts w:ascii="Arial" w:cs="Arial" w:eastAsia="Arial" w:hAnsi="Arial"/>
                  <w:sz w:val="18"/>
                  <w:szCs w:val="18"/>
                  <w:color w:val="0000EE"/>
                </w:rPr>
                <w:t>Richard L. Gelfond.</w:t>
              </w:r>
            </w:hyperlink>
          </w:p>
        </w:tc>
        <w:tc>
          <w:tcPr>
            <w:tcW w:w="20" w:type="dxa"/>
            <w:vAlign w:val="bottom"/>
          </w:tcPr>
          <w:p>
            <w:pPr>
              <w:spacing w:after="0"/>
              <w:rPr>
                <w:sz w:val="16"/>
                <w:szCs w:val="16"/>
                <w:color w:val="auto"/>
              </w:rPr>
            </w:pPr>
          </w:p>
        </w:tc>
      </w:tr>
      <w:tr>
        <w:trPr>
          <w:trHeight w:val="20"/>
        </w:trPr>
        <w:tc>
          <w:tcPr>
            <w:tcW w:w="1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+10.18</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9"/>
              </w:rPr>
            </w:pPr>
            <w:hyperlink r:id="rId211">
              <w:r>
                <w:rPr>
                  <w:rFonts w:ascii="Arial" w:cs="Arial" w:eastAsia="Arial" w:hAnsi="Arial"/>
                  <w:sz w:val="18"/>
                  <w:szCs w:val="18"/>
                  <w:color w:val="0000EE"/>
                  <w:w w:val="99"/>
                </w:rPr>
                <w:t>Amended  Employment  Agreement,  dated  July  12,  2000,  between  IMAX</w:t>
              </w:r>
            </w:hyperlink>
          </w:p>
        </w:tc>
      </w:tr>
      <w:tr>
        <w:trPr>
          <w:trHeight w:val="195"/>
        </w:trPr>
        <w:tc>
          <w:tcPr>
            <w:tcW w:w="1840" w:type="dxa"/>
            <w:vAlign w:val="bottom"/>
          </w:tcPr>
          <w:p>
            <w:pPr>
              <w:spacing w:after="0"/>
              <w:rPr>
                <w:sz w:val="16"/>
                <w:szCs w:val="16"/>
                <w:color w:val="auto"/>
              </w:rPr>
            </w:pPr>
          </w:p>
        </w:tc>
        <w:tc>
          <w:tcPr>
            <w:tcW w:w="268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Corporation and Richard L. Gelfond.</w:t>
              </w:r>
            </w:hyperlink>
          </w:p>
        </w:tc>
        <w:tc>
          <w:tcPr>
            <w:tcW w:w="3380" w:type="dxa"/>
            <w:vAlign w:val="bottom"/>
            <w:gridSpan w:val="3"/>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+10.19</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7"/>
              </w:rPr>
            </w:pPr>
            <w:hyperlink r:id="rId212">
              <w:r>
                <w:rPr>
                  <w:rFonts w:ascii="Arial" w:cs="Arial" w:eastAsia="Arial" w:hAnsi="Arial"/>
                  <w:sz w:val="18"/>
                  <w:szCs w:val="18"/>
                  <w:color w:val="0000EE"/>
                  <w:w w:val="97"/>
                </w:rPr>
                <w:t>Amended  Employment  Agreement,  dated  March  8,  2006,  between  IMAX</w:t>
              </w:r>
            </w:hyperlink>
          </w:p>
        </w:tc>
      </w:tr>
      <w:tr>
        <w:trPr>
          <w:trHeight w:val="195"/>
        </w:trPr>
        <w:tc>
          <w:tcPr>
            <w:tcW w:w="1840" w:type="dxa"/>
            <w:vAlign w:val="bottom"/>
          </w:tcPr>
          <w:p>
            <w:pPr>
              <w:spacing w:after="0"/>
              <w:rPr>
                <w:sz w:val="16"/>
                <w:szCs w:val="16"/>
                <w:color w:val="auto"/>
              </w:rPr>
            </w:pPr>
          </w:p>
        </w:tc>
        <w:tc>
          <w:tcPr>
            <w:tcW w:w="268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Corporation and Richard L. Gelfond.</w:t>
              </w:r>
            </w:hyperlink>
          </w:p>
        </w:tc>
        <w:tc>
          <w:tcPr>
            <w:tcW w:w="3380" w:type="dxa"/>
            <w:vAlign w:val="bottom"/>
            <w:gridSpan w:val="3"/>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+10.20</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9"/>
              </w:rPr>
            </w:pPr>
            <w:hyperlink r:id="rId213">
              <w:r>
                <w:rPr>
                  <w:rFonts w:ascii="Arial" w:cs="Arial" w:eastAsia="Arial" w:hAnsi="Arial"/>
                  <w:sz w:val="18"/>
                  <w:szCs w:val="18"/>
                  <w:color w:val="0000EE"/>
                  <w:w w:val="99"/>
                </w:rPr>
                <w:t>Amended Employment Agreement, dated February 15, 2007, between IMAX</w:t>
              </w:r>
            </w:hyperlink>
          </w:p>
        </w:tc>
      </w:tr>
      <w:tr>
        <w:trPr>
          <w:trHeight w:val="195"/>
        </w:trPr>
        <w:tc>
          <w:tcPr>
            <w:tcW w:w="1840" w:type="dxa"/>
            <w:vAlign w:val="bottom"/>
          </w:tcPr>
          <w:p>
            <w:pPr>
              <w:spacing w:after="0"/>
              <w:rPr>
                <w:sz w:val="16"/>
                <w:szCs w:val="16"/>
                <w:color w:val="auto"/>
              </w:rPr>
            </w:pPr>
          </w:p>
        </w:tc>
        <w:tc>
          <w:tcPr>
            <w:tcW w:w="2660" w:type="dxa"/>
            <w:vAlign w:val="bottom"/>
            <w:tcBorders>
              <w:bottom w:val="single" w:sz="8" w:color="0000EE"/>
            </w:tcBorders>
            <w:gridSpan w:val="7"/>
          </w:tcPr>
          <w:p>
            <w:pPr>
              <w:spacing w:after="0" w:line="195"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Corporation and Richard L. Gelfond.</w:t>
              </w:r>
            </w:hyperlink>
          </w:p>
        </w:tc>
        <w:tc>
          <w:tcPr>
            <w:tcW w:w="3400" w:type="dxa"/>
            <w:vAlign w:val="bottom"/>
            <w:gridSpan w:val="4"/>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+10.21</w:t>
            </w:r>
          </w:p>
        </w:tc>
        <w:tc>
          <w:tcPr>
            <w:tcW w:w="6060" w:type="dxa"/>
            <w:vAlign w:val="bottom"/>
            <w:gridSpan w:val="11"/>
          </w:tcPr>
          <w:p>
            <w:pPr>
              <w:spacing w:after="0"/>
              <w:rPr>
                <w:rFonts w:ascii="Arial" w:cs="Arial" w:eastAsia="Arial" w:hAnsi="Arial"/>
                <w:sz w:val="18"/>
                <w:szCs w:val="18"/>
                <w:color w:val="0000EE"/>
                <w:w w:val="97"/>
              </w:rPr>
            </w:pPr>
            <w:hyperlink r:id="rId214">
              <w:r>
                <w:rPr>
                  <w:rFonts w:ascii="Arial" w:cs="Arial" w:eastAsia="Arial" w:hAnsi="Arial"/>
                  <w:sz w:val="18"/>
                  <w:szCs w:val="18"/>
                  <w:color w:val="0000EE"/>
                  <w:w w:val="97"/>
                </w:rPr>
                <w:t>Amended Employment Agreement, dated December 31, 2007, between IMAX</w:t>
              </w:r>
            </w:hyperlink>
          </w:p>
        </w:tc>
      </w:tr>
      <w:tr>
        <w:trPr>
          <w:trHeight w:val="195"/>
        </w:trPr>
        <w:tc>
          <w:tcPr>
            <w:tcW w:w="184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Corporation and Richard L. Gelfond.</w:t>
              </w:r>
            </w:hyperlink>
          </w:p>
        </w:tc>
        <w:tc>
          <w:tcPr>
            <w:tcW w:w="3380" w:type="dxa"/>
            <w:vAlign w:val="bottom"/>
            <w:tcBorders>
              <w:top w:val="single" w:sz="8" w:color="0000EE"/>
            </w:tcBorders>
            <w:gridSpan w:val="3"/>
          </w:tcPr>
          <w:p>
            <w:pPr>
              <w:spacing w:after="0"/>
              <w:rPr>
                <w:sz w:val="16"/>
                <w:szCs w:val="16"/>
                <w:color w:val="auto"/>
              </w:rPr>
            </w:pPr>
          </w:p>
        </w:tc>
        <w:tc>
          <w:tcPr>
            <w:tcW w:w="20" w:type="dxa"/>
            <w:vAlign w:val="bottom"/>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+10.22</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7"/>
              </w:rPr>
            </w:pPr>
            <w:hyperlink r:id="rId215">
              <w:r>
                <w:rPr>
                  <w:rFonts w:ascii="Arial" w:cs="Arial" w:eastAsia="Arial" w:hAnsi="Arial"/>
                  <w:sz w:val="18"/>
                  <w:szCs w:val="18"/>
                  <w:color w:val="0000EE"/>
                  <w:w w:val="97"/>
                </w:rPr>
                <w:t>Amended Employment Agreement, dated December 11, 2008, between IMAX</w:t>
              </w:r>
            </w:hyperlink>
          </w:p>
        </w:tc>
      </w:tr>
      <w:tr>
        <w:trPr>
          <w:trHeight w:val="195"/>
        </w:trPr>
        <w:tc>
          <w:tcPr>
            <w:tcW w:w="1840" w:type="dxa"/>
            <w:vAlign w:val="bottom"/>
          </w:tcPr>
          <w:p>
            <w:pPr>
              <w:spacing w:after="0"/>
              <w:rPr>
                <w:sz w:val="16"/>
                <w:szCs w:val="16"/>
                <w:color w:val="auto"/>
              </w:rPr>
            </w:pPr>
          </w:p>
        </w:tc>
        <w:tc>
          <w:tcPr>
            <w:tcW w:w="2660" w:type="dxa"/>
            <w:vAlign w:val="bottom"/>
            <w:tcBorders>
              <w:bottom w:val="single" w:sz="8" w:color="0000EE"/>
            </w:tcBorders>
            <w:gridSpan w:val="7"/>
          </w:tcPr>
          <w:p>
            <w:pPr>
              <w:spacing w:after="0" w:line="195"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Corporation and Richard L. Gelfond.</w:t>
              </w:r>
            </w:hyperlink>
          </w:p>
        </w:tc>
        <w:tc>
          <w:tcPr>
            <w:tcW w:w="3400" w:type="dxa"/>
            <w:vAlign w:val="bottom"/>
            <w:gridSpan w:val="4"/>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+10.23</w:t>
            </w:r>
          </w:p>
        </w:tc>
        <w:tc>
          <w:tcPr>
            <w:tcW w:w="6060" w:type="dxa"/>
            <w:vAlign w:val="bottom"/>
            <w:gridSpan w:val="11"/>
          </w:tcPr>
          <w:p>
            <w:pPr>
              <w:spacing w:after="0"/>
              <w:rPr>
                <w:rFonts w:ascii="Arial" w:cs="Arial" w:eastAsia="Arial" w:hAnsi="Arial"/>
                <w:sz w:val="18"/>
                <w:szCs w:val="18"/>
                <w:color w:val="0000EE"/>
                <w:w w:val="97"/>
              </w:rPr>
            </w:pPr>
            <w:hyperlink r:id="rId216">
              <w:r>
                <w:rPr>
                  <w:rFonts w:ascii="Arial" w:cs="Arial" w:eastAsia="Arial" w:hAnsi="Arial"/>
                  <w:sz w:val="18"/>
                  <w:szCs w:val="18"/>
                  <w:color w:val="0000EE"/>
                  <w:w w:val="97"/>
                </w:rPr>
                <w:t>Amended Employment Agreement, dated December 20, 2010, between IMAX</w:t>
              </w:r>
            </w:hyperlink>
          </w:p>
        </w:tc>
      </w:tr>
      <w:tr>
        <w:trPr>
          <w:trHeight w:val="195"/>
        </w:trPr>
        <w:tc>
          <w:tcPr>
            <w:tcW w:w="184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Corporation and Richard L. Gelfond.</w:t>
              </w:r>
            </w:hyperlink>
          </w:p>
        </w:tc>
        <w:tc>
          <w:tcPr>
            <w:tcW w:w="3380" w:type="dxa"/>
            <w:vAlign w:val="bottom"/>
            <w:tcBorders>
              <w:top w:val="single" w:sz="8" w:color="0000EE"/>
            </w:tcBorders>
            <w:gridSpan w:val="3"/>
          </w:tcPr>
          <w:p>
            <w:pPr>
              <w:spacing w:after="0"/>
              <w:rPr>
                <w:sz w:val="16"/>
                <w:szCs w:val="16"/>
                <w:color w:val="auto"/>
              </w:rPr>
            </w:pPr>
          </w:p>
        </w:tc>
        <w:tc>
          <w:tcPr>
            <w:tcW w:w="20" w:type="dxa"/>
            <w:vAlign w:val="bottom"/>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+10.24</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7"/>
              </w:rPr>
            </w:pPr>
            <w:hyperlink r:id="rId217">
              <w:r>
                <w:rPr>
                  <w:rFonts w:ascii="Arial" w:cs="Arial" w:eastAsia="Arial" w:hAnsi="Arial"/>
                  <w:sz w:val="18"/>
                  <w:szCs w:val="18"/>
                  <w:color w:val="0000EE"/>
                  <w:w w:val="97"/>
                </w:rPr>
                <w:t>Amended Employment Agreement, dated December 12, 2011, between IMAX</w:t>
              </w:r>
            </w:hyperlink>
          </w:p>
        </w:tc>
      </w:tr>
      <w:tr>
        <w:trPr>
          <w:trHeight w:val="195"/>
        </w:trPr>
        <w:tc>
          <w:tcPr>
            <w:tcW w:w="1840" w:type="dxa"/>
            <w:vAlign w:val="bottom"/>
          </w:tcPr>
          <w:p>
            <w:pPr>
              <w:spacing w:after="0"/>
              <w:rPr>
                <w:sz w:val="16"/>
                <w:szCs w:val="16"/>
                <w:color w:val="auto"/>
              </w:rPr>
            </w:pPr>
          </w:p>
        </w:tc>
        <w:tc>
          <w:tcPr>
            <w:tcW w:w="268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Corporation and Richard L. Gelfond.</w:t>
              </w:r>
            </w:hyperlink>
          </w:p>
        </w:tc>
        <w:tc>
          <w:tcPr>
            <w:tcW w:w="3380" w:type="dxa"/>
            <w:vAlign w:val="bottom"/>
            <w:gridSpan w:val="3"/>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+10.25</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3"/>
              </w:rPr>
            </w:pPr>
            <w:hyperlink r:id="rId218">
              <w:r>
                <w:rPr>
                  <w:rFonts w:ascii="Arial" w:cs="Arial" w:eastAsia="Arial" w:hAnsi="Arial"/>
                  <w:sz w:val="18"/>
                  <w:szCs w:val="18"/>
                  <w:color w:val="0000EE"/>
                  <w:w w:val="93"/>
                </w:rPr>
                <w:t>Employment Agreement, dated January 1, 2014, between IMAX Corporation and</w:t>
              </w:r>
            </w:hyperlink>
          </w:p>
        </w:tc>
      </w:tr>
      <w:tr>
        <w:trPr>
          <w:trHeight w:val="195"/>
        </w:trPr>
        <w:tc>
          <w:tcPr>
            <w:tcW w:w="1840" w:type="dxa"/>
            <w:vAlign w:val="bottom"/>
          </w:tcPr>
          <w:p>
            <w:pPr>
              <w:spacing w:after="0"/>
              <w:rPr>
                <w:sz w:val="16"/>
                <w:szCs w:val="16"/>
                <w:color w:val="auto"/>
              </w:rPr>
            </w:pPr>
          </w:p>
        </w:tc>
        <w:tc>
          <w:tcPr>
            <w:tcW w:w="6060" w:type="dxa"/>
            <w:vAlign w:val="bottom"/>
            <w:gridSpan w:val="11"/>
          </w:tcPr>
          <w:p>
            <w:pPr>
              <w:spacing w:after="0" w:line="195" w:lineRule="exact"/>
              <w:rPr>
                <w:rFonts w:ascii="Arial" w:cs="Arial" w:eastAsia="Arial" w:hAnsi="Arial"/>
                <w:sz w:val="18"/>
                <w:szCs w:val="18"/>
                <w:color w:val="0000EE"/>
              </w:rPr>
            </w:pPr>
            <w:hyperlink r:id="rId218">
              <w:r>
                <w:rPr>
                  <w:rFonts w:ascii="Arial" w:cs="Arial" w:eastAsia="Arial" w:hAnsi="Arial"/>
                  <w:sz w:val="18"/>
                  <w:szCs w:val="18"/>
                  <w:color w:val="0000EE"/>
                </w:rPr>
                <w:t>Richard L. Gelfond.</w:t>
              </w:r>
            </w:hyperlink>
          </w:p>
        </w:tc>
      </w:tr>
      <w:tr>
        <w:trPr>
          <w:trHeight w:val="20"/>
        </w:trPr>
        <w:tc>
          <w:tcPr>
            <w:tcW w:w="1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+10.26</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3"/>
              </w:rPr>
            </w:pPr>
            <w:hyperlink r:id="rId219">
              <w:r>
                <w:rPr>
                  <w:rFonts w:ascii="Arial" w:cs="Arial" w:eastAsia="Arial" w:hAnsi="Arial"/>
                  <w:sz w:val="18"/>
                  <w:szCs w:val="18"/>
                  <w:color w:val="0000EE"/>
                  <w:w w:val="93"/>
                </w:rPr>
                <w:t>First Amending Agreement, dated December 9, 2015, between IMAX Corporation</w:t>
              </w:r>
            </w:hyperlink>
          </w:p>
        </w:tc>
      </w:tr>
      <w:tr>
        <w:trPr>
          <w:trHeight w:val="195"/>
        </w:trPr>
        <w:tc>
          <w:tcPr>
            <w:tcW w:w="1840" w:type="dxa"/>
            <w:vAlign w:val="bottom"/>
          </w:tcPr>
          <w:p>
            <w:pPr>
              <w:spacing w:after="0"/>
              <w:rPr>
                <w:sz w:val="16"/>
                <w:szCs w:val="16"/>
                <w:color w:val="auto"/>
              </w:rPr>
            </w:pPr>
          </w:p>
        </w:tc>
        <w:tc>
          <w:tcPr>
            <w:tcW w:w="6060" w:type="dxa"/>
            <w:vAlign w:val="bottom"/>
            <w:gridSpan w:val="11"/>
          </w:tcPr>
          <w:p>
            <w:pPr>
              <w:spacing w:after="0" w:line="195" w:lineRule="exact"/>
              <w:rPr>
                <w:rFonts w:ascii="Arial" w:cs="Arial" w:eastAsia="Arial" w:hAnsi="Arial"/>
                <w:sz w:val="18"/>
                <w:szCs w:val="18"/>
                <w:color w:val="0000EE"/>
              </w:rPr>
            </w:pPr>
            <w:hyperlink r:id="rId219">
              <w:r>
                <w:rPr>
                  <w:rFonts w:ascii="Arial" w:cs="Arial" w:eastAsia="Arial" w:hAnsi="Arial"/>
                  <w:sz w:val="18"/>
                  <w:szCs w:val="18"/>
                  <w:color w:val="0000EE"/>
                </w:rPr>
                <w:t>and Richard L. Gelfond.</w:t>
              </w:r>
            </w:hyperlink>
          </w:p>
        </w:tc>
      </w:tr>
      <w:tr>
        <w:trPr>
          <w:trHeight w:val="20"/>
        </w:trPr>
        <w:tc>
          <w:tcPr>
            <w:tcW w:w="1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+10.27</w:t>
            </w:r>
          </w:p>
        </w:tc>
        <w:tc>
          <w:tcPr>
            <w:tcW w:w="6060" w:type="dxa"/>
            <w:vAlign w:val="bottom"/>
            <w:gridSpan w:val="11"/>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Employment Agreement, dated November 8, 2016, between IMAX Corporation and</w:t>
              </w:r>
            </w:hyperlink>
          </w:p>
        </w:tc>
      </w:tr>
      <w:tr>
        <w:trPr>
          <w:trHeight w:val="195"/>
        </w:trPr>
        <w:tc>
          <w:tcPr>
            <w:tcW w:w="1840" w:type="dxa"/>
            <w:vAlign w:val="bottom"/>
          </w:tcPr>
          <w:p>
            <w:pPr>
              <w:spacing w:after="0"/>
              <w:rPr>
                <w:sz w:val="16"/>
                <w:szCs w:val="16"/>
                <w:color w:val="auto"/>
              </w:rPr>
            </w:pPr>
          </w:p>
        </w:tc>
        <w:tc>
          <w:tcPr>
            <w:tcW w:w="604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r:id="rId220">
              <w:r>
                <w:rPr>
                  <w:rFonts w:ascii="Arial" w:cs="Arial" w:eastAsia="Arial" w:hAnsi="Arial"/>
                  <w:sz w:val="18"/>
                  <w:szCs w:val="18"/>
                  <w:color w:val="0000EE"/>
                </w:rPr>
                <w:t>Richard L. Gelfond.</w:t>
              </w:r>
            </w:hyperlink>
          </w:p>
        </w:tc>
        <w:tc>
          <w:tcPr>
            <w:tcW w:w="20" w:type="dxa"/>
            <w:vAlign w:val="bottom"/>
          </w:tcPr>
          <w:p>
            <w:pPr>
              <w:spacing w:after="0"/>
              <w:rPr>
                <w:sz w:val="16"/>
                <w:szCs w:val="16"/>
                <w:color w:val="auto"/>
              </w:rPr>
            </w:pPr>
          </w:p>
        </w:tc>
      </w:tr>
      <w:tr>
        <w:trPr>
          <w:trHeight w:val="20"/>
        </w:trPr>
        <w:tc>
          <w:tcPr>
            <w:tcW w:w="18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+10.28</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Amendment to Employment Agreement, dated November 1, 2019, between IMAX</w:t>
              </w:r>
            </w:hyperlink>
          </w:p>
        </w:tc>
      </w:tr>
      <w:tr>
        <w:trPr>
          <w:trHeight w:val="195"/>
        </w:trPr>
        <w:tc>
          <w:tcPr>
            <w:tcW w:w="1840" w:type="dxa"/>
            <w:vAlign w:val="bottom"/>
          </w:tcPr>
          <w:p>
            <w:pPr>
              <w:spacing w:after="0"/>
              <w:rPr>
                <w:sz w:val="16"/>
                <w:szCs w:val="16"/>
                <w:color w:val="auto"/>
              </w:rPr>
            </w:pPr>
          </w:p>
        </w:tc>
        <w:tc>
          <w:tcPr>
            <w:tcW w:w="268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Corporation and Richard L. Gelfond.</w:t>
              </w:r>
            </w:hyperlink>
          </w:p>
        </w:tc>
        <w:tc>
          <w:tcPr>
            <w:tcW w:w="3380" w:type="dxa"/>
            <w:vAlign w:val="bottom"/>
            <w:gridSpan w:val="3"/>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+10.29</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4"/>
              </w:rPr>
            </w:pPr>
            <w:hyperlink r:id="rId222">
              <w:r>
                <w:rPr>
                  <w:rFonts w:ascii="Arial" w:cs="Arial" w:eastAsia="Arial" w:hAnsi="Arial"/>
                  <w:sz w:val="18"/>
                  <w:szCs w:val="18"/>
                  <w:color w:val="0000EE"/>
                  <w:w w:val="94"/>
                </w:rPr>
                <w:t>Employment Agreement, dated December 18, 2017, between IMAX Corporation</w:t>
              </w:r>
            </w:hyperlink>
          </w:p>
        </w:tc>
      </w:tr>
      <w:tr>
        <w:trPr>
          <w:trHeight w:val="195"/>
        </w:trPr>
        <w:tc>
          <w:tcPr>
            <w:tcW w:w="1840" w:type="dxa"/>
            <w:vAlign w:val="bottom"/>
          </w:tcPr>
          <w:p>
            <w:pPr>
              <w:spacing w:after="0"/>
              <w:rPr>
                <w:sz w:val="16"/>
                <w:szCs w:val="16"/>
                <w:color w:val="auto"/>
              </w:rPr>
            </w:pPr>
          </w:p>
        </w:tc>
        <w:tc>
          <w:tcPr>
            <w:tcW w:w="1520" w:type="dxa"/>
            <w:vAlign w:val="bottom"/>
            <w:tcBorders>
              <w:bottom w:val="single" w:sz="8" w:color="0000EE"/>
            </w:tcBorders>
            <w:gridSpan w:val="4"/>
          </w:tcPr>
          <w:p>
            <w:pPr>
              <w:spacing w:after="0" w:line="195"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and Robert D. Lister.</w:t>
              </w:r>
            </w:hyperlink>
          </w:p>
        </w:tc>
        <w:tc>
          <w:tcPr>
            <w:tcW w:w="4540" w:type="dxa"/>
            <w:vAlign w:val="bottom"/>
            <w:gridSpan w:val="7"/>
          </w:tcPr>
          <w:p>
            <w:pPr>
              <w:spacing w:after="0"/>
              <w:rPr>
                <w:sz w:val="16"/>
                <w:szCs w:val="16"/>
                <w:color w:val="auto"/>
              </w:rPr>
            </w:pPr>
          </w:p>
        </w:tc>
      </w:tr>
      <w:tr>
        <w:trPr>
          <w:trHeight w:val="316"/>
        </w:trPr>
        <w:tc>
          <w:tcPr>
            <w:tcW w:w="1840" w:type="dxa"/>
            <w:vAlign w:val="bottom"/>
          </w:tcPr>
          <w:p>
            <w:pPr>
              <w:jc w:val="right"/>
              <w:ind w:right="1231"/>
              <w:spacing w:after="0"/>
              <w:rPr>
                <w:sz w:val="20"/>
                <w:szCs w:val="20"/>
                <w:color w:val="auto"/>
              </w:rPr>
            </w:pPr>
            <w:r>
              <w:rPr>
                <w:rFonts w:ascii="Arial" w:cs="Arial" w:eastAsia="Arial" w:hAnsi="Arial"/>
                <w:sz w:val="18"/>
                <w:szCs w:val="18"/>
                <w:color w:val="auto"/>
                <w:w w:val="89"/>
              </w:rPr>
              <w:t>+10.30</w:t>
            </w:r>
          </w:p>
        </w:tc>
        <w:tc>
          <w:tcPr>
            <w:tcW w:w="6060" w:type="dxa"/>
            <w:vAlign w:val="bottom"/>
            <w:tcBorders>
              <w:bottom w:val="single" w:sz="8" w:color="0000EE"/>
            </w:tcBorders>
            <w:gridSpan w:val="11"/>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First Amending Agreement, dated March 11, 2020, between IMAX Corporation and</w:t>
              </w:r>
            </w:hyperlink>
          </w:p>
        </w:tc>
      </w:tr>
      <w:tr>
        <w:trPr>
          <w:trHeight w:val="195"/>
        </w:trPr>
        <w:tc>
          <w:tcPr>
            <w:tcW w:w="1840" w:type="dxa"/>
            <w:vAlign w:val="bottom"/>
          </w:tcPr>
          <w:p>
            <w:pPr>
              <w:spacing w:after="0"/>
              <w:rPr>
                <w:sz w:val="16"/>
                <w:szCs w:val="16"/>
                <w:color w:val="auto"/>
              </w:rPr>
            </w:pPr>
          </w:p>
        </w:tc>
        <w:tc>
          <w:tcPr>
            <w:tcW w:w="6060" w:type="dxa"/>
            <w:vAlign w:val="bottom"/>
            <w:gridSpan w:val="11"/>
          </w:tcPr>
          <w:p>
            <w:pPr>
              <w:spacing w:after="0" w:line="195" w:lineRule="exact"/>
              <w:rPr>
                <w:rFonts w:ascii="Arial" w:cs="Arial" w:eastAsia="Arial" w:hAnsi="Arial"/>
                <w:sz w:val="18"/>
                <w:szCs w:val="18"/>
                <w:color w:val="0000EE"/>
              </w:rPr>
            </w:pPr>
            <w:hyperlink r:id="rId223">
              <w:r>
                <w:rPr>
                  <w:rFonts w:ascii="Arial" w:cs="Arial" w:eastAsia="Arial" w:hAnsi="Arial"/>
                  <w:sz w:val="18"/>
                  <w:szCs w:val="18"/>
                  <w:color w:val="0000EE"/>
                </w:rPr>
                <w:t>Robert D. Lister.</w:t>
              </w:r>
            </w:hyperlink>
          </w:p>
        </w:tc>
      </w:tr>
      <w:tr>
        <w:trPr>
          <w:trHeight w:val="571"/>
        </w:trPr>
        <w:tc>
          <w:tcPr>
            <w:tcW w:w="184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4840" w:type="dxa"/>
            <w:vAlign w:val="bottom"/>
            <w:gridSpan w:val="9"/>
          </w:tcPr>
          <w:p>
            <w:pPr>
              <w:jc w:val="right"/>
              <w:ind w:right="21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2/24/12</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2/20/14</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2/19/15</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2/24/16</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2/20/14</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4/29/21</w:t>
            </w:r>
          </w:p>
        </w:tc>
      </w:tr>
      <w:tr>
        <w:trPr>
          <w:trHeight w:val="644"/>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2/21/13</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2/21/13</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2/24/12</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2/24/12</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2/20/14</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2/19/15</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2/24/16</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2/24/12</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10-Q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10/23/14</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2/24/16</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2/23/17</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2/19/20</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2/27/18</w:t>
            </w:r>
          </w:p>
        </w:tc>
      </w:tr>
      <w:tr>
        <w:trPr>
          <w:trHeight w:val="550"/>
        </w:trPr>
        <w:tc>
          <w:tcPr>
            <w:tcW w:w="1520" w:type="dxa"/>
            <w:vAlign w:val="bottom"/>
          </w:tcPr>
          <w:p>
            <w:pPr>
              <w:spacing w:after="0"/>
              <w:rPr>
                <w:sz w:val="20"/>
                <w:szCs w:val="20"/>
                <w:color w:val="auto"/>
              </w:rPr>
            </w:pPr>
            <w:r>
              <w:rPr>
                <w:rFonts w:ascii="Arial" w:cs="Arial" w:eastAsia="Arial" w:hAnsi="Arial"/>
                <w:sz w:val="18"/>
                <w:szCs w:val="18"/>
                <w:color w:val="auto"/>
              </w:rPr>
              <w:t>10-Q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3"/>
              </w:rPr>
              <w:t>4/30/20</w:t>
            </w:r>
          </w:p>
        </w:tc>
      </w:tr>
    </w:tbl>
    <w:p>
      <w:pPr>
        <w:sectPr>
          <w:pgSz w:w="11900" w:h="16838" w:orient="portrait"/>
          <w:cols w:equalWidth="0" w:num="2">
            <w:col w:w="7900" w:space="160"/>
            <w:col w:w="3180"/>
          </w:cols>
          <w:pgMar w:left="320" w:top="103" w:right="339" w:bottom="1440" w:gutter="0" w:footer="0" w:header="0"/>
          <w:type w:val="continuous"/>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80" w:type="dxa"/>
            <w:vAlign w:val="bottom"/>
            <w:gridSpan w:val="10"/>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7"/>
              </w:rPr>
            </w:pPr>
            <w:hyperlink r:id="rId225">
              <w:r>
                <w:rPr>
                  <w:rFonts w:ascii="Arial" w:cs="Arial" w:eastAsia="Arial" w:hAnsi="Arial"/>
                  <w:sz w:val="18"/>
                  <w:szCs w:val="18"/>
                  <w:color w:val="0000EE"/>
                  <w:w w:val="97"/>
                </w:rPr>
                <w:t>Employment Agreement, dated June 6, 2016 between IMAX Corporation and</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25">
              <w:r>
                <w:rPr>
                  <w:rFonts w:ascii="Arial" w:cs="Arial" w:eastAsia="Arial" w:hAnsi="Arial"/>
                  <w:sz w:val="18"/>
                  <w:szCs w:val="18"/>
                  <w:color w:val="0000EE"/>
                </w:rPr>
                <w:t>Patrick McClymont.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5"/>
              </w:rPr>
            </w:pPr>
            <w:hyperlink r:id="rId226">
              <w:r>
                <w:rPr>
                  <w:rFonts w:ascii="Arial" w:cs="Arial" w:eastAsia="Arial" w:hAnsi="Arial"/>
                  <w:sz w:val="18"/>
                  <w:szCs w:val="18"/>
                  <w:color w:val="0000EE"/>
                  <w:w w:val="95"/>
                </w:rPr>
                <w:t>Amendment to Employment Agreement, dated August 2, 2019, between IMAX</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80" w:type="dxa"/>
            <w:vAlign w:val="bottom"/>
            <w:tcBorders>
              <w:bottom w:val="single" w:sz="8" w:color="0000EE"/>
            </w:tcBorders>
            <w:gridSpan w:val="9"/>
          </w:tcPr>
          <w:p>
            <w:pPr>
              <w:spacing w:after="0" w:line="195"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Corporation and Patrick McClymont.</w:t>
              </w:r>
            </w:hyperlink>
          </w:p>
        </w:tc>
        <w:tc>
          <w:tcPr>
            <w:tcW w:w="3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Second Amendment to Employment Agreement, dated October 21, 2019, between</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0" w:type="dxa"/>
            <w:vAlign w:val="bottom"/>
            <w:tcBorders>
              <w:bottom w:val="single" w:sz="8" w:color="0000EE"/>
            </w:tcBorders>
            <w:gridSpan w:val="11"/>
          </w:tcPr>
          <w:p>
            <w:pPr>
              <w:spacing w:after="0" w:line="195" w:lineRule="exact"/>
              <w:rPr>
                <w:rFonts w:ascii="Arial" w:cs="Arial" w:eastAsia="Arial" w:hAnsi="Arial"/>
                <w:sz w:val="18"/>
                <w:szCs w:val="18"/>
                <w:color w:val="0000EE"/>
                <w:w w:val="94"/>
              </w:rPr>
            </w:pPr>
            <w:hyperlink r:id="rId227">
              <w:r>
                <w:rPr>
                  <w:rFonts w:ascii="Arial" w:cs="Arial" w:eastAsia="Arial" w:hAnsi="Arial"/>
                  <w:sz w:val="18"/>
                  <w:szCs w:val="18"/>
                  <w:color w:val="0000EE"/>
                  <w:w w:val="94"/>
                </w:rPr>
                <w:t>IMAX Corporation and Patrick McClymont.</w:t>
              </w:r>
            </w:hyperlink>
          </w:p>
        </w:tc>
        <w:tc>
          <w:tcPr>
            <w:tcW w:w="27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2"/>
              </w:rPr>
            </w:pPr>
            <w:hyperlink r:id="rId228">
              <w:r>
                <w:rPr>
                  <w:rFonts w:ascii="Arial" w:cs="Arial" w:eastAsia="Arial" w:hAnsi="Arial"/>
                  <w:sz w:val="18"/>
                  <w:szCs w:val="18"/>
                  <w:color w:val="0000EE"/>
                  <w:w w:val="92"/>
                </w:rPr>
                <w:t>Third Amendment to Employment Agreement, dated December 5, 2019, between</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0" w:type="dxa"/>
            <w:vAlign w:val="bottom"/>
            <w:tcBorders>
              <w:bottom w:val="single" w:sz="8" w:color="0000EE"/>
            </w:tcBorders>
            <w:gridSpan w:val="11"/>
          </w:tcPr>
          <w:p>
            <w:pPr>
              <w:spacing w:after="0" w:line="195" w:lineRule="exact"/>
              <w:rPr>
                <w:rFonts w:ascii="Arial" w:cs="Arial" w:eastAsia="Arial" w:hAnsi="Arial"/>
                <w:sz w:val="18"/>
                <w:szCs w:val="18"/>
                <w:color w:val="0000EE"/>
                <w:w w:val="94"/>
              </w:rPr>
            </w:pPr>
            <w:hyperlink r:id="rId228">
              <w:r>
                <w:rPr>
                  <w:rFonts w:ascii="Arial" w:cs="Arial" w:eastAsia="Arial" w:hAnsi="Arial"/>
                  <w:sz w:val="18"/>
                  <w:szCs w:val="18"/>
                  <w:color w:val="0000EE"/>
                  <w:w w:val="94"/>
                </w:rPr>
                <w:t>IMAX Corporation and Patrick McClymont.</w:t>
              </w:r>
            </w:hyperlink>
          </w:p>
        </w:tc>
        <w:tc>
          <w:tcPr>
            <w:tcW w:w="27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3"/>
              </w:rPr>
            </w:pPr>
            <w:hyperlink r:id="rId229">
              <w:r>
                <w:rPr>
                  <w:rFonts w:ascii="Arial" w:cs="Arial" w:eastAsia="Arial" w:hAnsi="Arial"/>
                  <w:sz w:val="18"/>
                  <w:szCs w:val="18"/>
                  <w:color w:val="0000EE"/>
                  <w:w w:val="93"/>
                </w:rPr>
                <w:t>Employment Agreement, dated December 17, 2019, between IMAX Corporation</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29">
              <w:r>
                <w:rPr>
                  <w:rFonts w:ascii="Arial" w:cs="Arial" w:eastAsia="Arial" w:hAnsi="Arial"/>
                  <w:sz w:val="18"/>
                  <w:szCs w:val="18"/>
                  <w:color w:val="0000EE"/>
                </w:rPr>
                <w:t>and Patrick McClymont.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Employment Agreement, dated October 10, 2018, between IMAX Corporation and</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0">
              <w:r>
                <w:rPr>
                  <w:rFonts w:ascii="Arial" w:cs="Arial" w:eastAsia="Arial" w:hAnsi="Arial"/>
                  <w:sz w:val="18"/>
                  <w:szCs w:val="18"/>
                  <w:color w:val="0000EE"/>
                </w:rPr>
                <w:t>Megan Colligan.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9"/>
              </w:rPr>
            </w:pPr>
            <w:hyperlink r:id="rId231">
              <w:r>
                <w:rPr>
                  <w:rFonts w:ascii="Arial" w:cs="Arial" w:eastAsia="Arial" w:hAnsi="Arial"/>
                  <w:sz w:val="18"/>
                  <w:szCs w:val="18"/>
                  <w:color w:val="0000EE"/>
                  <w:w w:val="99"/>
                </w:rPr>
                <w:t>Employment  Memorandum,  dated  September  18,  2020,  between  IMAX</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1">
              <w:r>
                <w:rPr>
                  <w:rFonts w:ascii="Arial" w:cs="Arial" w:eastAsia="Arial" w:hAnsi="Arial"/>
                  <w:sz w:val="18"/>
                  <w:szCs w:val="18"/>
                  <w:color w:val="0000EE"/>
                </w:rPr>
                <w:t>Corporation and Mark Welton.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*+10.38</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Amendment to Employment Memorandum, dated October 13, 2021, between</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w:anchor="page149">
              <w:r>
                <w:rPr>
                  <w:rFonts w:ascii="Arial" w:cs="Arial" w:eastAsia="Arial" w:hAnsi="Arial"/>
                  <w:sz w:val="18"/>
                  <w:szCs w:val="18"/>
                  <w:color w:val="0000EE"/>
                </w:rPr>
                <w:t>IMAX Corporation and Mark Welton.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8"/>
              </w:rPr>
            </w:pPr>
            <w:hyperlink r:id="rId232">
              <w:r>
                <w:rPr>
                  <w:rFonts w:ascii="Arial" w:cs="Arial" w:eastAsia="Arial" w:hAnsi="Arial"/>
                  <w:sz w:val="18"/>
                  <w:szCs w:val="18"/>
                  <w:color w:val="0000EE"/>
                  <w:w w:val="98"/>
                </w:rPr>
                <w:t>Offer Letter, effective May 14, 2021, between IMAX Corporation and Joseph</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Borders>
              <w:bottom w:val="single" w:sz="8" w:color="0000EE"/>
            </w:tcBorders>
            <w:gridSpan w:val="3"/>
          </w:tcPr>
          <w:p>
            <w:pPr>
              <w:spacing w:after="0" w:line="195" w:lineRule="exact"/>
              <w:rPr>
                <w:rFonts w:ascii="Arial" w:cs="Arial" w:eastAsia="Arial" w:hAnsi="Arial"/>
                <w:sz w:val="18"/>
                <w:szCs w:val="18"/>
                <w:color w:val="0000EE"/>
                <w:w w:val="86"/>
              </w:rPr>
            </w:pPr>
            <w:hyperlink r:id="rId232">
              <w:r>
                <w:rPr>
                  <w:rFonts w:ascii="Arial" w:cs="Arial" w:eastAsia="Arial" w:hAnsi="Arial"/>
                  <w:sz w:val="18"/>
                  <w:szCs w:val="18"/>
                  <w:color w:val="0000EE"/>
                  <w:w w:val="86"/>
                </w:rPr>
                <w:t>Sparacio.</w:t>
              </w:r>
            </w:hyperlink>
          </w:p>
        </w:tc>
        <w:tc>
          <w:tcPr>
            <w:tcW w:w="53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+10.40</w:t>
            </w:r>
          </w:p>
        </w:tc>
        <w:tc>
          <w:tcPr>
            <w:tcW w:w="1020" w:type="dxa"/>
            <w:vAlign w:val="bottom"/>
          </w:tcPr>
          <w:p>
            <w:pPr>
              <w:spacing w:after="0"/>
              <w:rPr>
                <w:sz w:val="24"/>
                <w:szCs w:val="24"/>
                <w:color w:val="auto"/>
              </w:rPr>
            </w:pPr>
          </w:p>
        </w:tc>
        <w:tc>
          <w:tcPr>
            <w:tcW w:w="5980" w:type="dxa"/>
            <w:vAlign w:val="bottom"/>
            <w:gridSpan w:val="18"/>
          </w:tcPr>
          <w:p>
            <w:pPr>
              <w:spacing w:after="0"/>
              <w:rPr>
                <w:sz w:val="20"/>
                <w:szCs w:val="20"/>
                <w:color w:val="auto"/>
              </w:rPr>
            </w:pPr>
            <w:r>
              <w:rPr>
                <w:rFonts w:ascii="Arial" w:cs="Arial" w:eastAsia="Arial" w:hAnsi="Arial"/>
                <w:sz w:val="18"/>
                <w:szCs w:val="18"/>
                <w:color w:val="0000EE"/>
              </w:rPr>
              <w:t>Statement of Directors’ Compensation, dated January 12, 2021.</w:t>
            </w: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10.41</w:t>
            </w:r>
          </w:p>
        </w:tc>
        <w:tc>
          <w:tcPr>
            <w:tcW w:w="102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r:id="rId233">
              <w:r>
                <w:rPr>
                  <w:rFonts w:ascii="Arial" w:cs="Arial" w:eastAsia="Arial" w:hAnsi="Arial"/>
                  <w:sz w:val="18"/>
                  <w:szCs w:val="18"/>
                  <w:color w:val="0000EE"/>
                  <w:w w:val="92"/>
                </w:rPr>
                <w:t>Form of Director Indemnification Agreement.</w:t>
              </w:r>
            </w:hyperlink>
          </w:p>
        </w:tc>
        <w:tc>
          <w:tcPr>
            <w:tcW w:w="1240" w:type="dxa"/>
            <w:vAlign w:val="bottom"/>
            <w:tcBorders>
              <w:top w:val="single" w:sz="8" w:color="0000EE"/>
            </w:tcBorders>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10.42</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7"/>
              </w:rPr>
            </w:pPr>
            <w:hyperlink r:id="rId234">
              <w:r>
                <w:rPr>
                  <w:rFonts w:ascii="Arial" w:cs="Arial" w:eastAsia="Arial" w:hAnsi="Arial"/>
                  <w:sz w:val="18"/>
                  <w:szCs w:val="18"/>
                  <w:color w:val="0000EE"/>
                  <w:w w:val="97"/>
                </w:rPr>
                <w:t>Fifth Amended and Restated Credit Agreement, dated June 28, 2018, by and</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Borders>
              <w:bottom w:val="single" w:sz="8" w:color="0000EE"/>
            </w:tcBorders>
            <w:gridSpan w:val="18"/>
          </w:tcPr>
          <w:p>
            <w:pPr>
              <w:spacing w:after="0" w:line="195" w:lineRule="exact"/>
              <w:rPr>
                <w:rFonts w:ascii="Arial" w:cs="Arial" w:eastAsia="Arial" w:hAnsi="Arial"/>
                <w:sz w:val="18"/>
                <w:szCs w:val="18"/>
                <w:color w:val="0000EE"/>
                <w:w w:val="99"/>
              </w:rPr>
            </w:pPr>
            <w:hyperlink r:id="rId234">
              <w:r>
                <w:rPr>
                  <w:rFonts w:ascii="Arial" w:cs="Arial" w:eastAsia="Arial" w:hAnsi="Arial"/>
                  <w:sz w:val="18"/>
                  <w:szCs w:val="18"/>
                  <w:color w:val="0000EE"/>
                  <w:w w:val="99"/>
                </w:rPr>
                <w:t>between IMAX Corporation, the Guarantors referred to therein, the Lenders</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tcBorders>
              <w:bottom w:val="single" w:sz="8" w:color="0000EE"/>
            </w:tcBorders>
            <w:gridSpan w:val="18"/>
          </w:tcPr>
          <w:p>
            <w:pPr>
              <w:spacing w:after="0" w:line="195"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referred to therein, and Wells Fargo Bank, National Association, as Administrative</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4">
              <w:r>
                <w:rPr>
                  <w:rFonts w:ascii="Arial" w:cs="Arial" w:eastAsia="Arial" w:hAnsi="Arial"/>
                  <w:sz w:val="18"/>
                  <w:szCs w:val="18"/>
                  <w:color w:val="0000EE"/>
                </w:rPr>
                <w:t>Agent.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10.43</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First Amendment to Fifth Amendment and Restated Credit Agreement entered into</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5">
              <w:r>
                <w:rPr>
                  <w:rFonts w:ascii="Arial" w:cs="Arial" w:eastAsia="Arial" w:hAnsi="Arial"/>
                  <w:sz w:val="18"/>
                  <w:szCs w:val="18"/>
                  <w:color w:val="0000EE"/>
                </w:rPr>
                <w:t>on June 10,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10.44</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0"/>
              </w:rPr>
            </w:pPr>
            <w:hyperlink r:id="rId236">
              <w:r>
                <w:rPr>
                  <w:rFonts w:ascii="Arial" w:cs="Arial" w:eastAsia="Arial" w:hAnsi="Arial"/>
                  <w:sz w:val="18"/>
                  <w:szCs w:val="18"/>
                  <w:color w:val="0000EE"/>
                  <w:w w:val="90"/>
                </w:rPr>
                <w:t>Second Amendment to the Fifth Amended and Restated Credit Agreement entered</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6">
              <w:r>
                <w:rPr>
                  <w:rFonts w:ascii="Arial" w:cs="Arial" w:eastAsia="Arial" w:hAnsi="Arial"/>
                  <w:sz w:val="18"/>
                  <w:szCs w:val="18"/>
                  <w:color w:val="0000EE"/>
                </w:rPr>
                <w:t>into on March 15,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10.45</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1"/>
              </w:rPr>
            </w:pPr>
            <w:hyperlink r:id="rId237">
              <w:r>
                <w:rPr>
                  <w:rFonts w:ascii="Arial" w:cs="Arial" w:eastAsia="Arial" w:hAnsi="Arial"/>
                  <w:sz w:val="18"/>
                  <w:szCs w:val="18"/>
                  <w:color w:val="0000EE"/>
                  <w:w w:val="91"/>
                </w:rPr>
                <w:t>Third Amendment to the Fifth Amended and Restated Credit Agreement, dated as</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37">
              <w:r>
                <w:rPr>
                  <w:rFonts w:ascii="Arial" w:cs="Arial" w:eastAsia="Arial" w:hAnsi="Arial"/>
                  <w:sz w:val="18"/>
                  <w:szCs w:val="18"/>
                  <w:color w:val="0000EE"/>
                </w:rPr>
                <w:t>of July 28,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*10.46</w:t>
            </w:r>
          </w:p>
        </w:tc>
        <w:tc>
          <w:tcPr>
            <w:tcW w:w="102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Fourth Amendment to the Fifth Amended and Restated Credit Agreement, dated as</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of December 13, 2021</w:t>
              </w:r>
            </w:hyperlink>
          </w:p>
        </w:tc>
        <w:tc>
          <w:tcPr>
            <w:tcW w:w="43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10.47</w:t>
            </w:r>
          </w:p>
        </w:tc>
        <w:tc>
          <w:tcPr>
            <w:tcW w:w="102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Arial" w:cs="Arial" w:eastAsia="Arial" w:hAnsi="Arial"/>
                <w:sz w:val="18"/>
                <w:szCs w:val="18"/>
                <w:color w:val="0000EE"/>
              </w:rPr>
            </w:pPr>
            <w:hyperlink r:id="rId238">
              <w:r>
                <w:rPr>
                  <w:rFonts w:ascii="Arial" w:cs="Arial" w:eastAsia="Arial" w:hAnsi="Arial"/>
                  <w:sz w:val="18"/>
                  <w:szCs w:val="18"/>
                  <w:color w:val="0000EE"/>
                </w:rPr>
                <w:t>Base Call Option Confirmation, dated as of March 16, 2021 between IMAX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40" w:type="dxa"/>
            <w:vAlign w:val="bottom"/>
            <w:tcBorders>
              <w:bottom w:val="single" w:sz="8" w:color="0000EE"/>
            </w:tcBorders>
            <w:gridSpan w:val="14"/>
          </w:tcPr>
          <w:p>
            <w:pPr>
              <w:spacing w:after="0" w:line="195" w:lineRule="exact"/>
              <w:rPr>
                <w:rFonts w:ascii="Arial" w:cs="Arial" w:eastAsia="Arial" w:hAnsi="Arial"/>
                <w:sz w:val="18"/>
                <w:szCs w:val="18"/>
                <w:color w:val="0000EE"/>
                <w:w w:val="90"/>
              </w:rPr>
            </w:pPr>
            <w:hyperlink r:id="rId238">
              <w:r>
                <w:rPr>
                  <w:rFonts w:ascii="Arial" w:cs="Arial" w:eastAsia="Arial" w:hAnsi="Arial"/>
                  <w:sz w:val="18"/>
                  <w:szCs w:val="18"/>
                  <w:color w:val="0000EE"/>
                  <w:w w:val="90"/>
                </w:rPr>
                <w:t>Corporation and Wells Fargo Bank, National Association.</w:t>
              </w:r>
            </w:hyperlink>
          </w:p>
        </w:tc>
        <w:tc>
          <w:tcPr>
            <w:tcW w:w="18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10.48</w:t>
            </w:r>
          </w:p>
        </w:tc>
        <w:tc>
          <w:tcPr>
            <w:tcW w:w="102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Arial" w:cs="Arial" w:eastAsia="Arial" w:hAnsi="Arial"/>
                <w:sz w:val="18"/>
                <w:szCs w:val="18"/>
                <w:color w:val="0000EE"/>
              </w:rPr>
            </w:pPr>
            <w:hyperlink r:id="rId239">
              <w:r>
                <w:rPr>
                  <w:rFonts w:ascii="Arial" w:cs="Arial" w:eastAsia="Arial" w:hAnsi="Arial"/>
                  <w:sz w:val="18"/>
                  <w:szCs w:val="18"/>
                  <w:color w:val="0000EE"/>
                </w:rPr>
                <w:t>Base Call Option Confirmation, dated as of March 16, 2021 between IMAX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560" w:type="dxa"/>
            <w:vAlign w:val="bottom"/>
            <w:tcBorders>
              <w:bottom w:val="single" w:sz="8" w:color="0000EE"/>
            </w:tcBorders>
            <w:gridSpan w:val="13"/>
          </w:tcPr>
          <w:p>
            <w:pPr>
              <w:spacing w:after="0" w:line="195"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Corporation and Mizuho Markets Americas LLC.</w:t>
              </w:r>
            </w:hyperlink>
          </w:p>
        </w:tc>
        <w:tc>
          <w:tcPr>
            <w:tcW w:w="24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10.49</w:t>
            </w:r>
          </w:p>
        </w:tc>
        <w:tc>
          <w:tcPr>
            <w:tcW w:w="102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Arial" w:cs="Arial" w:eastAsia="Arial" w:hAnsi="Arial"/>
                <w:sz w:val="18"/>
                <w:szCs w:val="18"/>
                <w:color w:val="0000EE"/>
              </w:rPr>
            </w:pPr>
            <w:hyperlink r:id="rId240">
              <w:r>
                <w:rPr>
                  <w:rFonts w:ascii="Arial" w:cs="Arial" w:eastAsia="Arial" w:hAnsi="Arial"/>
                  <w:sz w:val="18"/>
                  <w:szCs w:val="18"/>
                  <w:color w:val="0000EE"/>
                </w:rPr>
                <w:t>Base Call Option Confirmation, dated as of March 16, 2021 between IMAX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40">
              <w:r>
                <w:rPr>
                  <w:rFonts w:ascii="Arial" w:cs="Arial" w:eastAsia="Arial" w:hAnsi="Arial"/>
                  <w:sz w:val="18"/>
                  <w:szCs w:val="18"/>
                  <w:color w:val="0000EE"/>
                </w:rPr>
                <w:t>Corporation and JPMorgan Chase Bank, National Association.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gridSpan w:val="1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10.50</w:t>
            </w:r>
          </w:p>
        </w:tc>
        <w:tc>
          <w:tcPr>
            <w:tcW w:w="102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Arial" w:cs="Arial" w:eastAsia="Arial" w:hAnsi="Arial"/>
                <w:sz w:val="18"/>
                <w:szCs w:val="18"/>
                <w:color w:val="0000EE"/>
              </w:rPr>
            </w:pPr>
            <w:hyperlink r:id="rId241">
              <w:r>
                <w:rPr>
                  <w:rFonts w:ascii="Arial" w:cs="Arial" w:eastAsia="Arial" w:hAnsi="Arial"/>
                  <w:sz w:val="18"/>
                  <w:szCs w:val="18"/>
                  <w:color w:val="0000EE"/>
                </w:rPr>
                <w:t>Base Call Option Confirmation, dated as of March 16, 2021 between IMAX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80" w:type="dxa"/>
            <w:vAlign w:val="bottom"/>
            <w:gridSpan w:val="18"/>
          </w:tcPr>
          <w:p>
            <w:pPr>
              <w:spacing w:after="0" w:line="195" w:lineRule="exact"/>
              <w:rPr>
                <w:rFonts w:ascii="Arial" w:cs="Arial" w:eastAsia="Arial" w:hAnsi="Arial"/>
                <w:sz w:val="18"/>
                <w:szCs w:val="18"/>
                <w:color w:val="0000EE"/>
              </w:rPr>
            </w:pPr>
            <w:hyperlink r:id="rId241">
              <w:r>
                <w:rPr>
                  <w:rFonts w:ascii="Arial" w:cs="Arial" w:eastAsia="Arial" w:hAnsi="Arial"/>
                  <w:sz w:val="18"/>
                  <w:szCs w:val="18"/>
                  <w:color w:val="0000EE"/>
                </w:rPr>
                <w:t>Corporation and HSBC Bank USA, National Association.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gridSpan w:val="14"/>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0" w:type="dxa"/>
            <w:vAlign w:val="bottom"/>
          </w:tcPr>
          <w:p>
            <w:pPr>
              <w:spacing w:after="0"/>
              <w:rPr>
                <w:sz w:val="20"/>
                <w:szCs w:val="20"/>
                <w:color w:val="auto"/>
              </w:rPr>
            </w:pPr>
            <w:r>
              <w:rPr>
                <w:rFonts w:ascii="Arial" w:cs="Arial" w:eastAsia="Arial" w:hAnsi="Arial"/>
                <w:sz w:val="18"/>
                <w:szCs w:val="18"/>
                <w:color w:val="auto"/>
              </w:rPr>
              <w:t>10.51</w:t>
            </w:r>
          </w:p>
        </w:tc>
        <w:tc>
          <w:tcPr>
            <w:tcW w:w="1020" w:type="dxa"/>
            <w:vAlign w:val="bottom"/>
          </w:tcPr>
          <w:p>
            <w:pPr>
              <w:spacing w:after="0"/>
              <w:rPr>
                <w:sz w:val="24"/>
                <w:szCs w:val="24"/>
                <w:color w:val="auto"/>
              </w:rPr>
            </w:pPr>
          </w:p>
        </w:tc>
        <w:tc>
          <w:tcPr>
            <w:tcW w:w="5980" w:type="dxa"/>
            <w:vAlign w:val="bottom"/>
            <w:gridSpan w:val="18"/>
          </w:tcPr>
          <w:p>
            <w:pPr>
              <w:spacing w:after="0"/>
              <w:rPr>
                <w:rFonts w:ascii="Arial" w:cs="Arial" w:eastAsia="Arial" w:hAnsi="Arial"/>
                <w:sz w:val="18"/>
                <w:szCs w:val="18"/>
                <w:color w:val="0000EE"/>
                <w:w w:val="94"/>
              </w:rPr>
            </w:pPr>
            <w:hyperlink r:id="rId242">
              <w:r>
                <w:rPr>
                  <w:rFonts w:ascii="Arial" w:cs="Arial" w:eastAsia="Arial" w:hAnsi="Arial"/>
                  <w:sz w:val="18"/>
                  <w:szCs w:val="18"/>
                  <w:color w:val="0000EE"/>
                  <w:w w:val="94"/>
                </w:rPr>
                <w:t>Additional Call Option Confirmation, dated as of March 18, 2021 between IMAX</w:t>
              </w:r>
            </w:hyperlink>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r:id="rId242">
              <w:r>
                <w:rPr>
                  <w:rFonts w:ascii="Arial" w:cs="Arial" w:eastAsia="Arial" w:hAnsi="Arial"/>
                  <w:sz w:val="18"/>
                  <w:szCs w:val="18"/>
                  <w:color w:val="0000EE"/>
                </w:rPr>
                <w:t>Corporation and Wells Fargo Bank, National Association.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84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4120" w:type="dxa"/>
            <w:vAlign w:val="bottom"/>
            <w:tcBorders>
              <w:top w:val="single" w:sz="8" w:color="0000EE"/>
            </w:tcBorders>
            <w:gridSpan w:val="13"/>
          </w:tcPr>
          <w:p>
            <w:pPr>
              <w:jc w:val="right"/>
              <w:ind w:right="240"/>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71583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vMerge w:val="restart"/>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0"/>
        </w:trPr>
        <w:tc>
          <w:tcPr>
            <w:tcW w:w="5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29"/>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7/20/16</w:t>
            </w:r>
          </w:p>
        </w:tc>
        <w:tc>
          <w:tcPr>
            <w:tcW w:w="0" w:type="dxa"/>
            <w:vAlign w:val="bottom"/>
          </w:tcPr>
          <w:p>
            <w:pPr>
              <w:spacing w:after="0"/>
              <w:rPr>
                <w:sz w:val="1"/>
                <w:szCs w:val="1"/>
                <w:color w:val="auto"/>
              </w:rPr>
            </w:pPr>
          </w:p>
        </w:tc>
      </w:tr>
      <w:tr>
        <w:trPr>
          <w:trHeight w:val="550"/>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10/31/19</w:t>
            </w:r>
          </w:p>
        </w:tc>
        <w:tc>
          <w:tcPr>
            <w:tcW w:w="0" w:type="dxa"/>
            <w:vAlign w:val="bottom"/>
          </w:tcPr>
          <w:p>
            <w:pPr>
              <w:spacing w:after="0"/>
              <w:rPr>
                <w:sz w:val="1"/>
                <w:szCs w:val="1"/>
                <w:color w:val="auto"/>
              </w:rPr>
            </w:pPr>
          </w:p>
        </w:tc>
      </w:tr>
      <w:tr>
        <w:trPr>
          <w:trHeight w:val="550"/>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10/31/19</w:t>
            </w:r>
          </w:p>
        </w:tc>
        <w:tc>
          <w:tcPr>
            <w:tcW w:w="0" w:type="dxa"/>
            <w:vAlign w:val="bottom"/>
          </w:tcPr>
          <w:p>
            <w:pPr>
              <w:spacing w:after="0"/>
              <w:rPr>
                <w:sz w:val="1"/>
                <w:szCs w:val="1"/>
                <w:color w:val="auto"/>
              </w:rPr>
            </w:pPr>
          </w:p>
        </w:tc>
      </w:tr>
      <w:tr>
        <w:trPr>
          <w:trHeight w:val="550"/>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10-K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2/19/20</w:t>
            </w:r>
          </w:p>
        </w:tc>
        <w:tc>
          <w:tcPr>
            <w:tcW w:w="0" w:type="dxa"/>
            <w:vAlign w:val="bottom"/>
          </w:tcPr>
          <w:p>
            <w:pPr>
              <w:spacing w:after="0"/>
              <w:rPr>
                <w:sz w:val="1"/>
                <w:szCs w:val="1"/>
                <w:color w:val="auto"/>
              </w:rPr>
            </w:pPr>
          </w:p>
        </w:tc>
      </w:tr>
      <w:tr>
        <w:trPr>
          <w:trHeight w:val="550"/>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10-K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2/19/20</w:t>
            </w:r>
          </w:p>
        </w:tc>
        <w:tc>
          <w:tcPr>
            <w:tcW w:w="0" w:type="dxa"/>
            <w:vAlign w:val="bottom"/>
          </w:tcPr>
          <w:p>
            <w:pPr>
              <w:spacing w:after="0"/>
              <w:rPr>
                <w:sz w:val="1"/>
                <w:szCs w:val="1"/>
                <w:color w:val="auto"/>
              </w:rPr>
            </w:pPr>
          </w:p>
        </w:tc>
      </w:tr>
      <w:tr>
        <w:trPr>
          <w:trHeight w:val="550"/>
        </w:trPr>
        <w:tc>
          <w:tcPr>
            <w:tcW w:w="1580" w:type="dxa"/>
            <w:vAlign w:val="bottom"/>
            <w:gridSpan w:val="4"/>
          </w:tcPr>
          <w:p>
            <w:pPr>
              <w:ind w:left="60"/>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7/28/20</w:t>
            </w:r>
          </w:p>
        </w:tc>
        <w:tc>
          <w:tcPr>
            <w:tcW w:w="0" w:type="dxa"/>
            <w:vAlign w:val="bottom"/>
          </w:tcPr>
          <w:p>
            <w:pPr>
              <w:spacing w:after="0"/>
              <w:rPr>
                <w:sz w:val="1"/>
                <w:szCs w:val="1"/>
                <w:color w:val="auto"/>
              </w:rPr>
            </w:pPr>
          </w:p>
        </w:tc>
      </w:tr>
      <w:tr>
        <w:trPr>
          <w:trHeight w:val="550"/>
        </w:trPr>
        <w:tc>
          <w:tcPr>
            <w:tcW w:w="60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880" w:type="dxa"/>
            <w:vAlign w:val="bottom"/>
          </w:tcPr>
          <w:p>
            <w:pPr>
              <w:jc w:val="right"/>
              <w:spacing w:after="0"/>
              <w:rPr>
                <w:sz w:val="20"/>
                <w:szCs w:val="20"/>
                <w:color w:val="auto"/>
              </w:rPr>
            </w:pPr>
            <w:r>
              <w:rPr>
                <w:rFonts w:ascii="Arial" w:cs="Arial" w:eastAsia="Arial" w:hAnsi="Arial"/>
                <w:sz w:val="18"/>
                <w:szCs w:val="18"/>
                <w:color w:val="auto"/>
                <w:w w:val="92"/>
              </w:rPr>
              <w:t>001-35066</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520" w:type="dxa"/>
            <w:vAlign w:val="bottom"/>
            <w:gridSpan w:val="2"/>
          </w:tcPr>
          <w:p>
            <w:pPr>
              <w:spacing w:after="0"/>
              <w:rPr>
                <w:sz w:val="20"/>
                <w:szCs w:val="20"/>
                <w:color w:val="auto"/>
              </w:rPr>
            </w:pPr>
            <w:r>
              <w:rPr>
                <w:rFonts w:ascii="Arial" w:cs="Arial" w:eastAsia="Arial" w:hAnsi="Arial"/>
                <w:sz w:val="18"/>
                <w:szCs w:val="18"/>
                <w:color w:val="auto"/>
              </w:rPr>
              <w:t>10-Q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0" w:type="dxa"/>
            <w:vAlign w:val="bottom"/>
          </w:tcPr>
          <w:p>
            <w:pPr>
              <w:jc w:val="center"/>
              <w:ind w:left="71"/>
              <w:spacing w:after="0"/>
              <w:rPr>
                <w:sz w:val="20"/>
                <w:szCs w:val="20"/>
                <w:color w:val="auto"/>
              </w:rPr>
            </w:pPr>
            <w:r>
              <w:rPr>
                <w:rFonts w:ascii="Arial" w:cs="Arial" w:eastAsia="Arial" w:hAnsi="Arial"/>
                <w:sz w:val="18"/>
                <w:szCs w:val="18"/>
                <w:color w:val="auto"/>
                <w:w w:val="91"/>
              </w:rPr>
              <w:t>07/27/21</w:t>
            </w:r>
          </w:p>
        </w:tc>
      </w:tr>
      <w:tr>
        <w:trPr>
          <w:trHeight w:val="550"/>
        </w:trPr>
        <w:tc>
          <w:tcPr>
            <w:tcW w:w="1520" w:type="dxa"/>
            <w:vAlign w:val="bottom"/>
            <w:gridSpan w:val="2"/>
          </w:tcPr>
          <w:p>
            <w:pPr>
              <w:spacing w:after="0"/>
              <w:rPr>
                <w:sz w:val="20"/>
                <w:szCs w:val="20"/>
                <w:color w:val="auto"/>
              </w:rPr>
            </w:pPr>
            <w:r>
              <w:rPr>
                <w:rFonts w:ascii="Arial" w:cs="Arial" w:eastAsia="Arial" w:hAnsi="Arial"/>
                <w:sz w:val="18"/>
                <w:szCs w:val="18"/>
                <w:color w:val="auto"/>
              </w:rPr>
              <w:t>10-K   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800" w:type="dxa"/>
            <w:vAlign w:val="bottom"/>
          </w:tcPr>
          <w:p>
            <w:pPr>
              <w:jc w:val="center"/>
              <w:ind w:left="71"/>
              <w:spacing w:after="0"/>
              <w:rPr>
                <w:sz w:val="20"/>
                <w:szCs w:val="20"/>
                <w:color w:val="auto"/>
              </w:rPr>
            </w:pPr>
            <w:r>
              <w:rPr>
                <w:rFonts w:ascii="Arial" w:cs="Arial" w:eastAsia="Arial" w:hAnsi="Arial"/>
                <w:sz w:val="18"/>
                <w:szCs w:val="18"/>
                <w:color w:val="auto"/>
                <w:w w:val="91"/>
              </w:rPr>
              <w:t>03/04/21</w:t>
            </w:r>
          </w:p>
        </w:tc>
      </w:tr>
      <w:tr>
        <w:trPr>
          <w:trHeight w:val="336"/>
        </w:trPr>
        <w:tc>
          <w:tcPr>
            <w:tcW w:w="480" w:type="dxa"/>
            <w:vAlign w:val="bottom"/>
          </w:tcPr>
          <w:p>
            <w:pPr>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9"/>
              </w:rPr>
              <w:t>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7/25/18</w:t>
            </w:r>
          </w:p>
        </w:tc>
      </w:tr>
      <w:tr>
        <w:trPr>
          <w:trHeight w:val="336"/>
        </w:trPr>
        <w:tc>
          <w:tcPr>
            <w:tcW w:w="480" w:type="dxa"/>
            <w:vAlign w:val="bottom"/>
          </w:tcPr>
          <w:p>
            <w:pPr>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9"/>
              </w:rPr>
              <w:t>001-35066</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7/25/18</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48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w w:val="99"/>
              </w:rPr>
              <w:t>001-35066</w:t>
            </w: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10.1</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9"/>
              </w:rPr>
              <w:t>6/11/20</w:t>
            </w:r>
          </w:p>
        </w:tc>
      </w:tr>
      <w:tr>
        <w:trPr>
          <w:trHeight w:val="550"/>
        </w:trPr>
        <w:tc>
          <w:tcPr>
            <w:tcW w:w="1540" w:type="dxa"/>
            <w:vAlign w:val="bottom"/>
            <w:gridSpan w:val="2"/>
          </w:tcPr>
          <w:p>
            <w:pPr>
              <w:jc w:val="right"/>
              <w:ind w:right="91"/>
              <w:spacing w:after="0"/>
              <w:rPr>
                <w:sz w:val="20"/>
                <w:szCs w:val="20"/>
                <w:color w:val="auto"/>
              </w:rPr>
            </w:pPr>
            <w:r>
              <w:rPr>
                <w:rFonts w:ascii="Arial" w:cs="Arial" w:eastAsia="Arial" w:hAnsi="Arial"/>
                <w:sz w:val="18"/>
                <w:szCs w:val="18"/>
                <w:color w:val="auto"/>
                <w:w w:val="94"/>
              </w:rPr>
              <w:t>10-Q   001-35066</w:t>
            </w: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10.9</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9"/>
              </w:rPr>
              <w:t>4/29/21</w:t>
            </w:r>
          </w:p>
        </w:tc>
      </w:tr>
      <w:tr>
        <w:trPr>
          <w:trHeight w:val="644"/>
        </w:trPr>
        <w:tc>
          <w:tcPr>
            <w:tcW w:w="48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w w:val="99"/>
              </w:rPr>
              <w:t>001-35066</w:t>
            </w:r>
          </w:p>
        </w:tc>
        <w:tc>
          <w:tcPr>
            <w:tcW w:w="700" w:type="dxa"/>
            <w:vAlign w:val="bottom"/>
          </w:tcPr>
          <w:p>
            <w:pPr>
              <w:jc w:val="right"/>
              <w:ind w:right="111"/>
              <w:spacing w:after="0"/>
              <w:rPr>
                <w:sz w:val="20"/>
                <w:szCs w:val="20"/>
                <w:color w:val="auto"/>
              </w:rPr>
            </w:pPr>
            <w:r>
              <w:rPr>
                <w:rFonts w:ascii="Arial" w:cs="Arial" w:eastAsia="Arial" w:hAnsi="Arial"/>
                <w:sz w:val="18"/>
                <w:szCs w:val="18"/>
                <w:color w:val="auto"/>
              </w:rPr>
              <w:t>10.1</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10/28/21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760" w:type="dxa"/>
            <w:vAlign w:val="bottom"/>
          </w:tcPr>
          <w:p>
            <w:pPr>
              <w:jc w:val="right"/>
              <w:spacing w:after="0"/>
              <w:rPr>
                <w:sz w:val="20"/>
                <w:szCs w:val="20"/>
                <w:color w:val="auto"/>
              </w:rPr>
            </w:pPr>
            <w:r>
              <w:rPr>
                <w:rFonts w:ascii="Arial" w:cs="Arial" w:eastAsia="Arial" w:hAnsi="Arial"/>
                <w:sz w:val="18"/>
                <w:szCs w:val="18"/>
                <w:color w:val="auto"/>
              </w:rPr>
              <w:t>4/29/21</w:t>
            </w:r>
          </w:p>
        </w:tc>
      </w:tr>
      <w:tr>
        <w:trPr>
          <w:trHeight w:val="644"/>
        </w:trPr>
        <w:tc>
          <w:tcPr>
            <w:tcW w:w="1540" w:type="dxa"/>
            <w:vAlign w:val="bottom"/>
            <w:gridSpan w:val="2"/>
          </w:tcPr>
          <w:p>
            <w:pPr>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10.2</w:t>
            </w:r>
          </w:p>
        </w:tc>
        <w:tc>
          <w:tcPr>
            <w:tcW w:w="760" w:type="dxa"/>
            <w:vAlign w:val="bottom"/>
          </w:tcPr>
          <w:p>
            <w:pPr>
              <w:jc w:val="right"/>
              <w:spacing w:after="0"/>
              <w:rPr>
                <w:sz w:val="20"/>
                <w:szCs w:val="20"/>
                <w:color w:val="auto"/>
              </w:rPr>
            </w:pPr>
            <w:r>
              <w:rPr>
                <w:rFonts w:ascii="Arial" w:cs="Arial" w:eastAsia="Arial" w:hAnsi="Arial"/>
                <w:sz w:val="18"/>
                <w:szCs w:val="18"/>
                <w:color w:val="auto"/>
              </w:rPr>
              <w:t>4/29/21</w:t>
            </w:r>
          </w:p>
        </w:tc>
      </w:tr>
      <w:tr>
        <w:trPr>
          <w:trHeight w:val="550"/>
        </w:trPr>
        <w:tc>
          <w:tcPr>
            <w:tcW w:w="1540" w:type="dxa"/>
            <w:vAlign w:val="bottom"/>
            <w:gridSpan w:val="2"/>
          </w:tcPr>
          <w:p>
            <w:pPr>
              <w:spacing w:after="0"/>
              <w:rPr>
                <w:sz w:val="20"/>
                <w:szCs w:val="20"/>
                <w:color w:val="auto"/>
              </w:rPr>
            </w:pPr>
            <w:r>
              <w:rPr>
                <w:rFonts w:ascii="Arial" w:cs="Arial" w:eastAsia="Arial" w:hAnsi="Arial"/>
                <w:sz w:val="18"/>
                <w:szCs w:val="18"/>
                <w:color w:val="auto"/>
              </w:rPr>
              <w:t>10-Q   001-35066</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10.3</w:t>
            </w:r>
          </w:p>
        </w:tc>
        <w:tc>
          <w:tcPr>
            <w:tcW w:w="760" w:type="dxa"/>
            <w:vAlign w:val="bottom"/>
          </w:tcPr>
          <w:p>
            <w:pPr>
              <w:jc w:val="right"/>
              <w:spacing w:after="0"/>
              <w:rPr>
                <w:sz w:val="20"/>
                <w:szCs w:val="20"/>
                <w:color w:val="auto"/>
              </w:rPr>
            </w:pPr>
            <w:r>
              <w:rPr>
                <w:rFonts w:ascii="Arial" w:cs="Arial" w:eastAsia="Arial" w:hAnsi="Arial"/>
                <w:sz w:val="18"/>
                <w:szCs w:val="18"/>
                <w:color w:val="auto"/>
              </w:rPr>
              <w:t>4/29/21</w:t>
            </w:r>
          </w:p>
        </w:tc>
      </w:tr>
      <w:tr>
        <w:trPr>
          <w:trHeight w:val="550"/>
        </w:trPr>
        <w:tc>
          <w:tcPr>
            <w:tcW w:w="4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w w:val="99"/>
              </w:rPr>
              <w:t>001-35066</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760" w:type="dxa"/>
            <w:vAlign w:val="bottom"/>
          </w:tcPr>
          <w:p>
            <w:pPr>
              <w:jc w:val="right"/>
              <w:spacing w:after="0"/>
              <w:rPr>
                <w:sz w:val="20"/>
                <w:szCs w:val="20"/>
                <w:color w:val="auto"/>
              </w:rPr>
            </w:pPr>
            <w:r>
              <w:rPr>
                <w:rFonts w:ascii="Arial" w:cs="Arial" w:eastAsia="Arial" w:hAnsi="Arial"/>
                <w:sz w:val="18"/>
                <w:szCs w:val="18"/>
                <w:color w:val="auto"/>
              </w:rPr>
              <w:t>4/29/21</w:t>
            </w:r>
          </w:p>
        </w:tc>
      </w:tr>
      <w:tr>
        <w:trPr>
          <w:trHeight w:val="550"/>
        </w:trPr>
        <w:tc>
          <w:tcPr>
            <w:tcW w:w="480" w:type="dxa"/>
            <w:vAlign w:val="bottom"/>
          </w:tcPr>
          <w:p>
            <w:pPr>
              <w:spacing w:after="0"/>
              <w:rPr>
                <w:sz w:val="20"/>
                <w:szCs w:val="20"/>
                <w:color w:val="auto"/>
              </w:rPr>
            </w:pPr>
            <w:r>
              <w:rPr>
                <w:rFonts w:ascii="Arial" w:cs="Arial" w:eastAsia="Arial" w:hAnsi="Arial"/>
                <w:sz w:val="18"/>
                <w:szCs w:val="18"/>
                <w:color w:val="auto"/>
              </w:rPr>
              <w:t>10-Q</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w w:val="99"/>
              </w:rPr>
              <w:t>001-35066</w:t>
            </w: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10.5</w:t>
            </w:r>
          </w:p>
        </w:tc>
        <w:tc>
          <w:tcPr>
            <w:tcW w:w="760" w:type="dxa"/>
            <w:vAlign w:val="bottom"/>
          </w:tcPr>
          <w:p>
            <w:pPr>
              <w:jc w:val="right"/>
              <w:spacing w:after="0"/>
              <w:rPr>
                <w:sz w:val="20"/>
                <w:szCs w:val="20"/>
                <w:color w:val="auto"/>
              </w:rPr>
            </w:pPr>
            <w:r>
              <w:rPr>
                <w:rFonts w:ascii="Arial" w:cs="Arial" w:eastAsia="Arial" w:hAnsi="Arial"/>
                <w:sz w:val="18"/>
                <w:szCs w:val="18"/>
                <w:color w:val="auto"/>
              </w:rPr>
              <w:t>4/29/21</w:t>
            </w:r>
          </w:p>
        </w:tc>
      </w:tr>
    </w:tbl>
    <w:p>
      <w:pPr>
        <w:sectPr>
          <w:pgSz w:w="11900" w:h="16838" w:orient="portrait"/>
          <w:cols w:equalWidth="0" w:num="2">
            <w:col w:w="7840" w:space="180"/>
            <w:col w:w="3220"/>
          </w:cols>
          <w:pgMar w:left="320" w:top="103" w:right="3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540" w:type="dxa"/>
            <w:vAlign w:val="bottom"/>
          </w:tcPr>
          <w:p>
            <w:pPr>
              <w:spacing w:after="0"/>
              <w:rPr>
                <w:sz w:val="14"/>
                <w:szCs w:val="14"/>
                <w:color w:val="auto"/>
              </w:rPr>
            </w:pPr>
          </w:p>
        </w:tc>
        <w:tc>
          <w:tcPr>
            <w:tcW w:w="350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0"/>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4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09"/>
        </w:trPr>
        <w:tc>
          <w:tcPr>
            <w:tcW w:w="860" w:type="dxa"/>
            <w:vAlign w:val="bottom"/>
          </w:tcPr>
          <w:p>
            <w:pPr>
              <w:spacing w:after="0"/>
              <w:rPr>
                <w:sz w:val="20"/>
                <w:szCs w:val="20"/>
                <w:color w:val="auto"/>
              </w:rPr>
            </w:pPr>
            <w:r>
              <w:rPr>
                <w:rFonts w:ascii="Arial" w:cs="Arial" w:eastAsia="Arial" w:hAnsi="Arial"/>
                <w:sz w:val="18"/>
                <w:szCs w:val="18"/>
                <w:color w:val="auto"/>
              </w:rPr>
              <w:t>10.52</w:t>
            </w:r>
          </w:p>
        </w:tc>
        <w:tc>
          <w:tcPr>
            <w:tcW w:w="10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96"/>
              </w:rPr>
            </w:pPr>
            <w:hyperlink r:id="rId244">
              <w:r>
                <w:rPr>
                  <w:rFonts w:ascii="Arial" w:cs="Arial" w:eastAsia="Arial" w:hAnsi="Arial"/>
                  <w:sz w:val="18"/>
                  <w:szCs w:val="18"/>
                  <w:color w:val="0000EE"/>
                  <w:w w:val="96"/>
                </w:rPr>
                <w:t>Additional Call Option Confirmation, dated as of March 18, 2021 between IMAX</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001-35066</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4/29/21</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2"/>
              </w:rPr>
            </w:pPr>
            <w:hyperlink r:id="rId244">
              <w:r>
                <w:rPr>
                  <w:rFonts w:ascii="Arial" w:cs="Arial" w:eastAsia="Arial" w:hAnsi="Arial"/>
                  <w:sz w:val="18"/>
                  <w:szCs w:val="18"/>
                  <w:color w:val="0000EE"/>
                  <w:w w:val="92"/>
                </w:rPr>
                <w:t>Corporation and Mizuho Markets Americas LLC.</w:t>
              </w:r>
            </w:hyperlink>
          </w:p>
        </w:tc>
        <w:tc>
          <w:tcPr>
            <w:tcW w:w="2460" w:type="dxa"/>
            <w:vAlign w:val="bottom"/>
            <w:tcBorders>
              <w:top w:val="single" w:sz="8" w:color="0000EE"/>
            </w:tcBorders>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10.53</w:t>
            </w:r>
          </w:p>
        </w:tc>
        <w:tc>
          <w:tcPr>
            <w:tcW w:w="10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96"/>
              </w:rPr>
            </w:pPr>
            <w:hyperlink r:id="rId245">
              <w:r>
                <w:rPr>
                  <w:rFonts w:ascii="Arial" w:cs="Arial" w:eastAsia="Arial" w:hAnsi="Arial"/>
                  <w:sz w:val="18"/>
                  <w:szCs w:val="18"/>
                  <w:color w:val="0000EE"/>
                  <w:w w:val="96"/>
                </w:rPr>
                <w:t>Additional Call Option Confirmation, dated as of March 18, 2021 between IMAX</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001-35066</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4/29/21</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2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r:id="rId245">
              <w:r>
                <w:rPr>
                  <w:rFonts w:ascii="Arial" w:cs="Arial" w:eastAsia="Arial" w:hAnsi="Arial"/>
                  <w:sz w:val="18"/>
                  <w:szCs w:val="18"/>
                  <w:color w:val="0000EE"/>
                </w:rPr>
                <w:t>Corporation and JPMorgan Chase Bank, National Association.</w:t>
              </w:r>
            </w:hyperlink>
          </w:p>
        </w:tc>
        <w:tc>
          <w:tcPr>
            <w:tcW w:w="12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10.54</w:t>
            </w:r>
          </w:p>
        </w:tc>
        <w:tc>
          <w:tcPr>
            <w:tcW w:w="10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96"/>
              </w:rPr>
            </w:pPr>
            <w:hyperlink r:id="rId246">
              <w:r>
                <w:rPr>
                  <w:rFonts w:ascii="Arial" w:cs="Arial" w:eastAsia="Arial" w:hAnsi="Arial"/>
                  <w:sz w:val="18"/>
                  <w:szCs w:val="18"/>
                  <w:color w:val="0000EE"/>
                  <w:w w:val="96"/>
                </w:rPr>
                <w:t>Additional Call Option Confirmation, dated as of March 18, 2021 between IMAX</w:t>
              </w:r>
            </w:hyperlink>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001-35066</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9"/>
              </w:rPr>
              <w:t>4/29/21</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2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r:id="rId246">
              <w:r>
                <w:rPr>
                  <w:rFonts w:ascii="Arial" w:cs="Arial" w:eastAsia="Arial" w:hAnsi="Arial"/>
                  <w:sz w:val="18"/>
                  <w:szCs w:val="18"/>
                  <w:color w:val="0000EE"/>
                </w:rPr>
                <w:t>Corporation and HSBC Bank USA, National Association.</w:t>
              </w:r>
            </w:hyperlink>
          </w:p>
        </w:tc>
        <w:tc>
          <w:tcPr>
            <w:tcW w:w="12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40" w:type="dxa"/>
            <w:vAlign w:val="bottom"/>
          </w:tcPr>
          <w:p>
            <w:pPr>
              <w:spacing w:after="0"/>
              <w:rPr>
                <w:sz w:val="24"/>
                <w:szCs w:val="24"/>
                <w:color w:val="auto"/>
              </w:rPr>
            </w:pPr>
          </w:p>
        </w:tc>
        <w:tc>
          <w:tcPr>
            <w:tcW w:w="41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Subsidiaries of IMAX Corporation.</w:t>
            </w:r>
          </w:p>
        </w:tc>
        <w:tc>
          <w:tcPr>
            <w:tcW w:w="200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40" w:type="dxa"/>
            <w:vAlign w:val="bottom"/>
          </w:tcPr>
          <w:p>
            <w:pPr>
              <w:spacing w:after="0"/>
              <w:rPr>
                <w:sz w:val="24"/>
                <w:szCs w:val="24"/>
                <w:color w:val="auto"/>
              </w:rPr>
            </w:pPr>
          </w:p>
        </w:tc>
        <w:tc>
          <w:tcPr>
            <w:tcW w:w="3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Consent of PricewaterhouseCoopers LLP.</w:t>
            </w:r>
          </w:p>
        </w:tc>
        <w:tc>
          <w:tcPr>
            <w:tcW w:w="3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1040" w:type="dxa"/>
            <w:vAlign w:val="bottom"/>
          </w:tcPr>
          <w:p>
            <w:pPr>
              <w:spacing w:after="0"/>
              <w:rPr>
                <w:sz w:val="24"/>
                <w:szCs w:val="24"/>
                <w:color w:val="auto"/>
              </w:rPr>
            </w:pPr>
          </w:p>
        </w:tc>
        <w:tc>
          <w:tcPr>
            <w:tcW w:w="27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Power of Attorney of certain directors.</w:t>
            </w:r>
          </w:p>
        </w:tc>
        <w:tc>
          <w:tcPr>
            <w:tcW w:w="33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Certification Pursuant to Section 302 of the Sarbanes-Oxley Act of 2002, dated February 23, 2022, by Richard L. Gelfond.</w:t>
              </w:r>
            </w:hyperlink>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4"/>
                <w:szCs w:val="24"/>
                <w:color w:val="auto"/>
              </w:rPr>
            </w:pPr>
          </w:p>
        </w:tc>
        <w:tc>
          <w:tcPr>
            <w:tcW w:w="85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Certification Pursuant to Section 302 of the Sarbanes-Oxley Act of 2002, dated February 23, 2022, by Joseph Sparacio.</w:t>
              </w:r>
            </w:hyperlink>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w w:val="96"/>
              </w:rPr>
            </w:pPr>
            <w:hyperlink w:anchor="page164">
              <w:r>
                <w:rPr>
                  <w:rFonts w:ascii="Arial" w:cs="Arial" w:eastAsia="Arial" w:hAnsi="Arial"/>
                  <w:sz w:val="18"/>
                  <w:szCs w:val="18"/>
                  <w:color w:val="0000EE"/>
                  <w:w w:val="96"/>
                </w:rPr>
                <w:t>Certification Pursuant to Section 906 of the Sarbanes-Oxley Act of 2002, dated February 23, 2022, by Richard L. Gelfond.</w:t>
              </w:r>
            </w:hyperlink>
          </w:p>
        </w:tc>
        <w:tc>
          <w:tcPr>
            <w:tcW w:w="0" w:type="dxa"/>
            <w:vAlign w:val="bottom"/>
          </w:tcPr>
          <w:p>
            <w:pPr>
              <w:spacing w:after="0"/>
              <w:rPr>
                <w:sz w:val="1"/>
                <w:szCs w:val="1"/>
                <w:color w:val="auto"/>
              </w:rPr>
            </w:pPr>
          </w:p>
        </w:tc>
      </w:tr>
      <w:tr>
        <w:trPr>
          <w:trHeight w:val="316"/>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4"/>
                <w:szCs w:val="24"/>
                <w:color w:val="auto"/>
              </w:rPr>
            </w:pPr>
          </w:p>
        </w:tc>
        <w:tc>
          <w:tcPr>
            <w:tcW w:w="8540" w:type="dxa"/>
            <w:vAlign w:val="bottom"/>
            <w:tcBorders>
              <w:top w:val="single" w:sz="8" w:color="0000EE"/>
            </w:tcBorders>
            <w:gridSpan w:val="17"/>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Certification Pursuant to Section 906 of the Sarbanes-Oxley Act of 2002, dated February 23 2022, by Joseph Sparacio.</w:t>
              </w:r>
            </w:hyperlink>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gridSpan w:val="2"/>
          </w:tcPr>
          <w:p>
            <w:pPr>
              <w:spacing w:after="0" w:line="20" w:lineRule="exact"/>
              <w:rPr>
                <w:sz w:val="1"/>
                <w:szCs w:val="1"/>
                <w:color w:val="auto"/>
              </w:rPr>
            </w:pPr>
          </w:p>
        </w:tc>
        <w:tc>
          <w:tcPr>
            <w:tcW w:w="8500" w:type="dxa"/>
            <w:vAlign w:val="bottom"/>
            <w:gridSpan w:val="15"/>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340" w:type="dxa"/>
            <w:vAlign w:val="bottom"/>
            <w:gridSpan w:val="19"/>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4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Arial" w:cs="Arial" w:eastAsia="Arial" w:hAnsi="Arial"/>
                <w:sz w:val="18"/>
                <w:szCs w:val="18"/>
                <w:color w:val="auto"/>
                <w:w w:val="94"/>
              </w:rPr>
              <w:t>Cover Page Interactive Data File (formatted as inline XBRL and contained in Exhibit 101)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40" w:hanging="733"/>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457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 w:lineRule="exact"/>
        <w:rPr>
          <w:sz w:val="20"/>
          <w:szCs w:val="20"/>
          <w:color w:val="auto"/>
        </w:rPr>
      </w:pPr>
    </w:p>
    <w:p>
      <w:pPr>
        <w:ind w:left="760" w:hanging="753"/>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SIGNATURES</w:t>
      </w:r>
    </w:p>
    <w:p>
      <w:pPr>
        <w:spacing w:after="0" w:line="240" w:lineRule="exact"/>
        <w:rPr>
          <w:sz w:val="20"/>
          <w:szCs w:val="20"/>
          <w:color w:val="auto"/>
        </w:rPr>
      </w:pPr>
    </w:p>
    <w:p>
      <w:pPr>
        <w:ind w:right="140" w:firstLine="229"/>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IMAX CORPORATION</w:t>
      </w:r>
    </w:p>
    <w:p>
      <w:pPr>
        <w:spacing w:after="0" w:line="276" w:lineRule="exact"/>
        <w:rPr>
          <w:sz w:val="20"/>
          <w:szCs w:val="20"/>
          <w:color w:val="auto"/>
        </w:rPr>
      </w:pPr>
    </w:p>
    <w:tbl>
      <w:tblPr>
        <w:tblLayout w:type="fixed"/>
        <w:tblInd w:w="558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jc w:val="center"/>
              <w:spacing w:after="0"/>
              <w:rPr>
                <w:sz w:val="20"/>
                <w:szCs w:val="20"/>
                <w:color w:val="auto"/>
              </w:rPr>
            </w:pPr>
            <w:r>
              <w:rPr>
                <w:rFonts w:ascii="Arial" w:cs="Arial" w:eastAsia="Arial" w:hAnsi="Arial"/>
                <w:sz w:val="18"/>
                <w:szCs w:val="18"/>
                <w:color w:val="auto"/>
                <w:w w:val="93"/>
              </w:rPr>
              <w:t>/s/ JOSEPH SPARACIO</w:t>
            </w:r>
          </w:p>
        </w:tc>
      </w:tr>
      <w:tr>
        <w:trPr>
          <w:trHeight w:val="27"/>
        </w:trPr>
        <w:tc>
          <w:tcPr>
            <w:tcW w:w="4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21"/>
        </w:trPr>
        <w:tc>
          <w:tcPr>
            <w:tcW w:w="4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6"/>
              </w:rPr>
              <w:t>Joseph Sparacio</w:t>
            </w:r>
          </w:p>
        </w:tc>
      </w:tr>
      <w:tr>
        <w:trPr>
          <w:trHeight w:val="229"/>
        </w:trPr>
        <w:tc>
          <w:tcPr>
            <w:tcW w:w="4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22" w:lineRule="exact"/>
        <w:rPr>
          <w:sz w:val="20"/>
          <w:szCs w:val="20"/>
          <w:color w:val="auto"/>
        </w:rPr>
      </w:pPr>
    </w:p>
    <w:p>
      <w:pPr>
        <w:ind w:right="620" w:firstLine="229"/>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23,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98"/>
              </w:rPr>
              <w:t>/s/ RICHARD L. GELFOND</w:t>
            </w:r>
          </w:p>
        </w:tc>
        <w:tc>
          <w:tcPr>
            <w:tcW w:w="360" w:type="dxa"/>
            <w:vAlign w:val="bottom"/>
          </w:tcPr>
          <w:p>
            <w:pPr>
              <w:spacing w:after="0"/>
              <w:rPr>
                <w:sz w:val="19"/>
                <w:szCs w:val="19"/>
                <w:color w:val="auto"/>
              </w:rPr>
            </w:pPr>
          </w:p>
        </w:tc>
        <w:tc>
          <w:tcPr>
            <w:tcW w:w="39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/s/ JOSEPH SPARACIO</w:t>
            </w:r>
          </w:p>
        </w:tc>
        <w:tc>
          <w:tcPr>
            <w:tcW w:w="3360" w:type="dxa"/>
            <w:vAlign w:val="bottom"/>
          </w:tcPr>
          <w:p>
            <w:pPr>
              <w:jc w:val="center"/>
              <w:spacing w:after="0"/>
              <w:rPr>
                <w:sz w:val="20"/>
                <w:szCs w:val="20"/>
                <w:color w:val="auto"/>
              </w:rPr>
            </w:pPr>
            <w:r>
              <w:rPr>
                <w:rFonts w:ascii="Arial" w:cs="Arial" w:eastAsia="Arial" w:hAnsi="Arial"/>
                <w:sz w:val="18"/>
                <w:szCs w:val="18"/>
                <w:color w:val="auto"/>
              </w:rPr>
              <w:t>/s/ KEVIN M. DELANEY</w:t>
            </w:r>
          </w:p>
        </w:tc>
      </w:tr>
      <w:tr>
        <w:trPr>
          <w:trHeight w:val="194"/>
        </w:trPr>
        <w:tc>
          <w:tcPr>
            <w:tcW w:w="36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3"/>
              </w:rPr>
              <w:t>Richard L. Gelfond</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6"/>
              </w:rPr>
              <w:t>Joseph Sparacio</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3"/>
              </w:rPr>
              <w:t>Kevin M. Delaney</w:t>
            </w:r>
          </w:p>
        </w:tc>
      </w:tr>
      <w:tr>
        <w:trPr>
          <w:trHeight w:val="215"/>
        </w:trPr>
        <w:tc>
          <w:tcPr>
            <w:tcW w:w="3600" w:type="dxa"/>
            <w:vAlign w:val="bottom"/>
          </w:tcPr>
          <w:p>
            <w:pPr>
              <w:jc w:val="center"/>
              <w:spacing w:after="0"/>
              <w:rPr>
                <w:sz w:val="20"/>
                <w:szCs w:val="20"/>
                <w:color w:val="auto"/>
              </w:rPr>
            </w:pPr>
            <w:r>
              <w:rPr>
                <w:rFonts w:ascii="Arial" w:cs="Arial" w:eastAsia="Arial" w:hAnsi="Arial"/>
                <w:sz w:val="18"/>
                <w:szCs w:val="18"/>
                <w:color w:val="auto"/>
                <w:w w:val="94"/>
              </w:rPr>
              <w:t>Chief Executive Officer &amp;</w:t>
            </w:r>
          </w:p>
        </w:tc>
        <w:tc>
          <w:tcPr>
            <w:tcW w:w="360" w:type="dxa"/>
            <w:vAlign w:val="bottom"/>
          </w:tcPr>
          <w:p>
            <w:pPr>
              <w:spacing w:after="0"/>
              <w:rPr>
                <w:sz w:val="18"/>
                <w:szCs w:val="18"/>
                <w:color w:val="auto"/>
              </w:rPr>
            </w:pPr>
          </w:p>
        </w:tc>
        <w:tc>
          <w:tcPr>
            <w:tcW w:w="39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Interim Chief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Senior Vice President, Finance &amp;</w:t>
            </w:r>
          </w:p>
        </w:tc>
      </w:tr>
      <w:tr>
        <w:trPr>
          <w:trHeight w:val="215"/>
        </w:trPr>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360" w:type="dxa"/>
            <w:vAlign w:val="bottom"/>
          </w:tcPr>
          <w:p>
            <w:pPr>
              <w:spacing w:after="0"/>
              <w:rPr>
                <w:sz w:val="19"/>
                <w:szCs w:val="19"/>
                <w:color w:val="auto"/>
              </w:rPr>
            </w:pPr>
          </w:p>
        </w:tc>
        <w:tc>
          <w:tcPr>
            <w:tcW w:w="39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(Principal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429"/>
        </w:trPr>
        <w:tc>
          <w:tcPr>
            <w:tcW w:w="360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2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4"/>
        </w:trPr>
        <w:tc>
          <w:tcPr>
            <w:tcW w:w="36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Darren D. Troop</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5"/>
              </w:rPr>
              <w:t>Eric A. Demirian</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3"/>
              </w:rPr>
              <w:t>Kevin Douglas</w:t>
            </w:r>
          </w:p>
        </w:tc>
      </w:t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92"/>
              </w:rPr>
              <w:t>Chairman of the Board &amp; Director</w:t>
            </w:r>
          </w:p>
        </w:tc>
        <w:tc>
          <w:tcPr>
            <w:tcW w:w="360" w:type="dxa"/>
            <w:vAlign w:val="bottom"/>
          </w:tcPr>
          <w:p>
            <w:pPr>
              <w:spacing w:after="0"/>
              <w:rPr>
                <w:sz w:val="19"/>
                <w:szCs w:val="19"/>
                <w:color w:val="auto"/>
              </w:rPr>
            </w:pPr>
          </w:p>
        </w:tc>
        <w:tc>
          <w:tcPr>
            <w:tcW w:w="39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29"/>
        </w:trPr>
        <w:tc>
          <w:tcPr>
            <w:tcW w:w="3600" w:type="dxa"/>
            <w:vAlign w:val="bottom"/>
          </w:tcPr>
          <w:p>
            <w:pPr>
              <w:jc w:val="center"/>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2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4"/>
        </w:trPr>
        <w:tc>
          <w:tcPr>
            <w:tcW w:w="36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1"/>
              </w:rPr>
              <w:t>David W. Leebron</w:t>
            </w:r>
          </w:p>
        </w:tc>
        <w:tc>
          <w:tcPr>
            <w:tcW w:w="36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5"/>
              </w:rPr>
              <w:t>Michael MacMillan</w:t>
            </w:r>
          </w:p>
        </w:tc>
        <w:tc>
          <w:tcPr>
            <w:tcW w:w="34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9"/>
              </w:rPr>
              <w:t>Dana Settle</w:t>
            </w:r>
          </w:p>
        </w:tc>
      </w:t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60" w:type="dxa"/>
            <w:vAlign w:val="bottom"/>
          </w:tcPr>
          <w:p>
            <w:pPr>
              <w:spacing w:after="0"/>
              <w:rPr>
                <w:sz w:val="19"/>
                <w:szCs w:val="19"/>
                <w:color w:val="auto"/>
              </w:rPr>
            </w:pPr>
          </w:p>
        </w:tc>
        <w:tc>
          <w:tcPr>
            <w:tcW w:w="39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29"/>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4"/>
        </w:trPr>
        <w:tc>
          <w:tcPr>
            <w:tcW w:w="3600" w:type="dxa"/>
            <w:vAlign w:val="bottom"/>
          </w:tcPr>
          <w:p>
            <w:pPr>
              <w:jc w:val="center"/>
              <w:spacing w:after="0" w:line="194" w:lineRule="exact"/>
              <w:rPr>
                <w:sz w:val="20"/>
                <w:szCs w:val="20"/>
                <w:color w:val="auto"/>
              </w:rPr>
            </w:pPr>
            <w:r>
              <w:rPr>
                <w:rFonts w:ascii="Arial" w:cs="Arial" w:eastAsia="Arial" w:hAnsi="Arial"/>
                <w:sz w:val="18"/>
                <w:szCs w:val="18"/>
                <w:color w:val="auto"/>
                <w:w w:val="86"/>
              </w:rPr>
              <w:t>Steve Pamon</w:t>
            </w:r>
          </w:p>
        </w:tc>
        <w:tc>
          <w:tcPr>
            <w:tcW w:w="3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558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jc w:val="center"/>
              <w:spacing w:after="0"/>
              <w:rPr>
                <w:sz w:val="20"/>
                <w:szCs w:val="20"/>
                <w:color w:val="auto"/>
              </w:rPr>
            </w:pPr>
            <w:r>
              <w:rPr>
                <w:rFonts w:ascii="Arial" w:cs="Arial" w:eastAsia="Arial" w:hAnsi="Arial"/>
                <w:sz w:val="18"/>
                <w:szCs w:val="18"/>
                <w:color w:val="auto"/>
                <w:w w:val="92"/>
              </w:rPr>
              <w:t>* /s/ JOSEPH SPARACIO</w:t>
            </w:r>
          </w:p>
        </w:tc>
      </w:tr>
      <w:tr>
        <w:trPr>
          <w:trHeight w:val="27"/>
        </w:trPr>
        <w:tc>
          <w:tcPr>
            <w:tcW w:w="4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21"/>
        </w:trPr>
        <w:tc>
          <w:tcPr>
            <w:tcW w:w="4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6"/>
              </w:rPr>
              <w:t>Joseph Sparacio</w:t>
            </w:r>
          </w:p>
        </w:tc>
      </w:tr>
      <w:tr>
        <w:trPr>
          <w:trHeight w:val="229"/>
        </w:trPr>
        <w:tc>
          <w:tcPr>
            <w:tcW w:w="46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(as 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21"/>
          <w:szCs w:val="21"/>
          <w:b w:val="1"/>
          <w:bCs w:val="1"/>
          <w:color w:val="auto"/>
        </w:rPr>
        <w:t>IMAX 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1176020" cy="221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117602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Memorandum</w:t>
      </w:r>
    </w:p>
    <w:p>
      <w:pPr>
        <w:sectPr>
          <w:pgSz w:w="11900" w:h="16838" w:orient="portrait"/>
          <w:cols w:equalWidth="0" w:num="1">
            <w:col w:w="11220"/>
          </w:cols>
          <w:pgMar w:left="320" w:top="448"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TO:</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FROM:</w:t>
      </w:r>
    </w:p>
    <w:p>
      <w:pPr>
        <w:spacing w:after="0"/>
        <w:rPr>
          <w:sz w:val="20"/>
          <w:szCs w:val="20"/>
          <w:color w:val="auto"/>
        </w:rPr>
      </w:pPr>
      <w:r>
        <w:rPr>
          <w:rFonts w:ascii="Arial" w:cs="Arial" w:eastAsia="Arial" w:hAnsi="Arial"/>
          <w:sz w:val="21"/>
          <w:szCs w:val="21"/>
          <w:b w:val="1"/>
          <w:bCs w:val="1"/>
          <w:color w:val="auto"/>
        </w:rPr>
        <w:t>CC:</w:t>
      </w:r>
    </w:p>
    <w:p>
      <w:pPr>
        <w:spacing w:after="0"/>
        <w:rPr>
          <w:sz w:val="20"/>
          <w:szCs w:val="20"/>
          <w:color w:val="auto"/>
        </w:rPr>
      </w:pPr>
      <w:r>
        <w:rPr>
          <w:rFonts w:ascii="Arial" w:cs="Arial" w:eastAsia="Arial" w:hAnsi="Arial"/>
          <w:sz w:val="21"/>
          <w:szCs w:val="21"/>
          <w:b w:val="1"/>
          <w:bCs w:val="1"/>
          <w:color w:val="auto"/>
        </w:rPr>
        <w:t>DATE:</w:t>
      </w:r>
    </w:p>
    <w:p>
      <w:pPr>
        <w:spacing w:after="0"/>
        <w:rPr>
          <w:sz w:val="20"/>
          <w:szCs w:val="20"/>
          <w:color w:val="auto"/>
        </w:rPr>
      </w:pPr>
      <w:r>
        <w:rPr>
          <w:rFonts w:ascii="Arial" w:cs="Arial" w:eastAsia="Arial" w:hAnsi="Arial"/>
          <w:sz w:val="20"/>
          <w:szCs w:val="20"/>
          <w:b w:val="1"/>
          <w:bCs w:val="1"/>
          <w:color w:val="auto"/>
        </w:rPr>
        <w:t>SUBJECT: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 WELTON</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JACKI BASSANI</w:t>
      </w:r>
    </w:p>
    <w:p>
      <w:pPr>
        <w:spacing w:after="0"/>
        <w:rPr>
          <w:sz w:val="20"/>
          <w:szCs w:val="20"/>
          <w:color w:val="auto"/>
        </w:rPr>
      </w:pPr>
      <w:r>
        <w:rPr>
          <w:rFonts w:ascii="Arial" w:cs="Arial" w:eastAsia="Arial" w:hAnsi="Arial"/>
          <w:sz w:val="21"/>
          <w:szCs w:val="21"/>
          <w:b w:val="1"/>
          <w:bCs w:val="1"/>
          <w:color w:val="auto"/>
        </w:rPr>
        <w:t>RICH GELFOND</w:t>
      </w:r>
    </w:p>
    <w:p>
      <w:pPr>
        <w:spacing w:after="0"/>
        <w:rPr>
          <w:sz w:val="20"/>
          <w:szCs w:val="20"/>
          <w:color w:val="auto"/>
        </w:rPr>
      </w:pPr>
      <w:r>
        <w:rPr>
          <w:rFonts w:ascii="Arial" w:cs="Arial" w:eastAsia="Arial" w:hAnsi="Arial"/>
          <w:sz w:val="21"/>
          <w:szCs w:val="21"/>
          <w:b w:val="1"/>
          <w:bCs w:val="1"/>
          <w:color w:val="auto"/>
        </w:rPr>
        <w:t>OCTOBER 13, 2021</w:t>
      </w:r>
    </w:p>
    <w:p>
      <w:pPr>
        <w:spacing w:after="0"/>
        <w:rPr>
          <w:sz w:val="20"/>
          <w:szCs w:val="20"/>
          <w:color w:val="auto"/>
        </w:rPr>
      </w:pPr>
      <w:r>
        <w:rPr>
          <w:rFonts w:ascii="Arial" w:cs="Arial" w:eastAsia="Arial" w:hAnsi="Arial"/>
          <w:sz w:val="21"/>
          <w:szCs w:val="21"/>
          <w:b w:val="1"/>
          <w:bCs w:val="1"/>
          <w:color w:val="auto"/>
        </w:rPr>
        <w:t>AMENDMENT TO SEPTEMBER 18, 2020</w:t>
      </w:r>
    </w:p>
    <w:p>
      <w:pPr>
        <w:spacing w:after="0"/>
        <w:rPr>
          <w:sz w:val="20"/>
          <w:szCs w:val="20"/>
          <w:color w:val="auto"/>
        </w:rPr>
      </w:pPr>
      <w:r>
        <w:rPr>
          <w:rFonts w:ascii="Arial" w:cs="Arial" w:eastAsia="Arial" w:hAnsi="Arial"/>
          <w:sz w:val="21"/>
          <w:szCs w:val="21"/>
          <w:b w:val="1"/>
          <w:bCs w:val="1"/>
          <w:color w:val="auto"/>
        </w:rPr>
        <w:t>EMPLOYMENT TERMS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164465</wp:posOffset>
            </wp:positionV>
            <wp:extent cx="71329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8400"/>
          </w:cols>
          <w:pgMar w:left="320" w:top="448" w:right="359" w:bottom="1440" w:gutter="0" w:footer="0" w:header="0"/>
          <w:type w:val="continuous"/>
        </w:sectPr>
      </w:pPr>
    </w:p>
    <w:p>
      <w:pPr>
        <w:spacing w:after="0" w:line="212" w:lineRule="exact"/>
        <w:rPr>
          <w:sz w:val="20"/>
          <w:szCs w:val="20"/>
          <w:color w:val="auto"/>
        </w:rPr>
      </w:pPr>
    </w:p>
    <w:p>
      <w:pPr>
        <w:jc w:val="both"/>
        <w:ind w:right="360"/>
        <w:spacing w:after="0" w:line="255" w:lineRule="auto"/>
        <w:rPr>
          <w:sz w:val="20"/>
          <w:szCs w:val="20"/>
          <w:color w:val="auto"/>
        </w:rPr>
      </w:pPr>
      <w:r>
        <w:rPr>
          <w:rFonts w:ascii="Arial" w:cs="Arial" w:eastAsia="Arial" w:hAnsi="Arial"/>
          <w:sz w:val="21"/>
          <w:szCs w:val="21"/>
          <w:color w:val="auto"/>
        </w:rPr>
        <w:t>I am writing to confirm the amendment we are making to the September 18, 2020 Memorandum that documents the terms and conditions of your ongoing employment (the “Memorandum”). The “Vacation and Benefits” provision of the Memorandum is hereby deleted in its entirety and replaced with the following:</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21"/>
          <w:szCs w:val="21"/>
          <w:color w:val="auto"/>
        </w:rPr>
        <w:t>Vacation and</w:t>
      </w:r>
    </w:p>
    <w:p>
      <w:pPr>
        <w:spacing w:after="0" w:line="18" w:lineRule="exact"/>
        <w:rPr>
          <w:sz w:val="20"/>
          <w:szCs w:val="20"/>
          <w:color w:val="auto"/>
        </w:rPr>
      </w:pPr>
    </w:p>
    <w:p>
      <w:pPr>
        <w:ind w:left="2600" w:hanging="2599"/>
        <w:spacing w:after="0" w:line="285" w:lineRule="auto"/>
        <w:tabs>
          <w:tab w:leader="none" w:pos="2580" w:val="left"/>
        </w:tabs>
        <w:rPr>
          <w:sz w:val="20"/>
          <w:szCs w:val="20"/>
          <w:color w:val="auto"/>
        </w:rPr>
      </w:pPr>
      <w:r>
        <w:rPr>
          <w:rFonts w:ascii="Arial" w:cs="Arial" w:eastAsia="Arial" w:hAnsi="Arial"/>
          <w:sz w:val="19"/>
          <w:szCs w:val="19"/>
          <w:color w:val="auto"/>
        </w:rPr>
        <w:t>Benefits:</w:t>
      </w:r>
      <w:r>
        <w:rPr>
          <w:sz w:val="20"/>
          <w:szCs w:val="20"/>
          <w:color w:val="auto"/>
        </w:rPr>
        <w:tab/>
      </w:r>
      <w:r>
        <w:rPr>
          <w:rFonts w:ascii="Arial" w:cs="Arial" w:eastAsia="Arial" w:hAnsi="Arial"/>
          <w:sz w:val="19"/>
          <w:szCs w:val="19"/>
          <w:color w:val="auto"/>
        </w:rPr>
        <w:t>Your current vacation entitlement and benefits will continue unchanged, including entitlement to the Wellness Allowance reimbursement of up to $2,500 per year, which is a taxable benefit, and your Medcan benefit. Furthermore, the Company shall provide you with the following taxable benefits:</w:t>
      </w:r>
    </w:p>
    <w:p>
      <w:pPr>
        <w:spacing w:after="0" w:line="170" w:lineRule="exact"/>
        <w:rPr>
          <w:sz w:val="20"/>
          <w:szCs w:val="20"/>
          <w:color w:val="auto"/>
        </w:rPr>
      </w:pPr>
    </w:p>
    <w:p>
      <w:pPr>
        <w:ind w:left="3020" w:right="360" w:hanging="422"/>
        <w:spacing w:after="0" w:line="271" w:lineRule="auto"/>
        <w:tabs>
          <w:tab w:leader="none" w:pos="30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Reimbursement of up to CAD $10,000 per year toward a premium for a term life insurance policy; and</w:t>
      </w:r>
    </w:p>
    <w:p>
      <w:pPr>
        <w:spacing w:after="0" w:line="179" w:lineRule="exact"/>
        <w:rPr>
          <w:rFonts w:ascii="Arial" w:cs="Arial" w:eastAsia="Arial" w:hAnsi="Arial"/>
          <w:sz w:val="21"/>
          <w:szCs w:val="21"/>
          <w:color w:val="auto"/>
        </w:rPr>
      </w:pPr>
    </w:p>
    <w:p>
      <w:pPr>
        <w:ind w:left="3020" w:right="20" w:hanging="422"/>
        <w:spacing w:after="0" w:line="248" w:lineRule="auto"/>
        <w:tabs>
          <w:tab w:leader="none" w:pos="30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Payment to you of the difference between the annual CRA limit on employer contributions to your Registered Pension Plan and 5% of your salary, up to an annual maximum of CAD $10,000. The payment for each year shall be made within the first quarter of the following year; provided, however, that the payment for 2020 shall be made within 30 days following the date hereof.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0072CE"/>
        </w:rPr>
        <w:t>IMAX Corporation | 902 Broadway, 20th Floor, New York, NY 10010 | 212-821-0100 | Fax: 212-821-0105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717550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type w:val="continuous"/>
        </w:sectPr>
      </w:pPr>
    </w:p>
    <w:bookmarkStart w:id="149" w:name="page150"/>
    <w:bookmarkEnd w:id="149"/>
    <w:p>
      <w:pPr>
        <w:ind w:right="360"/>
        <w:spacing w:after="0" w:line="325" w:lineRule="auto"/>
        <w:rPr>
          <w:sz w:val="20"/>
          <w:szCs w:val="20"/>
          <w:color w:val="auto"/>
        </w:rPr>
      </w:pPr>
      <w:r>
        <w:rPr>
          <w:rFonts w:ascii="Arial" w:cs="Arial" w:eastAsia="Arial" w:hAnsi="Arial"/>
          <w:sz w:val="19"/>
          <w:szCs w:val="19"/>
          <w:color w:val="auto"/>
        </w:rPr>
        <w:t>Except as amended herein, the Memorandum remains in full force and effect. Please acknowledge your receipt of this memorandum and your agreement with the terms and conditions herein by signing and returning it to me by October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329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389" w:lineRule="exact"/>
        <w:rPr>
          <w:sz w:val="20"/>
          <w:szCs w:val="20"/>
          <w:color w:val="auto"/>
        </w:rPr>
      </w:pPr>
    </w:p>
    <w:p>
      <w:pPr>
        <w:ind w:right="360"/>
        <w:spacing w:after="0" w:line="277" w:lineRule="auto"/>
        <w:rPr>
          <w:sz w:val="20"/>
          <w:szCs w:val="20"/>
          <w:color w:val="auto"/>
        </w:rPr>
      </w:pPr>
      <w:r>
        <w:rPr>
          <w:rFonts w:ascii="Arial" w:cs="Arial" w:eastAsia="Arial" w:hAnsi="Arial"/>
          <w:sz w:val="21"/>
          <w:szCs w:val="21"/>
          <w:b w:val="1"/>
          <w:bCs w:val="1"/>
          <w:color w:val="auto"/>
        </w:rPr>
        <w:t>With my signature below, I confirm receipt of this memorandum and my acceptance of the terms of my employment as written.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40" w:type="dxa"/>
            <w:vAlign w:val="bottom"/>
            <w:gridSpan w:val="2"/>
          </w:tcPr>
          <w:p>
            <w:pPr>
              <w:spacing w:after="0"/>
              <w:rPr>
                <w:sz w:val="20"/>
                <w:szCs w:val="20"/>
                <w:color w:val="auto"/>
              </w:rPr>
            </w:pPr>
            <w:r>
              <w:rPr>
                <w:rFonts w:ascii="Arial" w:cs="Arial" w:eastAsia="Arial" w:hAnsi="Arial"/>
                <w:sz w:val="21"/>
                <w:szCs w:val="21"/>
                <w:color w:val="auto"/>
              </w:rPr>
              <w:t>/s/ Mark Welton</w:t>
            </w:r>
          </w:p>
        </w:tc>
        <w:tc>
          <w:tcPr>
            <w:tcW w:w="5500" w:type="dxa"/>
            <w:vAlign w:val="bottom"/>
          </w:tcPr>
          <w:p>
            <w:pPr>
              <w:spacing w:after="0"/>
              <w:rPr>
                <w:sz w:val="20"/>
                <w:szCs w:val="20"/>
                <w:color w:val="auto"/>
              </w:rPr>
            </w:pPr>
            <w:r>
              <w:rPr>
                <w:rFonts w:ascii="Arial" w:cs="Arial" w:eastAsia="Arial" w:hAnsi="Arial"/>
                <w:sz w:val="21"/>
                <w:szCs w:val="21"/>
                <w:color w:val="auto"/>
              </w:rPr>
              <w:t>10/14/21</w:t>
            </w:r>
          </w:p>
        </w:tc>
      </w:tr>
      <w:tr>
        <w:trPr>
          <w:trHeight w:val="267"/>
        </w:trPr>
        <w:tc>
          <w:tcPr>
            <w:tcW w:w="56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Mark Welton</w:t>
            </w:r>
          </w:p>
        </w:tc>
        <w:tc>
          <w:tcPr>
            <w:tcW w:w="100" w:type="dxa"/>
            <w:vAlign w:val="bottom"/>
          </w:tcPr>
          <w:p>
            <w:pPr>
              <w:spacing w:after="0"/>
              <w:rPr>
                <w:sz w:val="23"/>
                <w:szCs w:val="23"/>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72CE"/>
        </w:rPr>
        <w:t>IMAX Corporation | 902 Broadway, 20th Floor, New York, NY 10010 | 212-821-0100 | Fax: 212-821-0105</w:t>
      </w:r>
    </w:p>
    <w:p>
      <w:pPr>
        <w:sectPr>
          <w:pgSz w:w="11900" w:h="16838" w:orient="portrait"/>
          <w:cols w:equalWidth="0" w:num="1">
            <w:col w:w="11240"/>
          </w:cols>
          <w:pgMar w:left="320" w:top="36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OPY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IMAX CORPORATION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10.46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AMENDMENT TO FIFTH AMENDED AND RESTATED CREDIT AGREEMENT</w:t>
      </w:r>
    </w:p>
    <w:p>
      <w:pPr>
        <w:spacing w:after="0" w:line="21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FOURTH AMENDMENT TO FIFTH AMENDED AND RESTATED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December 13, 2021, among IMAX CORPORATION, a corporation incorporated pursuant to the laws of Canada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(as defined in the Credit Agreement referred to below) party hereto and WELLS FARGO BANK, NATIONAL ASSOCIATION, as administrative agent (the “</w:t>
      </w:r>
      <w:r>
        <w:rPr>
          <w:rFonts w:ascii="Arial" w:cs="Arial" w:eastAsia="Arial" w:hAnsi="Arial"/>
          <w:sz w:val="19"/>
          <w:szCs w:val="19"/>
          <w:u w:val="single" w:color="auto"/>
          <w:color w:val="auto"/>
        </w:rPr>
        <w:t>Agent</w:t>
      </w:r>
      <w:r>
        <w:rPr>
          <w:rFonts w:ascii="Arial" w:cs="Arial" w:eastAsia="Arial" w:hAnsi="Arial"/>
          <w:sz w:val="19"/>
          <w:szCs w:val="19"/>
          <w:color w:val="auto"/>
        </w:rPr>
        <w:t>”). Unless otherwise indicated, all capitalized terms used herein and not otherwise defined herein shall have the respective meanings provided such terms in the Credit Agreement referred to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3"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color w:val="auto"/>
        </w:rPr>
        <w:t>WHEREAS, the Borrower, the lenders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the Agent and the other parties thereto have entered into that certain Fifth Amended and Restated Credit Agreement, dated as of June 28, 2018 (as previously amended by that certain First Amendment to Fifth Amended and Restated Credit Agreement dated as of June 10, 2020, that certain Second Amendment to Fifth Amended and Restated Credit Agreement dated as of March 15, 2021 and that certain Third Amendment to Fifth Amended and Restated Credit Agreement dated as of July 28, 2021, as amended hereby and as further amended, restated, extended,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 the Credit Agreement prior to giving effect to this Amendment being referred to as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5"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0"/>
          <w:szCs w:val="20"/>
          <w:color w:val="auto"/>
        </w:rPr>
        <w:t>WHEREAS, under the Existing Credit Agreement Revolving Loans that are denominated in Euros bear interest based on Euribor, as defined in the Existing Credit Agreement;</w:t>
      </w:r>
    </w:p>
    <w:p>
      <w:pPr>
        <w:spacing w:after="0" w:line="17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7"/>
          <w:szCs w:val="17"/>
          <w:color w:val="auto"/>
        </w:rPr>
        <w:t>WHEREAS, on March 5, 2021, the ICE Benchmark Administration (“</w:t>
      </w:r>
      <w:r>
        <w:rPr>
          <w:rFonts w:ascii="Arial" w:cs="Arial" w:eastAsia="Arial" w:hAnsi="Arial"/>
          <w:sz w:val="17"/>
          <w:szCs w:val="17"/>
          <w:u w:val="single" w:color="auto"/>
          <w:color w:val="auto"/>
        </w:rPr>
        <w:t>IBA</w:t>
      </w:r>
      <w:r>
        <w:rPr>
          <w:rFonts w:ascii="Arial" w:cs="Arial" w:eastAsia="Arial" w:hAnsi="Arial"/>
          <w:sz w:val="17"/>
          <w:szCs w:val="17"/>
          <w:color w:val="auto"/>
        </w:rPr>
        <w:t>”), the administrator of the London interbank offered rate, and the Financial Conduct Authority, the regulatory supervisor of IBA, announced in public statements (the “</w:t>
      </w:r>
      <w:r>
        <w:rPr>
          <w:rFonts w:ascii="Arial" w:cs="Arial" w:eastAsia="Arial" w:hAnsi="Arial"/>
          <w:sz w:val="17"/>
          <w:szCs w:val="17"/>
          <w:u w:val="single" w:color="auto"/>
          <w:color w:val="auto"/>
        </w:rPr>
        <w:t>Announcements</w:t>
      </w:r>
      <w:r>
        <w:rPr>
          <w:rFonts w:ascii="Arial" w:cs="Arial" w:eastAsia="Arial" w:hAnsi="Arial"/>
          <w:sz w:val="17"/>
          <w:szCs w:val="17"/>
          <w:color w:val="auto"/>
        </w:rPr>
        <w:t>”) that the final publication or representativeness date for the London interbank offered rate for various currencies, including Euros, will be December 31, 2021. No successor administrator for IBA was identified in such Announcements. As a result, it is possible that commencing immediately after such dates, the London interbank offered rate for such Euros may no longer be available or may no longer be deemed a representative reference rate upon which to determine the interest rate on applicable Loans; and</w:t>
      </w:r>
    </w:p>
    <w:p>
      <w:pPr>
        <w:spacing w:after="0" w:line="152"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7"/>
          <w:szCs w:val="17"/>
          <w:color w:val="auto"/>
        </w:rPr>
        <w:t xml:space="preserve">WHEREAS, the Agent and the Borrower have determined that as a result of the Announcements, the provisions of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are applicable to any Euro denominated Loan. In connection with such determinations the Agent and the Borrower have agreed, in accordance with </w:t>
      </w:r>
      <w:r>
        <w:rPr>
          <w:rFonts w:ascii="Arial" w:cs="Arial" w:eastAsia="Arial" w:hAnsi="Arial"/>
          <w:sz w:val="17"/>
          <w:szCs w:val="17"/>
          <w:u w:val="single" w:color="auto"/>
          <w:color w:val="auto"/>
        </w:rPr>
        <w:t>Sections 3.2(c)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11.14(b)</w:t>
      </w:r>
      <w:r>
        <w:rPr>
          <w:rFonts w:ascii="Arial" w:cs="Arial" w:eastAsia="Arial" w:hAnsi="Arial"/>
          <w:sz w:val="17"/>
          <w:szCs w:val="17"/>
          <w:color w:val="auto"/>
        </w:rPr>
        <w:t xml:space="preserve"> of the Existing Credit Agreement, to establish Euribor (as defined in the Credit Agreement after giving effect to this Amendment) and to make such other changes set forth herein in order to implement any Replacement Rate.</w:t>
      </w:r>
    </w:p>
    <w:p>
      <w:pPr>
        <w:spacing w:after="0" w:line="14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are hereby acknowledged, it is agreed as follows:</w:t>
      </w:r>
    </w:p>
    <w:p>
      <w:pPr>
        <w:spacing w:after="0" w:line="17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151978832_4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7550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1740" w:hanging="869"/>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Article 1</w:t>
      </w:r>
      <w:r>
        <w:rPr>
          <w:rFonts w:ascii="Arial" w:cs="Arial" w:eastAsia="Arial" w:hAnsi="Arial"/>
          <w:sz w:val="20"/>
          <w:szCs w:val="20"/>
          <w:color w:val="auto"/>
        </w:rPr>
        <w:t xml:space="preserve"> of the Existing Credit Agreement is hereby amended by:</w:t>
      </w:r>
    </w:p>
    <w:p>
      <w:pPr>
        <w:spacing w:after="0" w:line="214" w:lineRule="exact"/>
        <w:rPr>
          <w:rFonts w:ascii="Arial" w:cs="Arial" w:eastAsia="Arial" w:hAnsi="Arial"/>
          <w:sz w:val="20"/>
          <w:szCs w:val="20"/>
          <w:color w:val="auto"/>
        </w:rPr>
      </w:pPr>
    </w:p>
    <w:p>
      <w:pPr>
        <w:ind w:left="2540" w:hanging="872"/>
        <w:spacing w:after="0"/>
        <w:tabs>
          <w:tab w:leader="none" w:pos="254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amending and restating the definition of “Business Day” in its entirety as follows:</w:t>
      </w:r>
    </w:p>
    <w:p>
      <w:pPr>
        <w:spacing w:after="0" w:line="220" w:lineRule="exact"/>
        <w:rPr>
          <w:sz w:val="20"/>
          <w:szCs w:val="20"/>
          <w:color w:val="auto"/>
        </w:rPr>
      </w:pPr>
    </w:p>
    <w:p>
      <w:pPr>
        <w:jc w:val="both"/>
        <w:ind w:left="880" w:firstLine="64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means (a) for all purposes other than as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any day (other than a Saturday, Sunday or legal holiday) on which banks in Toronto, Ontario and New York, New York, are open for the conduct of their commercial banking business and (b) (i) except in the case of clause (ii), with respect to all notices and determinations in connection with, and payments of principal and interest on, any Euro Rate Loans or any U.S. Base Rate Loan as to which the interest rate is determined by reference to the Adjusted Euro Dollar Rate or the Euro Dollar Rate, as applicable, any day that is a Business Day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that is also a London Banking Day and (ii) with respect to all notices and determinations in connection with, and payments of principal and interest on, any Euro Rate Loan denominated in Euros, any day that is a Business Day as described in clause (a) and that is also a TARGET Day.</w:t>
      </w:r>
    </w:p>
    <w:p>
      <w:pPr>
        <w:spacing w:after="0" w:line="182" w:lineRule="exact"/>
        <w:rPr>
          <w:sz w:val="20"/>
          <w:szCs w:val="20"/>
          <w:color w:val="auto"/>
        </w:rPr>
      </w:pPr>
    </w:p>
    <w:p>
      <w:pPr>
        <w:ind w:left="2560" w:hanging="892"/>
        <w:spacing w:after="0"/>
        <w:tabs>
          <w:tab w:leader="none" w:pos="25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amending and restating the definition of “Euribor” in its entirety as follows:</w:t>
      </w:r>
    </w:p>
    <w:p>
      <w:pPr>
        <w:spacing w:after="0" w:line="207" w:lineRule="exact"/>
        <w:rPr>
          <w:sz w:val="20"/>
          <w:szCs w:val="20"/>
          <w:color w:val="auto"/>
        </w:rPr>
      </w:pPr>
    </w:p>
    <w:p>
      <w:pPr>
        <w:jc w:val="both"/>
        <w:ind w:left="880" w:firstLine="797"/>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Euribor</w:t>
      </w:r>
      <w:r>
        <w:rPr>
          <w:rFonts w:ascii="Arial" w:cs="Arial" w:eastAsia="Arial" w:hAnsi="Arial"/>
          <w:sz w:val="17"/>
          <w:szCs w:val="17"/>
          <w:color w:val="auto"/>
        </w:rPr>
        <w:t xml:space="preserve">" means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on the basis of the rate for deposits in Euros equal to the Euro Interbank Offered Rate as administered by the European Money Markets Institute, or a comparable or successor administrator approved by the Agent, for a period comparable to the applicable Interest Period, at approximately 11:00 a.m. (Brussels time) two (2) Business Days prior to the commencement of such Interest Period (or such other day as is generally treated as the rate fixing day by market practice in such interbank market, as determined by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market practice is not administratively feasible for the Agent, such other day as otherwise reasonably determined by the Agent). Notwithstanding the foregoing, if Euribor shall be less than 0%, such rate shall be deemed to be 0% for purposes of this Agreement.</w:t>
      </w:r>
    </w:p>
    <w:p>
      <w:pPr>
        <w:spacing w:after="0" w:line="153" w:lineRule="exact"/>
        <w:rPr>
          <w:sz w:val="20"/>
          <w:szCs w:val="20"/>
          <w:color w:val="auto"/>
        </w:rPr>
      </w:pPr>
    </w:p>
    <w:p>
      <w:pPr>
        <w:ind w:left="1660" w:hanging="1587"/>
        <w:spacing w:after="0"/>
        <w:tabs>
          <w:tab w:leader="none" w:pos="1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amending and restating the definition of “Interest Period” in its entirety as follows:</w:t>
      </w:r>
    </w:p>
    <w:p>
      <w:pPr>
        <w:spacing w:after="0" w:line="207" w:lineRule="exact"/>
        <w:rPr>
          <w:sz w:val="20"/>
          <w:szCs w:val="20"/>
          <w:color w:val="auto"/>
        </w:rPr>
      </w:pPr>
    </w:p>
    <w:p>
      <w:pPr>
        <w:jc w:val="both"/>
        <w:ind w:left="880" w:firstLine="7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with respect to each CDOR Rate Loan and Euro Rate Loan, a period, subject to the availability thereof on a representative basis, equal to one of the following: (a) one (1) month, (b) two (2) months, (c) three (3) months or (d) six (6) months or, if agreed to by all relevant Lenders, twelve (12) months, in each case as Borrower may elect with the exact duration to be determined in accordance with customary practice in the applicable CDOR Rate or Euro Rate market; </w:t>
      </w:r>
      <w:r>
        <w:rPr>
          <w:rFonts w:ascii="Arial" w:cs="Arial" w:eastAsia="Arial" w:hAnsi="Arial"/>
          <w:sz w:val="17"/>
          <w:szCs w:val="17"/>
          <w:u w:val="single" w:color="auto"/>
          <w:color w:val="auto"/>
        </w:rPr>
        <w:t>provided that</w:t>
      </w:r>
    </w:p>
    <w:p>
      <w:pPr>
        <w:spacing w:after="0" w:line="3" w:lineRule="exact"/>
        <w:rPr>
          <w:sz w:val="20"/>
          <w:szCs w:val="20"/>
          <w:color w:val="auto"/>
        </w:rPr>
      </w:pPr>
    </w:p>
    <w:p>
      <w:pPr>
        <w:jc w:val="both"/>
        <w:ind w:left="880" w:hanging="9"/>
        <w:spacing w:after="0" w:line="253" w:lineRule="auto"/>
        <w:tabs>
          <w:tab w:leader="none" w:pos="1129"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this definition, end on the last Business Day of a calendar month; and (iii) Borrower may not elect an Interest Period which will end after the Maturity Date.</w:t>
      </w:r>
    </w:p>
    <w:p>
      <w:pPr>
        <w:spacing w:after="0" w:line="186" w:lineRule="exact"/>
        <w:rPr>
          <w:sz w:val="20"/>
          <w:szCs w:val="20"/>
          <w:color w:val="auto"/>
        </w:rPr>
      </w:pPr>
    </w:p>
    <w:p>
      <w:pPr>
        <w:ind w:left="2600" w:hanging="932"/>
        <w:spacing w:after="0"/>
        <w:tabs>
          <w:tab w:leader="none" w:pos="2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adding the following definitions to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of the Existing Credit Agreement in proper alphabetical order:</w:t>
      </w:r>
    </w:p>
    <w:p>
      <w:pPr>
        <w:spacing w:after="0" w:line="24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151978832_4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550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880" w:firstLine="797"/>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6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Day</w:t>
      </w:r>
      <w:r>
        <w:rPr>
          <w:rFonts w:ascii="Arial" w:cs="Arial" w:eastAsia="Arial" w:hAnsi="Arial"/>
          <w:sz w:val="20"/>
          <w:szCs w:val="20"/>
          <w:color w:val="auto"/>
        </w:rPr>
        <w:t>" means any day on which TARGET2 is open for the settlement of payments in Euros.</w:t>
      </w:r>
    </w:p>
    <w:p>
      <w:pPr>
        <w:spacing w:after="0" w:line="219" w:lineRule="exact"/>
        <w:rPr>
          <w:sz w:val="20"/>
          <w:szCs w:val="20"/>
          <w:color w:val="auto"/>
        </w:rPr>
      </w:pPr>
    </w:p>
    <w:p>
      <w:pPr>
        <w:ind w:firstLine="871"/>
        <w:spacing w:after="0" w:line="258" w:lineRule="auto"/>
        <w:tabs>
          <w:tab w:leader="none" w:pos="1737"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Section 3.1(h)(iv)</w:t>
      </w:r>
      <w:r>
        <w:rPr>
          <w:rFonts w:ascii="Arial" w:cs="Arial" w:eastAsia="Arial" w:hAnsi="Arial"/>
          <w:sz w:val="20"/>
          <w:szCs w:val="20"/>
          <w:color w:val="auto"/>
        </w:rPr>
        <w:t xml:space="preserve"> of the Existing Credit Agreement is hereby amended by (i) deleting the phrase “or London” and (ii) replacing it with “, London, Euro, Canadian or other applicable”.</w:t>
      </w:r>
    </w:p>
    <w:p>
      <w:pPr>
        <w:spacing w:after="0" w:line="176" w:lineRule="exact"/>
        <w:rPr>
          <w:rFonts w:ascii="Arial" w:cs="Arial" w:eastAsia="Arial" w:hAnsi="Arial"/>
          <w:sz w:val="20"/>
          <w:szCs w:val="20"/>
          <w:color w:val="auto"/>
        </w:rPr>
      </w:pPr>
    </w:p>
    <w:p>
      <w:pPr>
        <w:ind w:left="1740" w:hanging="869"/>
        <w:spacing w:after="0"/>
        <w:tabs>
          <w:tab w:leader="none" w:pos="174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Section 3.2(a)(i)</w:t>
      </w:r>
      <w:r>
        <w:rPr>
          <w:rFonts w:ascii="Arial" w:cs="Arial" w:eastAsia="Arial" w:hAnsi="Arial"/>
          <w:sz w:val="17"/>
          <w:szCs w:val="17"/>
          <w:color w:val="auto"/>
        </w:rPr>
        <w:t xml:space="preserve"> of the Existing Credit Agreement is hereby amended by adding the phrase “, Euro or other applicable”</w:t>
      </w:r>
    </w:p>
    <w:p>
      <w:pPr>
        <w:spacing w:after="0" w:line="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after “London”.</w:t>
      </w:r>
    </w:p>
    <w:p>
      <w:pPr>
        <w:spacing w:after="0" w:line="196" w:lineRule="exact"/>
        <w:rPr>
          <w:rFonts w:ascii="Arial" w:cs="Arial" w:eastAsia="Arial" w:hAnsi="Arial"/>
          <w:sz w:val="17"/>
          <w:szCs w:val="17"/>
          <w:color w:val="auto"/>
        </w:rPr>
      </w:pPr>
    </w:p>
    <w:p>
      <w:pPr>
        <w:ind w:firstLine="871"/>
        <w:spacing w:after="0" w:line="258" w:lineRule="auto"/>
        <w:tabs>
          <w:tab w:leader="none" w:pos="1737"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of the Existing Credit Agreement is hereby amended by (i) deleting the phrase “or Canadian” and (ii) replacing it with “, Euro, Canadian or other applicable”.</w:t>
      </w:r>
    </w:p>
    <w:p>
      <w:pPr>
        <w:spacing w:after="0" w:line="176" w:lineRule="exact"/>
        <w:rPr>
          <w:rFonts w:ascii="Arial" w:cs="Arial" w:eastAsia="Arial" w:hAnsi="Arial"/>
          <w:sz w:val="20"/>
          <w:szCs w:val="20"/>
          <w:color w:val="auto"/>
        </w:rPr>
      </w:pPr>
    </w:p>
    <w:p>
      <w:pPr>
        <w:ind w:firstLine="871"/>
        <w:spacing w:after="0" w:line="258" w:lineRule="auto"/>
        <w:tabs>
          <w:tab w:leader="none" w:pos="1726"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Section 3.4(a)(iii)</w:t>
      </w:r>
      <w:r>
        <w:rPr>
          <w:rFonts w:ascii="Arial" w:cs="Arial" w:eastAsia="Arial" w:hAnsi="Arial"/>
          <w:sz w:val="20"/>
          <w:szCs w:val="20"/>
          <w:color w:val="auto"/>
        </w:rPr>
        <w:t xml:space="preserve"> of the Existing Credit Agreement is hereby amended by (i) deleting the phrase “or Canadian” and (ii) replacing it with “, Euro, Canadian or other applicable”.</w:t>
      </w:r>
    </w:p>
    <w:p>
      <w:pPr>
        <w:spacing w:after="0" w:line="17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Conditions of Effectiveness of this Amendment</w:t>
      </w:r>
      <w:r>
        <w:rPr>
          <w:rFonts w:ascii="Arial" w:cs="Arial" w:eastAsia="Arial" w:hAnsi="Arial"/>
          <w:sz w:val="17"/>
          <w:szCs w:val="17"/>
          <w:color w:val="auto"/>
        </w:rPr>
        <w:t>. This Amendment shall become effective on the date that is the later of the date that (a) the Agent receives of a counterpart of this Amendment, duly executed by each of the Credit Parties, which shall be originals or facsimiles (followed by originals to be delivered as soon as practicable) unless otherwise specified, in form and substance reasonably satisfactory to the Agent and (b) is five (5) Business Days after the delivery of such amendment to Lenders, so long as the Agent has not received written notices from such Lenders that in the aggregate constitute Required Lenders stating that such Lender objects to this Amendment (which such notice shall note with specificity the particular provisions of this Amendment to which such Lender objects).</w:t>
      </w:r>
    </w:p>
    <w:p>
      <w:pPr>
        <w:spacing w:after="0" w:line="15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13" w:lineRule="exact"/>
        <w:rPr>
          <w:sz w:val="20"/>
          <w:szCs w:val="20"/>
          <w:color w:val="auto"/>
        </w:rPr>
      </w:pPr>
    </w:p>
    <w:p>
      <w:pPr>
        <w:jc w:val="both"/>
        <w:ind w:firstLine="871"/>
        <w:spacing w:after="0" w:line="261" w:lineRule="auto"/>
        <w:tabs>
          <w:tab w:leader="none" w:pos="1726" w:val="left"/>
        </w:tabs>
        <w:numPr>
          <w:ilvl w:val="0"/>
          <w:numId w:val="91"/>
        </w:numPr>
        <w:rPr>
          <w:rFonts w:ascii="Arial" w:cs="Arial" w:eastAsia="Arial" w:hAnsi="Arial"/>
          <w:sz w:val="19"/>
          <w:szCs w:val="19"/>
          <w:color w:val="auto"/>
        </w:rPr>
      </w:pPr>
      <w:r>
        <w:rPr>
          <w:rFonts w:ascii="Arial" w:cs="Arial" w:eastAsia="Arial" w:hAnsi="Arial"/>
          <w:sz w:val="19"/>
          <w:szCs w:val="19"/>
          <w:color w:val="auto"/>
        </w:rPr>
        <w:t>On and after the effectiveness of this Amendment, each reference in the Credit Agreement to “this Agreement,” “herein,” “hereto”, “hereof” and “hereunder” or words of like import referring to the Credit Agreement, and each reference in the notes and each of the other Financing Agreements to “the Credit Agreement”, “thereunder”, “thereof” or words of like import referring to the Credit Agreement, shall mean and be a reference to the Credit Agreement, as amended by this Amendment.</w:t>
      </w:r>
    </w:p>
    <w:p>
      <w:pPr>
        <w:spacing w:after="0" w:line="176" w:lineRule="exact"/>
        <w:rPr>
          <w:rFonts w:ascii="Arial" w:cs="Arial" w:eastAsia="Arial" w:hAnsi="Arial"/>
          <w:sz w:val="19"/>
          <w:szCs w:val="19"/>
          <w:color w:val="auto"/>
        </w:rPr>
      </w:pPr>
    </w:p>
    <w:p>
      <w:pPr>
        <w:ind w:firstLine="871"/>
        <w:spacing w:after="0" w:line="258" w:lineRule="auto"/>
        <w:tabs>
          <w:tab w:leader="none" w:pos="1737"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Credit Agreement and each of the other Financing Agreements, as specifically amended by this Amendment, are and shall continue to be in full force and effect and are hereby in all respects ratified and confirmed.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151978832_4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550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firstLine="871"/>
        <w:spacing w:after="0" w:line="289" w:lineRule="auto"/>
        <w:tabs>
          <w:tab w:leader="none" w:pos="172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This Amendment shall not be deemed (i) to be a waiver of, or consent to, or a modification or amendment of, any other term or condition of the Existing Credit Agreement or any other Financing Agreement other than as expressly set forth herein, (ii) to prejudice any right or rights which the Agent or the Lenders may now have or may have in the future under or in connection with the Existing Credit Agreement or the other Financing Agreements or any of the instruments or agreements referred to therein, as the same may be amended, restated, supplemented or modified from time to time, or (iii) to be a commitment or any other undertaking or expression of any willingness to engage in any further discussion with the Borrower, any of its Subsidiaries or any other Person with respect to any other waiver, amendment, modification or any other change to the Existing Credit Agreement or the Financing Agreements or any rights or remedies arising in favor of the Lenders or the Agent, or any of them, under or with respect to any such documents.</w:t>
      </w:r>
    </w:p>
    <w:p>
      <w:pPr>
        <w:spacing w:after="0" w:line="157" w:lineRule="exact"/>
        <w:rPr>
          <w:rFonts w:ascii="Arial" w:cs="Arial" w:eastAsia="Arial" w:hAnsi="Arial"/>
          <w:sz w:val="17"/>
          <w:szCs w:val="17"/>
          <w:color w:val="auto"/>
        </w:rPr>
      </w:pPr>
    </w:p>
    <w:p>
      <w:pPr>
        <w:jc w:val="both"/>
        <w:ind w:firstLine="871"/>
        <w:spacing w:after="0" w:line="248" w:lineRule="auto"/>
        <w:tabs>
          <w:tab w:leader="none" w:pos="1737"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This Amendment is a Financing Agreement and is subject to the terms and conditions of the Credit Agreement, including, without limitation, each of the provisions of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w:t>
      </w:r>
      <w:r>
        <w:rPr>
          <w:rFonts w:ascii="Arial" w:cs="Arial" w:eastAsia="Arial" w:hAnsi="Arial"/>
          <w:sz w:val="20"/>
          <w:szCs w:val="20"/>
          <w:u w:val="single" w:color="auto"/>
          <w:color w:val="auto"/>
        </w:rPr>
        <w:t>12.6</w:t>
      </w:r>
      <w:r>
        <w:rPr>
          <w:rFonts w:ascii="Arial" w:cs="Arial" w:eastAsia="Arial" w:hAnsi="Arial"/>
          <w:sz w:val="20"/>
          <w:szCs w:val="20"/>
          <w:color w:val="auto"/>
        </w:rPr>
        <w:t xml:space="preserve">, </w:t>
      </w:r>
      <w:r>
        <w:rPr>
          <w:rFonts w:ascii="Arial" w:cs="Arial" w:eastAsia="Arial" w:hAnsi="Arial"/>
          <w:sz w:val="20"/>
          <w:szCs w:val="20"/>
          <w:u w:val="single" w:color="auto"/>
          <w:color w:val="auto"/>
        </w:rPr>
        <w:t>13.3 13.4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13.7</w:t>
      </w:r>
      <w:r>
        <w:rPr>
          <w:rFonts w:ascii="Arial" w:cs="Arial" w:eastAsia="Arial" w:hAnsi="Arial"/>
          <w:sz w:val="20"/>
          <w:szCs w:val="20"/>
          <w:color w:val="auto"/>
        </w:rPr>
        <w:t>, the provisions of which are by this reference incorporated herein in full</w:t>
      </w:r>
    </w:p>
    <w:p>
      <w:pPr>
        <w:spacing w:after="0" w:line="186" w:lineRule="exact"/>
        <w:rPr>
          <w:rFonts w:ascii="Arial" w:cs="Arial" w:eastAsia="Arial" w:hAnsi="Arial"/>
          <w:sz w:val="20"/>
          <w:szCs w:val="20"/>
          <w:color w:val="auto"/>
        </w:rPr>
      </w:pPr>
    </w:p>
    <w:p>
      <w:pPr>
        <w:ind w:firstLine="871"/>
        <w:spacing w:after="0" w:line="258" w:lineRule="auto"/>
        <w:tabs>
          <w:tab w:leader="none" w:pos="1374"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This Amendment may be executed in counterparts (and by different parties hereto on different counterparts), each of which shall constitute an original, but all of which when taken together shall constitute a single contract.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151978832_4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550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ind w:firstLine="864"/>
        <w:spacing w:after="0" w:line="258"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Amendment as of the date first above written.</w:t>
      </w:r>
    </w:p>
    <w:p>
      <w:pPr>
        <w:spacing w:after="0" w:line="200" w:lineRule="exact"/>
        <w:rPr>
          <w:sz w:val="20"/>
          <w:szCs w:val="20"/>
          <w:color w:val="auto"/>
        </w:rPr>
      </w:pPr>
    </w:p>
    <w:p>
      <w:pPr>
        <w:spacing w:after="0" w:line="218" w:lineRule="exact"/>
        <w:rPr>
          <w:sz w:val="20"/>
          <w:szCs w:val="20"/>
          <w:color w:val="auto"/>
        </w:rPr>
      </w:pPr>
    </w:p>
    <w:p>
      <w:pPr>
        <w:ind w:left="80"/>
        <w:spacing w:after="0"/>
        <w:tabs>
          <w:tab w:leader="none" w:pos="598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u w:val="single" w:color="auto"/>
          <w:color w:val="auto"/>
        </w:rPr>
        <w:t>GUARANTOR:</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5740" w:type="dxa"/>
            <w:vAlign w:val="bottom"/>
            <w:gridSpan w:val="5"/>
          </w:tcPr>
          <w:p>
            <w:pPr>
              <w:spacing w:after="0"/>
              <w:rPr>
                <w:sz w:val="20"/>
                <w:szCs w:val="20"/>
                <w:color w:val="auto"/>
              </w:rPr>
            </w:pPr>
            <w:r>
              <w:rPr>
                <w:rFonts w:ascii="Arial" w:cs="Arial" w:eastAsia="Arial" w:hAnsi="Arial"/>
                <w:sz w:val="20"/>
                <w:szCs w:val="20"/>
                <w:b w:val="1"/>
                <w:bCs w:val="1"/>
                <w:color w:val="auto"/>
              </w:rPr>
              <w:t>IMAX CORPORATION</w:t>
            </w:r>
          </w:p>
        </w:tc>
        <w:tc>
          <w:tcPr>
            <w:tcW w:w="2820" w:type="dxa"/>
            <w:vAlign w:val="bottom"/>
            <w:gridSpan w:val="5"/>
          </w:tcPr>
          <w:p>
            <w:pPr>
              <w:ind w:left="180"/>
              <w:spacing w:after="0"/>
              <w:rPr>
                <w:sz w:val="20"/>
                <w:szCs w:val="20"/>
                <w:color w:val="auto"/>
              </w:rPr>
            </w:pPr>
            <w:r>
              <w:rPr>
                <w:rFonts w:ascii="Arial" w:cs="Arial" w:eastAsia="Arial" w:hAnsi="Arial"/>
                <w:sz w:val="20"/>
                <w:szCs w:val="20"/>
                <w:b w:val="1"/>
                <w:bCs w:val="1"/>
                <w:color w:val="auto"/>
              </w:rPr>
              <w:t>IMAX U.S.A. INC</w:t>
            </w:r>
            <w:r>
              <w:rPr>
                <w:rFonts w:ascii="Arial" w:cs="Arial" w:eastAsia="Arial" w:hAnsi="Arial"/>
                <w:sz w:val="20"/>
                <w:szCs w:val="20"/>
                <w:color w:val="auto"/>
              </w:rPr>
              <w:t>.</w:t>
            </w:r>
          </w:p>
        </w:tc>
      </w:tr>
      <w:tr>
        <w:trPr>
          <w:trHeight w:val="62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gridSpan w:val="4"/>
          </w:tcPr>
          <w:p>
            <w:pPr>
              <w:ind w:left="100"/>
              <w:spacing w:after="0"/>
              <w:rPr>
                <w:sz w:val="20"/>
                <w:szCs w:val="20"/>
                <w:color w:val="auto"/>
              </w:rPr>
            </w:pPr>
            <w:r>
              <w:rPr>
                <w:rFonts w:ascii="Arial" w:cs="Arial" w:eastAsia="Arial" w:hAnsi="Arial"/>
                <w:sz w:val="20"/>
                <w:szCs w:val="20"/>
                <w:color w:val="auto"/>
              </w:rPr>
              <w:t>/s/ Robert Lister</w:t>
            </w:r>
          </w:p>
        </w:tc>
        <w:tc>
          <w:tcPr>
            <w:tcW w:w="860" w:type="dxa"/>
            <w:vAlign w:val="bottom"/>
          </w:tcPr>
          <w:p>
            <w:pPr>
              <w:ind w:left="220"/>
              <w:spacing w:after="0"/>
              <w:rPr>
                <w:sz w:val="20"/>
                <w:szCs w:val="20"/>
                <w:color w:val="auto"/>
              </w:rPr>
            </w:pPr>
            <w:r>
              <w:rPr>
                <w:rFonts w:ascii="Arial" w:cs="Arial" w:eastAsia="Arial" w:hAnsi="Arial"/>
                <w:sz w:val="20"/>
                <w:szCs w:val="20"/>
                <w:color w:val="auto"/>
              </w:rPr>
              <w:t>By:</w:t>
            </w:r>
          </w:p>
        </w:tc>
        <w:tc>
          <w:tcPr>
            <w:tcW w:w="1960" w:type="dxa"/>
            <w:vAlign w:val="bottom"/>
            <w:gridSpan w:val="4"/>
          </w:tcPr>
          <w:p>
            <w:pPr>
              <w:ind w:left="100"/>
              <w:spacing w:after="0"/>
              <w:rPr>
                <w:sz w:val="20"/>
                <w:szCs w:val="20"/>
                <w:color w:val="auto"/>
              </w:rPr>
            </w:pPr>
            <w:r>
              <w:rPr>
                <w:rFonts w:ascii="Arial" w:cs="Arial" w:eastAsia="Arial" w:hAnsi="Arial"/>
                <w:sz w:val="20"/>
                <w:szCs w:val="20"/>
                <w:color w:val="auto"/>
                <w:w w:val="91"/>
              </w:rPr>
              <w:t>/s/ Kenneth Weissman</w:t>
            </w:r>
          </w:p>
        </w:tc>
      </w:tr>
      <w:tr>
        <w:trPr>
          <w:trHeight w:val="232"/>
        </w:trPr>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Robert Lister</w:t>
            </w:r>
          </w:p>
        </w:tc>
        <w:tc>
          <w:tcPr>
            <w:tcW w:w="3720" w:type="dxa"/>
            <w:vAlign w:val="bottom"/>
            <w:gridSpan w:val="2"/>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9"/>
              </w:rPr>
              <w:t>Kenneth Weissman</w:t>
            </w:r>
          </w:p>
        </w:tc>
        <w:tc>
          <w:tcPr>
            <w:tcW w:w="120" w:type="dxa"/>
            <w:vAlign w:val="bottom"/>
          </w:tcPr>
          <w:p>
            <w:pPr>
              <w:spacing w:after="0"/>
              <w:rPr>
                <w:sz w:val="20"/>
                <w:szCs w:val="20"/>
                <w:color w:val="auto"/>
              </w:rPr>
            </w:pPr>
          </w:p>
        </w:tc>
      </w:tr>
      <w:tr>
        <w:trPr>
          <w:trHeight w:val="228"/>
        </w:trPr>
        <w:tc>
          <w:tcPr>
            <w:tcW w:w="640" w:type="dxa"/>
            <w:vAlign w:val="bottom"/>
          </w:tcPr>
          <w:p>
            <w:pPr>
              <w:ind w:left="20"/>
              <w:spacing w:after="0" w:line="229" w:lineRule="exact"/>
              <w:rPr>
                <w:sz w:val="20"/>
                <w:szCs w:val="20"/>
                <w:color w:val="auto"/>
              </w:rPr>
            </w:pPr>
            <w:r>
              <w:rPr>
                <w:rFonts w:ascii="Arial" w:cs="Arial" w:eastAsia="Arial" w:hAnsi="Arial"/>
                <w:sz w:val="20"/>
                <w:szCs w:val="20"/>
                <w:color w:val="auto"/>
              </w:rPr>
              <w:t>Title:</w:t>
            </w:r>
          </w:p>
        </w:tc>
        <w:tc>
          <w:tcPr>
            <w:tcW w:w="100" w:type="dxa"/>
            <w:vAlign w:val="bottom"/>
          </w:tcPr>
          <w:p>
            <w:pPr>
              <w:spacing w:after="0"/>
              <w:rPr>
                <w:sz w:val="19"/>
                <w:szCs w:val="19"/>
                <w:color w:val="auto"/>
              </w:rPr>
            </w:pPr>
          </w:p>
        </w:tc>
        <w:tc>
          <w:tcPr>
            <w:tcW w:w="5000" w:type="dxa"/>
            <w:vAlign w:val="bottom"/>
            <w:gridSpan w:val="3"/>
          </w:tcPr>
          <w:p>
            <w:pPr>
              <w:spacing w:after="0" w:line="229" w:lineRule="exact"/>
              <w:rPr>
                <w:sz w:val="20"/>
                <w:szCs w:val="20"/>
                <w:color w:val="auto"/>
              </w:rPr>
            </w:pPr>
            <w:r>
              <w:rPr>
                <w:rFonts w:ascii="Arial" w:cs="Arial" w:eastAsia="Arial" w:hAnsi="Arial"/>
                <w:sz w:val="20"/>
                <w:szCs w:val="20"/>
                <w:color w:val="auto"/>
              </w:rPr>
              <w:t>Chief Legal Officer and Senior</w:t>
            </w:r>
          </w:p>
        </w:tc>
        <w:tc>
          <w:tcPr>
            <w:tcW w:w="860" w:type="dxa"/>
            <w:vAlign w:val="bottom"/>
          </w:tcPr>
          <w:p>
            <w:pPr>
              <w:ind w:left="240"/>
              <w:spacing w:after="0" w:line="229" w:lineRule="exact"/>
              <w:rPr>
                <w:sz w:val="20"/>
                <w:szCs w:val="20"/>
                <w:color w:val="auto"/>
              </w:rPr>
            </w:pPr>
            <w:r>
              <w:rPr>
                <w:rFonts w:ascii="Arial" w:cs="Arial" w:eastAsia="Arial" w:hAnsi="Arial"/>
                <w:sz w:val="20"/>
                <w:szCs w:val="20"/>
                <w:color w:val="auto"/>
              </w:rPr>
              <w:t>Title:</w:t>
            </w:r>
          </w:p>
        </w:tc>
        <w:tc>
          <w:tcPr>
            <w:tcW w:w="100" w:type="dxa"/>
            <w:vAlign w:val="bottom"/>
          </w:tcPr>
          <w:p>
            <w:pPr>
              <w:spacing w:after="0"/>
              <w:rPr>
                <w:sz w:val="19"/>
                <w:szCs w:val="19"/>
                <w:color w:val="auto"/>
              </w:rPr>
            </w:pPr>
          </w:p>
        </w:tc>
        <w:tc>
          <w:tcPr>
            <w:tcW w:w="1860" w:type="dxa"/>
            <w:vAlign w:val="bottom"/>
            <w:gridSpan w:val="3"/>
          </w:tcPr>
          <w:p>
            <w:pPr>
              <w:spacing w:after="0" w:line="229" w:lineRule="exact"/>
              <w:rPr>
                <w:sz w:val="20"/>
                <w:szCs w:val="20"/>
                <w:color w:val="auto"/>
              </w:rPr>
            </w:pPr>
            <w:r>
              <w:rPr>
                <w:rFonts w:ascii="Arial" w:cs="Arial" w:eastAsia="Arial" w:hAnsi="Arial"/>
                <w:sz w:val="20"/>
                <w:szCs w:val="20"/>
                <w:color w:val="auto"/>
                <w:w w:val="85"/>
              </w:rPr>
              <w:t>President and Secretary</w:t>
            </w:r>
          </w:p>
        </w:tc>
      </w:tr>
      <w:tr>
        <w:trPr>
          <w:trHeight w:val="249"/>
        </w:trPr>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Arial" w:cs="Arial" w:eastAsia="Arial" w:hAnsi="Arial"/>
                <w:sz w:val="20"/>
                <w:szCs w:val="20"/>
                <w:color w:val="auto"/>
              </w:rPr>
              <w:t>Executive Vice President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62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gridSpan w:val="4"/>
          </w:tcPr>
          <w:p>
            <w:pPr>
              <w:ind w:left="100"/>
              <w:spacing w:after="0"/>
              <w:rPr>
                <w:sz w:val="20"/>
                <w:szCs w:val="20"/>
                <w:color w:val="auto"/>
              </w:rPr>
            </w:pPr>
            <w:r>
              <w:rPr>
                <w:rFonts w:ascii="Arial" w:cs="Arial" w:eastAsia="Arial" w:hAnsi="Arial"/>
                <w:sz w:val="20"/>
                <w:szCs w:val="20"/>
                <w:color w:val="auto"/>
              </w:rPr>
              <w:t>/s/ Kenneth Weissman</w:t>
            </w:r>
          </w:p>
        </w:tc>
        <w:tc>
          <w:tcPr>
            <w:tcW w:w="860" w:type="dxa"/>
            <w:vAlign w:val="bottom"/>
          </w:tcPr>
          <w:p>
            <w:pPr>
              <w:ind w:left="220"/>
              <w:spacing w:after="0"/>
              <w:rPr>
                <w:sz w:val="20"/>
                <w:szCs w:val="20"/>
                <w:color w:val="auto"/>
              </w:rPr>
            </w:pPr>
            <w:r>
              <w:rPr>
                <w:rFonts w:ascii="Arial" w:cs="Arial" w:eastAsia="Arial" w:hAnsi="Arial"/>
                <w:sz w:val="20"/>
                <w:szCs w:val="20"/>
                <w:color w:val="auto"/>
              </w:rPr>
              <w:t>By:</w:t>
            </w:r>
          </w:p>
        </w:tc>
        <w:tc>
          <w:tcPr>
            <w:tcW w:w="1960" w:type="dxa"/>
            <w:vAlign w:val="bottom"/>
            <w:gridSpan w:val="4"/>
          </w:tcPr>
          <w:p>
            <w:pPr>
              <w:ind w:left="100"/>
              <w:spacing w:after="0"/>
              <w:rPr>
                <w:sz w:val="20"/>
                <w:szCs w:val="20"/>
                <w:color w:val="auto"/>
              </w:rPr>
            </w:pPr>
            <w:r>
              <w:rPr>
                <w:rFonts w:ascii="Arial" w:cs="Arial" w:eastAsia="Arial" w:hAnsi="Arial"/>
                <w:sz w:val="20"/>
                <w:szCs w:val="20"/>
                <w:color w:val="auto"/>
              </w:rPr>
              <w:t>/s/ Robert Lister</w:t>
            </w:r>
          </w:p>
        </w:tc>
      </w:tr>
      <w:tr>
        <w:trPr>
          <w:trHeight w:val="232"/>
        </w:trPr>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9"/>
              </w:rPr>
              <w:t>Kenneth Weissman</w:t>
            </w:r>
          </w:p>
        </w:tc>
        <w:tc>
          <w:tcPr>
            <w:tcW w:w="326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Robert Lister</w:t>
            </w:r>
          </w:p>
        </w:tc>
        <w:tc>
          <w:tcPr>
            <w:tcW w:w="600" w:type="dxa"/>
            <w:vAlign w:val="bottom"/>
            <w:gridSpan w:val="2"/>
          </w:tcPr>
          <w:p>
            <w:pPr>
              <w:spacing w:after="0"/>
              <w:rPr>
                <w:sz w:val="20"/>
                <w:szCs w:val="20"/>
                <w:color w:val="auto"/>
              </w:rPr>
            </w:pPr>
          </w:p>
        </w:tc>
      </w:tr>
      <w:tr>
        <w:trPr>
          <w:trHeight w:val="249"/>
        </w:trPr>
        <w:tc>
          <w:tcPr>
            <w:tcW w:w="640" w:type="dxa"/>
            <w:vAlign w:val="bottom"/>
          </w:tcPr>
          <w:p>
            <w:pPr>
              <w:ind w:left="2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Arial" w:cs="Arial" w:eastAsia="Arial" w:hAnsi="Arial"/>
                <w:sz w:val="20"/>
                <w:szCs w:val="20"/>
                <w:color w:val="auto"/>
                <w:w w:val="92"/>
              </w:rPr>
              <w:t>Senior Vice President, Legal Affairs and Corporate Secretary</w:t>
            </w:r>
          </w:p>
        </w:tc>
        <w:tc>
          <w:tcPr>
            <w:tcW w:w="860" w:type="dxa"/>
            <w:vAlign w:val="bottom"/>
          </w:tcPr>
          <w:p>
            <w:pPr>
              <w:ind w:left="24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860" w:type="dxa"/>
            <w:vAlign w:val="bottom"/>
            <w:gridSpan w:val="3"/>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20"/>
                <w:szCs w:val="20"/>
                <w:color w:val="auto"/>
                <w:w w:val="95"/>
              </w:rPr>
              <w:t>GUARANTOR:</w:t>
            </w:r>
          </w:p>
        </w:tc>
        <w:tc>
          <w:tcPr>
            <w:tcW w:w="2220" w:type="dxa"/>
            <w:vAlign w:val="bottom"/>
            <w:gridSpan w:val="3"/>
          </w:tcPr>
          <w:p>
            <w:pPr>
              <w:spacing w:after="0"/>
              <w:rPr>
                <w:sz w:val="19"/>
                <w:szCs w:val="19"/>
                <w:color w:val="auto"/>
              </w:rPr>
            </w:pPr>
          </w:p>
        </w:tc>
        <w:tc>
          <w:tcPr>
            <w:tcW w:w="3600" w:type="dxa"/>
            <w:vAlign w:val="bottom"/>
            <w:gridSpan w:val="7"/>
          </w:tcPr>
          <w:p>
            <w:pPr>
              <w:ind w:left="960"/>
              <w:spacing w:after="0"/>
              <w:rPr>
                <w:sz w:val="20"/>
                <w:szCs w:val="20"/>
                <w:color w:val="auto"/>
              </w:rPr>
            </w:pPr>
            <w:r>
              <w:rPr>
                <w:rFonts w:ascii="Arial" w:cs="Arial" w:eastAsia="Arial" w:hAnsi="Arial"/>
                <w:sz w:val="20"/>
                <w:szCs w:val="20"/>
                <w:color w:val="auto"/>
              </w:rPr>
              <w:t>GUARANTOR:</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3520" w:type="dxa"/>
            <w:vAlign w:val="bottom"/>
            <w:gridSpan w:val="5"/>
          </w:tcPr>
          <w:p>
            <w:pPr>
              <w:spacing w:after="0"/>
              <w:rPr>
                <w:sz w:val="20"/>
                <w:szCs w:val="20"/>
                <w:color w:val="auto"/>
              </w:rPr>
            </w:pPr>
            <w:r>
              <w:rPr>
                <w:rFonts w:ascii="Arial" w:cs="Arial" w:eastAsia="Arial" w:hAnsi="Arial"/>
                <w:sz w:val="20"/>
                <w:szCs w:val="20"/>
                <w:b w:val="1"/>
                <w:bCs w:val="1"/>
                <w:color w:val="auto"/>
              </w:rPr>
              <w:t>1329507 ONTARIO INC.</w:t>
            </w:r>
          </w:p>
        </w:tc>
        <w:tc>
          <w:tcPr>
            <w:tcW w:w="3600" w:type="dxa"/>
            <w:vAlign w:val="bottom"/>
            <w:gridSpan w:val="7"/>
          </w:tcPr>
          <w:p>
            <w:pPr>
              <w:ind w:left="960"/>
              <w:spacing w:after="0"/>
              <w:rPr>
                <w:sz w:val="20"/>
                <w:szCs w:val="20"/>
                <w:color w:val="auto"/>
              </w:rPr>
            </w:pPr>
            <w:r>
              <w:rPr>
                <w:rFonts w:ascii="Arial" w:cs="Arial" w:eastAsia="Arial" w:hAnsi="Arial"/>
                <w:sz w:val="20"/>
                <w:szCs w:val="20"/>
                <w:b w:val="1"/>
                <w:bCs w:val="1"/>
                <w:color w:val="auto"/>
              </w:rPr>
              <w:t>IMAX POST/DKP INC.</w:t>
            </w:r>
          </w:p>
        </w:tc>
      </w:tr>
      <w:tr>
        <w:trPr>
          <w:trHeight w:val="62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700" w:type="dxa"/>
            <w:vAlign w:val="bottom"/>
            <w:gridSpan w:val="4"/>
          </w:tcPr>
          <w:p>
            <w:pPr>
              <w:spacing w:after="0"/>
              <w:rPr>
                <w:sz w:val="20"/>
                <w:szCs w:val="20"/>
                <w:color w:val="auto"/>
              </w:rPr>
            </w:pPr>
            <w:r>
              <w:rPr>
                <w:rFonts w:ascii="Arial" w:cs="Arial" w:eastAsia="Arial" w:hAnsi="Arial"/>
                <w:sz w:val="20"/>
                <w:szCs w:val="20"/>
                <w:color w:val="auto"/>
              </w:rPr>
              <w:t>/s/ Kenneth Weissman</w:t>
            </w:r>
          </w:p>
        </w:tc>
        <w:tc>
          <w:tcPr>
            <w:tcW w:w="9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20"/>
                <w:szCs w:val="20"/>
                <w:color w:val="auto"/>
              </w:rPr>
              <w:t>By:</w:t>
            </w:r>
          </w:p>
        </w:tc>
        <w:tc>
          <w:tcPr>
            <w:tcW w:w="1980" w:type="dxa"/>
            <w:vAlign w:val="bottom"/>
            <w:gridSpan w:val="5"/>
          </w:tcPr>
          <w:p>
            <w:pPr>
              <w:ind w:left="100"/>
              <w:spacing w:after="0"/>
              <w:rPr>
                <w:sz w:val="20"/>
                <w:szCs w:val="20"/>
                <w:color w:val="auto"/>
              </w:rPr>
            </w:pPr>
            <w:r>
              <w:rPr>
                <w:rFonts w:ascii="Arial" w:cs="Arial" w:eastAsia="Arial" w:hAnsi="Arial"/>
                <w:sz w:val="20"/>
                <w:szCs w:val="20"/>
                <w:color w:val="auto"/>
                <w:w w:val="92"/>
              </w:rPr>
              <w:t>/s/ Kenneth Weissman</w:t>
            </w:r>
          </w:p>
        </w:tc>
      </w:tr>
      <w:tr>
        <w:trPr>
          <w:trHeight w:val="232"/>
        </w:trPr>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w w:val="99"/>
              </w:rPr>
              <w:t>Kenneth Weissman</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w w:val="98"/>
              </w:rPr>
              <w:t>Name:</w:t>
            </w:r>
          </w:p>
        </w:tc>
        <w:tc>
          <w:tcPr>
            <w:tcW w:w="100" w:type="dxa"/>
            <w:vAlign w:val="bottom"/>
          </w:tcPr>
          <w:p>
            <w:pPr>
              <w:spacing w:after="0"/>
              <w:rPr>
                <w:sz w:val="20"/>
                <w:szCs w:val="20"/>
                <w:color w:val="auto"/>
              </w:rPr>
            </w:pP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w w:val="99"/>
              </w:rPr>
              <w:t>Kenneth Weissman</w:t>
            </w:r>
          </w:p>
        </w:tc>
        <w:tc>
          <w:tcPr>
            <w:tcW w:w="120" w:type="dxa"/>
            <w:vAlign w:val="bottom"/>
          </w:tcPr>
          <w:p>
            <w:pPr>
              <w:spacing w:after="0"/>
              <w:rPr>
                <w:sz w:val="20"/>
                <w:szCs w:val="20"/>
                <w:color w:val="auto"/>
              </w:rPr>
            </w:pPr>
          </w:p>
        </w:tc>
      </w:tr>
      <w:tr>
        <w:trPr>
          <w:trHeight w:val="249"/>
        </w:trPr>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2700" w:type="dxa"/>
            <w:vAlign w:val="bottom"/>
            <w:gridSpan w:val="4"/>
          </w:tcPr>
          <w:p>
            <w:pPr>
              <w:ind w:left="20"/>
              <w:spacing w:after="0"/>
              <w:rPr>
                <w:sz w:val="20"/>
                <w:szCs w:val="20"/>
                <w:color w:val="auto"/>
              </w:rPr>
            </w:pPr>
            <w:r>
              <w:rPr>
                <w:rFonts w:ascii="Arial" w:cs="Arial" w:eastAsia="Arial" w:hAnsi="Arial"/>
                <w:sz w:val="20"/>
                <w:szCs w:val="20"/>
                <w:color w:val="auto"/>
              </w:rPr>
              <w:t>Secretary</w:t>
            </w:r>
          </w:p>
        </w:tc>
        <w:tc>
          <w:tcPr>
            <w:tcW w:w="96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880" w:type="dxa"/>
            <w:vAlign w:val="bottom"/>
            <w:gridSpan w:val="4"/>
          </w:tcPr>
          <w:p>
            <w:pPr>
              <w:ind w:left="20"/>
              <w:spacing w:after="0"/>
              <w:rPr>
                <w:sz w:val="20"/>
                <w:szCs w:val="20"/>
                <w:color w:val="auto"/>
              </w:rPr>
            </w:pPr>
            <w:r>
              <w:rPr>
                <w:rFonts w:ascii="Arial" w:cs="Arial" w:eastAsia="Arial" w:hAnsi="Arial"/>
                <w:sz w:val="20"/>
                <w:szCs w:val="20"/>
                <w:color w:val="auto"/>
                <w:w w:val="85"/>
              </w:rPr>
              <w:t>President and Secretary</w:t>
            </w:r>
          </w:p>
        </w:tc>
      </w:tr>
      <w:tr>
        <w:trPr>
          <w:trHeight w:val="62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700" w:type="dxa"/>
            <w:vAlign w:val="bottom"/>
            <w:gridSpan w:val="4"/>
          </w:tcPr>
          <w:p>
            <w:pPr>
              <w:spacing w:after="0"/>
              <w:rPr>
                <w:sz w:val="20"/>
                <w:szCs w:val="20"/>
                <w:color w:val="auto"/>
              </w:rPr>
            </w:pPr>
            <w:r>
              <w:rPr>
                <w:rFonts w:ascii="Arial" w:cs="Arial" w:eastAsia="Arial" w:hAnsi="Arial"/>
                <w:sz w:val="20"/>
                <w:szCs w:val="20"/>
                <w:color w:val="auto"/>
              </w:rPr>
              <w:t>/s/ Robert Lister</w:t>
            </w:r>
          </w:p>
        </w:tc>
        <w:tc>
          <w:tcPr>
            <w:tcW w:w="9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20"/>
                <w:szCs w:val="20"/>
                <w:color w:val="auto"/>
              </w:rPr>
              <w:t>By:</w:t>
            </w:r>
          </w:p>
        </w:tc>
        <w:tc>
          <w:tcPr>
            <w:tcW w:w="1980" w:type="dxa"/>
            <w:vAlign w:val="bottom"/>
            <w:gridSpan w:val="5"/>
          </w:tcPr>
          <w:p>
            <w:pPr>
              <w:ind w:left="100"/>
              <w:spacing w:after="0"/>
              <w:rPr>
                <w:sz w:val="20"/>
                <w:szCs w:val="20"/>
                <w:color w:val="auto"/>
              </w:rPr>
            </w:pPr>
            <w:r>
              <w:rPr>
                <w:rFonts w:ascii="Arial" w:cs="Arial" w:eastAsia="Arial" w:hAnsi="Arial"/>
                <w:sz w:val="20"/>
                <w:szCs w:val="20"/>
                <w:color w:val="auto"/>
              </w:rPr>
              <w:t>/s/ Robert Lister</w:t>
            </w:r>
          </w:p>
        </w:tc>
      </w:tr>
      <w:tr>
        <w:trPr>
          <w:trHeight w:val="232"/>
        </w:trPr>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Robert Lister</w:t>
            </w:r>
          </w:p>
        </w:tc>
        <w:tc>
          <w:tcPr>
            <w:tcW w:w="142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w w:val="98"/>
              </w:rPr>
              <w:t>Name:</w:t>
            </w:r>
          </w:p>
        </w:tc>
        <w:tc>
          <w:tcPr>
            <w:tcW w:w="100" w:type="dxa"/>
            <w:vAlign w:val="bottom"/>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Robert Lister</w:t>
            </w:r>
          </w:p>
        </w:tc>
        <w:tc>
          <w:tcPr>
            <w:tcW w:w="600" w:type="dxa"/>
            <w:vAlign w:val="bottom"/>
            <w:gridSpan w:val="2"/>
          </w:tcPr>
          <w:p>
            <w:pPr>
              <w:spacing w:after="0"/>
              <w:rPr>
                <w:sz w:val="20"/>
                <w:szCs w:val="20"/>
                <w:color w:val="auto"/>
              </w:rPr>
            </w:pPr>
          </w:p>
        </w:tc>
      </w:tr>
      <w:tr>
        <w:trPr>
          <w:trHeight w:val="249"/>
        </w:trPr>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2700" w:type="dxa"/>
            <w:vAlign w:val="bottom"/>
            <w:gridSpan w:val="4"/>
          </w:tcPr>
          <w:p>
            <w:pPr>
              <w:ind w:left="20"/>
              <w:spacing w:after="0"/>
              <w:rPr>
                <w:sz w:val="20"/>
                <w:szCs w:val="20"/>
                <w:color w:val="auto"/>
              </w:rPr>
            </w:pPr>
            <w:r>
              <w:rPr>
                <w:rFonts w:ascii="Arial" w:cs="Arial" w:eastAsia="Arial" w:hAnsi="Arial"/>
                <w:sz w:val="20"/>
                <w:szCs w:val="20"/>
                <w:color w:val="auto"/>
              </w:rPr>
              <w:t>Vice President</w:t>
            </w:r>
          </w:p>
        </w:tc>
        <w:tc>
          <w:tcPr>
            <w:tcW w:w="96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880" w:type="dxa"/>
            <w:vAlign w:val="bottom"/>
            <w:gridSpan w:val="4"/>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IMAX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 to Fifth Amended and Restated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7550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55" w:name="page156"/>
    <w:bookmarkEnd w:id="155"/>
    <w:tbl>
      <w:tblPr>
        <w:tblLayout w:type="fixed"/>
        <w:tblInd w:w="4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20"/>
                <w:szCs w:val="20"/>
                <w:color w:val="auto"/>
                <w:w w:val="95"/>
              </w:rPr>
              <w:t>GUARANTOR:</w:t>
            </w:r>
          </w:p>
        </w:tc>
        <w:tc>
          <w:tcPr>
            <w:tcW w:w="2280" w:type="dxa"/>
            <w:vAlign w:val="bottom"/>
            <w:gridSpan w:val="3"/>
          </w:tcPr>
          <w:p>
            <w:pPr>
              <w:spacing w:after="0"/>
              <w:rPr>
                <w:sz w:val="19"/>
                <w:szCs w:val="19"/>
                <w:color w:val="auto"/>
              </w:rPr>
            </w:pPr>
          </w:p>
        </w:tc>
        <w:tc>
          <w:tcPr>
            <w:tcW w:w="4220" w:type="dxa"/>
            <w:vAlign w:val="bottom"/>
            <w:gridSpan w:val="7"/>
          </w:tcPr>
          <w:p>
            <w:pPr>
              <w:ind w:left="900"/>
              <w:spacing w:after="0"/>
              <w:rPr>
                <w:sz w:val="20"/>
                <w:szCs w:val="20"/>
                <w:color w:val="auto"/>
              </w:rPr>
            </w:pPr>
            <w:r>
              <w:rPr>
                <w:rFonts w:ascii="Arial" w:cs="Arial" w:eastAsia="Arial" w:hAnsi="Arial"/>
                <w:sz w:val="20"/>
                <w:szCs w:val="20"/>
                <w:color w:val="auto"/>
              </w:rPr>
              <w:t>GUARANTOR:</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0"/>
        </w:trPr>
        <w:tc>
          <w:tcPr>
            <w:tcW w:w="3580" w:type="dxa"/>
            <w:vAlign w:val="bottom"/>
            <w:gridSpan w:val="5"/>
          </w:tcPr>
          <w:p>
            <w:pPr>
              <w:spacing w:after="0"/>
              <w:rPr>
                <w:sz w:val="20"/>
                <w:szCs w:val="20"/>
                <w:color w:val="auto"/>
              </w:rPr>
            </w:pPr>
            <w:r>
              <w:rPr>
                <w:rFonts w:ascii="Arial" w:cs="Arial" w:eastAsia="Arial" w:hAnsi="Arial"/>
                <w:sz w:val="20"/>
                <w:szCs w:val="20"/>
                <w:b w:val="1"/>
                <w:bCs w:val="1"/>
                <w:color w:val="auto"/>
              </w:rPr>
              <w:t>IMAX II U.S.A. INC.</w:t>
            </w:r>
          </w:p>
        </w:tc>
        <w:tc>
          <w:tcPr>
            <w:tcW w:w="4220" w:type="dxa"/>
            <w:vAlign w:val="bottom"/>
            <w:gridSpan w:val="7"/>
          </w:tcPr>
          <w:p>
            <w:pPr>
              <w:ind w:left="900"/>
              <w:spacing w:after="0"/>
              <w:rPr>
                <w:sz w:val="20"/>
                <w:szCs w:val="20"/>
                <w:color w:val="auto"/>
              </w:rPr>
            </w:pPr>
            <w:r>
              <w:rPr>
                <w:rFonts w:ascii="Arial" w:cs="Arial" w:eastAsia="Arial" w:hAnsi="Arial"/>
                <w:sz w:val="20"/>
                <w:szCs w:val="20"/>
                <w:b w:val="1"/>
                <w:bCs w:val="1"/>
                <w:color w:val="auto"/>
                <w:w w:val="98"/>
              </w:rPr>
              <w:t>IMAX (BARBADOS) HOLDING, INC.</w:t>
            </w:r>
          </w:p>
        </w:tc>
      </w:tr>
      <w:tr>
        <w:trPr>
          <w:trHeight w:val="667"/>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760" w:type="dxa"/>
            <w:vAlign w:val="bottom"/>
            <w:gridSpan w:val="4"/>
          </w:tcPr>
          <w:p>
            <w:pPr>
              <w:spacing w:after="0"/>
              <w:rPr>
                <w:sz w:val="20"/>
                <w:szCs w:val="20"/>
                <w:color w:val="auto"/>
              </w:rPr>
            </w:pPr>
            <w:r>
              <w:rPr>
                <w:rFonts w:ascii="Arial" w:cs="Arial" w:eastAsia="Arial" w:hAnsi="Arial"/>
                <w:sz w:val="20"/>
                <w:szCs w:val="20"/>
                <w:color w:val="auto"/>
              </w:rPr>
              <w:t>/s/ Kenneth Weissman</w:t>
            </w:r>
          </w:p>
        </w:tc>
        <w:tc>
          <w:tcPr>
            <w:tcW w:w="90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20"/>
                <w:szCs w:val="20"/>
                <w:color w:val="auto"/>
              </w:rPr>
              <w:t>/s/ Kenneth Weissman</w:t>
            </w:r>
          </w:p>
        </w:tc>
      </w:tr>
      <w:tr>
        <w:trPr>
          <w:trHeight w:val="232"/>
        </w:trPr>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w w:val="99"/>
              </w:rPr>
              <w:t>Kenneth Weissman</w:t>
            </w: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w w:val="98"/>
              </w:rPr>
              <w:t>Name:</w:t>
            </w:r>
          </w:p>
        </w:tc>
        <w:tc>
          <w:tcPr>
            <w:tcW w:w="100" w:type="dxa"/>
            <w:vAlign w:val="bottom"/>
          </w:tcPr>
          <w:p>
            <w:pPr>
              <w:spacing w:after="0"/>
              <w:rPr>
                <w:sz w:val="20"/>
                <w:szCs w:val="20"/>
                <w:color w:val="auto"/>
              </w:rPr>
            </w:pP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w w:val="99"/>
              </w:rPr>
              <w:t>Kenneth Weissman</w:t>
            </w:r>
          </w:p>
        </w:tc>
        <w:tc>
          <w:tcPr>
            <w:tcW w:w="800" w:type="dxa"/>
            <w:vAlign w:val="bottom"/>
          </w:tcPr>
          <w:p>
            <w:pPr>
              <w:spacing w:after="0"/>
              <w:rPr>
                <w:sz w:val="20"/>
                <w:szCs w:val="20"/>
                <w:color w:val="auto"/>
              </w:rPr>
            </w:pPr>
          </w:p>
        </w:tc>
      </w:tr>
      <w:tr>
        <w:trPr>
          <w:trHeight w:val="249"/>
        </w:trPr>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2760" w:type="dxa"/>
            <w:vAlign w:val="bottom"/>
            <w:gridSpan w:val="4"/>
          </w:tcPr>
          <w:p>
            <w:pPr>
              <w:ind w:left="20"/>
              <w:spacing w:after="0"/>
              <w:rPr>
                <w:sz w:val="20"/>
                <w:szCs w:val="20"/>
                <w:color w:val="auto"/>
              </w:rPr>
            </w:pPr>
            <w:r>
              <w:rPr>
                <w:rFonts w:ascii="Arial" w:cs="Arial" w:eastAsia="Arial" w:hAnsi="Arial"/>
                <w:sz w:val="20"/>
                <w:szCs w:val="20"/>
                <w:color w:val="auto"/>
              </w:rPr>
              <w:t>President and Secretary</w:t>
            </w:r>
          </w:p>
        </w:tc>
        <w:tc>
          <w:tcPr>
            <w:tcW w:w="90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2560" w:type="dxa"/>
            <w:vAlign w:val="bottom"/>
            <w:gridSpan w:val="4"/>
          </w:tcPr>
          <w:p>
            <w:pPr>
              <w:ind w:left="20"/>
              <w:spacing w:after="0"/>
              <w:rPr>
                <w:sz w:val="20"/>
                <w:szCs w:val="20"/>
                <w:color w:val="auto"/>
              </w:rPr>
            </w:pPr>
            <w:r>
              <w:rPr>
                <w:rFonts w:ascii="Arial" w:cs="Arial" w:eastAsia="Arial" w:hAnsi="Arial"/>
                <w:sz w:val="20"/>
                <w:szCs w:val="20"/>
                <w:color w:val="auto"/>
              </w:rPr>
              <w:t>Sole Director</w:t>
            </w:r>
          </w:p>
        </w:tc>
      </w:tr>
      <w:tr>
        <w:trPr>
          <w:trHeight w:val="626"/>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2760" w:type="dxa"/>
            <w:vAlign w:val="bottom"/>
            <w:gridSpan w:val="4"/>
          </w:tcPr>
          <w:p>
            <w:pPr>
              <w:spacing w:after="0"/>
              <w:rPr>
                <w:sz w:val="20"/>
                <w:szCs w:val="20"/>
                <w:color w:val="auto"/>
              </w:rPr>
            </w:pPr>
            <w:r>
              <w:rPr>
                <w:rFonts w:ascii="Arial" w:cs="Arial" w:eastAsia="Arial" w:hAnsi="Arial"/>
                <w:sz w:val="20"/>
                <w:szCs w:val="20"/>
                <w:color w:val="auto"/>
              </w:rPr>
              <w:t>/s/ Robert Lister</w:t>
            </w:r>
          </w:p>
        </w:tc>
        <w:tc>
          <w:tcPr>
            <w:tcW w:w="90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20"/>
                <w:szCs w:val="20"/>
                <w:color w:val="auto"/>
              </w:rPr>
              <w:t>By:</w:t>
            </w:r>
          </w:p>
        </w:tc>
        <w:tc>
          <w:tcPr>
            <w:tcW w:w="2660" w:type="dxa"/>
            <w:vAlign w:val="bottom"/>
            <w:gridSpan w:val="5"/>
          </w:tcPr>
          <w:p>
            <w:pPr>
              <w:ind w:left="100"/>
              <w:spacing w:after="0"/>
              <w:rPr>
                <w:sz w:val="20"/>
                <w:szCs w:val="20"/>
                <w:color w:val="auto"/>
              </w:rPr>
            </w:pPr>
            <w:r>
              <w:rPr>
                <w:rFonts w:ascii="Arial" w:cs="Arial" w:eastAsia="Arial" w:hAnsi="Arial"/>
                <w:sz w:val="20"/>
                <w:szCs w:val="20"/>
                <w:color w:val="auto"/>
              </w:rPr>
              <w:t>/s/ Robert Lister</w:t>
            </w:r>
          </w:p>
        </w:tc>
      </w:tr>
      <w:tr>
        <w:trPr>
          <w:trHeight w:val="232"/>
        </w:trPr>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Robert Lister</w:t>
            </w:r>
          </w:p>
        </w:tc>
        <w:tc>
          <w:tcPr>
            <w:tcW w:w="14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w w:val="98"/>
              </w:rPr>
              <w:t>Name:</w:t>
            </w:r>
          </w:p>
        </w:tc>
        <w:tc>
          <w:tcPr>
            <w:tcW w:w="100" w:type="dxa"/>
            <w:vAlign w:val="bottom"/>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Robert Lister</w:t>
            </w:r>
          </w:p>
        </w:tc>
        <w:tc>
          <w:tcPr>
            <w:tcW w:w="1280" w:type="dxa"/>
            <w:vAlign w:val="bottom"/>
            <w:gridSpan w:val="2"/>
          </w:tcPr>
          <w:p>
            <w:pPr>
              <w:spacing w:after="0"/>
              <w:rPr>
                <w:sz w:val="20"/>
                <w:szCs w:val="20"/>
                <w:color w:val="auto"/>
              </w:rPr>
            </w:pPr>
          </w:p>
        </w:tc>
      </w:tr>
      <w:tr>
        <w:trPr>
          <w:trHeight w:val="249"/>
        </w:trPr>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2760" w:type="dxa"/>
            <w:vAlign w:val="bottom"/>
            <w:gridSpan w:val="4"/>
          </w:tcPr>
          <w:p>
            <w:pPr>
              <w:ind w:left="20"/>
              <w:spacing w:after="0"/>
              <w:rPr>
                <w:sz w:val="20"/>
                <w:szCs w:val="20"/>
                <w:color w:val="auto"/>
              </w:rPr>
            </w:pPr>
            <w:r>
              <w:rPr>
                <w:rFonts w:ascii="Arial" w:cs="Arial" w:eastAsia="Arial" w:hAnsi="Arial"/>
                <w:sz w:val="20"/>
                <w:szCs w:val="20"/>
                <w:color w:val="auto"/>
              </w:rPr>
              <w:t>Vice President</w:t>
            </w:r>
          </w:p>
        </w:tc>
        <w:tc>
          <w:tcPr>
            <w:tcW w:w="90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2560" w:type="dxa"/>
            <w:vAlign w:val="bottom"/>
            <w:gridSpan w:val="4"/>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GUARANTOR:</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IMAX THEATRES INTERNATIONAL</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380" w:type="dxa"/>
            <w:vAlign w:val="bottom"/>
            <w:gridSpan w:val="2"/>
          </w:tcPr>
          <w:p>
            <w:pPr>
              <w:ind w:left="100"/>
              <w:spacing w:after="0"/>
              <w:rPr>
                <w:sz w:val="20"/>
                <w:szCs w:val="20"/>
                <w:color w:val="auto"/>
              </w:rPr>
            </w:pPr>
            <w:r>
              <w:rPr>
                <w:rFonts w:ascii="Arial" w:cs="Arial" w:eastAsia="Arial" w:hAnsi="Arial"/>
                <w:sz w:val="20"/>
                <w:szCs w:val="20"/>
                <w:color w:val="auto"/>
                <w:w w:val="90"/>
              </w:rPr>
              <w:t>/s/ Alan Nishida</w:t>
            </w:r>
          </w:p>
        </w:tc>
      </w:tr>
      <w:tr>
        <w:trPr>
          <w:trHeight w:val="232"/>
        </w:trPr>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Alan Nishida</w:t>
            </w:r>
          </w:p>
        </w:tc>
      </w:tr>
      <w:tr>
        <w:trPr>
          <w:trHeight w:val="249"/>
        </w:trPr>
        <w:tc>
          <w:tcPr>
            <w:tcW w:w="640" w:type="dxa"/>
            <w:vAlign w:val="bottom"/>
          </w:tcPr>
          <w:p>
            <w:pPr>
              <w:ind w:left="2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20"/>
                <w:szCs w:val="20"/>
                <w:color w:val="auto"/>
              </w:rPr>
              <w:t>Director</w:t>
            </w:r>
          </w:p>
        </w:tc>
      </w:tr>
      <w:tr>
        <w:trPr>
          <w:trHeight w:val="62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1380" w:type="dxa"/>
            <w:vAlign w:val="bottom"/>
            <w:gridSpan w:val="2"/>
          </w:tcPr>
          <w:p>
            <w:pPr>
              <w:ind w:left="100"/>
              <w:spacing w:after="0"/>
              <w:rPr>
                <w:sz w:val="20"/>
                <w:szCs w:val="20"/>
                <w:color w:val="auto"/>
              </w:rPr>
            </w:pPr>
            <w:r>
              <w:rPr>
                <w:rFonts w:ascii="Arial" w:cs="Arial" w:eastAsia="Arial" w:hAnsi="Arial"/>
                <w:sz w:val="20"/>
                <w:szCs w:val="20"/>
                <w:color w:val="auto"/>
                <w:w w:val="89"/>
              </w:rPr>
              <w:t>/s/ Robert Lister</w:t>
            </w:r>
          </w:p>
        </w:tc>
      </w:tr>
      <w:tr>
        <w:trPr>
          <w:trHeight w:val="232"/>
        </w:trPr>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Robert Lister</w:t>
            </w:r>
          </w:p>
        </w:tc>
      </w:tr>
      <w:tr>
        <w:trPr>
          <w:trHeight w:val="249"/>
        </w:trPr>
        <w:tc>
          <w:tcPr>
            <w:tcW w:w="640" w:type="dxa"/>
            <w:vAlign w:val="bottom"/>
          </w:tcPr>
          <w:p>
            <w:pPr>
              <w:ind w:left="2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3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IMAX Corporation</w:t>
      </w:r>
    </w:p>
    <w:p>
      <w:pPr>
        <w:spacing w:after="0" w:line="2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Fourth Amendment to Fifth Amended and Restated Credit Agreement</w:t>
      </w:r>
    </w:p>
    <w:p>
      <w:pPr>
        <w:spacing w:after="0" w:line="3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60325</wp:posOffset>
            </wp:positionV>
            <wp:extent cx="717550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0099"/>
          </w:cols>
          <w:pgMar w:left="360" w:top="527" w:right="1440" w:bottom="1440" w:gutter="0" w:footer="0" w:header="0"/>
        </w:sectPr>
      </w:pPr>
    </w:p>
    <w:bookmarkStart w:id="156" w:name="page157"/>
    <w:bookmarkEnd w:id="156"/>
    <w:p>
      <w:pPr>
        <w:ind w:left="3440"/>
        <w:spacing w:after="0"/>
        <w:rPr>
          <w:sz w:val="20"/>
          <w:szCs w:val="20"/>
          <w:color w:val="auto"/>
        </w:rPr>
      </w:pPr>
      <w:r>
        <w:rPr>
          <w:rFonts w:ascii="Arial" w:cs="Arial" w:eastAsia="Arial" w:hAnsi="Arial"/>
          <w:sz w:val="20"/>
          <w:szCs w:val="20"/>
          <w:b w:val="1"/>
          <w:bCs w:val="1"/>
          <w:color w:val="auto"/>
        </w:rPr>
        <w:t>WELLS FARGO BANK, NATIONAL</w:t>
      </w:r>
    </w:p>
    <w:p>
      <w:pPr>
        <w:spacing w:after="0" w:line="20"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Agent</w:t>
      </w:r>
    </w:p>
    <w:p>
      <w:pPr>
        <w:spacing w:after="0" w:line="333" w:lineRule="exact"/>
        <w:rPr>
          <w:sz w:val="20"/>
          <w:szCs w:val="20"/>
          <w:color w:val="auto"/>
        </w:rPr>
      </w:pPr>
    </w:p>
    <w:tbl>
      <w:tblPr>
        <w:tblLayout w:type="fixed"/>
        <w:tblInd w:w="34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Brian Gilstrap</w:t>
            </w:r>
          </w:p>
        </w:tc>
        <w:tc>
          <w:tcPr>
            <w:tcW w:w="360" w:type="dxa"/>
            <w:vAlign w:val="bottom"/>
          </w:tcPr>
          <w:p>
            <w:pPr>
              <w:spacing w:after="0"/>
              <w:rPr>
                <w:sz w:val="19"/>
                <w:szCs w:val="19"/>
                <w:color w:val="auto"/>
              </w:rPr>
            </w:pPr>
          </w:p>
        </w:tc>
      </w:tr>
      <w:tr>
        <w:trPr>
          <w:trHeight w:val="232"/>
        </w:trPr>
        <w:tc>
          <w:tcPr>
            <w:tcW w:w="620" w:type="dxa"/>
            <w:vAlign w:val="bottom"/>
          </w:tcPr>
          <w:p>
            <w:pPr>
              <w:ind w:left="20"/>
              <w:spacing w:after="0"/>
              <w:rPr>
                <w:sz w:val="20"/>
                <w:szCs w:val="20"/>
                <w:color w:val="auto"/>
              </w:rPr>
            </w:pPr>
            <w:r>
              <w:rPr>
                <w:rFonts w:ascii="Arial" w:cs="Arial" w:eastAsia="Arial" w:hAnsi="Arial"/>
                <w:sz w:val="20"/>
                <w:szCs w:val="20"/>
                <w:color w:val="auto"/>
                <w:w w:val="98"/>
              </w:rPr>
              <w:t>Name:</w:t>
            </w:r>
          </w:p>
        </w:tc>
        <w:tc>
          <w:tcPr>
            <w:tcW w:w="10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Brian Gilstrap</w:t>
            </w:r>
          </w:p>
        </w:tc>
      </w:tr>
      <w:tr>
        <w:trPr>
          <w:trHeight w:val="249"/>
        </w:trPr>
        <w:tc>
          <w:tcPr>
            <w:tcW w:w="620" w:type="dxa"/>
            <w:vAlign w:val="bottom"/>
          </w:tcPr>
          <w:p>
            <w:pPr>
              <w:ind w:left="20"/>
              <w:spacing w:after="0"/>
              <w:rPr>
                <w:sz w:val="20"/>
                <w:szCs w:val="20"/>
                <w:color w:val="auto"/>
              </w:rPr>
            </w:pPr>
            <w:r>
              <w:rPr>
                <w:rFonts w:ascii="Arial" w:cs="Arial" w:eastAsia="Arial" w:hAnsi="Arial"/>
                <w:sz w:val="20"/>
                <w:szCs w:val="20"/>
                <w:color w:val="auto"/>
              </w:rPr>
              <w:t>Title:</w:t>
            </w: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20"/>
                <w:szCs w:val="20"/>
                <w:color w:val="auto"/>
                <w:w w:val="87"/>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IMAX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Fourth Amendment to Fifth Amended and Restated Credit Agreement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74" w:right="1440"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242"/>
        </w:trPr>
        <w:tc>
          <w:tcPr>
            <w:tcW w:w="4460" w:type="dxa"/>
            <w:vAlign w:val="bottom"/>
          </w:tcPr>
          <w:p>
            <w:pPr>
              <w:spacing w:after="0"/>
              <w:rPr>
                <w:sz w:val="21"/>
                <w:szCs w:val="21"/>
                <w:color w:val="auto"/>
              </w:rPr>
            </w:pPr>
          </w:p>
        </w:tc>
        <w:tc>
          <w:tcPr>
            <w:tcW w:w="2400" w:type="dxa"/>
            <w:vAlign w:val="bottom"/>
            <w:gridSpan w:val="2"/>
          </w:tcPr>
          <w:p>
            <w:pPr>
              <w:jc w:val="center"/>
              <w:spacing w:after="0"/>
              <w:rPr>
                <w:sz w:val="20"/>
                <w:szCs w:val="20"/>
                <w:color w:val="auto"/>
              </w:rPr>
            </w:pPr>
            <w:r>
              <w:rPr>
                <w:rFonts w:ascii="Arial" w:cs="Arial" w:eastAsia="Arial" w:hAnsi="Arial"/>
                <w:sz w:val="21"/>
                <w:szCs w:val="21"/>
                <w:b w:val="1"/>
                <w:bCs w:val="1"/>
                <w:color w:val="auto"/>
              </w:rPr>
              <w:t>IMAX CORPORATION</w:t>
            </w:r>
          </w:p>
        </w:tc>
        <w:tc>
          <w:tcPr>
            <w:tcW w:w="138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79"/>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jc w:val="center"/>
              <w:ind w:right="379"/>
              <w:spacing w:after="0"/>
              <w:rPr>
                <w:sz w:val="20"/>
                <w:szCs w:val="20"/>
                <w:color w:val="auto"/>
              </w:rPr>
            </w:pPr>
            <w:r>
              <w:rPr>
                <w:rFonts w:ascii="Arial" w:cs="Arial" w:eastAsia="Arial" w:hAnsi="Arial"/>
                <w:sz w:val="21"/>
                <w:szCs w:val="21"/>
                <w:b w:val="1"/>
                <w:bCs w:val="1"/>
                <w:color w:val="auto"/>
                <w:w w:val="95"/>
              </w:rPr>
              <w:t>Exhibit 21.1</w:t>
            </w:r>
          </w:p>
        </w:tc>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50"/>
        </w:trPr>
        <w:tc>
          <w:tcPr>
            <w:tcW w:w="8240" w:type="dxa"/>
            <w:vAlign w:val="bottom"/>
            <w:gridSpan w:val="4"/>
          </w:tcPr>
          <w:p>
            <w:pPr>
              <w:jc w:val="center"/>
              <w:ind w:left="2919"/>
              <w:spacing w:after="0"/>
              <w:rPr>
                <w:sz w:val="20"/>
                <w:szCs w:val="20"/>
                <w:color w:val="auto"/>
              </w:rPr>
            </w:pPr>
            <w:r>
              <w:rPr>
                <w:rFonts w:ascii="Arial" w:cs="Arial" w:eastAsia="Arial" w:hAnsi="Arial"/>
                <w:sz w:val="20"/>
                <w:szCs w:val="20"/>
                <w:b w:val="1"/>
                <w:bCs w:val="1"/>
                <w:color w:val="auto"/>
                <w:w w:val="99"/>
              </w:rPr>
              <w:t>SUBSIDIARIES OF IMAX CORPORATION</w:t>
            </w:r>
          </w:p>
        </w:tc>
        <w:tc>
          <w:tcPr>
            <w:tcW w:w="3020" w:type="dxa"/>
            <w:vAlign w:val="bottom"/>
          </w:tcPr>
          <w:p>
            <w:pPr>
              <w:spacing w:after="0"/>
              <w:rPr>
                <w:sz w:val="24"/>
                <w:szCs w:val="24"/>
                <w:color w:val="auto"/>
              </w:rPr>
            </w:pPr>
          </w:p>
        </w:tc>
      </w:tr>
      <w:tr>
        <w:trPr>
          <w:trHeight w:val="197"/>
        </w:trPr>
        <w:tc>
          <w:tcPr>
            <w:tcW w:w="4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r>
      <w:tr>
        <w:trPr>
          <w:trHeight w:val="181"/>
        </w:trPr>
        <w:tc>
          <w:tcPr>
            <w:tcW w:w="4460" w:type="dxa"/>
            <w:vAlign w:val="bottom"/>
            <w:tcBorders>
              <w:left w:val="single" w:sz="8" w:color="auto"/>
            </w:tcBorders>
          </w:tcPr>
          <w:p>
            <w:pPr>
              <w:ind w:left="20"/>
              <w:spacing w:after="0" w:line="181" w:lineRule="exact"/>
              <w:rPr>
                <w:sz w:val="20"/>
                <w:szCs w:val="20"/>
                <w:color w:val="auto"/>
              </w:rPr>
            </w:pPr>
            <w:r>
              <w:rPr>
                <w:rFonts w:ascii="Arial" w:cs="Arial" w:eastAsia="Arial" w:hAnsi="Arial"/>
                <w:sz w:val="16"/>
                <w:szCs w:val="16"/>
                <w:b w:val="1"/>
                <w:bCs w:val="1"/>
                <w:color w:val="auto"/>
              </w:rPr>
              <w:t>Company Name</w:t>
            </w:r>
          </w:p>
        </w:tc>
        <w:tc>
          <w:tcPr>
            <w:tcW w:w="38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Place of</w:t>
            </w:r>
          </w:p>
        </w:tc>
        <w:tc>
          <w:tcPr>
            <w:tcW w:w="1380" w:type="dxa"/>
            <w:vAlign w:val="bottom"/>
            <w:tcBorders>
              <w:right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Percentage</w:t>
            </w:r>
          </w:p>
        </w:tc>
        <w:tc>
          <w:tcPr>
            <w:tcW w:w="3020" w:type="dxa"/>
            <w:vAlign w:val="bottom"/>
          </w:tcPr>
          <w:p>
            <w:pPr>
              <w:spacing w:after="0"/>
              <w:rPr>
                <w:sz w:val="15"/>
                <w:szCs w:val="15"/>
                <w:color w:val="auto"/>
              </w:rPr>
            </w:pPr>
          </w:p>
        </w:tc>
      </w:tr>
      <w:tr>
        <w:trPr>
          <w:trHeight w:val="212"/>
        </w:trPr>
        <w:tc>
          <w:tcPr>
            <w:tcW w:w="446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Incorporation</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Held - Indirect</w:t>
            </w:r>
          </w:p>
        </w:tc>
        <w:tc>
          <w:tcPr>
            <w:tcW w:w="3020" w:type="dxa"/>
            <w:vAlign w:val="bottom"/>
          </w:tcPr>
          <w:p>
            <w:pPr>
              <w:spacing w:after="0"/>
              <w:rPr>
                <w:sz w:val="18"/>
                <w:szCs w:val="18"/>
                <w:color w:val="auto"/>
              </w:rPr>
            </w:pPr>
          </w:p>
        </w:tc>
      </w:tr>
      <w:tr>
        <w:trPr>
          <w:trHeight w:val="198"/>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3183 Films Ltd.</w:t>
            </w:r>
          </w:p>
        </w:tc>
        <w:tc>
          <w:tcPr>
            <w:tcW w:w="38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12582 Productions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1329507 Ontario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Ontario</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2328764 Ontario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Ontario</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4507592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6822967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7096267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7103077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7109857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7214316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7550391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7550405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7742266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7742274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9733248 Canada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Animal Orphans 3D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Ontario</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Arizona Big Frame Theatres,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Baseball Tour,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15.625</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ILW Productions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II U.S.A.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3D TV Ventures,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AI Limited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(Barbados) Holding,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Barbados</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Chicago Theatre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China Holding,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Cayman Islands</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China (Hong Kong), Limited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Hong Kong</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Documentary Films Capital,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36.03</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Fei Er Mu (Shanghai) Investment Management Co.,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34.92</w:t>
            </w:r>
          </w:p>
        </w:tc>
        <w:tc>
          <w:tcPr>
            <w:tcW w:w="3020" w:type="dxa"/>
            <w:vAlign w:val="bottom"/>
          </w:tcPr>
          <w:p>
            <w:pPr>
              <w:spacing w:after="0"/>
              <w:rPr>
                <w:sz w:val="16"/>
                <w:szCs w:val="16"/>
                <w:color w:val="auto"/>
              </w:rPr>
            </w:pPr>
          </w:p>
        </w:tc>
      </w:tr>
      <w:tr>
        <w:trPr>
          <w:trHeight w:val="185"/>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IMAX Fei Er Mu (Shanghai) Investment Partnership (Limited</w:t>
            </w:r>
          </w:p>
        </w:tc>
        <w:tc>
          <w:tcPr>
            <w:tcW w:w="3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39.11</w:t>
            </w:r>
          </w:p>
        </w:tc>
        <w:tc>
          <w:tcPr>
            <w:tcW w:w="3020" w:type="dxa"/>
            <w:vAlign w:val="bottom"/>
          </w:tcPr>
          <w:p>
            <w:pPr>
              <w:spacing w:after="0"/>
              <w:rPr>
                <w:sz w:val="16"/>
                <w:szCs w:val="16"/>
                <w:color w:val="auto"/>
              </w:rPr>
            </w:pPr>
          </w:p>
        </w:tc>
      </w:tr>
      <w:tr>
        <w:trPr>
          <w:trHeight w:val="208"/>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Partnership).</w:t>
            </w:r>
          </w:p>
        </w:tc>
        <w:tc>
          <w:tcPr>
            <w:tcW w:w="3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r>
      <w:tr>
        <w:trPr>
          <w:trHeight w:val="188"/>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4"/>
              </w:rPr>
              <w:t>IMAX Fei Er Mu YiKai (Shanghai) Equity Investment Management</w:t>
            </w:r>
          </w:p>
        </w:tc>
        <w:tc>
          <w:tcPr>
            <w:tcW w:w="3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35.56</w:t>
            </w:r>
          </w:p>
        </w:tc>
        <w:tc>
          <w:tcPr>
            <w:tcW w:w="3020" w:type="dxa"/>
            <w:vAlign w:val="bottom"/>
          </w:tcPr>
          <w:p>
            <w:pPr>
              <w:spacing w:after="0"/>
              <w:rPr>
                <w:sz w:val="16"/>
                <w:szCs w:val="16"/>
                <w:color w:val="auto"/>
              </w:rPr>
            </w:pPr>
          </w:p>
        </w:tc>
      </w:tr>
      <w:tr>
        <w:trPr>
          <w:trHeight w:val="208"/>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Partnership Enterprise (Limited Partnership)</w:t>
            </w:r>
          </w:p>
        </w:tc>
        <w:tc>
          <w:tcPr>
            <w:tcW w:w="3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r>
      <w:tr>
        <w:trPr>
          <w:trHeight w:val="198"/>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Film Holding Co.</w:t>
            </w:r>
          </w:p>
        </w:tc>
        <w:tc>
          <w:tcPr>
            <w:tcW w:w="38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7"/>
                <w:szCs w:val="17"/>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GWG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(Hong Kong) Holding, Limited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Hong Kong</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Indianapolis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Indiana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International Sales Corporation</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Investment Management, LLC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Japan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Minnesota Holding Co.</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Music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Ontario</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Post/DKP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Providence General Partner Co.</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Providence Limited Partner Co.</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PV Development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Rhode Island Limited Partnership</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Rhode Island</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(Rochester)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Scribe Inc.</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(Shanghai) Commerce and Trade Co.,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(Shanghai) Culture &amp; Technology Co.,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c>
          <w:tcPr>
            <w:tcW w:w="3020" w:type="dxa"/>
            <w:vAlign w:val="bottom"/>
          </w:tcPr>
          <w:p>
            <w:pPr>
              <w:spacing w:after="0"/>
              <w:rPr>
                <w:sz w:val="16"/>
                <w:szCs w:val="16"/>
                <w:color w:val="auto"/>
              </w:rPr>
            </w:pPr>
          </w:p>
        </w:tc>
      </w:tr>
      <w:tr>
        <w:trPr>
          <w:trHeight w:val="195"/>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IMAX (Shanghai) Digital Media Co., Ltd.</w:t>
            </w:r>
          </w:p>
        </w:tc>
        <w:tc>
          <w:tcPr>
            <w:tcW w:w="3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c>
          <w:tcPr>
            <w:tcW w:w="3020" w:type="dxa"/>
            <w:vAlign w:val="bottom"/>
          </w:tcPr>
          <w:p>
            <w:pPr>
              <w:spacing w:after="0"/>
              <w:rPr>
                <w:sz w:val="16"/>
                <w:szCs w:val="16"/>
                <w:color w:val="auto"/>
              </w:rPr>
            </w:pPr>
          </w:p>
        </w:tc>
      </w:tr>
      <w:tr>
        <w:trPr>
          <w:trHeight w:val="108"/>
        </w:trPr>
        <w:tc>
          <w:tcPr>
            <w:tcW w:w="4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201"/>
        </w:trPr>
        <w:tc>
          <w:tcPr>
            <w:tcW w:w="4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Company Name</w:t>
            </w:r>
          </w:p>
        </w:tc>
        <w:tc>
          <w:tcPr>
            <w:tcW w:w="20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Place of</w:t>
            </w: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Percentage</w:t>
            </w:r>
          </w:p>
        </w:tc>
      </w:tr>
      <w:tr>
        <w:trPr>
          <w:trHeight w:val="212"/>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Incorporation</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Held - Indirect</w:t>
            </w:r>
          </w:p>
        </w:tc>
      </w:tr>
      <w:tr>
        <w:trPr>
          <w:trHeight w:val="19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(Shanghai) Multimedia Technology Co.,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(Shanghai) Theatre Technology Services Co.,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71.11</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Space Productions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Spaceworks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 (California I) Co.</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 (California II) Co.</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 Co.</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Holdings (OEI), Inc.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 (Nyack I) Co.</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Holding (Nyack II) Co.</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 Services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Ontario</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Theatres International Limited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Ireland</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(Titanic) Inc. (50 % owned by 3183 Films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U.S.A. Inc.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VR,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 Virtual Reality Content Fund,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33.37</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IMAXSHIFT,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88</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Line Drive Films Inc.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Madagascar Doc 3D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Night Fog Productions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Nyack Theatre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New York</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Plymouth 135-139,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88</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Raining Arrows Productions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Ridefilm Corporation</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Ruth Quentin Films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Sacramento Theatre LLC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Sonics Associates, Inc.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Alabama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Starboard Theatres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Strategic Sponsorship Corporation</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85"/>
        </w:trPr>
        <w:tc>
          <w:tcPr>
            <w:tcW w:w="4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Suzhou IMAX Fei Er Mu Project Investment Partnership Enterprise</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53.34</w:t>
            </w:r>
          </w:p>
        </w:tc>
      </w:tr>
      <w:tr>
        <w:trPr>
          <w:trHeight w:val="20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(Limited Partnership)</w:t>
            </w:r>
          </w:p>
        </w:tc>
        <w:tc>
          <w:tcPr>
            <w:tcW w:w="20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198"/>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Taurus-Littrow Productions Inc.</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TCL-IMAX Entertainment Co., Limited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Hong Kong</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TCL-IMAX (Shanghai) Digital Technology Co.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People’s Republic of China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50</w:t>
            </w:r>
          </w:p>
        </w:tc>
      </w:tr>
      <w:tr>
        <w:trPr>
          <w:trHeight w:val="195"/>
        </w:trPr>
        <w:tc>
          <w:tcPr>
            <w:tcW w:w="4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Walking Bones Pictures Ltd.</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0139"/>
          </w:cols>
          <w:pgMar w:left="320" w:top="120"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1"/>
          <w:szCs w:val="21"/>
          <w:b w:val="1"/>
          <w:bCs w:val="1"/>
          <w:color w:val="auto"/>
        </w:rPr>
        <w:t>IMAX CORPORATION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23.1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333-189274; No. 333-211888; No. 333-238934) of IMAX Corporation of our report dated February 23, 2022 relating to the consolidated financial statements and the effectiveness of internal control over financial reporting, which appears in this Form 10-K.</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/s/PricewaterhouseCoopers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 Licensed Public Accountants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1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IMAX CORPORATION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24.1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79" w:lineRule="exact"/>
        <w:rPr>
          <w:sz w:val="20"/>
          <w:szCs w:val="20"/>
          <w:color w:val="auto"/>
        </w:rPr>
      </w:pPr>
    </w:p>
    <w:p>
      <w:pPr>
        <w:jc w:val="both"/>
        <w:ind w:firstLine="231"/>
        <w:spacing w:after="0" w:line="255" w:lineRule="auto"/>
        <w:rPr>
          <w:sz w:val="20"/>
          <w:szCs w:val="20"/>
          <w:color w:val="auto"/>
        </w:rPr>
      </w:pPr>
      <w:r>
        <w:rPr>
          <w:rFonts w:ascii="Arial" w:cs="Arial" w:eastAsia="Arial" w:hAnsi="Arial"/>
          <w:sz w:val="19"/>
          <w:szCs w:val="19"/>
          <w:color w:val="auto"/>
        </w:rPr>
        <w:t>Each of the persons whose signature appears below hereby constitutes and appoints Joseph Sparacio and Robert D. Lister,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Dated this 23rd day of February, 2022.</w:t>
      </w:r>
    </w:p>
    <w:p>
      <w:pPr>
        <w:spacing w:after="0" w:line="261" w:lineRule="exact"/>
        <w:rPr>
          <w:sz w:val="20"/>
          <w:szCs w:val="20"/>
          <w:color w:val="auto"/>
        </w:rPr>
      </w:pPr>
    </w:p>
    <w:tbl>
      <w:tblPr>
        <w:tblLayout w:type="fixed"/>
        <w:tblInd w:w="520" w:type="dxa"/>
        <w:tblCellMar>
          <w:top w:w="0" w:type="dxa"/>
          <w:left w:w="0" w:type="dxa"/>
          <w:bottom w:w="0" w:type="dxa"/>
          <w:right w:w="0" w:type="dxa"/>
        </w:tblCellMar>
      </w:tblPr>
      <w:tr>
        <w:trPr>
          <w:trHeight w:val="23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Signature</w:t>
            </w:r>
          </w:p>
        </w:tc>
        <w:tc>
          <w:tcPr>
            <w:tcW w:w="640" w:type="dxa"/>
            <w:vAlign w:val="bottom"/>
          </w:tcPr>
          <w:p>
            <w:pPr>
              <w:spacing w:after="0"/>
              <w:rPr>
                <w:sz w:val="20"/>
                <w:szCs w:val="20"/>
                <w:color w:val="auto"/>
              </w:rPr>
            </w:pPr>
          </w:p>
        </w:tc>
        <w:tc>
          <w:tcPr>
            <w:tcW w:w="3200" w:type="dxa"/>
            <w:vAlign w:val="bottom"/>
            <w:tcBorders>
              <w:bottom w:val="single" w:sz="8" w:color="auto"/>
            </w:tcBorders>
          </w:tcPr>
          <w:p>
            <w:pPr>
              <w:ind w:left="1420"/>
              <w:spacing w:after="0"/>
              <w:rPr>
                <w:sz w:val="20"/>
                <w:szCs w:val="20"/>
                <w:color w:val="auto"/>
              </w:rPr>
            </w:pPr>
            <w:r>
              <w:rPr>
                <w:rFonts w:ascii="Arial" w:cs="Arial" w:eastAsia="Arial" w:hAnsi="Arial"/>
                <w:sz w:val="19"/>
                <w:szCs w:val="19"/>
                <w:color w:val="auto"/>
              </w:rPr>
              <w:t>Title</w:t>
            </w:r>
          </w:p>
        </w:tc>
      </w:tr>
      <w:tr>
        <w:trPr>
          <w:trHeight w:val="47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Darren D. Troop</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Chairman of the Board &amp; 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1"/>
              </w:rPr>
              <w:t>Darren D. Troop</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Richard Gelfond</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Chief Executive Officer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1"/>
              </w:rPr>
              <w:t>Richard Gelfond</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(Principal Executive Officer)</w:t>
            </w: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Eric Demirian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4"/>
              </w:rPr>
              <w:t>Eric Demirian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Kevin Douglas</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1"/>
              </w:rPr>
              <w:t>Kevin Douglas</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David Leebron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0"/>
              </w:rPr>
              <w:t>David Leebron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/s/ Michael MacMillan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5"/>
              </w:rPr>
              <w:t>Michael MacMillan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/s/ Steve Pamon</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85"/>
              </w:rPr>
              <w:t>Steve Pamon</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/s/ Dana Settle</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Director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88"/>
              </w:rPr>
              <w:t>Dana Settle</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6"/>
              </w:rPr>
              <w:t>/s/ Joseph Sparacio</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Interim Chief Financial Officer</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87"/>
              </w:rPr>
              <w:t>Joseph Sparacio</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(Principal Financial Officer)</w:t>
            </w:r>
          </w:p>
        </w:tc>
      </w:tr>
      <w:tr>
        <w:trPr>
          <w:trHeight w:val="48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/s/ Kevin M. Delaney</w:t>
            </w:r>
          </w:p>
        </w:tc>
        <w:tc>
          <w:tcPr>
            <w:tcW w:w="6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Senior Vice President, Finance</w:t>
            </w:r>
          </w:p>
        </w:tc>
      </w:tr>
      <w:tr>
        <w:trPr>
          <w:trHeight w:val="237"/>
        </w:trPr>
        <w:tc>
          <w:tcPr>
            <w:tcW w:w="4260" w:type="dxa"/>
            <w:vAlign w:val="bottom"/>
          </w:tcPr>
          <w:p>
            <w:pPr>
              <w:jc w:val="center"/>
              <w:spacing w:after="0"/>
              <w:rPr>
                <w:sz w:val="20"/>
                <w:szCs w:val="20"/>
                <w:color w:val="auto"/>
              </w:rPr>
            </w:pPr>
            <w:r>
              <w:rPr>
                <w:rFonts w:ascii="Arial" w:cs="Arial" w:eastAsia="Arial" w:hAnsi="Arial"/>
                <w:sz w:val="19"/>
                <w:szCs w:val="19"/>
                <w:i w:val="1"/>
                <w:iCs w:val="1"/>
                <w:color w:val="auto"/>
                <w:w w:val="91"/>
              </w:rPr>
              <w:t>Kevin M. Delaney</w:t>
            </w:r>
          </w:p>
        </w:tc>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9"/>
                <w:szCs w:val="19"/>
                <w:color w:val="auto"/>
              </w:rPr>
              <w:t>(Principal Accounting Officer)</w:t>
            </w:r>
          </w:p>
        </w:tc>
      </w:tr>
    </w:tbl>
    <w:p>
      <w:pPr>
        <w:sectPr>
          <w:pgSz w:w="11900" w:h="16838" w:orient="portrait"/>
          <w:cols w:equalWidth="0" w:num="1">
            <w:col w:w="11240"/>
          </w:cols>
          <w:pgMar w:left="320" w:top="118"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1"/>
          <w:szCs w:val="21"/>
          <w:b w:val="1"/>
          <w:bCs w:val="1"/>
          <w:color w:val="auto"/>
        </w:rPr>
        <w:t>IMAX CORPORATION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2" w:lineRule="exact"/>
        <w:rPr>
          <w:sz w:val="20"/>
          <w:szCs w:val="20"/>
          <w:color w:val="auto"/>
        </w:rPr>
      </w:pPr>
    </w:p>
    <w:p>
      <w:pPr>
        <w:ind w:left="500" w:hanging="493"/>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the registrant, IMAX Corporation;</w:t>
      </w:r>
    </w:p>
    <w:p>
      <w:pPr>
        <w:spacing w:after="0" w:line="222" w:lineRule="exact"/>
        <w:rPr>
          <w:rFonts w:ascii="Arial" w:cs="Arial" w:eastAsia="Arial" w:hAnsi="Arial"/>
          <w:sz w:val="18"/>
          <w:szCs w:val="18"/>
          <w:color w:val="auto"/>
        </w:rPr>
      </w:pPr>
    </w:p>
    <w:p>
      <w:pPr>
        <w:jc w:val="both"/>
        <w:ind w:left="500" w:hanging="493"/>
        <w:spacing w:after="0" w:line="261"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3"/>
        <w:spacing w:after="0" w:line="305"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00" w:hanging="493"/>
        <w:spacing w:after="0" w:line="261"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60" w:hanging="427"/>
        <w:spacing w:after="0" w:line="261" w:lineRule="auto"/>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60" w:hanging="427"/>
        <w:spacing w:after="0" w:line="261" w:lineRule="auto"/>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hanging="427"/>
        <w:spacing w:after="0" w:line="339" w:lineRule="auto"/>
        <w:tabs>
          <w:tab w:leader="none" w:pos="13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60" w:hanging="427"/>
        <w:spacing w:after="0" w:line="261" w:lineRule="auto"/>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3"/>
        <w:spacing w:after="0" w:line="305"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360" w:hanging="427"/>
        <w:spacing w:after="0" w:line="305" w:lineRule="auto"/>
        <w:tabs>
          <w:tab w:leader="none" w:pos="13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60" w:right="20" w:hanging="427"/>
        <w:spacing w:after="0" w:line="274" w:lineRule="auto"/>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23, 2022</w:t>
            </w:r>
          </w:p>
        </w:tc>
        <w:tc>
          <w:tcPr>
            <w:tcW w:w="3360" w:type="dxa"/>
            <w:vAlign w:val="bottom"/>
          </w:tcPr>
          <w:p>
            <w:pPr>
              <w:ind w:left="246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Arial" w:cs="Arial" w:eastAsia="Arial" w:hAnsi="Arial"/>
                <w:sz w:val="18"/>
                <w:szCs w:val="18"/>
                <w:color w:val="auto"/>
              </w:rPr>
              <w:t>Richard L. Gelfond</w:t>
            </w:r>
          </w:p>
        </w:tc>
      </w:tr>
      <w:tr>
        <w:trPr>
          <w:trHeight w:val="229"/>
        </w:trPr>
        <w:tc>
          <w:tcPr>
            <w:tcW w:w="8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1"/>
          <w:szCs w:val="21"/>
          <w:b w:val="1"/>
          <w:bCs w:val="1"/>
          <w:color w:val="auto"/>
        </w:rPr>
        <w:t>IMAX CORPORATION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Joseph Sparacio, certify that:</w:t>
      </w:r>
    </w:p>
    <w:p>
      <w:pPr>
        <w:spacing w:after="0" w:line="222" w:lineRule="exact"/>
        <w:rPr>
          <w:sz w:val="20"/>
          <w:szCs w:val="20"/>
          <w:color w:val="auto"/>
        </w:rPr>
      </w:pPr>
    </w:p>
    <w:p>
      <w:pPr>
        <w:ind w:left="500" w:hanging="493"/>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the registrant, IMAX Corporation;</w:t>
      </w:r>
    </w:p>
    <w:p>
      <w:pPr>
        <w:spacing w:after="0" w:line="222" w:lineRule="exact"/>
        <w:rPr>
          <w:rFonts w:ascii="Arial" w:cs="Arial" w:eastAsia="Arial" w:hAnsi="Arial"/>
          <w:sz w:val="18"/>
          <w:szCs w:val="18"/>
          <w:color w:val="auto"/>
        </w:rPr>
      </w:pPr>
    </w:p>
    <w:p>
      <w:pPr>
        <w:jc w:val="both"/>
        <w:ind w:left="500" w:hanging="493"/>
        <w:spacing w:after="0" w:line="261"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3"/>
        <w:spacing w:after="0" w:line="305"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00" w:hanging="493"/>
        <w:spacing w:after="0" w:line="261"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60" w:hanging="427"/>
        <w:spacing w:after="0" w:line="261" w:lineRule="auto"/>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60" w:hanging="427"/>
        <w:spacing w:after="0" w:line="261" w:lineRule="auto"/>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hanging="427"/>
        <w:spacing w:after="0" w:line="339" w:lineRule="auto"/>
        <w:tabs>
          <w:tab w:leader="none" w:pos="13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60" w:hanging="427"/>
        <w:spacing w:after="0" w:line="261" w:lineRule="auto"/>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3"/>
        <w:spacing w:after="0" w:line="305"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360" w:hanging="427"/>
        <w:spacing w:after="0" w:line="305" w:lineRule="auto"/>
        <w:tabs>
          <w:tab w:leader="none" w:pos="13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60" w:right="20" w:hanging="427"/>
        <w:spacing w:after="0" w:line="274" w:lineRule="auto"/>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23, 2022</w:t>
            </w:r>
          </w:p>
        </w:tc>
        <w:tc>
          <w:tcPr>
            <w:tcW w:w="3360" w:type="dxa"/>
            <w:vAlign w:val="bottom"/>
          </w:tcPr>
          <w:p>
            <w:pPr>
              <w:ind w:left="246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Sparacio</w:t>
            </w:r>
          </w:p>
        </w:tc>
      </w:tr>
      <w:tr>
        <w:trPr>
          <w:trHeight w:val="194"/>
        </w:trPr>
        <w:tc>
          <w:tcPr>
            <w:tcW w:w="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Arial" w:cs="Arial" w:eastAsia="Arial" w:hAnsi="Arial"/>
                <w:sz w:val="18"/>
                <w:szCs w:val="18"/>
                <w:color w:val="auto"/>
              </w:rPr>
              <w:t>Joseph Sparacio</w:t>
            </w:r>
          </w:p>
        </w:tc>
      </w:tr>
      <w:tr>
        <w:trPr>
          <w:trHeight w:val="229"/>
        </w:trPr>
        <w:tc>
          <w:tcPr>
            <w:tcW w:w="8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2"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1"/>
          <w:szCs w:val="21"/>
          <w:b w:val="1"/>
          <w:bCs w:val="1"/>
          <w:color w:val="auto"/>
        </w:rPr>
        <w:t>IMAX CORPORATION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159" w:lineRule="exact"/>
        <w:rPr>
          <w:sz w:val="20"/>
          <w:szCs w:val="20"/>
          <w:color w:val="auto"/>
        </w:rPr>
      </w:pPr>
    </w:p>
    <w:p>
      <w:pPr>
        <w:jc w:val="both"/>
        <w:ind w:firstLine="624"/>
        <w:spacing w:after="0" w:line="339"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spacing w:after="0" w:line="84" w:lineRule="exact"/>
        <w:rPr>
          <w:sz w:val="20"/>
          <w:szCs w:val="20"/>
          <w:color w:val="auto"/>
        </w:rPr>
      </w:pPr>
    </w:p>
    <w:p>
      <w:pPr>
        <w:jc w:val="both"/>
        <w:ind w:firstLine="624"/>
        <w:spacing w:after="0" w:line="261"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February 23, 2022</w:t>
            </w:r>
          </w:p>
        </w:tc>
        <w:tc>
          <w:tcPr>
            <w:tcW w:w="50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40" w:type="dxa"/>
            <w:vAlign w:val="bottom"/>
          </w:tcPr>
          <w:p>
            <w:pPr>
              <w:spacing w:after="0" w:line="194" w:lineRule="exact"/>
              <w:rPr>
                <w:sz w:val="20"/>
                <w:szCs w:val="20"/>
                <w:color w:val="auto"/>
              </w:rPr>
            </w:pPr>
            <w:r>
              <w:rPr>
                <w:rFonts w:ascii="Arial" w:cs="Arial" w:eastAsia="Arial" w:hAnsi="Arial"/>
                <w:sz w:val="18"/>
                <w:szCs w:val="18"/>
                <w:color w:val="auto"/>
              </w:rPr>
              <w:t>Richard L. Gelfond</w:t>
            </w:r>
          </w:p>
        </w:tc>
      </w:tr>
      <w:tr>
        <w:trPr>
          <w:trHeight w:val="229"/>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2"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1"/>
          <w:szCs w:val="21"/>
          <w:b w:val="1"/>
          <w:bCs w:val="1"/>
          <w:color w:val="auto"/>
        </w:rPr>
        <w:t>IMAX CORPORATION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159" w:lineRule="exact"/>
        <w:rPr>
          <w:sz w:val="20"/>
          <w:szCs w:val="20"/>
          <w:color w:val="auto"/>
        </w:rPr>
      </w:pPr>
    </w:p>
    <w:p>
      <w:pPr>
        <w:jc w:val="both"/>
        <w:ind w:firstLine="624"/>
        <w:spacing w:after="0" w:line="339"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Joseph Sparacio, Interim Chief Financial Officer of IMAX Corporation, a Canadian corporation (the “Company”), hereby certify, to my knowledge, that:</w:t>
      </w:r>
    </w:p>
    <w:p>
      <w:pPr>
        <w:spacing w:after="0" w:line="84" w:lineRule="exact"/>
        <w:rPr>
          <w:sz w:val="20"/>
          <w:szCs w:val="20"/>
          <w:color w:val="auto"/>
        </w:rPr>
      </w:pPr>
    </w:p>
    <w:p>
      <w:pPr>
        <w:jc w:val="both"/>
        <w:ind w:firstLine="624"/>
        <w:spacing w:after="0" w:line="261"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660" w:type="dxa"/>
            <w:vAlign w:val="bottom"/>
            <w:gridSpan w:val="3"/>
          </w:tcPr>
          <w:p>
            <w:pPr>
              <w:ind w:left="160"/>
              <w:spacing w:after="0"/>
              <w:rPr>
                <w:sz w:val="20"/>
                <w:szCs w:val="20"/>
                <w:color w:val="auto"/>
              </w:rPr>
            </w:pPr>
            <w:r>
              <w:rPr>
                <w:rFonts w:ascii="Arial" w:cs="Arial" w:eastAsia="Arial" w:hAnsi="Arial"/>
                <w:sz w:val="18"/>
                <w:szCs w:val="18"/>
                <w:color w:val="auto"/>
              </w:rPr>
              <w:t>February 23, 2022</w:t>
            </w:r>
          </w:p>
        </w:tc>
        <w:tc>
          <w:tcPr>
            <w:tcW w:w="5040" w:type="dxa"/>
            <w:vAlign w:val="bottom"/>
          </w:tcPr>
          <w:p>
            <w:pPr>
              <w:spacing w:after="0"/>
              <w:rPr>
                <w:sz w:val="20"/>
                <w:szCs w:val="20"/>
                <w:color w:val="auto"/>
              </w:rPr>
            </w:pPr>
            <w:r>
              <w:rPr>
                <w:rFonts w:ascii="Arial" w:cs="Arial" w:eastAsia="Arial" w:hAnsi="Arial"/>
                <w:sz w:val="18"/>
                <w:szCs w:val="18"/>
                <w:color w:val="auto"/>
              </w:rPr>
              <w:t>/s/ Joseph Sparacio</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040" w:type="dxa"/>
            <w:vAlign w:val="bottom"/>
          </w:tcPr>
          <w:p>
            <w:pPr>
              <w:spacing w:after="0" w:line="194" w:lineRule="exact"/>
              <w:rPr>
                <w:sz w:val="20"/>
                <w:szCs w:val="20"/>
                <w:color w:val="auto"/>
              </w:rPr>
            </w:pPr>
            <w:r>
              <w:rPr>
                <w:rFonts w:ascii="Arial" w:cs="Arial" w:eastAsia="Arial" w:hAnsi="Arial"/>
                <w:sz w:val="18"/>
                <w:szCs w:val="18"/>
                <w:color w:val="auto"/>
              </w:rPr>
              <w:t>Joseph Sparacio</w:t>
            </w:r>
          </w:p>
        </w:tc>
      </w:tr>
      <w:tr>
        <w:trPr>
          <w:trHeight w:val="229"/>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o"/>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lowerRoman"/>
      <w:start w:val="2"/>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endash "/>
      <w:numFmt w:val="bullet"/>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lowerLetter"/>
      <w:start w:val="6"/>
    </w:lvl>
  </w:abstractNum>
  <w:abstractNum w:abstractNumId="39">
    <w:nsid w:val="1F48EAA1"/>
    <w:multiLevelType w:val="hybridMultilevel"/>
    <w:lvl w:ilvl="0">
      <w:lvlJc w:val="left"/>
      <w:lvlText w:val="(%1)"/>
      <w:numFmt w:val="lowerRoman"/>
      <w:start w:val="1"/>
    </w:lvl>
  </w:abstractNum>
  <w:abstractNum w:abstractNumId="40">
    <w:nsid w:val="1381823A"/>
    <w:multiLevelType w:val="hybridMultilevel"/>
    <w:lvl w:ilvl="0">
      <w:lvlJc w:val="left"/>
      <w:lvlText w:val="(%1)"/>
      <w:numFmt w:val="lowerLetter"/>
      <w:start w:val="10"/>
    </w:lvl>
  </w:abstractNum>
  <w:abstractNum w:abstractNumId="41">
    <w:nsid w:val="5DB70AE5"/>
    <w:multiLevelType w:val="hybridMultilevel"/>
    <w:lvl w:ilvl="0">
      <w:lvlJc w:val="left"/>
      <w:lvlText w:val="(%1)"/>
      <w:numFmt w:val="lowerLetter"/>
      <w:start w:val="12"/>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lowerLetter"/>
      <w:start w:val="35"/>
    </w:lvl>
  </w:abstractNum>
  <w:abstractNum w:abstractNumId="44">
    <w:nsid w:val="15014ACB"/>
    <w:multiLevelType w:val="hybridMultilevel"/>
    <w:lvl w:ilvl="0">
      <w:lvlJc w:val="left"/>
      <w:lvlText w:val="(%1)"/>
      <w:numFmt w:val="lowerLetter"/>
      <w:start w:val="2"/>
    </w:lvl>
  </w:abstractNum>
  <w:abstractNum w:abstractNumId="45">
    <w:nsid w:val="5F5E7FD0"/>
    <w:multiLevelType w:val="hybridMultilevel"/>
    <w:lvl w:ilvl="0">
      <w:lvlJc w:val="left"/>
      <w:lvlText w:val="\endash "/>
      <w:numFmt w:val="bullet"/>
      <w:start w:val="1"/>
    </w:lvl>
  </w:abstractNum>
  <w:abstractNum w:abstractNumId="46">
    <w:nsid w:val="98A3148"/>
    <w:multiLevelType w:val="hybridMultilevel"/>
    <w:lvl w:ilvl="0">
      <w:lvlJc w:val="left"/>
      <w:lvlText w:val="\endash "/>
      <w:numFmt w:val="bullet"/>
      <w:start w:val="1"/>
    </w:lvl>
  </w:abstractNum>
  <w:abstractNum w:abstractNumId="47">
    <w:nsid w:val="799D0247"/>
    <w:multiLevelType w:val="hybridMultilevel"/>
    <w:lvl w:ilvl="0">
      <w:lvlJc w:val="left"/>
      <w:lvlText w:val="(%1)"/>
      <w:numFmt w:val="lowerLetter"/>
      <w:start w:val="20"/>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lvl w:ilvl="1">
      <w:lvlJc w:val="left"/>
      <w:lvlText w:val="(%2)"/>
      <w:numFmt w:val="lowerLetter"/>
      <w:start w:val="3"/>
    </w:lvl>
  </w:abstractNum>
  <w:abstractNum w:abstractNumId="54">
    <w:nsid w:val="540A471C"/>
    <w:multiLevelType w:val="hybridMultilevel"/>
    <w:lvl w:ilvl="0">
      <w:lvlJc w:val="left"/>
      <w:lvlText w:val="(%1)"/>
      <w:numFmt w:val="lowerLetter"/>
      <w:start w:val="6"/>
    </w:lvl>
  </w:abstractNum>
  <w:abstractNum w:abstractNumId="55">
    <w:nsid w:val="7BD3EE7B"/>
    <w:multiLevelType w:val="hybridMultilevel"/>
    <w:lvl w:ilvl="0">
      <w:lvlJc w:val="left"/>
      <w:lvlText w:val="(%1)"/>
      <w:numFmt w:val="lowerRoman"/>
      <w:start w:val="1"/>
    </w:lvl>
  </w:abstractNum>
  <w:abstractNum w:abstractNumId="56">
    <w:nsid w:val="51D9C564"/>
    <w:multiLevelType w:val="hybridMultilevel"/>
    <w:lvl w:ilvl="0">
      <w:lvlJc w:val="left"/>
      <w:lvlText w:val="%1."/>
      <w:numFmt w:val="decimal"/>
      <w:start w:val="14"/>
    </w:lvl>
    <w:lvl w:ilvl="1">
      <w:lvlJc w:val="left"/>
      <w:lvlText w:val="(%2)"/>
      <w:numFmt w:val="lowerLetter"/>
      <w:start w:val="1"/>
    </w:lvl>
  </w:abstractNum>
  <w:abstractNum w:abstractNumId="57">
    <w:nsid w:val="613EFDC5"/>
    <w:multiLevelType w:val="hybridMultilevel"/>
    <w:lvl w:ilvl="0">
      <w:lvlJc w:val="left"/>
      <w:lvlText w:val="(%1)"/>
      <w:numFmt w:val="lowerRoman"/>
      <w:start w:val="2"/>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2"/>
    </w:lvl>
  </w:abstractNum>
  <w:abstractNum w:abstractNumId="62">
    <w:nsid w:val="8F2B15E"/>
    <w:multiLevelType w:val="hybridMultilevel"/>
    <w:lvl w:ilvl="0">
      <w:lvlJc w:val="left"/>
      <w:lvlText w:val="(%1)"/>
      <w:numFmt w:val="lowerLetter"/>
      <w:start w:val="3"/>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lowerLetter"/>
      <w:start w:val="4"/>
    </w:lvl>
  </w:abstractNum>
  <w:abstractNum w:abstractNumId="65">
    <w:nsid w:val="68EB2F63"/>
    <w:multiLevelType w:val="hybridMultilevel"/>
    <w:lvl w:ilvl="0">
      <w:lvlJc w:val="left"/>
      <w:lvlText w:val="(%1)"/>
      <w:numFmt w:val="lowerLetter"/>
      <w:start w:val="5"/>
    </w:lvl>
  </w:abstractNum>
  <w:abstractNum w:abstractNumId="66">
    <w:nsid w:val="4962813B"/>
    <w:multiLevelType w:val="hybridMultilevel"/>
    <w:lvl w:ilvl="0">
      <w:lvlJc w:val="left"/>
      <w:lvlText w:val="%1."/>
      <w:numFmt w:val="decimal"/>
      <w:start w:val="18"/>
    </w:lvl>
    <w:lvl w:ilvl="1">
      <w:lvlJc w:val="left"/>
      <w:lvlText w:val="(%2)"/>
      <w:numFmt w:val="lowerLetter"/>
      <w:start w:val="1"/>
    </w:lvl>
  </w:abstractNum>
  <w:abstractNum w:abstractNumId="67">
    <w:nsid w:val="60B6DF70"/>
    <w:multiLevelType w:val="hybridMultilevel"/>
    <w:lvl w:ilvl="0">
      <w:lvlJc w:val="left"/>
      <w:lvlText w:val="(%1)"/>
      <w:numFmt w:val="decimal"/>
      <w:start w:val="1"/>
    </w:lvl>
    <w:lvl w:ilvl="1">
      <w:lvlJc w:val="left"/>
      <w:lvlText w:val="(%2)"/>
      <w:numFmt w:val="lowerLetter"/>
      <w:start w:val="2"/>
    </w:lvl>
  </w:abstractNum>
  <w:abstractNum w:abstractNumId="68">
    <w:nsid w:val="6A5EE64"/>
    <w:multiLevelType w:val="hybridMultilevel"/>
    <w:lvl w:ilvl="0">
      <w:lvlJc w:val="left"/>
      <w:lvlText w:val="%1."/>
      <w:numFmt w:val="decimal"/>
      <w:start w:val="19"/>
    </w:lvl>
    <w:lvl w:ilvl="1">
      <w:lvlJc w:val="left"/>
      <w:lvlText w:val="(%2)"/>
      <w:numFmt w:val="lowerLetter"/>
      <w:start w:val="1"/>
    </w:lvl>
  </w:abstractNum>
  <w:abstractNum w:abstractNumId="69">
    <w:nsid w:val="14330624"/>
    <w:multiLevelType w:val="hybridMultilevel"/>
    <w:lvl w:ilvl="0">
      <w:lvlJc w:val="left"/>
      <w:lvlText w:val="(%1)"/>
      <w:numFmt w:val="decimal"/>
      <w:start w:val="1"/>
    </w:lvl>
    <w:lvl w:ilvl="1">
      <w:lvlJc w:val="left"/>
      <w:lvlText w:val="(%2)"/>
      <w:numFmt w:val="lowerLetter"/>
      <w:start w:val="3"/>
    </w:lvl>
  </w:abstractNum>
  <w:abstractNum w:abstractNumId="70">
    <w:nsid w:val="7FFFCA11"/>
    <w:multiLevelType w:val="hybridMultilevel"/>
    <w:lvl w:ilvl="0">
      <w:lvlJc w:val="left"/>
      <w:lvlText w:val="(%1)"/>
      <w:numFmt w:val="decimal"/>
      <w:start w:val="1"/>
    </w:lvl>
    <w:lvl w:ilvl="1">
      <w:lvlJc w:val="left"/>
      <w:lvlText w:val="(%2)"/>
      <w:numFmt w:val="lowerLetter"/>
      <w:start w:val="4"/>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decimal"/>
      <w:start w:val="1"/>
    </w:lvl>
    <w:lvl w:ilvl="1">
      <w:lvlJc w:val="left"/>
      <w:lvlText w:val="(%2)"/>
      <w:numFmt w:val="lowerLetter"/>
      <w:start w:val="2"/>
    </w:lvl>
  </w:abstractNum>
  <w:abstractNum w:abstractNumId="74">
    <w:nsid w:val="7FB7E0AA"/>
    <w:multiLevelType w:val="hybridMultilevel"/>
    <w:lvl w:ilvl="0">
      <w:lvlJc w:val="left"/>
      <w:lvlText w:val="(%1)"/>
      <w:numFmt w:val="lowerRoman"/>
      <w:start w:val="1"/>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lowerLetter"/>
      <w:start w:val="2"/>
    </w:lvl>
  </w:abstractNum>
  <w:abstractNum w:abstractNumId="77">
    <w:nsid w:val="94211F2"/>
    <w:multiLevelType w:val="hybridMultilevel"/>
    <w:lvl w:ilvl="0">
      <w:lvlJc w:val="left"/>
      <w:lvlText w:val="%1."/>
      <w:numFmt w:val="decimal"/>
      <w:start w:val="22"/>
    </w:lvl>
    <w:lvl w:ilvl="1">
      <w:lvlJc w:val="left"/>
      <w:lvlText w:val="(%2)"/>
      <w:numFmt w:val="lowerLetter"/>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23"/>
    </w:lvl>
    <w:lvl w:ilvl="1">
      <w:lvlJc w:val="left"/>
      <w:lvlText w:val="(%2)"/>
      <w:numFmt w:val="lowerLetter"/>
      <w:start w:val="1"/>
    </w:lvl>
  </w:abstractNum>
  <w:abstractNum w:abstractNumId="80">
    <w:nsid w:val="4C04A8AF"/>
    <w:multiLevelType w:val="hybridMultilevel"/>
    <w:lvl w:ilvl="0">
      <w:lvlJc w:val="left"/>
      <w:lvlText w:val="%1."/>
      <w:numFmt w:val="decimal"/>
      <w:start w:val="24"/>
    </w:lvl>
    <w:lvl w:ilvl="1">
      <w:lvlJc w:val="left"/>
      <w:lvlText w:val="(%2)"/>
      <w:numFmt w:val="lowerLetter"/>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lowerLetter"/>
      <w:start w:val="1"/>
    </w:lvl>
    <w:lvl w:ilvl="1">
      <w:lvlJc w:val="left"/>
      <w:lvlText w:val="(%2)"/>
      <w:numFmt w:val="lowerLetter"/>
      <w:start w:val="9"/>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1)"/>
      <w:numFmt w:val="lowerRoman"/>
      <w:start w:val="3"/>
    </w:lvl>
  </w:abstractNum>
  <w:abstractNum w:abstractNumId="87">
    <w:nsid w:val="46B7D447"/>
    <w:multiLevelType w:val="hybridMultilevel"/>
    <w:lvl w:ilvl="0">
      <w:lvlJc w:val="left"/>
      <w:lvlText w:val="(%1)"/>
      <w:numFmt w:val="lowerRoman"/>
      <w:start w:val="1"/>
    </w:lvl>
  </w:abstractNum>
  <w:abstractNum w:abstractNumId="88">
    <w:nsid w:val="4A2AC315"/>
    <w:multiLevelType w:val="hybridMultilevel"/>
    <w:lvl w:ilvl="0">
      <w:lvlJc w:val="left"/>
      <w:lvlText w:val="(%1)"/>
      <w:numFmt w:val="lowerRoman"/>
      <w:start w:val="4"/>
    </w:lvl>
  </w:abstractNum>
  <w:abstractNum w:abstractNumId="89">
    <w:nsid w:val="39EE015C"/>
    <w:multiLevelType w:val="hybridMultilevel"/>
    <w:lvl w:ilvl="0">
      <w:lvlJc w:val="left"/>
      <w:lvlText w:val="(%1)"/>
      <w:numFmt w:val="lowerLetter"/>
      <w:start w:val="2"/>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lowerLetter"/>
      <w:start w:val="3"/>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24" Type="http://schemas.openxmlformats.org/officeDocument/2006/relationships/image" Target="media/image182.png"/><Relationship Id="rId243"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jpeg"/><Relationship Id="rId250" Type="http://schemas.openxmlformats.org/officeDocument/2006/relationships/image" Target="media/image187.png"/><Relationship Id="rId251" Type="http://schemas.openxmlformats.org/officeDocument/2006/relationships/image" Target="media/image188.png"/><Relationship Id="rId252" Type="http://schemas.openxmlformats.org/officeDocument/2006/relationships/image" Target="media/image189.png"/><Relationship Id="rId253" Type="http://schemas.openxmlformats.org/officeDocument/2006/relationships/image" Target="media/image190.png"/><Relationship Id="rId254" Type="http://schemas.openxmlformats.org/officeDocument/2006/relationships/image" Target="media/image191.png"/><Relationship Id="rId255" Type="http://schemas.openxmlformats.org/officeDocument/2006/relationships/image" Target="media/image192.png"/><Relationship Id="rId256" Type="http://schemas.openxmlformats.org/officeDocument/2006/relationships/image" Target="media/image193.png"/><Relationship Id="rId257" Type="http://schemas.openxmlformats.org/officeDocument/2006/relationships/image" Target="media/image194.png"/><Relationship Id="rId258" Type="http://schemas.openxmlformats.org/officeDocument/2006/relationships/image" Target="media/image195.png"/><Relationship Id="rId259" Type="http://schemas.openxmlformats.org/officeDocument/2006/relationships/image" Target="media/image196.png"/><Relationship Id="rId260" Type="http://schemas.openxmlformats.org/officeDocument/2006/relationships/image" Target="media/image197.png"/><Relationship Id="rId187" Type="http://schemas.openxmlformats.org/officeDocument/2006/relationships/hyperlink" Target="http://www.sec.gov/Archives/edgar/data/921582/000119312513409894/d613298dex31.htm" TargetMode="External"/><Relationship Id="rId188" Type="http://schemas.openxmlformats.org/officeDocument/2006/relationships/hyperlink" Target="http://www.sec.gov/Archives/edgar/data/921582/000156459021038333/imax-ex31_56.htm" TargetMode="External"/><Relationship Id="rId189" Type="http://schemas.openxmlformats.org/officeDocument/2006/relationships/hyperlink" Target="http://www.sec.gov/Archives/edgar/data/921582/000119312513069594/d489869dex43.htm" TargetMode="External"/><Relationship Id="rId190" Type="http://schemas.openxmlformats.org/officeDocument/2006/relationships/hyperlink" Target="http://www.sec.gov/Archives/edgar/data/0000921582/000156459020005319/imax-ex44_95.htm" TargetMode="External"/><Relationship Id="rId191" Type="http://schemas.openxmlformats.org/officeDocument/2006/relationships/hyperlink" Target="http://www.sec.gov/Archives/edgar/data/0000921582/000119312521087676/d154856dex41.htm" TargetMode="External"/><Relationship Id="rId192" Type="http://schemas.openxmlformats.org/officeDocument/2006/relationships/hyperlink" Target="http://www.sec.gov/Archives/edgar/data/921582/000119312516475999/d147602dex101.htm" TargetMode="External"/><Relationship Id="rId193" Type="http://schemas.openxmlformats.org/officeDocument/2006/relationships/hyperlink" Target="http://www.sec.gov/Archives/edgar/data/0000921582/000156459020005319/imax-ex104_93.htm" TargetMode="External"/><Relationship Id="rId194" Type="http://schemas.openxmlformats.org/officeDocument/2006/relationships/hyperlink" Target="http://www.sec.gov/Archives/edgar/data/0000921582/000119312520162205/d938821dex101.htm" TargetMode="External"/><Relationship Id="rId195" Type="http://schemas.openxmlformats.org/officeDocument/2006/relationships/hyperlink" Target="http://www.sec.gov/Archives/edgar/data/0000921582/000156459021021848/imax-ex1011_104.htm" TargetMode="External"/><Relationship Id="rId196" Type="http://schemas.openxmlformats.org/officeDocument/2006/relationships/hyperlink" Target="http://www.sec.gov/Archives/edgar/data/0000921582/000156459021021848/imax-ex1012_105.htm" TargetMode="External"/><Relationship Id="rId197" Type="http://schemas.openxmlformats.org/officeDocument/2006/relationships/hyperlink" Target="http://www.sec.gov/Archives/edgar/data/0000921582/000156459021038333/imax-ex102_104.htm" TargetMode="External"/><Relationship Id="rId198" Type="http://schemas.openxmlformats.org/officeDocument/2006/relationships/hyperlink" Target="http://www.sec.gov/Archives/edgar/data/921582/000119312513069594/d489869dex102.htm" TargetMode="External"/><Relationship Id="rId199" Type="http://schemas.openxmlformats.org/officeDocument/2006/relationships/hyperlink" Target="http://www.sec.gov/Archives/edgar/data/921582/000119312513069594/d489869dex103.htm" TargetMode="External"/><Relationship Id="rId200" Type="http://schemas.openxmlformats.org/officeDocument/2006/relationships/hyperlink" Target="http://www.sec.gov/Archives/edgar/data/921582/000119312513069594/d489869dex104.htm" TargetMode="External"/><Relationship Id="rId201" Type="http://schemas.openxmlformats.org/officeDocument/2006/relationships/hyperlink" Target="http://www.sec.gov/Archives/edgar/data/921582/000119312512075878/d304280dex105.htm" TargetMode="External"/><Relationship Id="rId204" Type="http://schemas.openxmlformats.org/officeDocument/2006/relationships/hyperlink" Target="http://www.sec.gov/Archives/edgar/data/921582/000119312512075878/d304280dex106.htm" TargetMode="External"/><Relationship Id="rId205" Type="http://schemas.openxmlformats.org/officeDocument/2006/relationships/hyperlink" Target="http://www.sec.gov/Archives/edgar/data/921582/000119312514060866/d679676dex108.htm" TargetMode="External"/><Relationship Id="rId206" Type="http://schemas.openxmlformats.org/officeDocument/2006/relationships/hyperlink" Target="http://www.sec.gov/Archives/edgar/data/921582/000119312515054386/d876809dex109.htm" TargetMode="External"/><Relationship Id="rId207" Type="http://schemas.openxmlformats.org/officeDocument/2006/relationships/hyperlink" Target="http://www.sec.gov/Archives/edgar/data/921582/000119312516475999/d147602dex1010.htm" TargetMode="External"/><Relationship Id="rId208" Type="http://schemas.openxmlformats.org/officeDocument/2006/relationships/hyperlink" Target="http://www.sec.gov/Archives/edgar/data/921582/000119312514060866/d679676dex1011.htm" TargetMode="External"/><Relationship Id="rId209" Type="http://schemas.openxmlformats.org/officeDocument/2006/relationships/hyperlink" Target="http://www.sec.gov/Archives/edgar/data/0000921582/000156459021021848/imax-ex1010_48.htm" TargetMode="External"/><Relationship Id="rId210" Type="http://schemas.openxmlformats.org/officeDocument/2006/relationships/hyperlink" Target="http://www.sec.gov/Archives/edgar/data/921582/000119312513069594/d489869dex1010.htm" TargetMode="External"/><Relationship Id="rId211" Type="http://schemas.openxmlformats.org/officeDocument/2006/relationships/hyperlink" Target="http://www.sec.gov/Archives/edgar/data/921582/000119312513069594/d489869dex1011.htm" TargetMode="External"/><Relationship Id="rId212" Type="http://schemas.openxmlformats.org/officeDocument/2006/relationships/hyperlink" Target="http://www.sec.gov/Archives/edgar/data/921582/000119312512075878/d304280dex1012.htm" TargetMode="External"/><Relationship Id="rId213" Type="http://schemas.openxmlformats.org/officeDocument/2006/relationships/hyperlink" Target="http://www.sec.gov/Archives/edgar/data/921582/000119312512075878/d304280dex1013.htm" TargetMode="External"/><Relationship Id="rId214" Type="http://schemas.openxmlformats.org/officeDocument/2006/relationships/hyperlink" Target="http://www.sec.gov/Archives/edgar/data/921582/000119312514060866/d679676dex1016.htm" TargetMode="External"/><Relationship Id="rId215" Type="http://schemas.openxmlformats.org/officeDocument/2006/relationships/hyperlink" Target="http://www.sec.gov/Archives/edgar/data/921582/000119312515054386/d876809dex1017.htm" TargetMode="External"/><Relationship Id="rId216" Type="http://schemas.openxmlformats.org/officeDocument/2006/relationships/hyperlink" Target="http://www.sec.gov/Archives/edgar/data/921582/000119312516475999/d147602dex1018.htm" TargetMode="External"/><Relationship Id="rId217" Type="http://schemas.openxmlformats.org/officeDocument/2006/relationships/hyperlink" Target="http://www.sec.gov/Archives/edgar/data/921582/000119312512075878/d304280dex1017.htm" TargetMode="External"/><Relationship Id="rId218" Type="http://schemas.openxmlformats.org/officeDocument/2006/relationships/hyperlink" Target="http://www.sec.gov/Archives/edgar/data/921582/000119312514379779/d809168dex1012.htm" TargetMode="External"/><Relationship Id="rId219" Type="http://schemas.openxmlformats.org/officeDocument/2006/relationships/hyperlink" Target="http://www.sec.gov/Archives/edgar/data/921582/000119312516475999/d147602dex1021.htm" TargetMode="External"/><Relationship Id="rId220" Type="http://schemas.openxmlformats.org/officeDocument/2006/relationships/hyperlink" Target="http://www.sec.gov/Archives/edgar/data/921582/000119312517054210/d339843dex1024.htm" TargetMode="External"/><Relationship Id="rId221" Type="http://schemas.openxmlformats.org/officeDocument/2006/relationships/hyperlink" Target="http://www.sec.gov/Archives/edgar/data/0000921582/000156459020005319/imax-ex1026_97.htm" TargetMode="External"/><Relationship Id="rId222" Type="http://schemas.openxmlformats.org/officeDocument/2006/relationships/hyperlink" Target="http://www.sec.gov/Archives/edgar/data/921582/000119312518061184/d544249dex1030.htm" TargetMode="External"/><Relationship Id="rId223" Type="http://schemas.openxmlformats.org/officeDocument/2006/relationships/hyperlink" Target="http://www.sec.gov/Archives/edgar/data/0000921582/000156459020020056/imax-ex1047_99.htm" TargetMode="External"/><Relationship Id="rId225" Type="http://schemas.openxmlformats.org/officeDocument/2006/relationships/hyperlink" Target="http://www.sec.gov/Archives/edgar/data/921582/000119312516652431/d228462dex1040.htm" TargetMode="External"/><Relationship Id="rId226" Type="http://schemas.openxmlformats.org/officeDocument/2006/relationships/hyperlink" Target="http://www.sec.gov/Archives/edgar/data/921582/000156459019039072/imax-ex1041_102.htm" TargetMode="External"/><Relationship Id="rId227" Type="http://schemas.openxmlformats.org/officeDocument/2006/relationships/hyperlink" Target="http://www.sec.gov/Archives/edgar/data/921582/000156459019039072/imax-ex1042_103.htm" TargetMode="External"/><Relationship Id="rId228" Type="http://schemas.openxmlformats.org/officeDocument/2006/relationships/hyperlink" Target="http://www.sec.gov/Archives/edgar/data/0000921582/000156459020005319/imax-ex1037_91.htm" TargetMode="External"/><Relationship Id="rId229" Type="http://schemas.openxmlformats.org/officeDocument/2006/relationships/hyperlink" Target="http://www.sec.gov/Archives/edgar/data/0000921582/000156459020005319/imax-ex1038_92.htm" TargetMode="External"/><Relationship Id="rId230" Type="http://schemas.openxmlformats.org/officeDocument/2006/relationships/hyperlink" Target="http://www.sec.gov/Archives/edgar/data/0000921582/000156459020033940/imax-ex1048_47.htm" TargetMode="External"/><Relationship Id="rId231" Type="http://schemas.openxmlformats.org/officeDocument/2006/relationships/hyperlink" Target="http://www.sec.gov/Archives/edgar/data/0000921582/000156459020048749/imax-ex1052_48.htm" TargetMode="External"/><Relationship Id="rId232" Type="http://schemas.openxmlformats.org/officeDocument/2006/relationships/hyperlink" Target="http://www.sec.gov/Archives/edgar/data/0000921582/000156459021038333/imax-ex101_80.htm" TargetMode="External"/><Relationship Id="rId233" Type="http://schemas.openxmlformats.org/officeDocument/2006/relationships/hyperlink" Target="http://www.sec.gov/Archives/edgar/data/921582/000119312518226023/d503863dex1039.htm" TargetMode="External"/><Relationship Id="rId234" Type="http://schemas.openxmlformats.org/officeDocument/2006/relationships/hyperlink" Target="http://www.sec.gov/Archives/edgar/data/921582/000119312518226023/d503863dex1038.htm" TargetMode="External"/><Relationship Id="rId235" Type="http://schemas.openxmlformats.org/officeDocument/2006/relationships/hyperlink" Target="http://www.sec.gov/Archives/edgar/data/0000921582/000119312520166667/d902368dex101.htm" TargetMode="External"/><Relationship Id="rId236" Type="http://schemas.openxmlformats.org/officeDocument/2006/relationships/hyperlink" Target="http://www.sec.gov/Archives/edgar/data/0000921582/000119312521087676/d154856dex109.htm" TargetMode="External"/><Relationship Id="rId237" Type="http://schemas.openxmlformats.org/officeDocument/2006/relationships/hyperlink" Target="http://www.sec.gov/Archives/edgar/data/0000921582/000119312521229226/d168912dex101.htm" TargetMode="External"/><Relationship Id="rId238" Type="http://schemas.openxmlformats.org/officeDocument/2006/relationships/hyperlink" Target="http://www.sec.gov/Archives/edgar/data/0000921582/000119312521087676/d154856dex101.htm" TargetMode="External"/><Relationship Id="rId239" Type="http://schemas.openxmlformats.org/officeDocument/2006/relationships/hyperlink" Target="http://www.sec.gov/Archives/edgar/data/0000921582/000119312521087676/d154856dex102.htm" TargetMode="External"/><Relationship Id="rId240" Type="http://schemas.openxmlformats.org/officeDocument/2006/relationships/hyperlink" Target="http://www.sec.gov/Archives/edgar/data/0000921582/000119312521087676/d154856dex103.htm" TargetMode="External"/><Relationship Id="rId241" Type="http://schemas.openxmlformats.org/officeDocument/2006/relationships/hyperlink" Target="http://www.sec.gov/Archives/edgar/data/0000921582/000119312521087676/d154856dex104.htm" TargetMode="External"/><Relationship Id="rId242" Type="http://schemas.openxmlformats.org/officeDocument/2006/relationships/hyperlink" Target="http://www.sec.gov/Archives/edgar/data/0000921582/000119312521087676/d154856dex105.htm" TargetMode="External"/><Relationship Id="rId244" Type="http://schemas.openxmlformats.org/officeDocument/2006/relationships/hyperlink" Target="http://www.sec.gov/Archives/edgar/data/0000921582/000119312521087676/d154856dex106.htm" TargetMode="External"/><Relationship Id="rId245" Type="http://schemas.openxmlformats.org/officeDocument/2006/relationships/hyperlink" Target="http://www.sec.gov/Archives/edgar/data/0000921582/000119312521087676/d154856dex107.htm" TargetMode="External"/><Relationship Id="rId246" Type="http://schemas.openxmlformats.org/officeDocument/2006/relationships/hyperlink" Target="http://www.sec.gov/Archives/edgar/data/0000921582/000119312521087676/d154856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2022-02-24T05:30:30Z</dcterms:created>
  <dcterms:modified xsi:type="dcterms:W3CDTF">2022-02-24T05:30:30Z</dcterms:modified>
</cp:coreProperties>
</file>