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601980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619125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1065530</wp:posOffset>
            </wp:positionH>
            <wp:positionV relativeFrom="paragraph">
              <wp:posOffset>175260</wp:posOffset>
            </wp:positionV>
            <wp:extent cx="5011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1142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1065530</wp:posOffset>
            </wp:positionH>
            <wp:positionV relativeFrom="paragraph">
              <wp:posOffset>205740</wp:posOffset>
            </wp:positionV>
            <wp:extent cx="50114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11420" cy="8255"/>
                    </a:xfrm>
                    <a:prstGeom prst="rect">
                      <a:avLst/>
                    </a:prstGeom>
                    <a:noFill/>
                  </pic:spPr>
                </pic:pic>
              </a:graphicData>
            </a:graphic>
          </wp:anchor>
        </w:drawing>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64"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293" w:lineRule="exact"/>
        <w:rPr>
          <w:sz w:val="24"/>
          <w:szCs w:val="24"/>
          <w:color w:val="auto"/>
        </w:rPr>
      </w:pPr>
    </w:p>
    <w:p>
      <w:pPr>
        <w:ind w:left="260" w:hanging="234"/>
        <w:spacing w:after="0"/>
        <w:tabs>
          <w:tab w:leader="none" w:pos="2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 to ____</w:t>
            </w: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1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001-35066</w:t>
            </w: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1580" w:type="dxa"/>
            <w:vAlign w:val="bottom"/>
          </w:tcPr>
          <w:p>
            <w:pPr>
              <w:spacing w:after="0"/>
              <w:rPr>
                <w:sz w:val="23"/>
                <w:szCs w:val="23"/>
                <w:color w:val="auto"/>
              </w:rPr>
            </w:pPr>
          </w:p>
        </w:tc>
      </w:tr>
      <w:tr>
        <w:trPr>
          <w:trHeight w:val="49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3"/>
          </w:tcPr>
          <w:p>
            <w:pPr>
              <w:jc w:val="center"/>
              <w:ind w:right="260"/>
              <w:spacing w:after="0"/>
              <w:rPr>
                <w:sz w:val="20"/>
                <w:szCs w:val="20"/>
                <w:color w:val="auto"/>
              </w:rPr>
            </w:pPr>
            <w:r>
              <w:rPr>
                <w:rFonts w:ascii="Times New Roman" w:cs="Times New Roman" w:eastAsia="Times New Roman" w:hAnsi="Times New Roman"/>
                <w:sz w:val="36"/>
                <w:szCs w:val="36"/>
                <w:b w:val="1"/>
                <w:bCs w:val="1"/>
                <w:color w:val="auto"/>
                <w:w w:val="99"/>
              </w:rPr>
              <w:t>IMAX Corporation</w:t>
            </w: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i w:val="1"/>
                <w:iCs w:val="1"/>
                <w:color w:val="auto"/>
                <w:w w:val="96"/>
              </w:rPr>
              <w:t>(Exact name of registrant as specified in its charter)</w:t>
            </w:r>
          </w:p>
        </w:tc>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14"/>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3480" w:type="dxa"/>
            <w:vAlign w:val="bottom"/>
            <w:gridSpan w:val="3"/>
          </w:tcPr>
          <w:p>
            <w:pPr>
              <w:ind w:left="2520"/>
              <w:spacing w:after="0"/>
              <w:rPr>
                <w:sz w:val="20"/>
                <w:szCs w:val="20"/>
                <w:color w:val="auto"/>
              </w:rPr>
            </w:pPr>
            <w:r>
              <w:rPr>
                <w:rFonts w:ascii="Times New Roman" w:cs="Times New Roman" w:eastAsia="Times New Roman" w:hAnsi="Times New Roman"/>
                <w:sz w:val="18"/>
                <w:szCs w:val="18"/>
                <w:b w:val="1"/>
                <w:bCs w:val="1"/>
                <w:color w:val="auto"/>
              </w:rPr>
              <w:t>98-0140269</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9"/>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60" w:type="dxa"/>
            <w:vAlign w:val="bottom"/>
            <w:gridSpan w:val="3"/>
          </w:tcPr>
          <w:p>
            <w:pPr>
              <w:ind w:left="1520"/>
              <w:spacing w:after="0"/>
              <w:rPr>
                <w:sz w:val="20"/>
                <w:szCs w:val="20"/>
                <w:color w:val="auto"/>
              </w:rPr>
            </w:pPr>
            <w:r>
              <w:rPr>
                <w:rFonts w:ascii="Times New Roman" w:cs="Times New Roman" w:eastAsia="Times New Roman" w:hAnsi="Times New Roman"/>
                <w:sz w:val="18"/>
                <w:szCs w:val="18"/>
                <w:i w:val="1"/>
                <w:iCs w:val="1"/>
                <w:color w:val="auto"/>
              </w:rPr>
              <w:t>(I.R.S. Employer</w:t>
            </w:r>
          </w:p>
        </w:tc>
        <w:tc>
          <w:tcPr>
            <w:tcW w:w="22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6"/>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60" w:type="dxa"/>
            <w:vAlign w:val="bottom"/>
            <w:gridSpan w:val="3"/>
          </w:tcPr>
          <w:p>
            <w:pPr>
              <w:ind w:left="152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1"/>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2525 Speakman Drive,</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4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902 Broadway, Floor 20</w:t>
            </w:r>
          </w:p>
        </w:tc>
      </w:tr>
      <w:tr>
        <w:trPr>
          <w:trHeight w:val="215"/>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Mississauga, Ontario, Canada L5K 1B1</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40" w:type="dxa"/>
            <w:vAlign w:val="bottom"/>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New York, New York, USA 10010</w:t>
            </w:r>
          </w:p>
        </w:tc>
      </w:tr>
      <w:tr>
        <w:trPr>
          <w:trHeight w:val="238"/>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(905) 403-6457</w:t>
            </w:r>
          </w:p>
        </w:tc>
        <w:tc>
          <w:tcPr>
            <w:tcW w:w="1440" w:type="dxa"/>
            <w:vAlign w:val="bottom"/>
          </w:tcPr>
          <w:p>
            <w:pPr>
              <w:spacing w:after="0"/>
              <w:rPr>
                <w:sz w:val="20"/>
                <w:szCs w:val="20"/>
                <w:color w:val="auto"/>
              </w:rPr>
            </w:pPr>
          </w:p>
        </w:tc>
        <w:tc>
          <w:tcPr>
            <w:tcW w:w="3960" w:type="dxa"/>
            <w:vAlign w:val="bottom"/>
            <w:gridSpan w:val="4"/>
          </w:tcPr>
          <w:p>
            <w:pPr>
              <w:ind w:left="2520"/>
              <w:spacing w:after="0"/>
              <w:rPr>
                <w:sz w:val="20"/>
                <w:szCs w:val="20"/>
                <w:color w:val="auto"/>
              </w:rPr>
            </w:pPr>
            <w:r>
              <w:rPr>
                <w:rFonts w:ascii="Times New Roman" w:cs="Times New Roman" w:eastAsia="Times New Roman" w:hAnsi="Times New Roman"/>
                <w:sz w:val="18"/>
                <w:szCs w:val="18"/>
                <w:b w:val="1"/>
                <w:bCs w:val="1"/>
                <w:color w:val="auto"/>
              </w:rPr>
              <w:t>(212) 821-0142</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40" w:type="dxa"/>
            <w:vAlign w:val="bottom"/>
            <w:gridSpan w:val="7"/>
          </w:tcPr>
          <w:p>
            <w:pPr>
              <w:jc w:val="center"/>
              <w:ind w:right="30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 telephone numbers)</w:t>
            </w:r>
          </w:p>
        </w:tc>
      </w:tr>
      <w:tr>
        <w:trPr>
          <w:trHeight w:val="438"/>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20" w:type="dxa"/>
            <w:vAlign w:val="bottom"/>
            <w:gridSpan w:val="6"/>
          </w:tcPr>
          <w:p>
            <w:pPr>
              <w:jc w:val="center"/>
              <w:ind w:right="34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504"/>
        </w:trPr>
        <w:tc>
          <w:tcPr>
            <w:tcW w:w="20" w:type="dxa"/>
            <w:vAlign w:val="bottom"/>
          </w:tcPr>
          <w:p>
            <w:pPr>
              <w:spacing w:after="0"/>
              <w:rPr>
                <w:sz w:val="24"/>
                <w:szCs w:val="24"/>
                <w:color w:val="auto"/>
              </w:rPr>
            </w:pPr>
          </w:p>
        </w:tc>
        <w:tc>
          <w:tcPr>
            <w:tcW w:w="30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20" w:type="dxa"/>
            <w:vAlign w:val="bottom"/>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30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IMAX</w:t>
            </w:r>
          </w:p>
        </w:tc>
        <w:tc>
          <w:tcPr>
            <w:tcW w:w="3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206" w:lineRule="exact"/>
        <w:rPr>
          <w:sz w:val="24"/>
          <w:szCs w:val="24"/>
          <w:color w:val="auto"/>
        </w:rPr>
      </w:pPr>
    </w:p>
    <w:p>
      <w:pPr>
        <w:ind w:left="2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41" w:lineRule="exact"/>
        <w:rPr>
          <w:sz w:val="24"/>
          <w:szCs w:val="24"/>
          <w:color w:val="auto"/>
        </w:rPr>
      </w:pPr>
    </w:p>
    <w:p>
      <w:pPr>
        <w:ind w:left="2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0" w:lineRule="exact"/>
        <w:rPr>
          <w:sz w:val="24"/>
          <w:szCs w:val="24"/>
          <w:color w:val="auto"/>
        </w:rPr>
      </w:pPr>
    </w:p>
    <w:p>
      <w:pPr>
        <w:ind w:firstLine="194"/>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7" w:lineRule="exact"/>
        <w:rPr>
          <w:sz w:val="24"/>
          <w:szCs w:val="24"/>
          <w:color w:val="auto"/>
        </w:rPr>
      </w:pPr>
    </w:p>
    <w:p>
      <w:pPr>
        <w:ind w:right="20" w:firstLine="194"/>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7" w:lineRule="exact"/>
        <w:rPr>
          <w:sz w:val="24"/>
          <w:szCs w:val="24"/>
          <w:color w:val="auto"/>
        </w:rPr>
      </w:pPr>
    </w:p>
    <w:p>
      <w:pPr>
        <w:ind w:firstLine="194"/>
        <w:spacing w:after="0" w:line="26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9"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8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82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80" w:type="dxa"/>
            <w:vAlign w:val="bottom"/>
          </w:tcPr>
          <w:p>
            <w:pPr>
              <w:ind w:left="740"/>
              <w:spacing w:after="0" w:line="131" w:lineRule="exact"/>
              <w:rPr>
                <w:sz w:val="20"/>
                <w:szCs w:val="20"/>
                <w:color w:val="auto"/>
              </w:rPr>
            </w:pPr>
            <w:r>
              <w:rPr>
                <w:rFonts w:ascii="MS PGothic" w:cs="MS PGothic" w:eastAsia="MS PGothic" w:hAnsi="MS PGothic"/>
                <w:sz w:val="13"/>
                <w:szCs w:val="13"/>
                <w:color w:val="auto"/>
              </w:rPr>
              <w:t>☐</w:t>
            </w:r>
          </w:p>
        </w:tc>
        <w:tc>
          <w:tcPr>
            <w:tcW w:w="482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96"/>
        </w:trPr>
        <w:tc>
          <w:tcPr>
            <w:tcW w:w="1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20" w:type="dxa"/>
            <w:vAlign w:val="bottom"/>
          </w:tcPr>
          <w:p>
            <w:pPr>
              <w:ind w:left="2840"/>
              <w:spacing w:after="0"/>
              <w:rPr>
                <w:sz w:val="20"/>
                <w:szCs w:val="20"/>
                <w:color w:val="auto"/>
              </w:rPr>
            </w:pPr>
            <w:r>
              <w:rPr>
                <w:rFonts w:ascii="Times New Roman" w:cs="Times New Roman" w:eastAsia="Times New Roman" w:hAnsi="Times New Roman"/>
                <w:sz w:val="13"/>
                <w:szCs w:val="13"/>
                <w:color w:val="auto"/>
              </w:rPr>
              <w:t>Emerging growth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5" w:lineRule="exact"/>
        <w:rPr>
          <w:sz w:val="24"/>
          <w:szCs w:val="24"/>
          <w:color w:val="auto"/>
        </w:rPr>
      </w:pPr>
    </w:p>
    <w:p>
      <w:pPr>
        <w:ind w:firstLine="194"/>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7" w:lineRule="exact"/>
        <w:rPr>
          <w:sz w:val="24"/>
          <w:szCs w:val="24"/>
          <w:color w:val="auto"/>
        </w:rPr>
      </w:pPr>
    </w:p>
    <w:p>
      <w:pPr>
        <w:ind w:firstLine="194"/>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7" w:lineRule="exact"/>
        <w:rPr>
          <w:sz w:val="24"/>
          <w:szCs w:val="24"/>
          <w:color w:val="auto"/>
        </w:rPr>
      </w:pPr>
    </w:p>
    <w:p>
      <w:pPr>
        <w:ind w:right="20" w:firstLine="194"/>
        <w:spacing w:after="0" w:line="261"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 □</w:t>
      </w:r>
    </w:p>
    <w:p>
      <w:pPr>
        <w:spacing w:after="0" w:line="214" w:lineRule="exact"/>
        <w:rPr>
          <w:sz w:val="24"/>
          <w:szCs w:val="24"/>
          <w:color w:val="auto"/>
        </w:rPr>
      </w:pPr>
    </w:p>
    <w:p>
      <w:pPr>
        <w:ind w:firstLine="194"/>
        <w:spacing w:after="0" w:line="261"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198" w:lineRule="exact"/>
        <w:rPr>
          <w:sz w:val="24"/>
          <w:szCs w:val="24"/>
          <w:color w:val="auto"/>
        </w:rPr>
      </w:pPr>
    </w:p>
    <w:p>
      <w:pPr>
        <w:ind w:left="2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70" w:lineRule="exact"/>
        <w:rPr>
          <w:sz w:val="24"/>
          <w:szCs w:val="24"/>
          <w:color w:val="auto"/>
        </w:rPr>
      </w:pPr>
    </w:p>
    <w:p>
      <w:pPr>
        <w:ind w:firstLine="194"/>
        <w:spacing w:after="0" w:line="261" w:lineRule="auto"/>
        <w:rPr>
          <w:sz w:val="20"/>
          <w:szCs w:val="20"/>
          <w:color w:val="auto"/>
        </w:rPr>
      </w:pPr>
      <w:r>
        <w:rPr>
          <w:rFonts w:ascii="Times New Roman" w:cs="Times New Roman" w:eastAsia="Times New Roman" w:hAnsi="Times New Roman"/>
          <w:sz w:val="13"/>
          <w:szCs w:val="13"/>
          <w:color w:val="auto"/>
        </w:rPr>
        <w:t>The aggregate market value of the common shares of the registrant held by non-affiliates of the registrant, computed by reference to the last sale price of such shares as of the close of trading on June 30, 2025, was $1.2 billion.</w:t>
      </w:r>
    </w:p>
    <w:p>
      <w:pPr>
        <w:spacing w:after="0" w:line="21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color w:val="auto"/>
        </w:rPr>
        <w:t>As of January 31, 2026, there were 53,993,017 common shares of the registrant outstanding.</w:t>
      </w:r>
    </w:p>
    <w:p>
      <w:pPr>
        <w:sectPr>
          <w:pgSz w:w="11900" w:h="16838" w:orient="portrait"/>
          <w:cols w:equalWidth="0" w:num="1">
            <w:col w:w="11240"/>
          </w:cols>
          <w:pgMar w:left="320" w:top="1118"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27" w:lineRule="exact"/>
        <w:rPr>
          <w:sz w:val="20"/>
          <w:szCs w:val="20"/>
          <w:color w:val="auto"/>
        </w:rPr>
      </w:pPr>
    </w:p>
    <w:p>
      <w:pPr>
        <w:ind w:firstLine="194"/>
        <w:spacing w:after="0" w:line="239" w:lineRule="auto"/>
        <w:rPr>
          <w:sz w:val="20"/>
          <w:szCs w:val="20"/>
          <w:color w:val="auto"/>
        </w:rPr>
      </w:pPr>
      <w:r>
        <w:rPr>
          <w:rFonts w:ascii="Times New Roman" w:cs="Times New Roman" w:eastAsia="Times New Roman" w:hAnsi="Times New Roman"/>
          <w:sz w:val="13"/>
          <w:szCs w:val="13"/>
          <w:color w:val="auto"/>
        </w:rPr>
        <w:t>Portions of the registrant’s definitive proxy statement on Schedule 14A relating to its 2026 annual meeting of shareholders, to be filed within 120 days of the close of the registrant’s fiscal year ended December 31, 2025 with the Securities and Exchange Commission (the “2026 Proxy Statement”), are incorporated by reference in Part III of this Annual Report on Form 10-K to the extent described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40" w:type="dxa"/>
            <w:vAlign w:val="bottom"/>
            <w:gridSpan w:val="10"/>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IMAX CORPORATION</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9"/>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gridSpan w:val="9"/>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36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780" w:type="dxa"/>
            <w:vAlign w:val="bottom"/>
            <w:gridSpan w:val="4"/>
          </w:tcPr>
          <w:p>
            <w:pPr>
              <w:spacing w:after="0"/>
              <w:rPr>
                <w:sz w:val="21"/>
                <w:szCs w:val="21"/>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280" w:type="dxa"/>
            <w:vAlign w:val="bottom"/>
            <w:gridSpan w:val="21"/>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20" w:type="dxa"/>
            <w:vAlign w:val="bottom"/>
            <w:gridSpan w:val="18"/>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17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880" w:type="dxa"/>
            <w:vAlign w:val="bottom"/>
            <w:gridSpan w:val="11"/>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1040" w:type="dxa"/>
            <w:vAlign w:val="bottom"/>
            <w:gridSpan w:val="6"/>
          </w:tcPr>
          <w:p>
            <w:pPr>
              <w:spacing w:after="0"/>
              <w:rPr>
                <w:sz w:val="21"/>
                <w:szCs w:val="21"/>
                <w:color w:val="auto"/>
              </w:rPr>
            </w:pPr>
          </w:p>
        </w:tc>
        <w:tc>
          <w:tcPr>
            <w:tcW w:w="6880" w:type="dxa"/>
            <w:vAlign w:val="bottom"/>
            <w:gridSpan w:val="11"/>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220" w:type="dxa"/>
            <w:vAlign w:val="bottom"/>
            <w:gridSpan w:val="2"/>
          </w:tcPr>
          <w:p>
            <w:pPr>
              <w:spacing w:after="0"/>
              <w:rPr>
                <w:sz w:val="21"/>
                <w:szCs w:val="21"/>
                <w:color w:val="auto"/>
              </w:rPr>
            </w:pPr>
          </w:p>
        </w:tc>
        <w:tc>
          <w:tcPr>
            <w:tcW w:w="7920" w:type="dxa"/>
            <w:vAlign w:val="bottom"/>
            <w:gridSpan w:val="17"/>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380" w:type="dxa"/>
            <w:vAlign w:val="bottom"/>
            <w:gridSpan w:val="14"/>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49"/>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700" w:type="dxa"/>
            <w:vAlign w:val="bottom"/>
            <w:gridSpan w:val="3"/>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5.</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[Reserved]</w:t>
            </w:r>
          </w:p>
        </w:tc>
        <w:tc>
          <w:tcPr>
            <w:tcW w:w="6740" w:type="dxa"/>
            <w:vAlign w:val="bottom"/>
            <w:gridSpan w:val="15"/>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60" w:type="dxa"/>
            <w:vAlign w:val="bottom"/>
            <w:gridSpan w:val="3"/>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60" w:type="dxa"/>
            <w:vAlign w:val="bottom"/>
            <w:gridSpan w:val="3"/>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58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960" w:type="dxa"/>
            <w:vAlign w:val="bottom"/>
            <w:gridSpan w:val="2"/>
          </w:tcPr>
          <w:p>
            <w:pPr>
              <w:spacing w:after="0"/>
              <w:rPr>
                <w:sz w:val="21"/>
                <w:szCs w:val="21"/>
                <w:color w:val="auto"/>
              </w:rPr>
            </w:pPr>
          </w:p>
        </w:tc>
        <w:tc>
          <w:tcPr>
            <w:tcW w:w="4640" w:type="dxa"/>
            <w:vAlign w:val="bottom"/>
            <w:gridSpan w:val="7"/>
          </w:tcPr>
          <w:p>
            <w:pPr>
              <w:spacing w:after="0"/>
              <w:rPr>
                <w:sz w:val="21"/>
                <w:szCs w:val="21"/>
                <w:color w:val="auto"/>
              </w:rPr>
            </w:pPr>
          </w:p>
        </w:tc>
        <w:tc>
          <w:tcPr>
            <w:tcW w:w="740" w:type="dxa"/>
            <w:vAlign w:val="bottom"/>
            <w:gridSpan w:val="2"/>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7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660" w:type="dxa"/>
            <w:vAlign w:val="bottom"/>
            <w:gridSpan w:val="2"/>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5500" w:type="dxa"/>
            <w:vAlign w:val="bottom"/>
            <w:gridSpan w:val="11"/>
          </w:tcPr>
          <w:p>
            <w:pPr>
              <w:spacing w:after="0"/>
              <w:rPr>
                <w:sz w:val="21"/>
                <w:szCs w:val="21"/>
                <w:color w:val="auto"/>
              </w:rPr>
            </w:pPr>
          </w:p>
        </w:tc>
        <w:tc>
          <w:tcPr>
            <w:tcW w:w="1660" w:type="dxa"/>
            <w:vAlign w:val="bottom"/>
            <w:gridSpan w:val="2"/>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160" w:type="dxa"/>
            <w:vAlign w:val="bottom"/>
            <w:gridSpan w:val="13"/>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130</w:t>
            </w:r>
          </w:p>
        </w:tc>
        <w:tc>
          <w:tcPr>
            <w:tcW w:w="0" w:type="dxa"/>
            <w:vAlign w:val="bottom"/>
          </w:tcPr>
          <w:p>
            <w:pPr>
              <w:spacing w:after="0"/>
              <w:rPr>
                <w:sz w:val="1"/>
                <w:szCs w:val="1"/>
                <w:color w:val="auto"/>
              </w:rPr>
            </w:pPr>
          </w:p>
        </w:tc>
      </w:tr>
      <w:tr>
        <w:trPr>
          <w:trHeight w:val="249"/>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6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40" w:type="dxa"/>
            <w:vAlign w:val="bottom"/>
            <w:gridSpan w:val="8"/>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gridSpan w:val="4"/>
          </w:tcPr>
          <w:p>
            <w:pPr>
              <w:spacing w:after="0"/>
              <w:rPr>
                <w:sz w:val="21"/>
                <w:szCs w:val="21"/>
                <w:color w:val="auto"/>
              </w:rPr>
            </w:pPr>
          </w:p>
        </w:tc>
        <w:tc>
          <w:tcPr>
            <w:tcW w:w="4840" w:type="dxa"/>
            <w:vAlign w:val="bottom"/>
            <w:gridSpan w:val="8"/>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60" w:type="dxa"/>
            <w:vAlign w:val="bottom"/>
            <w:gridSpan w:val="2"/>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500" w:type="dxa"/>
            <w:vAlign w:val="bottom"/>
            <w:gridSpan w:val="5"/>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49"/>
        </w:trPr>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640" w:type="dxa"/>
            <w:vAlign w:val="bottom"/>
            <w:gridSpan w:val="2"/>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40" w:type="dxa"/>
            <w:vAlign w:val="bottom"/>
            <w:tcBorders>
              <w:top w:val="single" w:sz="8" w:color="0000FF"/>
            </w:tcBorders>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89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340" w:type="dxa"/>
            <w:vAlign w:val="bottom"/>
            <w:gridSpan w:val="4"/>
          </w:tcPr>
          <w:p>
            <w:pPr>
              <w:spacing w:after="0"/>
              <w:rPr>
                <w:sz w:val="21"/>
                <w:szCs w:val="21"/>
                <w:color w:val="auto"/>
              </w:rPr>
            </w:pPr>
          </w:p>
        </w:tc>
        <w:tc>
          <w:tcPr>
            <w:tcW w:w="6040" w:type="dxa"/>
            <w:vAlign w:val="bottom"/>
            <w:gridSpan w:val="10"/>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20"/>
        </w:trPr>
        <w:tc>
          <w:tcPr>
            <w:tcW w:w="7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40" w:top="7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DATA</w:t>
      </w:r>
    </w:p>
    <w:p>
      <w:pPr>
        <w:spacing w:after="0" w:line="23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Unless otherwise indicated, all dollar amounts in this Annual Report on Form 10-K (this “Form 10-K”) are expressed in United States (“U.S.”) Dollars. The following table sets forth, for the periods indicated, certain exchange rates based on the daily exchange rates in foreign currencies as certified for statistical and analytical purposes by the Bank of Canada (the “Daily Exchange Rate”). Such rates quoted are the number of U.S. Dollars per one Canadian Dollar and are the inverse of rates quoted by the Bank of Canada for Canadian Dollars per U.S. $1.00. The average exchange rate for a given period is based on the average of the exchange rates on the last day of each month during such period. The Daily Exchange Rate on December 31, 2025 was U.S. $0.7296.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9"/>
        </w:trPr>
        <w:tc>
          <w:tcPr>
            <w:tcW w:w="3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4"/>
        </w:trPr>
        <w:tc>
          <w:tcPr>
            <w:tcW w:w="3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9"/>
        </w:trPr>
        <w:tc>
          <w:tcPr>
            <w:tcW w:w="3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rate at end of year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0.7296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0.6950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0.7561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0.7383</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0.7888</w:t>
            </w: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exchange rate during year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0.7154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0.7300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0.7409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0.7685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0.7977</w:t>
            </w:r>
          </w:p>
        </w:tc>
      </w:tr>
      <w:tr>
        <w:trPr>
          <w:trHeight w:val="27"/>
        </w:trPr>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9"/>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exchange rate during year</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0.7376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0.7510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0.7617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0.8031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0.8306</w:t>
            </w: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 exchange rate during year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0.6848</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0.6937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0.7207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0.7727</w:t>
            </w: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Certain statements included in this annual report may constitute “forward-looking statements” within the meaning of the U.S. Private Securities Litigation Reform Act of 1995 or “forward-looking information” within the meaning of Canadian securities laws. Words such as “aim,” “anticipate,” “believe,” “could,” “estimate,” “expect,” “forecast,” “forthcoming,” “future,” “goal,” “intend,” “likely,” “may,” “objective,” “outlook,” “plan,” “potential,” “project,” “projection,” “prospect,” “runway,” “seek,” “strategy,” “strive,” “subject to,” “target,” “will,” or the negative thereof, and similar expressions identify forward-looking statement and forward-looking information.</w:t>
      </w:r>
    </w:p>
    <w:p>
      <w:pPr>
        <w:spacing w:after="0" w:line="212"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and forward-looking information include, but are not limited to statements regarding: the Company’s business and technology strategies and measures to implement such strategies, including with respect to its brand extensions and new business initiatives; the Company’s belief and expectations regarding its competitive strengths, goals, market opportunity and penetration, including opportunities in and expected growth from international markets, momentum and runway for expansion and growth of business, networks, operations and technology; future cash flow and revenue realization; capital allocation, including the amount and nature of future capital expenditures and the sufficiency of capital and liquidity to fund the Company’s anticipated operating needs; the Company’s capital structure, including the incurrence and repayment of debt and the impact of its restrictive debt covenants to operating and financial flexibility; goodwill impairment charges and fair values of reporting units; anticipated contributions to pension and postretirement benefit plans; the Company’s technological capabilities and the differentiation thereof; the Company’s ability to enhance its brand equity and brand awareness and the benefits thereof; industry prospects and shifts in consumer behavior; future industry developments, including expected releases and the timing and effects thereof; and plans and references to the future success of the Company and expectations regarding its future operating, financial and technological results.</w:t>
      </w:r>
    </w:p>
    <w:p>
      <w:pPr>
        <w:spacing w:after="0" w:line="222" w:lineRule="exact"/>
        <w:rPr>
          <w:sz w:val="20"/>
          <w:szCs w:val="20"/>
          <w:color w:val="auto"/>
        </w:rPr>
      </w:pPr>
    </w:p>
    <w:p>
      <w:pPr>
        <w:jc w:val="both"/>
        <w:ind w:firstLine="194"/>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the Company’s investments, operations, and future expansion in foreign jurisdictions, including the impact of economic, political and regulatory policies and laws of the United States, Canada, and China, tariffs and other trade regulations, and economic and trade tensions, trade wars, and geopolitical conflicts; risks related to the Company’s growth and operations in China, including the impact of industry conditions affecting and impacting both the Company and its partners; the ability of the Company’s exhibitor customers to fulfill their contractual payment obligations; the Company’s ability to attract and retain its employee population; the performance of IMAX remastered films and other films released to the IMAX network; conditions, changes and developments in the commercial exhibition industry; the Company’s ability to enter into new sales, IMAX theater system agreements, and lease agreements and the effects thereof to revenue; fluctuations in operating results and cash flow and the resulting volatility of the Company’s share price; currency fluctuations and foreign exchange controls; the potential impact of increased competition in the markets within which the Company operates, including competitive actions by other companies; the ability of the Company to respond to change and advancements in technology, including success in enhancing the Company’s artificial intelligence (“AI”) products while responding to competition from AI-generated content; the potential impacts of consolidation among commercial exhibitors and studios; success of brand extensions and new business initiatives; conditions and competition in the in-home (including streaming) and out-of-home entertainment industries; the Company’s ability to identify and pursue new business opportunities (or lack thereof); breaches to cybersecurity and data privacy; the Company’s ability to protect its intellectual property and to avoid infringing, misappropriating, or violating the intellectual property rights of others; effects of environmental laws and regulations, including with respect to climate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 weather conditions and natural disasters that may disrupt or harm the Company’s business; effects of the Company’s indebtedness on its cash flow and business activities and the Company’s ability to comply with its debt agreements; general economic, market or business conditions; sustained inflationary pressure; political, economic and social instability; the Company’s ability to convert system backlog into revenue and cash flows; variation between systems revenue and associated cash flows from long-term sale or lease agreements; accuracy and completeness of financial reporting from customers; the potential for impairment losses on film assets and inventories; accuracy of assumptions underlying goodwill impairment assessment and fair value measurements; fluctuations in obligations and earnings of pension and postretirement benefit plans; changes in laws, regulations, or accounting principles;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annual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ectPr>
          <w:pgSz w:w="11900" w:h="16838" w:orient="portrait"/>
          <w:cols w:equalWidth="0" w:num="1">
            <w:col w:w="11240"/>
          </w:cols>
          <w:pgMar w:left="320" w:top="364" w:right="339" w:bottom="280" w:gutter="0" w:footer="0" w:header="0"/>
        </w:sectPr>
      </w:pPr>
    </w:p>
    <w:bookmarkStart w:id="4" w:name="page5"/>
    <w:bookmarkEnd w:id="4"/>
    <w:p>
      <w:pPr>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40" w:top="49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IMAX Corporation (the “Company” or “IMAX”) is a Canadian corporation that was formed in March 1994 as a result of an amalgamation between WGIM Acquisition Corp. and the former IMAX Corporation (“Predecessor IMAX”). Predecessor IMAX was incorporated in 1967.</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the Company indirectly owned 71.57% of IMAX China Holding, Inc. (“IMAX China”), whose shares trade on the Hong Kong Stock Exchange. IMAX China is a consolidated subsidiary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5" w:lineRule="exact"/>
        <w:rPr>
          <w:sz w:val="20"/>
          <w:szCs w:val="20"/>
          <w:color w:val="auto"/>
        </w:rPr>
      </w:pPr>
    </w:p>
    <w:p>
      <w:pPr>
        <w:jc w:val="both"/>
        <w:ind w:firstLine="194"/>
        <w:spacing w:after="0" w:line="243"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w:t>
      </w:r>
      <w:r>
        <w:rPr>
          <w:rFonts w:ascii="Arial" w:cs="Arial" w:eastAsia="Arial" w:hAnsi="Arial"/>
          <w:sz w:val="18"/>
          <w:szCs w:val="18"/>
          <w:color w:val="auto"/>
        </w:rPr>
        <w:t>T</w:t>
      </w:r>
      <w:r>
        <w:rPr>
          <w:rFonts w:ascii="Times New Roman" w:cs="Times New Roman" w:eastAsia="Times New Roman" w:hAnsi="Times New Roman"/>
          <w:sz w:val="18"/>
          <w:szCs w:val="18"/>
          <w:color w:val="auto"/>
        </w:rPr>
        <w: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December 31, 2025, there were 1,864 IMAX Systems operating in locations in 91 countries and territories, including 1,796 commercial multiplexes, 10 commercial destinations, and 58 institutional locations in the Company’s global network. This compares to 1,807 IMAX Systems operating in 90 countries and territories as of December 31, 2024, including 1,735 commercial multiplexes, 11 commercial destinations, and 61 institutional locations in the Company’s global network. Additional information on the composition of the IMAX network is provided in the discussion under the caption “Marketing and Customers.”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51" w:lineRule="exact"/>
        <w:rPr>
          <w:sz w:val="20"/>
          <w:szCs w:val="20"/>
          <w:color w:val="auto"/>
        </w:rPr>
      </w:pPr>
    </w:p>
    <w:p>
      <w:pPr>
        <w:ind w:left="780" w:right="20" w:hanging="384"/>
        <w:spacing w:after="0" w:line="281"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8"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8"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than conventional theater systems so that the screen extends to the edge of a viewer’s peripheral vision and creates more realistic images;</w:t>
      </w:r>
    </w:p>
    <w:p>
      <w:pPr>
        <w:spacing w:after="0" w:line="188"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than conventional theater systems and pinpointed origination of sound to any specific spot in an auditorium equipped with an IMAX System;</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compared to conventional cinema experiences;</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to ensure a consistent image and sound quality presentation across the IMAX global network ; and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left="780" w:right="20" w:hanging="384"/>
        <w:spacing w:after="0" w:line="281" w:lineRule="auto"/>
        <w:tabs>
          <w:tab w:leader="none" w:pos="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189" w:lineRule="exact"/>
        <w:rPr>
          <w:sz w:val="20"/>
          <w:szCs w:val="20"/>
          <w:color w:val="auto"/>
        </w:rPr>
      </w:pPr>
    </w:p>
    <w:p>
      <w:pPr>
        <w:jc w:val="both"/>
        <w:ind w:right="20" w:firstLine="194"/>
        <w:spacing w:after="0" w:line="265" w:lineRule="auto"/>
        <w:rPr>
          <w:sz w:val="20"/>
          <w:szCs w:val="20"/>
          <w:color w:val="auto"/>
        </w:rPr>
      </w:pPr>
      <w:r>
        <w:rPr>
          <w:rFonts w:ascii="Times New Roman" w:cs="Times New Roman" w:eastAsia="Times New Roman" w:hAnsi="Times New Roman"/>
          <w:sz w:val="18"/>
          <w:szCs w:val="18"/>
          <w:color w:val="auto"/>
        </w:rPr>
        <w:t>The Company believes that the benefits related to the enhanced and differentiated image quality and film aspect ratio enable audiences in IMAX locations to feel as if they are a part of the on-screen action, creating a more intense, immersive, and awe-inspiring experience than a conventional cinematic format. For additional discussion, see section titled “IMAX Film Remastering” below.</w:t>
      </w:r>
    </w:p>
    <w:p>
      <w:pPr>
        <w:spacing w:after="0" w:line="200" w:lineRule="exact"/>
        <w:rPr>
          <w:sz w:val="20"/>
          <w:szCs w:val="20"/>
          <w:color w:val="auto"/>
        </w:rPr>
      </w:pPr>
    </w:p>
    <w:p>
      <w:pPr>
        <w:jc w:val="both"/>
        <w:ind w:firstLine="194"/>
        <w:spacing w:after="0" w:line="243"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generates incremental box office receipts (“global box office”) for the Company’s exhibitor customers and for the movie studios releasing their films to the IMAX network. The incremental global box office generated by IMAX films combined with IMAX’s leading global network footprint and scale has helped establish IMAX as a key premium distribution and marketing platform for Hollywood and foreign local language movie studios.</w:t>
      </w:r>
    </w:p>
    <w:p>
      <w:pPr>
        <w:spacing w:after="0" w:line="223"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 xml:space="preserve">In 2025, the Company’s diversified global programming and marketing strategy resulted in a global box office record of $1.28 billion, surpassing its previous record of $1.13 billion in 2019 by 13% and a 40% increase over the prior year comparative period. The Company achieved its highest grossing year at the domestic (United States and Canada) box office in 2025. Additionally, the Company had record box office in over 30 countries and territories worldwide in 2025, including China, Japan, Germany, India, Australia and Vietnam. The Company’s 2025 film slate was the largest in history, with 122 new films and other content released during the year, including a record 67 local language films. The top grossing titles released in 2025 included the Chinese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which became the highest grossing IMAX release of all time in China and contributed to the highest grossing Chinese New Year in the Company’s history; </w:t>
      </w:r>
      <w:r>
        <w:rPr>
          <w:rFonts w:ascii="Times New Roman" w:cs="Times New Roman" w:eastAsia="Times New Roman" w:hAnsi="Times New Roman"/>
          <w:sz w:val="18"/>
          <w:szCs w:val="18"/>
          <w:i w:val="1"/>
          <w:iCs w:val="1"/>
          <w:color w:val="auto"/>
        </w:rPr>
        <w:t>Avatar: Fire and Ash</w:t>
      </w:r>
      <w:r>
        <w:rPr>
          <w:rFonts w:ascii="Times New Roman" w:cs="Times New Roman" w:eastAsia="Times New Roman" w:hAnsi="Times New Roman"/>
          <w:sz w:val="18"/>
          <w:szCs w:val="18"/>
          <w:color w:val="auto"/>
        </w:rPr>
        <w:t xml:space="preserve">, the Company’s highest grossing Hollywood release of the year, achieving 15% of the film’s total domestic opening weekend box office; </w:t>
      </w:r>
      <w:r>
        <w:rPr>
          <w:rFonts w:ascii="Times New Roman" w:cs="Times New Roman" w:eastAsia="Times New Roman" w:hAnsi="Times New Roman"/>
          <w:sz w:val="18"/>
          <w:szCs w:val="18"/>
          <w:i w:val="1"/>
          <w:iCs w:val="1"/>
          <w:color w:val="auto"/>
        </w:rPr>
        <w:t>F1: The Movie, Mission: Impossible - The Final Reckoning,</w:t>
      </w:r>
      <w:r>
        <w:rPr>
          <w:rFonts w:ascii="Times New Roman" w:cs="Times New Roman" w:eastAsia="Times New Roman" w:hAnsi="Times New Roman"/>
          <w:sz w:val="18"/>
          <w:szCs w:val="18"/>
          <w:color w:val="auto"/>
        </w:rPr>
        <w:t xml:space="preserve"> and the Japanese film </w:t>
      </w:r>
      <w:r>
        <w:rPr>
          <w:rFonts w:ascii="Times New Roman" w:cs="Times New Roman" w:eastAsia="Times New Roman" w:hAnsi="Times New Roman"/>
          <w:sz w:val="18"/>
          <w:szCs w:val="18"/>
          <w:i w:val="1"/>
          <w:iCs w:val="1"/>
          <w:color w:val="auto"/>
        </w:rPr>
        <w:t>Demon Slayer: Infinity Castle</w:t>
      </w:r>
      <w:r>
        <w:rPr>
          <w:rFonts w:ascii="Times New Roman" w:cs="Times New Roman" w:eastAsia="Times New Roman" w:hAnsi="Times New Roman"/>
          <w:sz w:val="18"/>
          <w:szCs w:val="18"/>
          <w:color w:val="auto"/>
        </w:rPr>
        <w:t>. Local language content in 2025 generated $405.4 million in global box office for the Company or 32% of its total global box office, surpassing its previous record of $243.5 million set in 2023 by 66%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Throughout the year, the Company continually optimized its global IMAX network by taking a heavily diversified programming approach, playing multiple titles contemporaneously, and maintaining maximum scheduling flexibility.</w:t>
      </w:r>
    </w:p>
    <w:p>
      <w:pPr>
        <w:spacing w:after="0" w:line="219" w:lineRule="exact"/>
        <w:rPr>
          <w:sz w:val="20"/>
          <w:szCs w:val="20"/>
          <w:color w:val="auto"/>
        </w:rPr>
      </w:pPr>
    </w:p>
    <w:p>
      <w:pPr>
        <w:jc w:val="both"/>
        <w:ind w:firstLine="194"/>
        <w:spacing w:after="0" w:line="219" w:lineRule="exact"/>
        <w:rPr>
          <w:sz w:val="20"/>
          <w:szCs w:val="20"/>
          <w:color w:val="auto"/>
        </w:rPr>
      </w:pPr>
      <w:r>
        <w:rPr>
          <w:rFonts w:ascii="Times New Roman" w:cs="Times New Roman" w:eastAsia="Times New Roman" w:hAnsi="Times New Roman"/>
          <w:sz w:val="18"/>
          <w:szCs w:val="18"/>
          <w:color w:val="auto"/>
        </w:rPr>
        <w:t>In 2025, the Company released several films shot with IMAX proprietary cameras under the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that generated more than $40.0 million in global IMAX box office on a per-title basis. IMAX captured at least 20% of the domestic opening weekend box office on each of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F1: The Movie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Tron: Ares</w:t>
      </w:r>
      <w:r>
        <w:rPr>
          <w:rFonts w:ascii="Times New Roman" w:cs="Times New Roman" w:eastAsia="Times New Roman" w:hAnsi="Times New Roman"/>
          <w:sz w:val="18"/>
          <w:szCs w:val="18"/>
          <w:color w:val="auto"/>
        </w:rPr>
        <w:t>. Despite increasing competition for consumer attention across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entertainment, demand for premium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format experiences continued to strengthen. The Filmed For IMAX program helped drive the Company’s domestic box office market share to a record 5.2% and to a record global market share of 3.8%, up from 4.5% and 3.1%, respectively, in the prior year, even though IMAX represents only approximately 1% of domestic screens and less than 1% of screens worldwide.</w:t>
      </w:r>
    </w:p>
    <w:p>
      <w:pPr>
        <w:spacing w:after="0" w:line="228"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A cornerstone of the IMAX brand for almost 60 years, the Company’s IMAX Documentaries strategy focuses on a new generation of narrative-driven original and acquired documentary films, as well as downstream revenue opportunities through partnerships with leading streaming platforms. In 2025, the Company released the institutional 3D version of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across select IMAX locations in North America, Europe, and Australia. In early 2026, </w:t>
      </w:r>
      <w:r>
        <w:rPr>
          <w:rFonts w:ascii="Times New Roman" w:cs="Times New Roman" w:eastAsia="Times New Roman" w:hAnsi="Times New Roman"/>
          <w:sz w:val="18"/>
          <w:szCs w:val="18"/>
          <w:i w:val="1"/>
          <w:iCs w:val="1"/>
          <w:color w:val="auto"/>
        </w:rPr>
        <w:t xml:space="preserve">The Last Wolves of Yellowstone, </w:t>
      </w:r>
      <w:r>
        <w:rPr>
          <w:rFonts w:ascii="Times New Roman" w:cs="Times New Roman" w:eastAsia="Times New Roman" w:hAnsi="Times New Roman"/>
          <w:sz w:val="18"/>
          <w:szCs w:val="18"/>
          <w:color w:val="auto"/>
        </w:rPr>
        <w:t>and French language documentary</w:t>
      </w:r>
      <w:r>
        <w:rPr>
          <w:rFonts w:ascii="Times New Roman" w:cs="Times New Roman" w:eastAsia="Times New Roman" w:hAnsi="Times New Roman"/>
          <w:sz w:val="18"/>
          <w:szCs w:val="18"/>
          <w:i w:val="1"/>
          <w:iCs w:val="1"/>
          <w:color w:val="auto"/>
        </w:rPr>
        <w:t xml:space="preserve"> Athos, </w:t>
      </w:r>
      <w:r>
        <w:rPr>
          <w:rFonts w:ascii="Times New Roman" w:cs="Times New Roman" w:eastAsia="Times New Roman" w:hAnsi="Times New Roman"/>
          <w:sz w:val="18"/>
          <w:szCs w:val="18"/>
          <w:color w:val="auto"/>
        </w:rPr>
        <w:t>produced by Federation Studio France were released. Additional forthcoming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IMAX Documentaries are scheduled to include </w:t>
      </w:r>
      <w:r>
        <w:rPr>
          <w:rFonts w:ascii="Times New Roman" w:cs="Times New Roman" w:eastAsia="Times New Roman" w:hAnsi="Times New Roman"/>
          <w:sz w:val="18"/>
          <w:szCs w:val="18"/>
          <w:i w:val="1"/>
          <w:iCs w:val="1"/>
          <w:color w:val="auto"/>
        </w:rPr>
        <w:t>Stormbound, Frontier,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Elephant Odyssey.</w:t>
      </w:r>
      <w:r>
        <w:rPr>
          <w:rFonts w:ascii="Times New Roman" w:cs="Times New Roman" w:eastAsia="Times New Roman" w:hAnsi="Times New Roman"/>
          <w:sz w:val="18"/>
          <w:szCs w:val="18"/>
          <w:color w:val="auto"/>
        </w:rPr>
        <w:t xml:space="preserve"> In collaboration with The National Basketball Association (“NBA”), Unanimous Media, and Religion of Sports, the Company will also release </w:t>
      </w:r>
      <w:r>
        <w:rPr>
          <w:rFonts w:ascii="Times New Roman" w:cs="Times New Roman" w:eastAsia="Times New Roman" w:hAnsi="Times New Roman"/>
          <w:sz w:val="18"/>
          <w:szCs w:val="18"/>
          <w:i w:val="1"/>
          <w:iCs w:val="1"/>
          <w:color w:val="auto"/>
        </w:rPr>
        <w:t>Portrait of an Artist</w:t>
      </w:r>
      <w:r>
        <w:rPr>
          <w:rFonts w:ascii="Times New Roman" w:cs="Times New Roman" w:eastAsia="Times New Roman" w:hAnsi="Times New Roman"/>
          <w:sz w:val="18"/>
          <w:szCs w:val="18"/>
          <w:color w:val="auto"/>
        </w:rPr>
        <w:t xml:space="preserve"> offering an intimate glimpse into the life of NBA superstar Stephen Curry</w:t>
      </w:r>
      <w:r>
        <w:rPr>
          <w:rFonts w:ascii="Times New Roman" w:cs="Times New Roman" w:eastAsia="Times New Roman" w:hAnsi="Times New Roman"/>
          <w:sz w:val="18"/>
          <w:szCs w:val="18"/>
          <w:i w:val="1"/>
          <w:iCs w:val="1"/>
          <w:color w:val="auto"/>
        </w:rPr>
        <w:t>.</w:t>
      </w:r>
    </w:p>
    <w:p>
      <w:pPr>
        <w:spacing w:after="0" w:line="209"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In 2025, the Company partnered to release exclusive concert films and limited-run theatrical events, including </w:t>
      </w:r>
      <w:r>
        <w:rPr>
          <w:rFonts w:ascii="Times New Roman" w:cs="Times New Roman" w:eastAsia="Times New Roman" w:hAnsi="Times New Roman"/>
          <w:sz w:val="18"/>
          <w:szCs w:val="18"/>
          <w:i w:val="1"/>
          <w:iCs w:val="1"/>
          <w:color w:val="auto"/>
        </w:rPr>
        <w:t>Becoming Led Zeppelin</w:t>
      </w:r>
      <w:r>
        <w:rPr>
          <w:rFonts w:ascii="Times New Roman" w:cs="Times New Roman" w:eastAsia="Times New Roman" w:hAnsi="Times New Roman"/>
          <w:sz w:val="18"/>
          <w:szCs w:val="18"/>
          <w:color w:val="auto"/>
        </w:rPr>
        <w:t xml:space="preserve"> with Sony Pictures</w:t>
      </w:r>
      <w:r>
        <w:rPr>
          <w:rFonts w:ascii="Times New Roman" w:cs="Times New Roman" w:eastAsia="Times New Roman" w:hAnsi="Times New Roman"/>
          <w:sz w:val="18"/>
          <w:szCs w:val="18"/>
          <w:i w:val="1"/>
          <w:iCs w:val="1"/>
          <w:color w:val="auto"/>
        </w:rPr>
        <w:t>, Prince - Sign O’ The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Rolling Stones - At The Max</w:t>
      </w:r>
      <w:r>
        <w:rPr>
          <w:rFonts w:ascii="Times New Roman" w:cs="Times New Roman" w:eastAsia="Times New Roman" w:hAnsi="Times New Roman"/>
          <w:sz w:val="18"/>
          <w:szCs w:val="18"/>
          <w:color w:val="auto"/>
        </w:rPr>
        <w:t xml:space="preserve"> with Mercury Studios, </w:t>
      </w:r>
      <w:r>
        <w:rPr>
          <w:rFonts w:ascii="Times New Roman" w:cs="Times New Roman" w:eastAsia="Times New Roman" w:hAnsi="Times New Roman"/>
          <w:sz w:val="18"/>
          <w:szCs w:val="18"/>
          <w:i w:val="1"/>
          <w:iCs w:val="1"/>
          <w:color w:val="auto"/>
        </w:rPr>
        <w:t>Pink Floyd at Pompeii - MCMLXXII, Depeche Mode: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j-hope Tour ‘Hope on Stage’ The Movie </w:t>
      </w:r>
      <w:r>
        <w:rPr>
          <w:rFonts w:ascii="Times New Roman" w:cs="Times New Roman" w:eastAsia="Times New Roman" w:hAnsi="Times New Roman"/>
          <w:sz w:val="18"/>
          <w:szCs w:val="18"/>
          <w:color w:val="auto"/>
        </w:rPr>
        <w:t>with Trafalgar Releasing,</w:t>
      </w:r>
      <w:r>
        <w:rPr>
          <w:rFonts w:ascii="Times New Roman" w:cs="Times New Roman" w:eastAsia="Times New Roman" w:hAnsi="Times New Roman"/>
          <w:sz w:val="18"/>
          <w:szCs w:val="18"/>
          <w:i w:val="1"/>
          <w:iCs w:val="1"/>
          <w:color w:val="auto"/>
        </w:rPr>
        <w:t xml:space="preserve"> One to One: John &amp; Yoko </w:t>
      </w:r>
      <w:r>
        <w:rPr>
          <w:rFonts w:ascii="Times New Roman" w:cs="Times New Roman" w:eastAsia="Times New Roman" w:hAnsi="Times New Roman"/>
          <w:sz w:val="18"/>
          <w:szCs w:val="18"/>
          <w:color w:val="auto"/>
        </w:rPr>
        <w:t>with Magnolia Pictures,</w:t>
      </w:r>
      <w:r>
        <w:rPr>
          <w:rFonts w:ascii="Times New Roman" w:cs="Times New Roman" w:eastAsia="Times New Roman" w:hAnsi="Times New Roman"/>
          <w:sz w:val="18"/>
          <w:szCs w:val="18"/>
          <w:i w:val="1"/>
          <w:iCs w:val="1"/>
          <w:color w:val="auto"/>
        </w:rPr>
        <w:t xml:space="preserve"> Springsteen: Deliver Me From Nowhere </w:t>
      </w:r>
      <w:r>
        <w:rPr>
          <w:rFonts w:ascii="Times New Roman" w:cs="Times New Roman" w:eastAsia="Times New Roman" w:hAnsi="Times New Roman"/>
          <w:sz w:val="18"/>
          <w:szCs w:val="18"/>
          <w:color w:val="auto"/>
        </w:rPr>
        <w:t>with 20th Century Studios, and</w:t>
      </w:r>
      <w:r>
        <w:rPr>
          <w:rFonts w:ascii="Times New Roman" w:cs="Times New Roman" w:eastAsia="Times New Roman" w:hAnsi="Times New Roman"/>
          <w:sz w:val="18"/>
          <w:szCs w:val="18"/>
          <w:i w:val="1"/>
          <w:iCs w:val="1"/>
          <w:color w:val="auto"/>
        </w:rPr>
        <w:t xml:space="preserve"> G-Dragon in Cinema [Übermensch] </w:t>
      </w:r>
      <w:r>
        <w:rPr>
          <w:rFonts w:ascii="Times New Roman" w:cs="Times New Roman" w:eastAsia="Times New Roman" w:hAnsi="Times New Roman"/>
          <w:sz w:val="18"/>
          <w:szCs w:val="18"/>
          <w:color w:val="auto"/>
        </w:rPr>
        <w:t>with CJ CGV Co. Ltd. The Company also partnered with Bleecker Street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release of </w:t>
      </w:r>
      <w:r>
        <w:rPr>
          <w:rFonts w:ascii="Times New Roman" w:cs="Times New Roman" w:eastAsia="Times New Roman" w:hAnsi="Times New Roman"/>
          <w:sz w:val="18"/>
          <w:szCs w:val="18"/>
          <w:i w:val="1"/>
          <w:iCs w:val="1"/>
          <w:color w:val="auto"/>
        </w:rPr>
        <w:t>Spinal Tap II: The End Continues</w:t>
      </w:r>
      <w:r>
        <w:rPr>
          <w:rFonts w:ascii="Times New Roman" w:cs="Times New Roman" w:eastAsia="Times New Roman" w:hAnsi="Times New Roman"/>
          <w:sz w:val="18"/>
          <w:szCs w:val="18"/>
          <w:color w:val="auto"/>
        </w:rPr>
        <w:t>, including a live Q&amp;A event.</w:t>
      </w:r>
    </w:p>
    <w:p>
      <w:pPr>
        <w:spacing w:after="0" w:line="207" w:lineRule="exact"/>
        <w:rPr>
          <w:sz w:val="20"/>
          <w:szCs w:val="20"/>
          <w:color w:val="auto"/>
        </w:rPr>
      </w:pPr>
    </w:p>
    <w:p>
      <w:pPr>
        <w:jc w:val="both"/>
        <w:ind w:right="20" w:firstLine="194"/>
        <w:spacing w:after="0" w:line="283" w:lineRule="auto"/>
        <w:rPr>
          <w:sz w:val="20"/>
          <w:szCs w:val="20"/>
          <w:color w:val="auto"/>
        </w:rPr>
      </w:pPr>
      <w:r>
        <w:rPr>
          <w:rFonts w:ascii="Times New Roman" w:cs="Times New Roman" w:eastAsia="Times New Roman" w:hAnsi="Times New Roman"/>
          <w:sz w:val="18"/>
          <w:szCs w:val="18"/>
          <w:color w:val="auto"/>
        </w:rPr>
        <w:t xml:space="preserve">The Company also continued its partnership with A24 to present one-night-only IMAX releases of classic A24 titles, including </w:t>
      </w:r>
      <w:r>
        <w:rPr>
          <w:rFonts w:ascii="Times New Roman" w:cs="Times New Roman" w:eastAsia="Times New Roman" w:hAnsi="Times New Roman"/>
          <w:sz w:val="18"/>
          <w:szCs w:val="18"/>
          <w:i w:val="1"/>
          <w:iCs w:val="1"/>
          <w:color w:val="auto"/>
        </w:rPr>
        <w:t>Talk to Me, Moonlight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Spring Breakers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Company released several event-based and live screenings in 2025, including </w:t>
      </w:r>
      <w:r>
        <w:rPr>
          <w:rFonts w:ascii="Times New Roman" w:cs="Times New Roman" w:eastAsia="Times New Roman" w:hAnsi="Times New Roman"/>
          <w:sz w:val="18"/>
          <w:szCs w:val="18"/>
          <w:i w:val="1"/>
          <w:iCs w:val="1"/>
          <w:color w:val="auto"/>
        </w:rPr>
        <w:t>Dead &amp; Company Live in IMAX from Golden Gate Park</w:t>
      </w:r>
      <w:r>
        <w:rPr>
          <w:rFonts w:ascii="Times New Roman" w:cs="Times New Roman" w:eastAsia="Times New Roman" w:hAnsi="Times New Roman"/>
          <w:sz w:val="18"/>
          <w:szCs w:val="18"/>
          <w:color w:val="auto"/>
        </w:rPr>
        <w:t xml:space="preserve"> with Los Muertos, </w:t>
      </w:r>
      <w:r>
        <w:rPr>
          <w:rFonts w:ascii="Times New Roman" w:cs="Times New Roman" w:eastAsia="Times New Roman" w:hAnsi="Times New Roman"/>
          <w:sz w:val="18"/>
          <w:szCs w:val="18"/>
          <w:i w:val="1"/>
          <w:iCs w:val="1"/>
          <w:color w:val="auto"/>
        </w:rPr>
        <w:t>The Grateful Dead Movie 2025 Meet-Up,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David Gilmour Live at the Circus Maximus, Rome</w:t>
      </w:r>
      <w:r>
        <w:rPr>
          <w:rFonts w:ascii="Times New Roman" w:cs="Times New Roman" w:eastAsia="Times New Roman" w:hAnsi="Times New Roman"/>
          <w:sz w:val="18"/>
          <w:szCs w:val="18"/>
          <w:color w:val="auto"/>
        </w:rPr>
        <w:t xml:space="preserve"> with Trafalgar Releasing, and </w:t>
      </w:r>
      <w:r>
        <w:rPr>
          <w:rFonts w:ascii="Times New Roman" w:cs="Times New Roman" w:eastAsia="Times New Roman" w:hAnsi="Times New Roman"/>
          <w:sz w:val="18"/>
          <w:szCs w:val="18"/>
          <w:i w:val="1"/>
          <w:iCs w:val="1"/>
          <w:color w:val="auto"/>
        </w:rPr>
        <w:t>Girl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Climber </w:t>
      </w:r>
      <w:r>
        <w:rPr>
          <w:rFonts w:ascii="Times New Roman" w:cs="Times New Roman" w:eastAsia="Times New Roman" w:hAnsi="Times New Roman"/>
          <w:sz w:val="18"/>
          <w:szCs w:val="18"/>
          <w:color w:val="auto"/>
        </w:rPr>
        <w:t>with Red Bull Studios. In collaboration with Runway AI, Inc,</w:t>
      </w:r>
      <w:r>
        <w:rPr>
          <w:rFonts w:ascii="Times New Roman" w:cs="Times New Roman" w:eastAsia="Times New Roman" w:hAnsi="Times New Roman"/>
          <w:sz w:val="18"/>
          <w:szCs w:val="18"/>
          <w:i w:val="1"/>
          <w:iCs w:val="1"/>
          <w:color w:val="auto"/>
        </w:rPr>
        <w:t xml:space="preserve"> Runway’s 2025 AI Film Festival </w:t>
      </w:r>
      <w:r>
        <w:rPr>
          <w:rFonts w:ascii="Times New Roman" w:cs="Times New Roman" w:eastAsia="Times New Roman" w:hAnsi="Times New Roman"/>
          <w:sz w:val="18"/>
          <w:szCs w:val="18"/>
          <w:color w:val="auto"/>
        </w:rPr>
        <w:t>was released across ten North American IMAX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locations. The Company further expanded its live content offerings through partnerships with NBC Universal for the </w:t>
      </w:r>
      <w:r>
        <w:rPr>
          <w:rFonts w:ascii="Times New Roman" w:cs="Times New Roman" w:eastAsia="Times New Roman" w:hAnsi="Times New Roman"/>
          <w:sz w:val="18"/>
          <w:szCs w:val="18"/>
          <w:i w:val="1"/>
          <w:iCs w:val="1"/>
          <w:color w:val="auto"/>
        </w:rPr>
        <w:t>SNL50: The Homecoming Concert</w:t>
      </w:r>
      <w:r>
        <w:rPr>
          <w:rFonts w:ascii="Times New Roman" w:cs="Times New Roman" w:eastAsia="Times New Roman" w:hAnsi="Times New Roman"/>
          <w:sz w:val="18"/>
          <w:szCs w:val="18"/>
          <w:color w:val="auto"/>
        </w:rPr>
        <w:t xml:space="preserve"> in select IMAX North American locations, DAZN for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PSG v Marseille Le Classique Match </w:t>
      </w:r>
      <w:r>
        <w:rPr>
          <w:rFonts w:ascii="Times New Roman" w:cs="Times New Roman" w:eastAsia="Times New Roman" w:hAnsi="Times New Roman"/>
          <w:sz w:val="18"/>
          <w:szCs w:val="18"/>
          <w:color w:val="auto"/>
        </w:rPr>
        <w:t>in select IMAX locations across France, Wanda Film for the</w:t>
      </w:r>
      <w:r>
        <w:rPr>
          <w:rFonts w:ascii="Times New Roman" w:cs="Times New Roman" w:eastAsia="Times New Roman" w:hAnsi="Times New Roman"/>
          <w:sz w:val="18"/>
          <w:szCs w:val="18"/>
          <w:i w:val="1"/>
          <w:iCs w:val="1"/>
          <w:color w:val="auto"/>
        </w:rPr>
        <w:t xml:space="preserve"> F1 Spanish Grand Prix </w:t>
      </w:r>
      <w:r>
        <w:rPr>
          <w:rFonts w:ascii="Times New Roman" w:cs="Times New Roman" w:eastAsia="Times New Roman" w:hAnsi="Times New Roman"/>
          <w:sz w:val="18"/>
          <w:szCs w:val="18"/>
          <w:color w:val="auto"/>
        </w:rPr>
        <w:t>screening across six IMAX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locations in China, Major League Baseball for a live streaming of a </w:t>
      </w:r>
      <w:r>
        <w:rPr>
          <w:rFonts w:ascii="Times New Roman" w:cs="Times New Roman" w:eastAsia="Times New Roman" w:hAnsi="Times New Roman"/>
          <w:sz w:val="18"/>
          <w:szCs w:val="18"/>
          <w:i w:val="1"/>
          <w:iCs w:val="1"/>
          <w:color w:val="auto"/>
        </w:rPr>
        <w:t>World Series</w:t>
      </w:r>
      <w:r>
        <w:rPr>
          <w:rFonts w:ascii="Times New Roman" w:cs="Times New Roman" w:eastAsia="Times New Roman" w:hAnsi="Times New Roman"/>
          <w:sz w:val="18"/>
          <w:szCs w:val="18"/>
          <w:color w:val="auto"/>
        </w:rPr>
        <w:t xml:space="preserve"> game across two IMAX locations in Japan and with multiple exhibitor partners in China the </w:t>
      </w:r>
      <w:r>
        <w:rPr>
          <w:rFonts w:ascii="Times New Roman" w:cs="Times New Roman" w:eastAsia="Times New Roman" w:hAnsi="Times New Roman"/>
          <w:sz w:val="18"/>
          <w:szCs w:val="18"/>
          <w:i w:val="1"/>
          <w:iCs w:val="1"/>
          <w:color w:val="auto"/>
        </w:rPr>
        <w:t>League of Legends Video Games</w:t>
      </w:r>
      <w:r>
        <w:rPr>
          <w:rFonts w:ascii="Times New Roman" w:cs="Times New Roman" w:eastAsia="Times New Roman" w:hAnsi="Times New Roman"/>
          <w:sz w:val="18"/>
          <w:szCs w:val="18"/>
          <w:color w:val="auto"/>
        </w:rPr>
        <w:t xml:space="preserve"> 2025 finals across over 100 IMAX China locations. Furthermore, in 2025, the Company partnered with Netflix for release of </w:t>
      </w:r>
      <w:r>
        <w:rPr>
          <w:rFonts w:ascii="Times New Roman" w:cs="Times New Roman" w:eastAsia="Times New Roman" w:hAnsi="Times New Roman"/>
          <w:sz w:val="18"/>
          <w:szCs w:val="18"/>
          <w:i w:val="1"/>
          <w:iCs w:val="1"/>
          <w:color w:val="auto"/>
        </w:rPr>
        <w:t>Frankenstein</w:t>
      </w:r>
      <w:r>
        <w:rPr>
          <w:rFonts w:ascii="Times New Roman" w:cs="Times New Roman" w:eastAsia="Times New Roman" w:hAnsi="Times New Roman"/>
          <w:sz w:val="18"/>
          <w:szCs w:val="18"/>
          <w:color w:val="auto"/>
        </w:rPr>
        <w:t xml:space="preserve"> across select IMAX locations.</w:t>
      </w:r>
    </w:p>
    <w:p>
      <w:pPr>
        <w:spacing w:after="0" w:line="20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The Company will continue to expand its partnerships and the scope and diversity of content it releases across its platform. Already announced for 2026 are the following concert films and events, many of which have exclusive IMAX windows: </w:t>
      </w:r>
      <w:r>
        <w:rPr>
          <w:rFonts w:ascii="Times New Roman" w:cs="Times New Roman" w:eastAsia="Times New Roman" w:hAnsi="Times New Roman"/>
          <w:sz w:val="18"/>
          <w:szCs w:val="18"/>
          <w:i w:val="1"/>
          <w:iCs w:val="1"/>
          <w:color w:val="auto"/>
        </w:rPr>
        <w:t>Stray Kids: The dominATE Experience, Eric Church: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Evangeline vs. The Machine Comes Alive, Twenty One Pilots: More Than We Ever Imagined,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EPiC: Elvis Presley in Concert. </w:t>
      </w:r>
      <w:r>
        <w:rPr>
          <w:rFonts w:ascii="Times New Roman" w:cs="Times New Roman" w:eastAsia="Times New Roman" w:hAnsi="Times New Roman"/>
          <w:sz w:val="18"/>
          <w:szCs w:val="18"/>
          <w:color w:val="auto"/>
        </w:rPr>
        <w:t>In addition, IMAX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with Apple TV to bring the 2026 FIA Formula One World Championship live to select IMAX locations across the United States for the first time ever. Five of the most iconic Grands Prix in F1 — Miami, Monaco, Silverstone, Monza, and Austin — will be available across at least 50 IMAX locations nationwide.</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utilizes AI tools and technology across its products and business operations. Within its products, AI is used for purposes such as image enhancement and video streaming optimization. In its business operations, the Company employs AI in various functions, including research, data analysis, marketing, theater operations, slate programming, and general productivity improvements. It is actively exploring other global use cases for AI to improve its products, operations, and efficiency.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IMAX network is the most extensive premium network in the world with 1,864 IMAX Systems operating in locations in 91 countries and territories, including 1,796 commercial multiplexes, 10 commercial destinations and 58 institutional locations as of December 31, 2025.</w:t>
      </w:r>
    </w:p>
    <w:p>
      <w:pPr>
        <w:spacing w:after="0" w:line="189"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IMAX grew its network by 3.2% in 2025, driven by 98 new IMAX Systems installations, and ended the year with a backlog (as defined and discussed under the caption “IMAX SYSTEMS” below) of 434 IMAX Systems. The Company believes that the majority of its future network growth will come from international markets (defined as all countries other than the United States and Canada). In 2025, the Company experienced a significant expansion of 8.4% in its commercial network outside of North America and Greater China, including expansion into two new countries, Lithuania and Iraq. In countries such as Japan and Australia, the network increased by 17% and more than 100%, respectively, as compared to the prior year. During 2025, the Company also achieved growth of more than 10% in Western Europe, primarily due to expansion in France, Germany, and the Netherlands. While the Company’s international market share has grown 800 basis points over the past five years, it is less than half of its domestic market share. The Company believes that such underrepresentation and the increasing interest and demand in premium large-format experience in recent years present a significant market expansion opportunity for IMAX. As of December 31, 2025, 76% of IMAX Systems in the global commercial multiplex network were located within international markets. Revenues and gross box office (“GBO”) derived from international markets continue to exceed revenues and GBO from the United States and Canada combined.</w:t>
      </w:r>
    </w:p>
    <w:p>
      <w:pPr>
        <w:spacing w:after="0" w:line="22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(Refer to “Risk Factors – The Company conducts business internationally, which exposes it to uncertainties and risks that could negatively affect its operations, sales, and future growth prospects,” “– The Company faces risks in connection with its significant presence in China and the continued expansion of its business there,” “– General political, social and economic conditions can affect the Company’s business by reducing both revenues generated from existing IMAX Systems and the demand for new IMAX Systems,” and “– The Company may not convert all of its backlog into revenue and cash flows” in Part I, Item 1A.)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is an innovator in entertainment technology, combining proprietary software, auditorium architecture, and specialty projection and sound system equipment to deliver what it believes is the most immersive in-theater experience in the world while also distributing a significant and growing portfolio of films and other content across its global network.</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principal products and services are as follows:</w:t>
      </w:r>
    </w:p>
    <w:p>
      <w:pPr>
        <w:spacing w:after="0" w:line="251" w:lineRule="exact"/>
        <w:rPr>
          <w:sz w:val="20"/>
          <w:szCs w:val="20"/>
          <w:color w:val="auto"/>
        </w:rPr>
      </w:pPr>
    </w:p>
    <w:p>
      <w:pPr>
        <w:ind w:left="780" w:hanging="384"/>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Film Remastering – The digital remastering of films and other content into IMAX formats for distribution to the IMAX network.</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left="780" w:hanging="384"/>
        <w:spacing w:after="0" w:line="265" w:lineRule="auto"/>
        <w:tabs>
          <w:tab w:leader="none" w:pos="7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Distribution, Production and Post-Production – The distribution of large-format documentary films, primarily to institutional IMAX theaters, and, increasingly, the distribution of exclusive IMAX events and experiences, including music, gaming, and sports to commercial IMAX theaters, as well as the provision of film post-production services.</w:t>
      </w:r>
    </w:p>
    <w:p>
      <w:pPr>
        <w:spacing w:after="0" w:line="203"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Systems – The sale or lease of premium IMAX Systems to exhibitor customers.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Maintenance – The provision of preventative and emergency maintenance services and quality monitoring to the IMAX network.</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Principally includes the Company’s Streaming and Consumer Technology business, as well as other ancillary activities.</w:t>
      </w:r>
    </w:p>
    <w:p>
      <w:pPr>
        <w:spacing w:after="0" w:line="251"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assesses and evaluates its performance based on the operating results of the Content Solutions and Technology Products and Services segments, which largely reflect the different customer bases the Company serves. The Content Solutions segment principally focuses on content enhancement and distribution services for the Company’s movie studio customers and content creators. The Technology Products and Services segment primarily consists of products and services for the Company’s exhibitor customers, including the sale, lease, and ongoing maintenance of IMAX Systems. The Company’s segment information is provided in Part II, Item 7, “Management’s Discussion and Analysis of Financial Condition and Results of Operations” and Note 20 to “Consolidated Financial Statements” in Part II, Item 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FILM REMASTERING</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 xml:space="preserve">IMAX Film Remastering is a proprietary technology that digitally remasters films into IMAX formats. IMAX Film Remastering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across the IMAX network is remastered for IMAX digital sound systems. IMAX remastered soundtracks are uncompressed and full fidelity. IMAX sound systems use proprietary loudspeaker systems and proprietary surround sound configurations that ensure every seat in an auditorium is an optimal listening position.</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IMAX Film Remastering process can involve:</w:t>
      </w:r>
    </w:p>
    <w:p>
      <w:pPr>
        <w:spacing w:after="0" w:line="251" w:lineRule="exact"/>
        <w:rPr>
          <w:sz w:val="20"/>
          <w:szCs w:val="20"/>
          <w:color w:val="auto"/>
        </w:rPr>
      </w:pPr>
    </w:p>
    <w:p>
      <w:pPr>
        <w:ind w:left="780" w:hanging="384"/>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at the highest possible resolution, each individual frame of the film and converting it into a digital image;</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image using proprietary image enhancement tools;</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digital image using techniques such as sharpening, color correction, grain, noise, and unwanted artifacts removal, and unsteadiness elimination;</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recording the enhanced digital image into an IMAX digital cinema package format or onto IMAX 15/70-format film; and</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remastering the soundtrack to take full advantage of the unique sound system of IMAX Systems.</w:t>
      </w:r>
    </w:p>
    <w:p>
      <w:pPr>
        <w:spacing w:after="0" w:line="251"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screen versus a conventional screen. In select IMAX locations worldwide, movies filmed with IMAX cameras have an IMAX-exclusive 1.43 film aspect ratio, with up to 67% more image compared to a standard conventional movie screen.</w:t>
      </w:r>
    </w:p>
    <w:p>
      <w:pPr>
        <w:spacing w:after="0" w:line="211" w:lineRule="exact"/>
        <w:rPr>
          <w:sz w:val="20"/>
          <w:szCs w:val="20"/>
          <w:color w:val="auto"/>
        </w:rPr>
      </w:pPr>
    </w:p>
    <w:p>
      <w:pPr>
        <w:jc w:val="both"/>
        <w:ind w:firstLine="194"/>
        <w:spacing w:after="0" w:line="242" w:lineRule="auto"/>
        <w:rPr>
          <w:sz w:val="20"/>
          <w:szCs w:val="20"/>
          <w:color w:val="auto"/>
        </w:rPr>
      </w:pPr>
      <w:r>
        <w:rPr>
          <w:rFonts w:ascii="Times New Roman" w:cs="Times New Roman" w:eastAsia="Times New Roman" w:hAnsi="Times New Roman"/>
          <w:sz w:val="18"/>
          <w:szCs w:val="18"/>
          <w:color w:val="auto"/>
        </w:rPr>
        <w:t xml:space="preserve">Filmed For IMAX is IMAX’s filmmaker partnership program. Filmmakers who participate in the program leverage IMAX technology throughout the production process to deliver a movie that is meant to be seen in an IMAX location. From pre-production, through to release, the Company works closely with filmmakers to maximize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for audiences. Filmed For IMAX movies are shot using either an IMAX certified digital camera or an IMAX film camera with the IMAX Post-Production team working closely with the filmmaker from camera testing before the shoot begins, to on-set support, to test screenings, and post-production. Most Filmed For IMAX movies leverage IMAX’s exclusive expanded aspect ratio for select sequences and, occasionally, the entire film, and benefit from unique marketing support.</w:t>
      </w:r>
    </w:p>
    <w:p>
      <w:pPr>
        <w:spacing w:after="0" w:line="22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Management believes that growth in global box office remains an important driver of growth for the Company. To support continued growth in international markets, the Company is focused on the expansion of the IMAX network and has sought to bolster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its international film strategy, supplementing its slate of Hollywood films with appealing local language films released in select markets, including China, Japan, India, South Korea, and France. More recently, the Company has further expanded its strategy by distributing local language content beyond native markets.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Refer to “Management’s Discussion and Analysis of Financial Condition and Results of Operations ― Sources of Revenue” for the number of new films and other content released to the Company’s global network during the years ended December 31, 2025 and 2024, and announced titles to be released to the IMAX network in 2026 in Part II, Item 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FILM DISTRIBUTION, PRODUCTION AND POST-PRODUCTION</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believes that the IMAX network is a valuable global platform to launch and distribute original content, including documentaries. The Company receives, as its distribution fee, either a fixed amount or a fixed percentage of the box office receipts and, following the recoupment of its costs, is typically entitled to receive an additional percentage of gross revenues as participation revenues.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distributes large-format documentary films, primarily to institutional customers, and other original content. The ownership rights to documentary content may be held by the film sponsors, the film investors and/or the Company. As of December 31, 2025, the Company had distribution rights with respect to approximately 75 films, which cover subjects such as space, wildlife, music, sports, history, and natural wonders.</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December 31, 2025, the Company was able to deliver live and interactive events to over 400 locations worldwide.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SYSTEMS</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Company’s primary products are its various digital and laser projection systems, which are either sold or leased to exhibitor customers along with a license for the use of the globally recognized IMAX brand. The Company’s projection systems include a projector that offers superior image quality and stability and a digital theater control system; a digital audio system; a screen with a proprietary coating technology and, in certain situations, 3D glasses and cleaning equipment. The Company’s projection systems provide a premium and differentiated experience to audiences that is consistent with what they have come to expect from the IMAX brand, while providing exhibitor customers with the compelling economics and flexibility that digital technology affords.</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part of the arrangement to sell or lease an IMAX System, the Company provides extensive advice on auditorium planning and design, as well as supervision of installation services. The terms of each sale or lease arrangement vary according to the configuration of the IMAX System, as well as the cinema and film distribution markets relevant to the geographic location of the customer.</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 xml:space="preserve">Revenue from the sale or lease of an IMAX System may be recognized at a different time from when cash is collected from the exhibitor customer. Further discussion of the Company’s revenue recognition policies is provided in “Critical Accounting Estimates” in Part II, Item 7 and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 to “Consolidated Financial Statements” in Part II, Item 8.</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number of IMAX Systems that were in the network and in backlog, by configuration, as of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tcPr>
          <w:p>
            <w:pPr>
              <w:spacing w:after="0"/>
              <w:rPr>
                <w:sz w:val="16"/>
                <w:szCs w:val="16"/>
                <w:color w:val="auto"/>
              </w:rPr>
            </w:pPr>
          </w:p>
        </w:tc>
      </w:tr>
      <w:tr>
        <w:trPr>
          <w:trHeight w:val="39"/>
        </w:trPr>
        <w:tc>
          <w:tcPr>
            <w:tcW w:w="248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71"/>
        </w:trPr>
        <w:tc>
          <w:tcPr>
            <w:tcW w:w="24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System Network</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New</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System Network</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New</w:t>
            </w:r>
          </w:p>
        </w:tc>
        <w:tc>
          <w:tcPr>
            <w:tcW w:w="13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Upgrade</w:t>
            </w:r>
          </w:p>
        </w:tc>
      </w:tr>
      <w:tr>
        <w:trPr>
          <w:trHeight w:val="188"/>
        </w:trPr>
        <w:tc>
          <w:tcPr>
            <w:tcW w:w="248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Backlog</w:t>
            </w: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Upgrade Backlog</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Backlog</w:t>
            </w:r>
          </w:p>
        </w:tc>
        <w:tc>
          <w:tcPr>
            <w:tcW w:w="13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Backlog</w:t>
            </w:r>
          </w:p>
        </w:tc>
      </w:tr>
      <w:tr>
        <w:trPr>
          <w:trHeight w:val="39"/>
        </w:trPr>
        <w:tc>
          <w:tcPr>
            <w:tcW w:w="24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Laser Systems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Xenon Systems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Film Systems</w:t>
            </w:r>
            <w:r>
              <w:rPr>
                <w:rFonts w:ascii="Times New Roman" w:cs="Times New Roman" w:eastAsia="Times New Roman" w:hAnsi="Times New Roman"/>
                <w:sz w:val="23"/>
                <w:szCs w:val="23"/>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0" w:lineRule="exact"/>
        <w:rPr>
          <w:sz w:val="20"/>
          <w:szCs w:val="20"/>
          <w:color w:val="auto"/>
        </w:rPr>
      </w:pPr>
    </w:p>
    <w:p>
      <w:pPr>
        <w:ind w:left="340" w:hanging="332"/>
        <w:spacing w:after="0" w:line="301" w:lineRule="auto"/>
        <w:tabs>
          <w:tab w:leader="none" w:pos="33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certain IMAX commercial locations, IMAX Film Systems operate alongside an IMAX Laser System or IMAX Xenon System and are interchanged depending on the format of the content being shown, and are not included in the total IMAX Network or System Backlog.</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Laser Systems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currently sells or leases two different configurations of the IMAX Laser Systems. IMAX Laser Systems present greater brightness and clarity, higher contrast, a wider color gamut and deeper blacks, consume less power and last longer than other digital projection technologies, and are capable of illuminating the largest screens in the IMAX network.</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Xenon Systems</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In 2008, the Company introduced its digital IMAX Xenon System. Prior to 2008, all of the IMAX Systems offered by the Company were film-based and required analog film prints. While the Company continues to support the Xenon network base, it is no longer offering this system for new signings.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Systems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IMAX Film Systems include various configurations, including 2D and 3D systems, and screen sizes. Following the introduction of the digital IMAX Xenon System in 2008, the number of IMAX Film Systems in the IMAX network decreased significantly. However, IMAX’s proprietary format, the IMAX 70mm Film System, continues to be a sought-after IMAX viewing experience. The existing network of 52 unique locations are being actively supported and leveraged for special event releases throughout the year such as with the 2023 release of </w:t>
      </w:r>
      <w:r>
        <w:rPr>
          <w:rFonts w:ascii="Times New Roman" w:cs="Times New Roman" w:eastAsia="Times New Roman" w:hAnsi="Times New Roman"/>
          <w:sz w:val="18"/>
          <w:szCs w:val="18"/>
          <w:i w:val="1"/>
          <w:iCs w:val="1"/>
          <w:color w:val="auto"/>
        </w:rPr>
        <w:t>Oppenheimer</w:t>
      </w:r>
      <w:r>
        <w:rPr>
          <w:rFonts w:ascii="Times New Roman" w:cs="Times New Roman" w:eastAsia="Times New Roman" w:hAnsi="Times New Roman"/>
          <w:sz w:val="18"/>
          <w:szCs w:val="18"/>
          <w:color w:val="auto"/>
        </w:rPr>
        <w:t xml:space="preserve"> in IMAX 70mm film, which garnered significant consumer interest and demand for this format. The IMAX Film Systems were more recently in use for the re-release of </w:t>
      </w:r>
      <w:r>
        <w:rPr>
          <w:rFonts w:ascii="Times New Roman" w:cs="Times New Roman" w:eastAsia="Times New Roman" w:hAnsi="Times New Roman"/>
          <w:sz w:val="18"/>
          <w:szCs w:val="18"/>
          <w:i w:val="1"/>
          <w:iCs w:val="1"/>
          <w:color w:val="auto"/>
        </w:rPr>
        <w:t>Interstellar</w:t>
      </w:r>
      <w:r>
        <w:rPr>
          <w:rFonts w:ascii="Times New Roman" w:cs="Times New Roman" w:eastAsia="Times New Roman" w:hAnsi="Times New Roman"/>
          <w:sz w:val="18"/>
          <w:szCs w:val="18"/>
          <w:color w:val="auto"/>
        </w:rPr>
        <w:t xml:space="preserve"> in 2024 and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in April 2025, and will be used for </w:t>
      </w:r>
      <w:r>
        <w:rPr>
          <w:rFonts w:ascii="Times New Roman" w:cs="Times New Roman" w:eastAsia="Times New Roman" w:hAnsi="Times New Roman"/>
          <w:sz w:val="18"/>
          <w:szCs w:val="18"/>
          <w:i w:val="1"/>
          <w:iCs w:val="1"/>
          <w:color w:val="auto"/>
        </w:rPr>
        <w:t>Project Hail Mary</w:t>
      </w:r>
      <w:r>
        <w:rPr>
          <w:rFonts w:ascii="Times New Roman" w:cs="Times New Roman" w:eastAsia="Times New Roman" w:hAnsi="Times New Roman"/>
          <w:sz w:val="18"/>
          <w:szCs w:val="18"/>
          <w:color w:val="auto"/>
        </w:rPr>
        <w:t xml:space="preserve"> in March 2026 and Christopher Nolan’s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in July 2026.</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3"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“Backlog” reflects the minimum number of commitments for IMAX Systems according to the signed contracts. The Company believes that the contractual obligations for IMAX System installations that are listed in the backlog are valid and binding commitments.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backlog by deal type as of December 31,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35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9"/>
        </w:trPr>
        <w:tc>
          <w:tcPr>
            <w:tcW w:w="4580" w:type="dxa"/>
            <w:vAlign w:val="bottom"/>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9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60" w:type="dxa"/>
            <w:vAlign w:val="bottom"/>
            <w:gridSpan w:val="3"/>
          </w:tcPr>
          <w:p>
            <w:pPr>
              <w:jc w:val="center"/>
              <w:ind w:left="107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2060" w:type="dxa"/>
            <w:vAlign w:val="bottom"/>
            <w:gridSpan w:val="3"/>
          </w:tcPr>
          <w:p>
            <w:pPr>
              <w:jc w:val="center"/>
              <w:ind w:left="1119"/>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2060" w:type="dxa"/>
            <w:vAlign w:val="bottom"/>
            <w:tcBorders>
              <w:bottom w:val="single" w:sz="8" w:color="auto"/>
            </w:tcBorders>
            <w:gridSpan w:val="3"/>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9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580" w:type="dxa"/>
            <w:vAlign w:val="bottom"/>
            <w:vMerge w:val="continue"/>
          </w:tcPr>
          <w:p>
            <w:pPr>
              <w:spacing w:after="0"/>
              <w:rPr>
                <w:sz w:val="15"/>
                <w:szCs w:val="15"/>
                <w:color w:val="auto"/>
              </w:rPr>
            </w:pPr>
          </w:p>
        </w:tc>
        <w:tc>
          <w:tcPr>
            <w:tcW w:w="20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19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New</w:t>
            </w: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Upgrade</w:t>
            </w:r>
          </w:p>
        </w:tc>
        <w:tc>
          <w:tcPr>
            <w:tcW w:w="0" w:type="dxa"/>
            <w:vAlign w:val="bottom"/>
          </w:tcPr>
          <w:p>
            <w:pPr>
              <w:spacing w:after="0"/>
              <w:rPr>
                <w:sz w:val="1"/>
                <w:szCs w:val="1"/>
                <w:color w:val="auto"/>
              </w:rPr>
            </w:pPr>
          </w:p>
        </w:tc>
      </w:tr>
      <w:tr>
        <w:trPr>
          <w:trHeight w:val="39"/>
        </w:trPr>
        <w:tc>
          <w:tcPr>
            <w:tcW w:w="45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5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Hybrid JRSA</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3"/>
                <w:szCs w:val="23"/>
                <w:color w:val="auto"/>
                <w:vertAlign w:val="superscript"/>
              </w:rPr>
              <w:t>(2)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8" w:lineRule="exact"/>
        <w:rPr>
          <w:rFonts w:ascii="Times New Roman" w:cs="Times New Roman" w:eastAsia="Times New Roman" w:hAnsi="Times New Roman"/>
          <w:sz w:val="14"/>
          <w:szCs w:val="14"/>
          <w:i w:val="1"/>
          <w:iCs w:val="1"/>
          <w:color w:val="auto"/>
        </w:rPr>
      </w:pPr>
    </w:p>
    <w:p>
      <w:pPr>
        <w:ind w:left="340" w:right="140" w:hanging="314"/>
        <w:spacing w:after="0" w:line="274" w:lineRule="auto"/>
        <w:tabs>
          <w:tab w:leader="none" w:pos="332"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consideration owed under traditional joint revenue sharing arrangement (“JRSAs”) is typically a percentage of contingent box office receipts rather than a fixed upfront fee or fixed annual minimum payments.</w:t>
      </w:r>
    </w:p>
    <w:p>
      <w:pPr>
        <w:spacing w:after="0" w:line="33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is unable to proceed with installation, the agreement with the customer may be terminated or amended. If the agreement is terminated and there are no future obligations under the agreement, all or a portion of the initial rents or fees that the customer previously made to the Company are recognized as revenue. (Refer to “Risk Factors ― The Company may not convert all of its backlog into revenue and cash flows” in Part I, Item 1A.)</w:t>
      </w:r>
    </w:p>
    <w:p>
      <w:pPr>
        <w:spacing w:after="0" w:line="21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Certain of the Company’s contracts contain options for the exhibitor customer to elect to upgrade the system type configuration during the term or to alter the contract structure (for example, from a JRSA to a sale) after signing, but before installation. Backlog information as of December 31, 2025, reflects all known elections as of such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MAINTENANCE</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 (Refer to “Manufacturing and Services—Maintenance and Extended Warranty Services”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PRODUCTS AND SERVICES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0" w:lineRule="exact"/>
        <w:rPr>
          <w:sz w:val="20"/>
          <w:szCs w:val="20"/>
          <w:color w:val="auto"/>
        </w:rPr>
      </w:pPr>
    </w:p>
    <w:p>
      <w:pPr>
        <w:jc w:val="both"/>
        <w:ind w:firstLine="194"/>
        <w:spacing w:after="0" w:line="236" w:lineRule="auto"/>
        <w:rPr>
          <w:sz w:val="20"/>
          <w:szCs w:val="20"/>
          <w:color w:val="auto"/>
        </w:rPr>
      </w:pPr>
      <w:r>
        <w:rPr>
          <w:rFonts w:ascii="Times New Roman" w:cs="Times New Roman" w:eastAsia="Times New Roman" w:hAnsi="Times New Roman"/>
          <w:sz w:val="18"/>
          <w:szCs w:val="18"/>
          <w:color w:val="auto"/>
        </w:rPr>
        <w:t>IMAX’s Streaming and Consumer Technology (“SCT”) business offers a single unified program: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This umbrella program builds on IMAX’s brand and proprietary VisionScience™ technology to deliver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to users across streaming platforms and consumer devices. The new IMAX Enhanced program for partners includes three core elements:</w:t>
      </w:r>
    </w:p>
    <w:p>
      <w:pPr>
        <w:spacing w:after="0" w:line="225" w:lineRule="exact"/>
        <w:rPr>
          <w:sz w:val="20"/>
          <w:szCs w:val="20"/>
          <w:color w:val="auto"/>
        </w:rPr>
      </w:pPr>
    </w:p>
    <w:p>
      <w:pPr>
        <w:ind w:left="660" w:right="20" w:hanging="329"/>
        <w:spacing w:after="0" w:line="28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Live: Real-time enhancement for sports, concerts, and events using SCT’s proprietary technology to measure, enhance, optimize, and validate premium color, contrast, and clarity at the speed of live.</w:t>
      </w:r>
    </w:p>
    <w:p>
      <w:pPr>
        <w:spacing w:after="0" w:line="188"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On-Demand: Quality preservation and optimization for films and series to preserve creative intent with IMAX-calibrated fidelity and remastering, offering viewers a differentiated, premium IMAX-assured experience. IMAX Enhanced on-demand content is currently available for fan-favorite titles across leading services such as Disney+, Sony Pictures Core, and Tencent Video.</w:t>
      </w:r>
    </w:p>
    <w:p>
      <w:pPr>
        <w:spacing w:after="0" w:line="203" w:lineRule="exact"/>
        <w:rPr>
          <w:rFonts w:ascii="Times New Roman" w:cs="Times New Roman" w:eastAsia="Times New Roman" w:hAnsi="Times New Roman"/>
          <w:sz w:val="18"/>
          <w:szCs w:val="18"/>
          <w:color w:val="auto"/>
        </w:rPr>
      </w:pPr>
    </w:p>
    <w:p>
      <w:pPr>
        <w:jc w:val="both"/>
        <w:ind w:left="660" w:hanging="329"/>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Certification &amp; Calibration: Establishes IMAX quality standards for consumer devices to ensure playback meets IMAX benchmarks. It assures that the enhancement and preservation of quality applied upstream for both Live and On-Demand workflows are maintained faithfully and experienced as intended on consumer devices. As of December 31, 2025, IMAX Enhanced certified devices in-market are with partners including Sony Electronics, Hisense, TCL, LG, and Philips.</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SCT products previously branded as StreamSmart™ (encoding optimization) and StreamAware™ (quality assurance and monitoring) have been integrated into the IMAX Enhanced program, streamlining operations and enabling partners to deliver premium viewing experiences validated through IMAX’s proprietary quality standards.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IMAX’s SCT represents an extension of the IMAX brand and technology beyond traditional theatrical programming into live streaming for connected theaters and live and on-demand streaming home entertainment experiences. Leveraging IMAX’s globally recognized brand and proprietary technology, IMAX Enhanced is designed to drive consumer engagement and create incremental return on investment for content owners and rights holders.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derives a small portion of its revenue from other sources including one owned and operated IMAX System in Sacramento, California; a commercial arrangement with one theater resulting in the sharing of profits and losses; and the provision of management services to three other theaters.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CUSTOMERS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markets IMAX Systems through a direct sales force and marketing staff located in offices in Canada, the United States, Greater China, Europe, and Asia. In addition, the Company has agreements with consultants, business brokers, and real estate professionals to locate potential customers for IMAX System locations for the Company on a commission basis.</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4,466 commercial locations, of which there were 1,796 commercial IMAX Systems operating as of December 31, 2025, representing a market penetration of only 40%. Commercial multiplex systems are the largest part of the IMAX network, comprising 1,796 or 96%, of the 1,864 IMAX Systems in the IMAX network as of December 31, 2025. The Company’s institutional customers include science and natural history museums, zoos, aquariums, and other educational and cultural centers. The Company also sells or leases IMAX Systems to commercial destinations such as theme parks, private home theaters, tourist destination sites, fairs, and expositions. As of December 31, 2025, approximately 75% of total open and operational IMAX Systems were in locations outside of the United States and Canada.</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system type and geographic location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Pr>
          <w:p>
            <w:pPr>
              <w:spacing w:after="0"/>
              <w:rPr>
                <w:sz w:val="16"/>
                <w:szCs w:val="16"/>
                <w:color w:val="auto"/>
              </w:rPr>
            </w:pPr>
          </w:p>
        </w:tc>
      </w:tr>
      <w:tr>
        <w:trPr>
          <w:trHeight w:val="39"/>
        </w:trPr>
        <w:tc>
          <w:tcPr>
            <w:tcW w:w="200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20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200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2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9"/>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6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9"/>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3"/>
        </w:trPr>
        <w:tc>
          <w:tcPr>
            <w:tcW w:w="200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0"/>
        </w:trPr>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out-of-home entertainment industry is very diverse with numerous companies vying for the public’s leisure time, and the Company faces competition as a consequence. Within the theatrical space, exhibitors and entertainment technology companies have introduced their own branded, large-screen 3D auditoriums or other premium theater systems, some of which include laser-based projectors, and in many cases have marketed those auditoriums or theater systems as having similar quality or attributes to an IMAX System. The rising consumer interest in premium cinematic experiences has resulted in demand for premium formats and may drive more investment into the Company’s competitors.</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also faces in-home competition from a number of alternative film distribution channels such as subscription streaming services, transactional and advertiser-supported video-on-demand, internet, and broadcast and cable television. The Company further competes for the public’s leisure time and disposable income with other forms of entertainment, including gaming, sporting events, concerts, live theater, social media, and restaurants. Furthermore, the Company may continue to face competition in the future from companies in the entertainment industry with new technologies and/or greater capital resources to develop and support them.</w:t>
      </w:r>
    </w:p>
    <w:p>
      <w:pPr>
        <w:spacing w:after="0" w:line="212"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believes that its competitive strengths include the value of the IMAX brand name, the premium IMAX consumer experience and consumer loyalty, its relationships with prominent Hollywood and international filmmakers and other content creators (a number of whom desire to film their movies and events with IMAX cameras), the tailored distribution and marketing support by dedicated IMAX teams worldwide, and the return on investment of an IMAX System for exhibitors.</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Furthermore, from a technological perspective, the Company believes that its competitive strengths include the design, quality, and historic reliability rate of IMAX Systems (including the IMAX Laser Systems), the IMAX immersive sound system, the level of the Company’s service and maintenance, including its global Network Operations Centre (“NOC”) and extended warranty efforts, the number and quality of IMAX films that it distributes, the availability of Hollywood and international films to the IMAX network through IMAX Film Remastering technology, and the availability of unique and innovative events and experiences such as live streaming of sporting events, esports, distributed concerts, special theatrical screenings, and live Q&amp;A sessions with top content creators.</w:t>
      </w:r>
    </w:p>
    <w:p>
      <w:pPr>
        <w:spacing w:after="0" w:line="209" w:lineRule="exact"/>
        <w:rPr>
          <w:sz w:val="20"/>
          <w:szCs w:val="20"/>
          <w:color w:val="auto"/>
        </w:rPr>
      </w:pPr>
    </w:p>
    <w:p>
      <w:pPr>
        <w:jc w:val="both"/>
        <w:ind w:firstLine="194"/>
        <w:spacing w:after="0" w:line="283" w:lineRule="auto"/>
        <w:rPr>
          <w:sz w:val="20"/>
          <w:szCs w:val="20"/>
          <w:color w:val="auto"/>
        </w:rPr>
      </w:pPr>
      <w:r>
        <w:rPr>
          <w:rFonts w:ascii="Times New Roman" w:cs="Times New Roman" w:eastAsia="Times New Roman" w:hAnsi="Times New Roman"/>
          <w:sz w:val="18"/>
          <w:szCs w:val="18"/>
          <w:color w:val="auto"/>
        </w:rPr>
        <w:t xml:space="preserve">The Company believes that these competitive formats deliver overall experiences that are inferior to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do not have IMAX’s brand trust, filmmaker endorsement, loyal fan base, or global footprint and scale.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Exhibitor and Studio Consolidation</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and studios. Since 2016, the commercial exhibitors and studios industry have undergone significant consolidation both domestically and internationally. For example, in 2025 South Korea’s Megabox and Lotte Cinema entered into a merger agreement and are expected to form that nation’s largest theatrical exhibition entity.</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believes that such consolidation in the entertainment industry has helped facilitate the growth of the IMAX network. The Company has historically enjoyed strong relationships with large commercial exhibitor chains, which have greater capital to</w:t>
      </w:r>
    </w:p>
    <w:p>
      <w:pPr>
        <w:sectPr>
          <w:pgSz w:w="11900" w:h="16838" w:orient="portrait"/>
          <w:cols w:equalWidth="0" w:num="1">
            <w:col w:w="11240"/>
          </w:cols>
          <w:pgMar w:left="320" w:top="364"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 lease, or otherwise acquire IMAX Systems, and major Hollywood studios. The Company believes that consolidation can help strengthen existing relationships and add expanded opportunities. For example, as larger commercial chains such as American Multi-Cinema (“AMC”) and Cineworld have purchased smaller chains, those smaller chains have in turn become part of the IMAX network. For instance, following AMC’s acquisition of Odeon and Nordic in 2016, the Company and AMC entered into an agreement for 25 new IMAX Systems across the Odeon Cinemas Group Limited and Nordic Cinema Group Holding AB network. The Company believes that continued consolidation could facilitate further signings and other strategic benefits going forward. However, exhibitor consolidation has also resulted in individual exhibitor chains constituting a material portion of the Company’s revenue and network.</w:t>
      </w:r>
    </w:p>
    <w:p>
      <w:pPr>
        <w:spacing w:after="0" w:line="211"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also receives revenues from studios and other creators for releasing content across the global IMAX platform. Hollywood studios have also experienced and continue to experience consolidation, as evidenced by the recent acquisitions of 20th Century Fox by Walt Disney Company and of Paramount Global by Skydance Media. In 2025, Warner Bros. Discovery (“WBD”) announced it was considering a sale of its assets and in December 2025, WBD announced it had signed a merger agreement with Netflix, although WBD continues to evaluate offers from Paramount Skydance. Studio consolidation could result in individual studios comprising a greater percentage of the Company’s business and overall Content Solutions segment revenue. The Company actively partners with more than 60 content owners worldwide, including increasingly streaming platforms such as Netflix, Amazon and Apple.</w:t>
      </w:r>
    </w:p>
    <w:p>
      <w:pPr>
        <w:spacing w:after="0" w:line="21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Continued industry consolidation may present risks to the Company. (Refer to “Risk Factors – 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 in Part I, Item 1A.)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IMAX BRAND</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w:t>
      </w:r>
    </w:p>
    <w:p>
      <w:pPr>
        <w:spacing w:after="0" w:line="25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relies on its brand to communicate its market leadership and singular goal of creating entertainment experiences that exceed consumer expectations. Top filmmakers, studios, and other content creators use the IMAX brand to message that a film will connect with audiences in unique and extraordinary ways.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a Filmed For IMAX program through which filmmakers partner closely with IMAX to craft films that fully leverage IMAX technology and where every frame, from inception, is intentionally designed to maximize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Global box office metrics have demonstrated that audiences respond favorably to Filmed For IMAX titles. To capture content in a resolution appropriate for IMAX screens, filmmakers utilize IMAX 65mm film cameras or IMAX-certified digital cameras with leading brands, including ARRI, Panavision, RED Digital Cinema, and Sony. When this content is paired with IMAX’s proprietary post-production process, the result is a truly immersive experience for IMAX audiences globally.</w:t>
      </w:r>
    </w:p>
    <w:p>
      <w:pPr>
        <w:spacing w:after="0" w:line="21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The IMAX brand is a promise to deliver what today’s audiences crave, which is a memorable, more emotionally engaging, more thrilling and shareable experience. IMAX commissions ongoing third-party consumer research to measure the strength of its brand in numerous markets. The Company’s latest 2025 studies show that the IMAX brand is uniquely recognized as a leading, ultra-premium brand, and offers one of the most differentiated movie-going experiences. The IMAX brand has been also shown to signal a special, must-see event. Based on brand tracking research, the IMAX brand ranged from two to 10 times more powerful than other entertainment technology brands across various measures of brand equity and health. The Company believes that its strong brand equity supports consumers’ predisposition to choose IMAX over competing brands and to pay a premium for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believes that its proprietary expertise in digital and film-based projection and sound system component design, engineering, and imaging technology, particularly in laser-based technology results in superior, immersive content experiences for which the IMAX brand is known. A significant portion of the Company’s research and development efforts has been focused on the IMAX Laser Systems, which the Company believes are capable of illuminating the largest screens in the IMAX network and provide greater brightness and clarity, higher contrast, a wider color gamut and deeper blacks, while consuming less power and lasting longer than existing digital technology, to ensure that the Company continues to provide the highest quality, premier cinematic experience available to consumers. The Company has continued research and development aimed at creating more affordable laser-based solutions with various screen sizes for its commercial multiplex customers.</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to support live and interactive events worldwide; expanding its live content streaming platform across the global IMAX network at scale; further improving its proprietary Film Remastering and distribution process for the</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delivery of content for both theatrical (including local language content) and home entertainment; further improving the reliability of its projectors; and enhancing the Company’s image and sound quality.</w:t>
      </w:r>
    </w:p>
    <w:p>
      <w:pPr>
        <w:spacing w:after="0" w:line="18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also continues to invest in new film cameras and other related technologies to bring bespoke capabilities and innovative technology to its 15/65mm camera fleet. The Company completed and deployed four of its all-new fleet of IMAX 65mm film cameras. The new film cameras offer enhanced image quality while incorporating new electronics and software, a more modern design, improved functionality, and breakthrough accompanying technologies that achieve significant noise reduction.</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Within the Company’s SCT business, there is ongoing research and development in perceptual metrics including novel measurement and optimization techniques. Investments are also being made to expand existing and/or develop new technologies that are expected to foster innovative content creation, enhance video and audio quality, support delivery at scale, and ensure premium presentation of content across consumer electronic devices. Furthermore, the Company intends to invest in activities that will capture opportunities to create/build AI and automation into its operations and processes.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SERVICE</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Projector Component Manufacturing</w:t>
      </w:r>
    </w:p>
    <w:p>
      <w:pPr>
        <w:spacing w:after="0" w:line="255" w:lineRule="exact"/>
        <w:rPr>
          <w:sz w:val="20"/>
          <w:szCs w:val="20"/>
          <w:color w:val="auto"/>
        </w:rPr>
      </w:pPr>
    </w:p>
    <w:p>
      <w:pPr>
        <w:jc w:val="both"/>
        <w:ind w:firstLine="194"/>
        <w:spacing w:after="0" w:line="274" w:lineRule="auto"/>
        <w:rPr>
          <w:sz w:val="20"/>
          <w:szCs w:val="20"/>
          <w:color w:val="auto"/>
        </w:rPr>
      </w:pPr>
      <w:r>
        <w:rPr>
          <w:rFonts w:ascii="Times New Roman" w:cs="Times New Roman" w:eastAsia="Times New Roman" w:hAnsi="Times New Roman"/>
          <w:sz w:val="17"/>
          <w:szCs w:val="17"/>
          <w:color w:val="auto"/>
        </w:rPr>
        <w:t>The Company assembles IMAX System projectors at its facility in Mississauga, Ontario, Canada (outside of Toronto). With a few exceptions, the Company develops and designs all of the key elements of the proprietary technology involved in this component. The fabrication of a majority of parts and sub-assemblies is subcontracted to a group of carefully pre-qualified third-party suppliers. Manufacture and supply contracts are signed for the delivery of the component on an order-by-order basis. The Company believes its significant suppliers will continue to supply quality products in quantities sufficient to satisfy its needs. The Company inspects all parts and sub-assemblies, completes the final assembly, and then subjects the projector to comprehensive testing individually and as a system prior to shipment. Historically, these projectors have had reliability rates based on scheduled shows of approximately 99%.</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Sound System Component Manufacturing</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develops, designs, and assembles the key elements of the theater sound system component. The standard IMAX sound system component consists of parts from a variety of sources, with approximately 50% of the materials of each sound system attributable to proprietary parts provided under original equipment manufacturers agreements with outside vendors. These proprietary parts include custom loudspeaker enclosures and horns, specialized amplifiers, and signal processing and control equipment. The Company inspects all parts and sub-assemblies, completes the final assembly, and then subjects the sound system to comprehensive testing as a system.</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Screen and Other Components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purchases its screen components and glasses cleaning equipment from third parties. The standard screen system component consists of a projection screen manufactured to IMAX specifications and a frame to hang the projection screen. The glasses cleaning machine is a stand-alone unit that is connected to the theater’s water and electrical supply to automate the cleaning of 3D glasses.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Maintenance and Extended Warranty Services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provides ongoing maintenance and extended warranty services to IMAX Systems. These arrangements are usually made for a separate fee from purchases. The maintenance and extended warranty arrangements include service, maintenance, and replacement parts for IMAX Systems.</w:t>
      </w:r>
    </w:p>
    <w:p>
      <w:pPr>
        <w:spacing w:after="0" w:line="189"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To support the IMAX network, the Company has personnel stationed in major markets throughout the world, including in its NOCs, who provide periodic and emergency maintenance and extended warranty services on existing IMAX Systems. The Company’s NOC is responsible for round-the-clock monitoring of the global IMAX network to ensure that every IMAX system has a consistent quality and performance level. The Company provides various levels of maintenance and warranty services, which are priced accordingly. Under full-service programs, Company personnel typically visit each IMAX location every six to twelve months to provide preventative maintenance, and cleaning and inspection services, as well as emergency visits to resolve problems and issues with the system. Under some arrangements, customers can elect to participate in a service partnership program whereby the Company trains a customer’s technician to carry out certain aspects of maintenance. Under such shared maintenance arrangements, the Company participates in certain of the customer’s maintenance checks each year, provides a specified number of emergency visits, and provides spare parts, as necessary.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TRADEMARKS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Company’s inventions cover various aspects of its proprietary technology and many of these inventions are protected by letters of patent or applications filed throughout the world, most significantly in the United States, Canada, China, India, Japan, France, Germany, and the United Kingdom. The subject matter covered by these patents and applications includes auditorium design and geometry, audio and display technology, mechanisms employed in projectors and projection equipment (including 3D projection equipment), stereoscopic (3D) imaging, digital remastering, dynamic range and contrast of projectors, seaming or superimposing images from multiple projectors, and other inventions relating to imaging technology, digital projection, laser projection, and video quality assessment. Included in the Company’s patent portfolio are patent families acquired from the Eastman Kodak Company covering laser projection technology. The Company has been and will continue to be diligent in the protection of its proprietary interests.</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the Company held 89 patents and had 13 patents pending in the United States and has corresponding patents or filed applications in many countries throughout the world. While the Company considers its patents to be important to the overall conduct of its business, it does not consider any particular patent essential to its operations. Certain of the Company’s patents expire between 2026 and 2043.</w:t>
      </w:r>
    </w:p>
    <w:p>
      <w:pPr>
        <w:spacing w:after="0" w:line="203" w:lineRule="exact"/>
        <w:rPr>
          <w:sz w:val="20"/>
          <w:szCs w:val="20"/>
          <w:color w:val="auto"/>
        </w:rPr>
      </w:pPr>
    </w:p>
    <w:p>
      <w:pPr>
        <w:jc w:val="both"/>
        <w:ind w:firstLine="194"/>
        <w:spacing w:after="0" w:line="224" w:lineRule="auto"/>
        <w:rPr>
          <w:sz w:val="20"/>
          <w:szCs w:val="20"/>
          <w:color w:val="auto"/>
        </w:rPr>
      </w:pPr>
      <w:r>
        <w:rPr>
          <w:rFonts w:ascii="Times New Roman" w:cs="Times New Roman" w:eastAsia="Times New Roman" w:hAnsi="Times New Roman"/>
          <w:sz w:val="18"/>
          <w:szCs w:val="18"/>
          <w:color w:val="auto"/>
        </w:rPr>
        <w:t>The Company owns or otherwise has rights to trademarks and trade names used in conjunction with the sale of its products, systems, and services. The following trademarks are considered significant in terms of the current and contemplated operations of the Company: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These trademarks are widely protected by registration or common law throughout the world.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recognizes that effective human capital management is essential to its success. The Company’s objectives are centered on cultivating a positive culture and employee experience. By doing so, the Company aims to achieve higher levels of employee engagement, which positively impacts workforce retention, enhances performance, and drives greater innovation.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2025, the Company employed 679 people, with 467 working outside of the United States.</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People Strategy</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achieve these objectives, the Company’s people strategy focuses on the following areas:</w:t>
      </w:r>
    </w:p>
    <w:p>
      <w:pPr>
        <w:spacing w:after="0" w:line="272" w:lineRule="exact"/>
        <w:rPr>
          <w:sz w:val="20"/>
          <w:szCs w:val="20"/>
          <w:color w:val="auto"/>
        </w:rPr>
      </w:pPr>
    </w:p>
    <w:p>
      <w:pPr>
        <w:ind w:left="780" w:hanging="384"/>
        <w:spacing w:after="0"/>
        <w:tabs>
          <w:tab w:leader="none" w:pos="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is committed to building a compelling employee brand that attracts top talent.</w:t>
      </w:r>
    </w:p>
    <w:p>
      <w:pPr>
        <w:spacing w:after="0" w:line="245" w:lineRule="exact"/>
        <w:rPr>
          <w:rFonts w:ascii="Times New Roman" w:cs="Times New Roman" w:eastAsia="Times New Roman" w:hAnsi="Times New Roman"/>
          <w:sz w:val="22"/>
          <w:szCs w:val="22"/>
          <w:color w:val="auto"/>
        </w:rPr>
      </w:pPr>
    </w:p>
    <w:p>
      <w:pPr>
        <w:ind w:left="780" w:hanging="384"/>
        <w:spacing w:after="0"/>
        <w:tabs>
          <w:tab w:leader="none" w:pos="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connects employees with its purpose and values, giving them opportunities to make meaningful contributions.</w:t>
      </w:r>
    </w:p>
    <w:p>
      <w:pPr>
        <w:spacing w:after="0" w:line="245" w:lineRule="exact"/>
        <w:rPr>
          <w:rFonts w:ascii="Times New Roman" w:cs="Times New Roman" w:eastAsia="Times New Roman" w:hAnsi="Times New Roman"/>
          <w:sz w:val="22"/>
          <w:szCs w:val="22"/>
          <w:color w:val="auto"/>
        </w:rPr>
      </w:pPr>
    </w:p>
    <w:p>
      <w:pPr>
        <w:ind w:left="780" w:hanging="384"/>
        <w:spacing w:after="0"/>
        <w:tabs>
          <w:tab w:leader="none" w:pos="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Company’s competitive Total Rewards Program recognizes and rewards employee contributions.</w:t>
      </w:r>
    </w:p>
    <w:p>
      <w:pPr>
        <w:spacing w:after="0" w:line="258" w:lineRule="exact"/>
        <w:rPr>
          <w:rFonts w:ascii="Times New Roman" w:cs="Times New Roman" w:eastAsia="Times New Roman" w:hAnsi="Times New Roman"/>
          <w:sz w:val="22"/>
          <w:szCs w:val="22"/>
          <w:color w:val="auto"/>
        </w:rPr>
      </w:pPr>
    </w:p>
    <w:p>
      <w:pPr>
        <w:ind w:left="780" w:hanging="384"/>
        <w:spacing w:after="0"/>
        <w:tabs>
          <w:tab w:leader="none" w:pos="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maintains a strong emphasis on safety to ensure a secure and supportive work environment.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Recruiting Talent</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believes that a varied team of committed employees with a broad range of backgrounds and experiences is essential to meeting the needs of its clients, partners, and moviegoers. To support this goal, the Company promotes fair and merit-based interview and hiring practices and provides training for all hiring managers. The Company’s talent acquisition strategy includes leveraging global job boards, engaging with community organizations, partnering with universities, monitoring labor market trends within the industry, and maintaining connections with IMAX alumni. In addition, the Company has adopted and continues to evaluate technologies and solutions designed to enhance the candidate experience and strengthen overall talent management capabilities.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Engaging Employees</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believes that a strong organizational culture and a positive employee experience are critical drivers of engagement and performance. In 2025, the Company conducted an engagement survey and, based on employee feedback, developed a comprehensive plan to further enhance the work environment and overall employee experience. Key areas of focus include increasing pay and promotion transparency, strengthening cross-team collaboration, improving employee well-being through deeper leadership connections, and promoting greater consistency in workplace flexibility within the Company’s framework. These initiatives are designed to help employees remain engaged, perform at their highest potential, and stay committed to achieving the Company’s</w:t>
      </w:r>
    </w:p>
    <w:p>
      <w:pPr>
        <w:sectPr>
          <w:pgSz w:w="11900" w:h="16838" w:orient="portrait"/>
          <w:cols w:equalWidth="0" w:num="1">
            <w:col w:w="11240"/>
          </w:cols>
          <w:pgMar w:left="320" w:top="364"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business objectives. To sustain progress, the Company implemented an ongoing listening strategy that includes pulse surveys and global virtual focus groups to monitor engagement and is designed to identify opportunities for improvement on an ongoing basis.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Offering Competitive Total Rewards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Company’s Total Rewards Program is designed to attract, retain, and motivate a highly skilled and varied workforce by offering a competitive and comprehensive mix of compensation, benefits, and well-being resources. The program supports employee engagement and performance while promoting a workplace environment that enables employees to thrive personally and professionally.</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Key initiatives to strengthen this program include the following:</w:t>
      </w:r>
    </w:p>
    <w:p>
      <w:pPr>
        <w:spacing w:after="0" w:line="272" w:lineRule="exact"/>
        <w:rPr>
          <w:sz w:val="20"/>
          <w:szCs w:val="20"/>
          <w:color w:val="auto"/>
        </w:rPr>
      </w:pPr>
    </w:p>
    <w:p>
      <w:pPr>
        <w:ind w:left="780" w:hanging="320"/>
        <w:spacing w:after="0"/>
        <w:tabs>
          <w:tab w:leader="none" w:pos="780"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Well-Being Strategy Expansion</w:t>
      </w:r>
    </w:p>
    <w:p>
      <w:pPr>
        <w:spacing w:after="0" w:line="1" w:lineRule="exact"/>
        <w:rPr>
          <w:rFonts w:ascii="Times New Roman" w:cs="Times New Roman" w:eastAsia="Times New Roman" w:hAnsi="Times New Roman"/>
          <w:sz w:val="22"/>
          <w:szCs w:val="22"/>
          <w:i w:val="1"/>
          <w:iCs w:val="1"/>
          <w:color w:val="auto"/>
        </w:rPr>
      </w:pPr>
    </w:p>
    <w:p>
      <w:pPr>
        <w:ind w:left="780" w:right="1720"/>
        <w:spacing w:after="0" w:line="252" w:lineRule="auto"/>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The Company advanced the global well-being strategy introduced in 2024 by continuing to build a structured and holistic framework across emotional, physical, financial, and social health. In 2025, the Company expanded employee support through the launch of a wellness program, a refreshed Employee Assistance Program, and the introduction of a financial wellness platform offering personalized guidance and advisor support.</w:t>
      </w:r>
    </w:p>
    <w:p>
      <w:pPr>
        <w:spacing w:after="0" w:line="236" w:lineRule="exact"/>
        <w:rPr>
          <w:rFonts w:ascii="Times New Roman" w:cs="Times New Roman" w:eastAsia="Times New Roman" w:hAnsi="Times New Roman"/>
          <w:sz w:val="22"/>
          <w:szCs w:val="22"/>
          <w:i w:val="1"/>
          <w:iCs w:val="1"/>
          <w:color w:val="auto"/>
        </w:rPr>
      </w:pPr>
    </w:p>
    <w:p>
      <w:pPr>
        <w:ind w:left="780" w:hanging="320"/>
        <w:spacing w:after="0"/>
        <w:tabs>
          <w:tab w:leader="none" w:pos="780"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Benefits Modernization</w:t>
      </w:r>
    </w:p>
    <w:p>
      <w:pPr>
        <w:spacing w:after="0" w:line="1" w:lineRule="exact"/>
        <w:rPr>
          <w:rFonts w:ascii="Times New Roman" w:cs="Times New Roman" w:eastAsia="Times New Roman" w:hAnsi="Times New Roman"/>
          <w:sz w:val="22"/>
          <w:szCs w:val="22"/>
          <w:i w:val="1"/>
          <w:iCs w:val="1"/>
          <w:color w:val="auto"/>
        </w:rPr>
      </w:pPr>
    </w:p>
    <w:p>
      <w:pPr>
        <w:ind w:left="780" w:right="1620"/>
        <w:spacing w:after="0" w:line="249" w:lineRule="auto"/>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The Company continued its multi-year modernization of global benefits to create a more flexible and accessible employee experience. In 2025, the Company prepared for its North America open enrollment cycles and enhanced regional programs to align more closely with evolving employee needs. In Canada, the Company expanded employee choice by enabling the use of flex credits toward Registered Retirement Savings Plan contributions, supporting long-term financial</w:t>
      </w:r>
    </w:p>
    <w:p>
      <w:pPr>
        <w:spacing w:after="0" w:line="1" w:lineRule="exact"/>
        <w:rPr>
          <w:rFonts w:ascii="Times New Roman" w:cs="Times New Roman" w:eastAsia="Times New Roman" w:hAnsi="Times New Roman"/>
          <w:sz w:val="22"/>
          <w:szCs w:val="22"/>
          <w:i w:val="1"/>
          <w:iCs w:val="1"/>
          <w:color w:val="auto"/>
        </w:rPr>
      </w:pPr>
    </w:p>
    <w:p>
      <w:pPr>
        <w:ind w:left="780"/>
        <w:spacing w:after="0"/>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planning and individual flexibility.</w:t>
      </w:r>
    </w:p>
    <w:p>
      <w:pPr>
        <w:spacing w:after="0" w:line="253" w:lineRule="exact"/>
        <w:rPr>
          <w:rFonts w:ascii="Times New Roman" w:cs="Times New Roman" w:eastAsia="Times New Roman" w:hAnsi="Times New Roman"/>
          <w:sz w:val="22"/>
          <w:szCs w:val="22"/>
          <w:i w:val="1"/>
          <w:iCs w:val="1"/>
          <w:color w:val="auto"/>
        </w:rPr>
      </w:pPr>
    </w:p>
    <w:p>
      <w:pPr>
        <w:ind w:left="780" w:hanging="320"/>
        <w:spacing w:after="0"/>
        <w:tabs>
          <w:tab w:leader="none" w:pos="780"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Compensation Governance and Incentive Plan Review</w:t>
      </w:r>
    </w:p>
    <w:p>
      <w:pPr>
        <w:spacing w:after="0" w:line="10" w:lineRule="exact"/>
        <w:rPr>
          <w:rFonts w:ascii="Times New Roman" w:cs="Times New Roman" w:eastAsia="Times New Roman" w:hAnsi="Times New Roman"/>
          <w:sz w:val="22"/>
          <w:szCs w:val="22"/>
          <w:i w:val="1"/>
          <w:iCs w:val="1"/>
          <w:color w:val="auto"/>
        </w:rPr>
      </w:pPr>
    </w:p>
    <w:p>
      <w:pPr>
        <w:ind w:left="780" w:right="1840"/>
        <w:spacing w:after="0" w:line="278" w:lineRule="auto"/>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7"/>
          <w:szCs w:val="17"/>
          <w:color w:val="auto"/>
        </w:rPr>
        <w:t>The Company advanced its review of incentive compensation programs, including updates to business unit and performance factor methodologies and enhancements to plan governance. These efforts are intended to promote internal equity, market competitiveness, and long-term alignment between employee outcomes and Company performance.</w:t>
      </w:r>
    </w:p>
    <w:p>
      <w:pPr>
        <w:spacing w:after="0" w:line="215" w:lineRule="exact"/>
        <w:rPr>
          <w:rFonts w:ascii="Times New Roman" w:cs="Times New Roman" w:eastAsia="Times New Roman" w:hAnsi="Times New Roman"/>
          <w:sz w:val="22"/>
          <w:szCs w:val="22"/>
          <w:i w:val="1"/>
          <w:iCs w:val="1"/>
          <w:color w:val="auto"/>
        </w:rPr>
      </w:pPr>
    </w:p>
    <w:p>
      <w:pPr>
        <w:ind w:left="780" w:hanging="320"/>
        <w:spacing w:after="0"/>
        <w:tabs>
          <w:tab w:leader="none" w:pos="780"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HR Technology Optimization</w:t>
      </w:r>
    </w:p>
    <w:p>
      <w:pPr>
        <w:spacing w:after="0" w:line="1" w:lineRule="exact"/>
        <w:rPr>
          <w:rFonts w:ascii="Times New Roman" w:cs="Times New Roman" w:eastAsia="Times New Roman" w:hAnsi="Times New Roman"/>
          <w:sz w:val="22"/>
          <w:szCs w:val="22"/>
          <w:i w:val="1"/>
          <w:iCs w:val="1"/>
          <w:color w:val="auto"/>
        </w:rPr>
      </w:pPr>
    </w:p>
    <w:p>
      <w:pPr>
        <w:ind w:left="780" w:right="1780"/>
        <w:spacing w:after="0" w:line="253" w:lineRule="auto"/>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color w:val="auto"/>
        </w:rPr>
        <w:t>The Company progressed its HR technology roadmap, expanded process automation, and planning for future AI-enabled capabilities. These initiatives are designed to improve data accuracy, strengthen operational consistency, and enhance employee experience across all stages of the employment lifecycle.</w:t>
      </w:r>
    </w:p>
    <w:p>
      <w:pPr>
        <w:spacing w:after="0" w:line="235" w:lineRule="exact"/>
        <w:rPr>
          <w:rFonts w:ascii="Times New Roman" w:cs="Times New Roman" w:eastAsia="Times New Roman" w:hAnsi="Times New Roman"/>
          <w:sz w:val="22"/>
          <w:szCs w:val="22"/>
          <w:i w:val="1"/>
          <w:iCs w:val="1"/>
          <w:color w:val="auto"/>
        </w:rPr>
      </w:pPr>
    </w:p>
    <w:p>
      <w:pPr>
        <w:ind w:left="780" w:hanging="320"/>
        <w:spacing w:after="0"/>
        <w:tabs>
          <w:tab w:leader="none" w:pos="7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Employee Experience and Information Accessibility</w:t>
      </w:r>
    </w:p>
    <w:p>
      <w:pPr>
        <w:spacing w:after="0" w:line="1" w:lineRule="exact"/>
        <w:rPr>
          <w:rFonts w:ascii="Times New Roman" w:cs="Times New Roman" w:eastAsia="Times New Roman" w:hAnsi="Times New Roman"/>
          <w:sz w:val="22"/>
          <w:szCs w:val="22"/>
          <w:color w:val="auto"/>
        </w:rPr>
      </w:pPr>
    </w:p>
    <w:p>
      <w:pPr>
        <w:jc w:val="both"/>
        <w:ind w:left="7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Company enhanced its global digital human resource platform that provides centralized access to Total Rewards, benefits, well-being resources, and human resource policies. In 2025, the Company made updates to its platform to improve usability, consistency, and transparency, supporting a more seamless and informed employee experience.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recognizes that potential risks to employee safety exist across various aspects of its operations. To mitigate these risks, the Company established a comprehensive workplace safety management system that provides a structured framework for identifying hazards, assessing risks, and implementing effective controls. This system is supported by an internal responsibility model that includes safety committees with employee representatives at all locations. Every employee is expected to actively participate in safety planning and awareness training and activities, while managers are accountable for executing safety programs within their respective areas of responsibility. Through these measures, the Company strives to maintain a safe and healthy work environment for all employees.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 website at www.sedarplus.ca and through the Company’s Investor Relations website at www.imax.com or by calling the Company’s Investor Relations Department at 212-821-0154.</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Form 10-K, except where expressly indicated. All references to the Company’s website are intended to be inactive textual references only.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Before you make an investment decision with respect to the Company’s common shares, you should carefully consider all of the information included in this Form 10-K and the Company’s subsequent periodic filings with the SEC. In particular, you should carefully consider the risk factors described below and the risks and uncertainties discussed in “Special Note Regarding Forward-Looking Information,” any of which could have a material adverse effect on the Company’s business, results of operations and financial condition and on the actual outcome of matters as to which forward-looking statements are made in this Form 10-K. The following risk factors should be read in conjunction with the balance of this Form 10-K, including the Consolidated Financial Statements and the “Notes to Consolidated Financial Statements.” The risks described below are not the only ones the Company faces. Additional risks that the Company currently deems immaterial or that are currently unknown to the Company may also impair its business or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OPERATIONS</w:t>
      </w:r>
    </w:p>
    <w:p>
      <w:pPr>
        <w:spacing w:after="0" w:line="251"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General political, social and economic conditions can affect the Company’s business by reducing both revenues generated from existing IMAX Systems and the demand for new IMAX Systems.</w:t>
      </w:r>
    </w:p>
    <w:p>
      <w:pPr>
        <w:spacing w:after="0" w:line="186"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Company’s success depends in part on general political, social and economic conditions and the willingness of consumers to purchase tickets to IMAX locations. The majority of the Company’s revenue comes from its Technology Products and Services segment. The Technology Products and Services segment earns revenues principally from the sale or lease of IMAX Systems, a portion of which is directly derived from the box office results of the IMAX locations. If consumers’ discretionary income globally or in a particular geography falls for any reason, including an economic downturn or recession, sustained inflationary conditions, high interest rates, and supply chain issues, and/or movie-going becomes less popular and consumers’ willingness to purchase tickets to IMAX locations declines, the Company’s business and revenues may be adversely affected as a result. Furthermore, sustained inflationary pressures observed globally could materially increase the cost of goods, services and personnel, which could cause an increase in the Company’s operating costs.</w:t>
      </w:r>
    </w:p>
    <w:p>
      <w:pPr>
        <w:spacing w:after="0" w:line="21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also depends on exhibitors to purchase, lease, and install IMAX Systems and to supply venues in which to exhibit IMAX films. The Company is unable to predict the pace at which exhibitors will purchase, lease, or install IMAX Systems with the Company. Furthermore, exhibitors generate revenues from consumer attendance at their theaters, which depends on the willingness and ability of consumers to visit movie theaters and spend discretionary income at movie theaters. In the event of declining box office and concession revenues or other economic headwinds, exhibitors may choose to reduce their levels of presence or expansion, be less willing to invest capital in IMAX Systems, negotiate economic terms that are less favorable to the Company, or decide not to enter into transactions with the Company. Exhibitors’ unwillingness and/or inability to purchase, lease and/or install IMAX Systems would adversely impact the Company’s business and revenue.</w:t>
      </w:r>
    </w:p>
    <w:p>
      <w:pPr>
        <w:spacing w:after="0" w:line="207"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Company’s success is directly related to the availability and success of the IMAX remastered films and other content released to the IMAX network.</w:t>
      </w:r>
    </w:p>
    <w:p>
      <w:pPr>
        <w:spacing w:after="0" w:line="186"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An important factor affecting the Company’s growth is the availability and strategic selection of content for IMAX locations and the performance of such content. The Company itself produces only a small amount of content and, as a result, the Company relies principally on content produced by third-party content creators, including both Hollywood and local language features converted into the IMAX format. In 2025, 126 films and other content (122 new films and 4 re-releases) were released to the Company’s global network. There is no guarantee that content creators will continue to release content to the IMAX network, or that the content selected for release to the IMAX network will be commercially successful.</w:t>
      </w:r>
    </w:p>
    <w:p>
      <w:pPr>
        <w:spacing w:after="0" w:line="21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is directly impacted by the commercial success and global box office results of the films released to the IMAX network through its JRSAs, as well as through the percentage of the GBO receipts the Company receives from the studios releasing IMAX films, and the Company’s continued ability to secure films, find suitable partners for joint revenue sharing arrangements (“JRSA”) and to sell IMAX Systems. The commercial success of films released to IMAX locations depends on a number of factors outside of the Company’s control, including whether the film receives critical and consumer acclaim, the timing of its release, the success of the marketing efforts of the studio releasing the film, industry labor disputes, consumer preferences and trends in cinema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attendance. Moreover, films can be subject to delays in production or changes in release schedule, which can negatively impact the number, timing and quality of IMAX films released to the Company’s global network.</w:t>
      </w:r>
    </w:p>
    <w:p>
      <w:pPr>
        <w:spacing w:after="0" w:line="189"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In addition, as the Company’s international network has expanded, the Company has signed deals with studios in other countries to convert local language films to IMAX’s format and release them to the IMAX network. The Company may be unable to select films which will be successful in international markets or may be unsuccessful in selecting the right mix of Hollywood and local language films for a particular country or region, notably Greater China, the Company’s largest market. Also, conflicts in international release schedules may make it difficult to release every IMAX film in certain markets.</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Furthermore, if global box office results of the films released to the IMAX network are not satisfactory or if the scale of the IMAX network declines or does not increase at the same rate as anticipated, studios may be less willing to convert their films into IMAX’s format for exhibition in IMAX locations, which would adversely impact the Company’s revenue generated from both Film Remastering and Distribution of content across the IMAX network. For additional discussion of the risks related to IMAX Systems and network, please read the above risk factor titled “—</w:t>
      </w:r>
      <w:r>
        <w:rPr>
          <w:rFonts w:ascii="Times New Roman" w:cs="Times New Roman" w:eastAsia="Times New Roman" w:hAnsi="Times New Roman"/>
          <w:sz w:val="18"/>
          <w:szCs w:val="18"/>
          <w:i w:val="1"/>
          <w:iCs w:val="1"/>
          <w:color w:val="auto"/>
        </w:rPr>
        <w:t>General political, social and economic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can affect the Company’s business by reducing both revenues generated from existing IMAX Systems and the demand for new IMAX Systems</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may be materially adversely affected by the imposition of tariffs and other trade barriers and retaliatory countermeasures implemented by the United States and other governments.</w:t>
      </w:r>
    </w:p>
    <w:p>
      <w:pPr>
        <w:spacing w:after="0" w:line="18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Since 2025, the U.S. government has implemented substantial and rapidly evolving changes to U.S. trade policies, including increased tariffs and changes in U.S. participation in multilateral trade agreements, while other countries, China and Canada in particular, have undertaken retaliatory measures in response to such changes. While many of the tariffs implemented by the U.S. government were struck down by the U.S. Supreme Court on February 20, 2026, the full extent of the impact of this ruling is uncertain and the impact of previously implemented tariffs and trade policies or of tariffs and trade policies announced in the future could adversely impact the Company’s operations, costs and expenses applicable to revenues and cash flows. The Company continues to closely monitor these developments (including whether tariff refunds may be available in light of the recent judicial decision), and there can be no guarantees that further changes to U.S. trade policy and/or retaliatory actions by other countries will not occur.</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Additionally, uncertainty about global trade relationships has and may continue to increase market volatility, currency exchange rate fluctuation, and economic instability, which may adversely impact the Company’s results of operations. Furthermore, any resulting downturn or increase in geopolitical tensions may adversely impact consumers’ discretionary income and/or consumer purchasing behavior, which could have a material adverse effect on box office receipts and on the Company’s results of operations and financial condition.</w:t>
      </w:r>
    </w:p>
    <w:p>
      <w:pPr>
        <w:spacing w:after="0" w:line="207"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extent and duration of previously implemented tariffs and retaliatory actions, the potential changes in tariffs and trade policies in light of the Supreme Court ruling, and the resulting impacts on general economic conditions around the world and on the global filmed entertainment industry in particular, are uncertain and depend on numerous factors, such as the responses of and negotiations among the affected countries. As such, the Company cannot predict the impact to its business from any future changes to the trading relationships between the United States and other countries or the impact of new laws or regulations adopted by the United States or other countries. Furthermore, any adverse development in these areas could exacerbate other risks discussed in “—</w:t>
      </w:r>
      <w:r>
        <w:rPr>
          <w:rFonts w:ascii="Times New Roman" w:cs="Times New Roman" w:eastAsia="Times New Roman" w:hAnsi="Times New Roman"/>
          <w:sz w:val="18"/>
          <w:szCs w:val="18"/>
          <w:i w:val="1"/>
          <w:iCs w:val="1"/>
          <w:color w:val="auto"/>
        </w:rPr>
        <w:t>The Company conducts business internationally, which exposes it to uncertainties and risks that could negatively affect its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 and future growth prospects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 faces risks in connection with its significant presence in China and the continued expansion of its business there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General political, social and economic conditions can affect the Company’s business by reducing both revenues generated from existing IMAX Systems and the demand for new IMAX Systems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 is undertaking brand extensions and new business initiatives, and the Company’s investments and efforts in such business evolution may not be successful.</w:t>
      </w:r>
    </w:p>
    <w:p>
      <w:pPr>
        <w:spacing w:after="0" w:line="186"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The Company is undertaking brand extensions and new business initiatives. These initiatives represent potential new areas of growth for the Company and could include the offering of new products and services that may not be accepted by the market. The Company has recently explored initiatives in the field of in-home entertainment technology, including the development of the Company’s SCT business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to users across streaming platforms and consumer devices. The in-home entertainment industry is an intensely competitive business and dependent on consumer demand, over which the Company has no control. The Company has also invested in the connection of the IMAX network to facilitate bringing more unique content, including broadcasts of live events, to IMAX audiences in theaters. New initiatives could also involve acquisitions or the formation of joint ventures and business alliances.</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New business initiatives involve significant challenges and risks, including that they may not advance the Company’s long-term business strategy, that the Company realizes an unsatisfactory return on its investments or fails to realize anticipated business synergies, that the Company has difficulty integrating or retaining new employees, systems, and technology, that the Company has</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disagreements with a relevant partner with respect to financing, management, and development, that the Company fails to identify or anticipate risks and liabilities of acquired companies in advance of acquisition, or that management gets distracted from the Company’s core business. Also, it may take longer than expected to realize the full benefits from these initiatives such as increased revenue or enhanced efficiencies, or the benefits may ultimately be smaller than the Company expected. If any new brand extensions and business initiatives in which the Company invests or attempts to develop do not progress as planned, the Company may be adversely affected by investment expenses that have not led to the anticipated results, including by the write-downs of its assets, by the distraction of management from its core business or by damage to its brand or reputation.</w:t>
      </w:r>
    </w:p>
    <w:p>
      <w:pPr>
        <w:spacing w:after="0" w:line="207"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The Company faces cybersecurity and similar risks, which could result in the disclosure, theft, or loss of confidential or other proprietary information, including intellectual property, damage to the Company’s brand and reputation, legal exposure and financial losses. The Company must also comply with a variety of data privacy regulations and failure to comply with such regulations may adversely affect the Company’s financial performance.</w:t>
      </w:r>
    </w:p>
    <w:p>
      <w:pPr>
        <w:spacing w:after="0" w:line="208" w:lineRule="exact"/>
        <w:rPr>
          <w:sz w:val="20"/>
          <w:szCs w:val="20"/>
          <w:color w:val="auto"/>
        </w:rPr>
      </w:pPr>
    </w:p>
    <w:p>
      <w:pPr>
        <w:jc w:val="both"/>
        <w:ind w:firstLine="194"/>
        <w:spacing w:after="0" w:line="251" w:lineRule="auto"/>
        <w:rPr>
          <w:sz w:val="20"/>
          <w:szCs w:val="20"/>
          <w:color w:val="auto"/>
        </w:rPr>
      </w:pPr>
      <w:r>
        <w:rPr>
          <w:rFonts w:ascii="Times New Roman" w:cs="Times New Roman" w:eastAsia="Times New Roman" w:hAnsi="Times New Roman"/>
          <w:sz w:val="18"/>
          <w:szCs w:val="18"/>
          <w:color w:val="auto"/>
        </w:rPr>
        <w:t>The nature of the Company’s business involves access to and storage of confidential and proprietary content and other information, including its own intellectual property and the intellectual property of certain movie studios or partners it may work with, as well as certain information regarding the Company’s customers, employees, licensees, and suppliers. Although the Company maintains procedures, internal policies and technological security measures intended to safeguard such content and information, as well as a cybersecurity insurance policy, the Company’s information technology systems, and the information technology systems of its current or future third-party vendors, collaborators, consultants and service providers, could be penetrated by internal or external parties intent on extracting information, corrupting information, stealing intellectual property or trade secrets, or disrupting business processes. Information security risks have increased in recent years because of the proliferation of new technologies and the increased sophistication and activities of perpetrators of cyber-attacks, including from emerging technologies, such as advanced forms of AI and quantum computing. The Company’s information technology infrastructure may be vulnerable to such attacks, including through the use of malware, software bugs, computer viruses, ransomware, social engineering, and denial of service. Such attacks could compromise the Company’s security measures or the security measures of parties with which the Company does business. Because the techniques that may be used to circumvent the Company’s safeguards change frequently and may be difficult to detect, the Company may be unable to anticipate any new techniques or implement sufficient preventive security measures. In addition, the Company’s sensitive, proprietary, or confidential information could be leaked, disclosed, or revealed as a result of or in connection with the Company’s employees’ or third-party vendors’ use of generative AI technologies. While the Company seeks to monitor such attempts and incidents and to prevent their recurrence through monitoring and modifications, if needed, to the Company’s internal procedures and information technology infrastructure, and provides information security training and compliance program to its employees on an annual basis, in some cases preventive action might not be successful. Moreover, the development and maintenance of these security measures may be costly and will require ongoing updates as technologies evolve and techniques to overcome the Company’s security measures become more sophisticated. Any such attack or unauthorized access could result in a disruption of the Company’s operations, the theft, unauthorized use or publication of confidential or proprietary information of the Company or its customers, employees, licensees or suppliers, a reduction of the revenues the Company is able to generate from its operations, damage to the Company’s brand and reputation, a loss of confidence in the security of the Company’s business and products, or significant legal and financial exposure, each of which could potentially have an adverse effect on the Company’s business. Refer to Part 1, Item 1C, “Cybersecurity” for additional information.</w:t>
      </w:r>
    </w:p>
    <w:p>
      <w:pPr>
        <w:spacing w:after="0" w:line="221"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addition, a variety of laws and regulations at the international, national, and state level govern the Company’s collection, use, protection and processing of personal data. These laws, including but not limited to the General Data Protection Regulation, the California Consumer Privacy Act, and China’s Personal Information Protection Law, are constantly evolving and may result in increasing regulatory oversight and public scrutiny in the future. The Company’s actual or perceived failure to comply with such laws and regulations could result in fines, investigations, enforcement actions, penalties, sanctions, claims for damages by affected individuals, or damage to the Company’s reputation, among other negative consequences, any of which could have a material adverse effect on its financial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INTERNATIONAL OPERATIONS</w:t>
      </w:r>
    </w:p>
    <w:p>
      <w:pPr>
        <w:spacing w:after="0" w:line="251"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 conducts business internationally, which exposes it to uncertainties and risks that could negatively affect its operations, sales, and future growth prospects.</w:t>
      </w:r>
    </w:p>
    <w:p>
      <w:pPr>
        <w:spacing w:after="0" w:line="18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 significant portion of the Company’s revenues and of the GBO earned by the Company’s exhibitor customers are generated outside the United States and Canada. Approximately 62%, 58%, and 64% of the Company’s revenues were derived outside of the United States and Canada in 2025, 2024, and 2023, respectively. As of December 31, 2025, approximately 72% of IMAX Systems in backlog were scheduled to be installed in international markets. The Company’s network spanned 91 different countries as of December 31, 2025, and the Company expects its international operations to continue to account for an increasingly significant portion of its future revenues. There are a number of risks associated with operating in international markets that could negatively affect the Company’s operations, sales and future growth prospects. These risks, among others, include: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Operational and Supply Chain Risks</w:t>
      </w:r>
    </w:p>
    <w:p>
      <w:pPr>
        <w:spacing w:after="0" w:line="251" w:lineRule="exact"/>
        <w:rPr>
          <w:sz w:val="20"/>
          <w:szCs w:val="20"/>
          <w:color w:val="auto"/>
        </w:rPr>
      </w:pPr>
    </w:p>
    <w:p>
      <w:pPr>
        <w:ind w:left="780" w:hanging="384"/>
        <w:spacing w:after="0" w:line="281" w:lineRule="auto"/>
        <w:tabs>
          <w:tab w:leader="none" w:pos="7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competitively priced key commodities, raw materials, and component parts from various international sources that are needed to manufacture quality products on a timely basis;</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foreign distributors and their sales channels;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local partners, including in connection with JRSAs;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complete installations of IMAX Systems, including as a result of material disruptions or delays in the Company’s supply chains, or collect full payment on installations thereof;</w:t>
      </w:r>
    </w:p>
    <w:p>
      <w:pPr>
        <w:spacing w:after="0" w:line="188" w:lineRule="exact"/>
        <w:rPr>
          <w:rFonts w:ascii="Times New Roman" w:cs="Times New Roman" w:eastAsia="Times New Roman" w:hAnsi="Times New Roman"/>
          <w:sz w:val="18"/>
          <w:szCs w:val="18"/>
          <w:color w:val="auto"/>
        </w:rPr>
      </w:pPr>
    </w:p>
    <w:p>
      <w:pPr>
        <w:ind w:left="780" w:right="20" w:hanging="384"/>
        <w:spacing w:after="0" w:line="281" w:lineRule="auto"/>
        <w:tabs>
          <w:tab w:leader="none" w:pos="7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including pandemics or epidemics, and regulations in response thereto, which could adversely affect the Company’s and its customers’ operations; and</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the IMAX brand from operating in countries with records of controversial government action, including human rights abuses.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and Macroeconomic Risks</w:t>
      </w:r>
    </w:p>
    <w:p>
      <w:pPr>
        <w:spacing w:after="0" w:line="251" w:lineRule="exact"/>
        <w:rPr>
          <w:sz w:val="20"/>
          <w:szCs w:val="20"/>
          <w:color w:val="auto"/>
        </w:rPr>
      </w:pPr>
    </w:p>
    <w:p>
      <w:pPr>
        <w:ind w:left="780" w:right="20" w:hanging="384"/>
        <w:spacing w:after="0" w:line="281" w:lineRule="auto"/>
        <w:tabs>
          <w:tab w:leader="none" w:pos="7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versus the U.S. Dollar, potential currency devaluations, and imposition of foreign exchange controls in foreign jurisdictions;</w:t>
      </w:r>
    </w:p>
    <w:p>
      <w:pPr>
        <w:spacing w:after="0" w:line="188"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foreign government monetary and/or tax policies, and/or difficulties in repatriating cash from foreign jurisdictions (including with respect to China, where approval of the State Administration of Foreign Exchange is required);</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provide performance bonds and letters of credit to international customers to secure IMAX System component deliveries;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accurate and/or less reliable box office reporting;</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establishing market-appropriate pricing; and</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foreign markets, including inflation.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Geopolitical, Trade, and Regulatory Compliance Risks</w:t>
      </w:r>
    </w:p>
    <w:p>
      <w:pPr>
        <w:spacing w:after="0" w:line="251" w:lineRule="exact"/>
        <w:rPr>
          <w:sz w:val="20"/>
          <w:szCs w:val="20"/>
          <w:color w:val="auto"/>
        </w:rPr>
      </w:pPr>
    </w:p>
    <w:p>
      <w:pPr>
        <w:jc w:val="both"/>
        <w:ind w:left="780" w:hanging="384"/>
        <w:spacing w:after="0" w:line="265"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potentially changing tariffs, trade protection measures, import or export licensing requirements, trade embargoes, sanctions and export controls, and other trade barriers, including but not limited to planned, implemented or threatened tariffs and retaliatory responses thereto, or the residual impacts and uncertainty as a result of changes in tariff or trade policy;</w:t>
      </w:r>
    </w:p>
    <w:p>
      <w:pPr>
        <w:spacing w:after="0" w:line="203"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restrictions on access to markets, both for IMAX Systems and content;</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or burdensome foreign laws or regulatory requirements or unexpected changes to those laws or requirements, including censorship of content that may restrict what films or other content are exhibited across the Company’s network;</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that can present challenges to compliance with applicable anti-corruption and bribery laws;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recognition of intellectual property rights;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contractual rights; and</w:t>
      </w:r>
    </w:p>
    <w:p>
      <w:pPr>
        <w:spacing w:after="0" w:line="250" w:lineRule="exact"/>
        <w:rPr>
          <w:rFonts w:ascii="Times New Roman" w:cs="Times New Roman" w:eastAsia="Times New Roman" w:hAnsi="Times New Roman"/>
          <w:sz w:val="18"/>
          <w:szCs w:val="18"/>
          <w:color w:val="auto"/>
        </w:rPr>
      </w:pPr>
    </w:p>
    <w:p>
      <w:pPr>
        <w:jc w:val="both"/>
        <w:ind w:left="780" w:hanging="384"/>
        <w:spacing w:after="0" w:line="265" w:lineRule="auto"/>
        <w:tabs>
          <w:tab w:leader="none" w:pos="7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conflict, geopolitical tensions and other political, economic and social instability, terrorist attacks and security concerns, such as escalating tensions in the Taiwan Strait, the ongoing conflict between Russia and Ukraine (the Company has 54 theaters in Russia where IMAX services have been suspended), and tensions in the Middle East (including</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left="780"/>
        <w:spacing w:after="0" w:line="281" w:lineRule="auto"/>
        <w:rPr>
          <w:sz w:val="20"/>
          <w:szCs w:val="20"/>
          <w:color w:val="auto"/>
        </w:rPr>
      </w:pPr>
      <w:r>
        <w:rPr>
          <w:rFonts w:ascii="Times New Roman" w:cs="Times New Roman" w:eastAsia="Times New Roman" w:hAnsi="Times New Roman"/>
          <w:sz w:val="18"/>
          <w:szCs w:val="18"/>
          <w:color w:val="auto"/>
        </w:rPr>
        <w:t>intensified discussions around regime change in Iran), which could result in consequences, including adverse consequences, for the Company’s interests in different regions of the world.</w:t>
      </w:r>
    </w:p>
    <w:p>
      <w:pPr>
        <w:spacing w:after="0" w:line="189"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Additionally, global geopolitical tensions and actions that governments take in response may adversely impact the Company’s ability to operate in such regions and/or result in global or regional economic downturns. For example, the ongoing conflict between Russia and Ukraine and responses thereto have had and may continue to have an adverse impact on the Company’s business and results of operations in affected regions, including the continued suspension of the Company’s operations in the region. Given the uncertainty as to the scope, intensity, duration and outcome of geopolitical conflicts, it is difficult to predict the full extent of the adverse impact of geopolitical conflicts on the Company’s business and results of operations. Additionally, given the global nature of the Company’s operations, any protracted conflict or the broader macroeconomic impact of geopolitical conflicts and sanctions imposed in response thereto, have had and could continue to have an adverse impact on the Company’s business, results of operations, financial condition, and future performance and may also magnify the impact of other risks described herein, including the risk of cybersecurity attacks, which may impact information technology systems unrelated to the conflict, or jeopardize critical infrastructure in jurisdictions where the Company operates.</w:t>
      </w:r>
    </w:p>
    <w:p>
      <w:pPr>
        <w:spacing w:after="0" w:line="218"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While the Company has implemented policies, internal controls, and other measures reasonably designed to promote compliance with applicable laws and regulations related to doing business internationally, any violations of these laws and regulations, or even allegations of such a violation, could disrupt the Company’s operations and harm the Company’s business, financial condition and results of operations. In addition, changes in United States or Canadian foreign policy can present additional risks or uncertainties as the Company continues to expand its international operations. Opening and operating theaters in markets that have experienced geopolitical or sociopolitical unrest or controversy, including through partnerships with local entities, exposes the Company to the risks listed above, as well as additional risks of operating in a volatile region. Such risks may negatively impact the Company’s business operations in such regions and may also harm the Company’s brand. Moreover, a deterioration of the diplomatic relations between the United States or Canada and a given country may impede the Company’s ability to conduct business in such countries and have a negative impact on the Company’s financial condition and future growth prospects.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faces risks in connection with its significant presence in China and the continued expansion of its business there.</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the Company had 810 IMAX Systems operating in Greater China with an additional 215 systems in backlog, which represent 50% of the Company’s current backlog. Of the IMAX Systems currently scheduled to be installed in Greater China, 82% are under JRSAs, which further increases the Company’s ongoing exposure to box office performance in this market.</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China market faces a number of risks, including changes in laws and regulations, currency fluctuations, increased competition, and changes in economic conditions, including an economic downturn or recession, trade embargoes, restrictions or other barriers, as well as other conditions that may impact the Company’s exhibitor and studio partners, and consumer spending. A slowdown of China’s economic growth in recent years has caused some exhibitors in Mainland China, including several of the Company’s exhibitor partners, to experience financial difficulties which, in certain cases, has resulted in delays in meeting payment and IMAX System installation obligations to the Company and permanent closure of underperforming theaters. There are no guarantees that such financial difficulties will not continue, or that partner delays or failures to meet contractual obligations will not occur in the future, adversely impacting the Company’s future revenues and cash flows.</w:t>
      </w:r>
    </w:p>
    <w:p>
      <w:pPr>
        <w:spacing w:after="0" w:line="211"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does not believe that it is currently required to obtain any permission or approval from the China Securities Regulatory Commission, the Cyberspace Administration of China or any other regulatory authority in the People’s Republic of China (“PRC”) for its operations, but there can be no assurance that such permissions or approvals would not be required in the future and, if required, that they would be granted in a timely manner, on acceptable terms, or at all. Furthermore, PRC regulators, including the Cyberspace Administration of China, the Ministry of Industry and Information Technology, and the Ministry of Public Security, have been increasingly focused on the regulation of data security and data protection. Regulatory requirements concerning data protection and cybersecurity, as well as other requirements concerning operations of foreign businesses, in the PRC are evolving, and their enactment timetable, interpretation and implementation involve significant uncertainties. To the extent any additional PRC laws and regulations become applicable to the Company, it may be subject to increased risks and uncertainties associated with the legal system in the PRC, including with respect to the enforcement of laws and the possibility of changes of rules and regulations with little or no advance notice.</w:t>
      </w:r>
    </w:p>
    <w:p>
      <w:pPr>
        <w:spacing w:after="0" w:line="218"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Certain risks and uncertainties of doing business in China are solely within the control of the Chinese government, and Chinese law regulates both the scope of the Company’s continued expansion in China and the Company’s business within China. For instance, the Chinese government regulates the number, timing, and terms of Hollywood films released to the China market. The Company cannot provide assurance that the Chinese government will continue to permit the release of Hollywood IMAX films in China or that the timing, number or performance of IMAX releases will be favorable to the Company. There are also uncertainties regarding the interpretation and application of laws and regulations and the enforceability of intellectual property and contract rights in China. If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Company were unable to navigate China’s regulatory environment, or if the Company were unable to enforce its intellectual property or contract rights in China, the Company’s business could be adversely impacted.</w:t>
      </w:r>
    </w:p>
    <w:p>
      <w:pPr>
        <w:spacing w:after="0" w:line="18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Ongoing political tensions between China and the United States could exacerbate any or all of these risks. Although the United States and China reached a reported trade truce in October 2025, the agreement is only for one year, and it leaves many issues unresolved, resulting in continued uncertainty over the trade relationship. Adverse developments in the U.S.-China relationship could heighten the foregoing risks, could impact the Company’s future net income and cash flows and could cause the Company to fail to achieve anticipated growth in China and/or monetize its current assets.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experience adverse effects due to exchange rate fluctuations.</w:t>
      </w:r>
    </w:p>
    <w:p>
      <w:pPr>
        <w:spacing w:after="0" w:line="25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substantial portion of its expenses is denominated in Canadian Dollars. While the Company seeks to manage its exposure to foreign exchange rate risks through its regular operating and financing activities and, when appropriate, through the use of derivative financial instruments, the Company may not be successful in reducing its exposure to these fluctuations. The use of derivative financial instruments is intended to mitigate or reduce transactional level volatility in the results of foreign operations, but does not completely eliminate volatility. Even in jurisdictions in which the Company does not accept local currency or requires minimum payments in U.S. Dollars, significant local currency issues may impact the profitability of the Company’s arrangements with its customers, which ultimately affect the ability to negotiate cost-effective arrangements and, therefore, the Company’s results of operations.</w:t>
      </w:r>
    </w:p>
    <w:p>
      <w:pPr>
        <w:spacing w:after="0" w:line="21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In addition, because IMAX content generates box office dependent revenue in 91 different countries as of December 31, 2025, unfavorable exchange rates between applicable local currencies and the U.S. Dollar can affect the GBO generated by the Company’s exhibitor customers and its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THE COMPANY’S INDUSTRY AND COMPETITIVE ENVIRONMENT</w:t>
      </w:r>
    </w:p>
    <w:p>
      <w:pPr>
        <w:spacing w:after="0" w:line="251"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commercial exhibitors and studios reduces the breadth of the Company’s customer base, and could result in a narrower market for the Company’s products and reduced negotiating leverage. A deterioration in the Company’s relationship with key partners could materially and adversely affect the Company’s business, financial condition or results of operation. In addition, an adverse economic impact on a significant customer’s business operations could have a corresponding material adverse effect on the Company.</w:t>
      </w:r>
    </w:p>
    <w:p>
      <w:pPr>
        <w:spacing w:after="0" w:line="208"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 Company’s primary customers are commercial multiplex exhibitors. Since 2016, the commercial exhibition industry has undergone significant consolidation both domestically and internationally. For example, in 2025, South Korea’s Megabox and Lotte Cinema entered into a merger agreement and are expected to form that nation’s largest theatrical exhibition entity. Exhibitor concentration has resulted in certain exhibitor chains constituting a material portion of the Company’s network and revenue. For instance, Wanda Film (“Wanda”) is the Company’s largest exhibitor customer, representing approximately 8% of the Company’s total revenues in 2025. As of December 31, 2025, through the Company’s partnership with Wanda, there were 393 IMAX Systems operational in Greater China and Wanda represented approximately 21% of the global network and 10% of the Company’s global backlog. The share of the Company’s revenue that is generated by Wanda is expected to continue to grow as IMAX Systems in backlog with Wanda are opened. No assurance can be given that significant customers, such as Wanda, will continue to purchase IMAX Systems and/or enter into JRSA with the Company and if so, whether contractual terms will be affected. If the Company does business with Wanda or other large exhibitor chains less frequently or on less favorable terms than currently, the Company’s business, financial condition or results of operations may be adversely affected. In addition, an adverse economic impact on a significant customer’s business operations could have a corresponding material adverse effect on the Company.</w:t>
      </w:r>
    </w:p>
    <w:p>
      <w:pPr>
        <w:spacing w:after="0" w:line="22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also receives revenues from studios releasing IMAX films. Hollywood studios have also experienced and continue to experience consolidation, as evidenced by the 2025 acquisition of Paramount by Skydance and a potential acquisition of Warner Bros. Studio consolidation could result in individual studios comprising a greater percentage of the Company’s business and overall Content Solutions segment revenue, and could expose the Company to the same risks described above in connection with exhibitor consolidation. In addition, studio consolidation may lead to a reduction in content variety and overall output and/or theatrical release of content, particularly if a studio acquirer is not in the traditional studio production business. Such reduction may adversely impact the availability of films for conversion into the IMAX format and distribution into the IMAX network.</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Failure to respond adequately or in a timely fashion to changes and advancements in technology could negatively affect the Company’s business.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 order to keep pace with changes and advancements in technology and in order to continue to provide an experience that is premium to and differentiated from conventional entertainment experiences, the Company has made, and expects to continue to make, significant investments in technology in the form of research and development and the acquisition of third-party intellectual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and/or proprietary technology. A significant portion of the Company’s research and development efforts have been focused on the IMAX Laser Systems and film cameras. The Company continues to invest in other projects, including the development of new SCT product offerings and improvements to its existing product suite. The process of developing new technologies is inherently uncertain and subject to certain factors that are outside of the Company’s control, including reliance on third-party partners and suppliers, and the Company can provide no assurance its investments will result in commercially viable advancements to the Company’s existing products or in commercially successful new products, or that any such advancements or products will improve upon existing technology or be developed within the timeframe expected.</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AI technologies and their uses are currently undergoing rapid change. If the Company fails to enhance its current AI products and develop new products in response to changes in technology or industry standards, the Company fails to bring product enhancements or new product developments to market quickly enough, or the Company fails to respond to increasing competition from AI-generated content (e.g., AI-created videos or movies), the Company’s AI-enabled products could rapidly become less competitive or obsolete.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introduction of new, competing products and technologies could harm the Company’s business.</w:t>
      </w:r>
    </w:p>
    <w:p>
      <w:pPr>
        <w:spacing w:after="0" w:line="255"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 entertainment industry is very competitive. The Company faces competition in both in-home and out-of-home entertainment, including within the theatrical space. For example, according to research conducted by Omdia, there were approximately 35,000 conventional-sized screens in North American commercial multiplexes in 2024. In addition, exhibitors and entertainment technology companies have introduced their own branded, large-screen 3D auditoriums or other premium theater systems, such as CJ CGV’s 4DX and ScreenX, and in many cases, have marketed those auditoriums or theater systems as having similar quality or attributes as an IMAX System. The rising consumer interest in premium cinematic experiences has resulted in demand for premium formats and could drive more investment into the Company’s competitors. If the Company is unable to continue to produce theater systems or provide experiences which are premium to, or differentiated from, other theater systems or entertainment experiences, respectively, consumers may be unwilling to pay the price premiums associated with the cost of IMAX tickets and the global box office performance of IMAX films could decline. The declining global box office performance of IMAX films could materially and adversely harm the Company’s business and prospects. Furthermore, many of the Company’s commercial exhibitor customers are reliant on the availability of retail shopping malls, which compete with other forms of retailing such as online retail websites, and have been and may continue to be adversely affected by the changes in the retail shopping landscape and consumer purchasing patterns. The Company may in turn be adversely affected by the challenges faced by its exhibitor customers.</w:t>
      </w:r>
    </w:p>
    <w:p>
      <w:pPr>
        <w:spacing w:after="0" w:line="220"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also faces in-home competition from a number of alternative content distribution channels such as streaming services, video-on-demand, internet, and broadcast and cable television. The average exclusive theatrical release window for films has decreased over the years, and there can be no assurance that this release window, which is determined by the movie studios, will not shrink further, which could have an adverse impact on the Company’s business and results of operations. Furthermore, there can be no assurance that film studios will not increase the direct or concurrent release of films to streaming services in the future, intensifying in-home competition. Several streaming services release original films directly to subscribers, bypassing theatrical distribution. The Company further competes for the public’s leisure time and disposable income with other forms of entertainment, including gaming, sporting events, concerts, live theater, social media, and restaurants. Furthermore, the Company competes with entertainment and media companies with new technologies and/or substantially greater capital resources to develop and support them.</w:t>
      </w:r>
    </w:p>
    <w:p>
      <w:pPr>
        <w:spacing w:after="0" w:line="210"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adequately protect its intellectual property, and competitors could misappropriate its technology or brand, which could weaken its competitive position.</w:t>
      </w:r>
    </w:p>
    <w:p>
      <w:pPr>
        <w:spacing w:after="0" w:line="186"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depends on its proprietary knowledge regarding IMAX Systems including digital, audio, and film technology. The Company relies principally upon a combination of copyright, trademark, patent and trade secret laws, restrictions on disclosures and contractual provisions to protect its proprietary and intellectual property rights. These laws and procedures may not be adequate to prevent unauthorized parties from attempting to copy or otherwise obtain the Company’s processes and technology or deter others from developing similar processes or technology, which could weaken the Company’s competitive position and require the Company to incur costs to secure enforcement of its intellectual property rights. The protection provided to the Company’s proprietary technology by the laws of foreign jurisdictions may not protect it as fully as the laws of Canada or the United States. The lack of protection afforded to intellectual property rights in certain international jurisdictions may be increasingly problematic given the extent to which the future growth of the Company is anticipated to come from foreign jurisdictions. The Company may develop proprietary technology or knowledge, including AI-generated works, that are not entitled to intellectual property protection. Finally, some of the underlying technologies of the Company’s products and system components are not covered by patents or patent applications.</w:t>
      </w:r>
    </w:p>
    <w:p>
      <w:pPr>
        <w:spacing w:after="0" w:line="21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owns patents issued and patent applications pending, including those covering its digital projector, digital conversion technology, laser illumination technology, and other inventions relating to imaging technology and video quality assessment. The Company’s patents are filed in the United States, often with corresponding patents or filed applications in other jurisdictions, such as Canada, China, Belgium, Japan, France, Germany, and the United Kingdom. The patent applications pending may not be issued or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patents may not provide the Company with any competitive advantage. The patent applications may also be challenged by third parties. Several of the Company’s issued patents expire between 2026 and 2043.</w:t>
      </w:r>
    </w:p>
    <w:p>
      <w:pPr>
        <w:spacing w:after="0" w:line="1"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If the Company’s patent claims are rendered invalid or unenforceable, or narrowed in scope, the patent coverage afforded the Company’s products and services could be impaired, which could negatively affect its competitive position. In addition, competitors and other third parties may be able to circumvent or design around the Company’s patents and may develop and obtain patent protection for more effective technologies. If these developments were to occur, it could have an adverse effect on the Company’s sales or market position.</w:t>
      </w:r>
    </w:p>
    <w:p>
      <w:pPr>
        <w:spacing w:after="0" w:line="21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Any claims or litigation initiated by the Company to protect its proprietary technology or other intellectual property could be time consuming, costly, and divert the attention of its technical and management resources. If the Company chooses to go to court to stop a third party from infringing its intellectual property, that third party may ask the court to rule that the Company’s intellectual property rights are invalid and/or should not be enforced against that third party.</w:t>
      </w:r>
    </w:p>
    <w:p>
      <w:pPr>
        <w:spacing w:after="0" w:line="207"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relies upon trade secrets and other confidential and proprietary know-how to develop and maintain the Company’s competitive position. While it is the Company’s policy to enter into agreements imposing nondisclosure and confidentiality obligations upon its employees and third parties to protect the Company’s intellectual property, these obligations may be breached, may not provide meaningful protection for the Company’s trade secrets or proprietary know-how, or adequate remedies may not be available in the event of an unauthorized access, use or disclosure of the Company’s trade secrets and know-how. Furthermore, despite the existence of such nondisclosure and confidentiality agreements, or other contractual restrictions, the Company may not be able to prevent the unauthorized disclosure or use of its confidential proprietary information or trade secrets by consultants, vendors and employees. In addition, others could obtain knowledge of the Company’s trade secrets through independent development or other legal means.</w:t>
      </w:r>
    </w:p>
    <w:p>
      <w:pPr>
        <w:spacing w:after="0" w:line="211"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believes that protecting the IMAX brand is a critical element in maintaining the Company’s relationships with studios and its exhibitor clients and building and maintaining brand loyalty and recognition. Though the Company relies on a combination of trademark and copyright law as well as its contractual provisions to protect the IMAX brand, those protections may not be adequate to prevent erosion of the brand over time, particularly in foreign jurisdictions. Erosion of the brand could threaten the demand for the Company’s products and services and impair its ability to grow future revenue streams. In addition, if any of the Company’s registered or unregistered trademarks, trade names or service marks is challenged, infringed, circumvented, declared generic or determined to be infringing on other marks, it could have an adverse effect on the Company’s sales or market position.</w:t>
      </w:r>
    </w:p>
    <w:p>
      <w:pPr>
        <w:spacing w:after="0" w:line="207" w:lineRule="exact"/>
        <w:rPr>
          <w:sz w:val="20"/>
          <w:szCs w:val="20"/>
          <w:color w:val="auto"/>
        </w:rPr>
      </w:pPr>
    </w:p>
    <w:p>
      <w:pPr>
        <w:jc w:val="both"/>
        <w:ind w:firstLine="194"/>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The Company may be subject to claims of infringement of third-party intellectual property rights that are costly to defend, result in the diversion of management’s time and efforts, require the payment of damages, limit the Company’s ability to use particular technologies in the future or prevent the Company from marketing its existing or future products and services.</w:t>
      </w:r>
    </w:p>
    <w:p>
      <w:pPr>
        <w:spacing w:after="0" w:line="20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Company’s commercial success depends in part on not infringing, misappropriating, or violating the intellectual property rights of others. A third party could assert a claim against the Company for alleged infringement of its patent, copyright, trademark, or other intellectual property rights, including in relation to technologies that are important to the Company’s business. The Company may not be aware of whether its products or services do or will infringe existing or future patents or the intellectual property rights of others. In addition, there can be no assurance that one or more of the Company’s competitors who have developed competing technologies or the Company’s other competitors will not be granted patents for their technology and allege that the Company has infringed.</w:t>
      </w:r>
    </w:p>
    <w:p>
      <w:pPr>
        <w:spacing w:after="0" w:line="211"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Any claims that the Company’s business infringes the intellectual property rights of others, regardless of the merit or resolution of such claims, could entail significant costs in responding to, defending, and resolving such claims. An adverse determination in any intellectual property claim could require the Company to pay damages and/or stop using its technologies, trademarks, copyrighted works, and other material found to be in violation of another party’s rights and could prevent the Company from licensing its technologies to others unless the Company enters into royalty or licensing arrangements with the prevailing party or are able to redesign its products and services to avoid infringement. Such a license may not be available on reasonable terms, if at all, and there can be no assurance that the Company would be able to redesign its services in a way that would not infringe the intellectual property rights of others. If the Company was required to make payments or comply with an injunction as a result of any infringement, its reputation and financial results could be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REVENUES, EARNINGS, AND FINANCIAL POSITION</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operating results and cash flow can vary substantially from period to period and could increase the volatility of its share price.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Company’s operating results and cash flow can fluctuate substantially from period to period. Fluctuations in IMAX System installations and IMAX GBO, particular, can materially affect operating results. Factors that have affected the Company’s operating results and cash flow in the past, and are likely to affect its operating results and cash flow in the future, include, among other things:</w:t>
      </w:r>
    </w:p>
    <w:p>
      <w:pPr>
        <w:spacing w:after="0" w:line="203" w:lineRule="exact"/>
        <w:rPr>
          <w:sz w:val="20"/>
          <w:szCs w:val="20"/>
          <w:color w:val="auto"/>
        </w:rPr>
      </w:pPr>
    </w:p>
    <w:p>
      <w:pPr>
        <w:ind w:left="780" w:hanging="384"/>
        <w:spacing w:after="0" w:line="281" w:lineRule="auto"/>
        <w:tabs>
          <w:tab w:leader="none" w:pos="7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signing and installation of new IMAX Systems (particularly for installations in newly-built multiplexes, which can result in delays that are beyond the Company’s control);</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commercial success of films distributed to the worldwide IMAX network;</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the Company’s products and services;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of sale and sales-type leases;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leases as sales-type versus operating;</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its sales backlog;</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Film Remastering and distribution agreements;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performance of IMAX Systems operated by the Company’s exhibitor customers;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faced by customers;</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timing of spending in relation to the Company’s research and development efforts and related investments, as well as new business initiatives, and the success thereof; and</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JRSA installations, related capital expenditures, and related cash receipts.</w:t>
      </w:r>
    </w:p>
    <w:p>
      <w:pPr>
        <w:spacing w:after="0" w:line="25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Most of the Company’s operating expenses are fixed in the short term. The Company may be unable to rapidly adjust its spending to compensate for any unexpected shortfall in sales or revenue, which would harm operating results for a particular period.</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systems revenue can vary significantly from its cash flows under IMAX System sales or lease agreements.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Company’s systems revenue can vary significantly from the associated cash flows. The Company often provides financing to customers for IMAX Systems on a long-term basis through long-term sale or lease arrangements. The terms of these arrangements are typically 10 to 20 years with renewal provisions and provide for three major sources of cash flow to the Company:</w:t>
      </w:r>
    </w:p>
    <w:p>
      <w:pPr>
        <w:spacing w:after="0" w:line="203" w:lineRule="exact"/>
        <w:rPr>
          <w:sz w:val="20"/>
          <w:szCs w:val="20"/>
          <w:color w:val="auto"/>
        </w:rPr>
      </w:pPr>
    </w:p>
    <w:p>
      <w:pPr>
        <w:ind w:left="780" w:hanging="384"/>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fees, which are paid in installments generally commencing upon the signing of the agreement until installation of the IMAX System;</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fees, which are paid monthly after the IMAX System has been opened to the public and are generally equal to the greater of a fixed minimum amount per annum or a percentage of box office receipts; and</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annual maintenance and extended warranty fees, which are generally payable annually or quarterly.</w:t>
      </w:r>
    </w:p>
    <w:p>
      <w:pPr>
        <w:spacing w:after="0" w:line="25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Initial fees generally make up the vast majority of cash received by the Company under IMAX System sales or sales-type lease agreements. For sale and sales-type leases, the revenue recorded is generally equal to the sum of initial fees and the present value of any future annual minimum payments. Sales arrangements may also include the present value of the estimated future variable consideration based on forecasted box office performance for the term. Cash received from initial fees in advance of meeting the revenue recognition criteria for the IMAX Systems is recorded as deferred revenue.</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JRSAs, which typically have an initial term of 10 years or longer. Under the traditional form of JRSA, in exchange for providing the IMAX System under a long-term lease, the Company earns rental revenues based on a percentage of contingent box office receipts rather than a fixed upfront fee or annual minimum payments. Under hybrid JRSA arrangement, the Company receives a reduced fixed upfront payment and a percentage of contingent box office receipts. For certain of JRSAs that are classified as operating leases, initial fees and fixed minimum ongoing payments are recognized as revenue on a straight-line basis over the lease term. Contingent payments in excess of fixed minimum ongoing payments are recognized as revenue when reported by customers, provided collectability is reasonably assured.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a result of the above, the revenue set forth in the Company’s Consolidated Financial Statements does not necessarily correlate with the Company’s cash flow or cash position. Revenues include the present value of future contracted cash payments, and there is no guarantee that the Company will receive such payments if its customers default on their payment obligations or if box office does not actualize as forecasted.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convert all of its backlog into revenue and cash flows.</w:t>
      </w:r>
    </w:p>
    <w:p>
      <w:pPr>
        <w:spacing w:after="0" w:line="255"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As of December 31, 2025, the Company’s backlog included 434 IMAX Systems, consisting of 139 IMAX Systems under sales or lease arrangements and 295 IMAX Systems under JRSAs. The Company lists signed contracts for IMAX Systems for which revenue has not been recognized as backlog prior to the time of revenue recognition. The total value of the backlog represents all binding IMAX System sale or lease agreements scheduled to be installed in the future. Notwithstanding their legal obligations, some of the Company’s exhibitor customers may be delinquent in their contractual payments and/or not accept delivery of IMAX Systems that are included in the Company’s backlog. An economic or industry downturn may exacerbate exhibitor customer liquidity constraints and the risk of customers not accepting delivery of IMAX Systems. Construction projects that are linked to the construction of new malls are particularly susceptible to economic downturns and delays. Customers with system obligations in backlog sometimes request that the Company agree to modify or reduce such obligations, which the Company has agreed to do in the past under certain circumstances, and may agree to do in the future. Customer-requested delays in the installation of IMAX Systems in backlog remain a recurring and unpredictable part of the Company’s business, especially in China. A slow down in China’s economic growth in the past has caused several of the Company’s exhibition partners operating in China to delay payment or theater system installation obligations to the Company. Any reduction or change in backlog could adversely affect the Company’s future revenues and cash flows.</w:t>
      </w:r>
    </w:p>
    <w:p>
      <w:pPr>
        <w:spacing w:after="0" w:line="216"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Company’s inability to enter into renewals of new sales and lease agreements on favorable terms or at all would adversely affect its cash flows and operating results.</w:t>
      </w:r>
    </w:p>
    <w:p>
      <w:pPr>
        <w:spacing w:after="0" w:line="186"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approximately 7% of the Company’s sales and lease agreements were due to expire in the ensuing 12 months. If these agreements are not renewed, or if the Company is unable to enter into new leases agreements comparable to those currently in effect in a timely manner, then the Company’s systems revenue could be adversely affected.</w:t>
      </w:r>
    </w:p>
    <w:p>
      <w:pPr>
        <w:spacing w:after="0" w:line="199" w:lineRule="exact"/>
        <w:rPr>
          <w:sz w:val="20"/>
          <w:szCs w:val="20"/>
          <w:color w:val="auto"/>
        </w:rPr>
      </w:pPr>
    </w:p>
    <w:p>
      <w:pPr>
        <w:jc w:val="both"/>
        <w:ind w:right="20"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Company’s revenues from existing customers are derived in part from financial reporting provided by its customers, which may be inaccurate or incomplete, resulting in lost or delayed revenues.</w:t>
      </w:r>
    </w:p>
    <w:p>
      <w:pPr>
        <w:spacing w:after="0" w:line="186"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 portion of the Company’s revenue is based upon financial reporting provided by its customers. If such reporting is inaccurate, incomplete, or withheld, the Company’s ability to receive the appropriate payments it is owed in a timely fashion may be impaired. While the Company has the contractual ability to audit IMAX locations, this may not rectify payments lost or delayed as a result of customers not fulfilling their contractual obligations with respect to financial reporting.</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There is collection risk associated with payments to be received over the terms of the Company’s agreements.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is dependent in part on the viability of its customers for collections under the Company’s agreements. Exhibitors, other operators or smaller production studios may experience financial difficulties that could cause them to be unable to fulfill their contractual payment obligations to the Company. As a result, the Company’s future revenues and cash flows could be adversely affected.</w:t>
      </w:r>
    </w:p>
    <w:p>
      <w:pPr>
        <w:spacing w:after="0" w:line="199"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 has been and may continue to be subject to impairment losses on its film assets if such assets do not meet management’s estimates of total revenues.</w:t>
      </w:r>
    </w:p>
    <w:p>
      <w:pPr>
        <w:spacing w:after="0" w:line="18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amortizes its film assets, including IMAX Film Remastering costs capitalized using the individual film forecast method, whereby the costs of film assets are amortized and participation costs are accrued for each film in the ratio of revenues earned in the current period to management’s estimate of total revenues ultimately expected to be received for that title. Management regularly reviews, and revises when necessary, its estimates of ultimate revenues on a title-by-title basis, which may result in a change in the rate of amortization of the film assets and write-downs or impairments of film assets. Results of operations in future years will include the amortization of the Company’s film assets and may be significantly affected by periodic adjustments in amortization rates.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been and may continue to be subject to impairment losses on its inventories if they become obsolete.</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inventories based upon current estimates of future events and conditions, including the anticipated installation dates for the current backlog of IMAX System contracts, technological developments, signings in negotiation and anticipated market acceptance of the Company’s current and pending IMAX Systems.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been and may continue to be subject to impairment losses related to goodwill and long-lived assets.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194"/>
        <w:spacing w:after="0" w:line="273" w:lineRule="auto"/>
        <w:rPr>
          <w:sz w:val="20"/>
          <w:szCs w:val="20"/>
          <w:color w:val="auto"/>
        </w:rPr>
      </w:pPr>
      <w:r>
        <w:rPr>
          <w:rFonts w:ascii="Times New Roman" w:cs="Times New Roman" w:eastAsia="Times New Roman" w:hAnsi="Times New Roman"/>
          <w:sz w:val="18"/>
          <w:szCs w:val="18"/>
          <w:color w:val="auto"/>
        </w:rPr>
        <w:t>Under United States Generally Accepted Accounting Principles (“U.S. GAAP”), the Company tests goodwill annually for impairment and more frequently if events or changes in circumstances indicate that goodwill may be impaired. The Company also tests long-lived assets for impairment if events</w:t>
      </w:r>
    </w:p>
    <w:p>
      <w:pPr>
        <w:jc w:val="both"/>
        <w:spacing w:after="0" w:line="257" w:lineRule="auto"/>
        <w:rPr>
          <w:sz w:val="20"/>
          <w:szCs w:val="20"/>
          <w:color w:val="auto"/>
        </w:rPr>
      </w:pPr>
      <w:r>
        <w:rPr>
          <w:rFonts w:ascii="Times New Roman" w:cs="Times New Roman" w:eastAsia="Times New Roman" w:hAnsi="Times New Roman"/>
          <w:sz w:val="18"/>
          <w:szCs w:val="18"/>
          <w:color w:val="auto"/>
        </w:rPr>
        <w:t>or changes in circumstances indicate that such assets with an asset group may be impaired. These events and circumstances may include a significant change in legal factors or in the business climate, a significant decline in the Company’s share price, an adverse action or assessment by a regulator, unanticipated competition, a loss of key personnel, significant disposal activity and the testing of recoverability for a significant asset group. If it is determined that sufficient future cash flows do not exist to support the current carrying value, the Company will be required to record an impairment charge in order to adjust the value of these assets to the newly established estimated value.</w:t>
      </w:r>
    </w:p>
    <w:p>
      <w:pPr>
        <w:spacing w:after="0" w:line="212"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may be required to record a significant charge to earnings in its Consolidated Financial Statements during the period in which any other impairment of its goodwill or long-lived assets is determined. For additional information, see Note 12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COMMON SHARES</w:t>
      </w:r>
    </w:p>
    <w:p>
      <w:pPr>
        <w:spacing w:after="0" w:line="251"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the Company’s common shares has historically been volatile and declines in market price, may negatively affect its ability to raise capital, issue debt, secure customer business, and retain employees.</w:t>
      </w:r>
    </w:p>
    <w:p>
      <w:pPr>
        <w:spacing w:after="0" w:line="186"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is listed on the New York Stock Exchange (“NYSE”) and its publicly traded shares have in the past experienced, and may continue to experience, significant price and volume fluctuations. This market volatility could reduce the market price of its common shares, regardless of the Company’s operating performance. A decline in the capital markets generally, or an adjustment in the market price or trading volumes of the Company’s publicly traded securities, may negatively affect the Company’s ability to raise capital, issue debt, secure customer business or retain employees. These factors, as well as general economic and geopolitical conditions, may have a material adverse effect on the market price of the Company’s publicly traded securities.</w:t>
      </w:r>
    </w:p>
    <w:p>
      <w:pPr>
        <w:spacing w:after="0" w:line="207"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Because the Company is incorporated in Canada, it may be difficult for plaintiffs to enforce against the Company liabilities based solely upon United States federal securities laws.</w:t>
      </w:r>
    </w:p>
    <w:p>
      <w:pPr>
        <w:spacing w:after="0" w:line="186"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is incorporated under the federal laws of Canada, some of its directors and officers are residents of Canada and a substantial portion of its assets and the assets of such directors and officers are located outside the United States. As a result, it may be difficult for U.S. plaintiffs to effect service within the United States upon those directors or officers who are not residents of the United States, or to obtain or enforce against them or the Company judgments of U.S. courts predicated solely upon civil liability under the U.S. federal securities laws. In addition, it may be difficult for plaintiffs to bring an original action outside of the United States against the Company to enforce liabilities based solely on U.S. federal securities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INDEBTEDNESS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debt agreements contain significant restrictions that limit its operating and financial flexibility.</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credit agreement governing the Company’s senior secured credit facility contains certain restrictive covenants that, among other things, limit its ability to:</w:t>
      </w:r>
    </w:p>
    <w:p>
      <w:pPr>
        <w:spacing w:after="0" w:line="189" w:lineRule="exact"/>
        <w:rPr>
          <w:sz w:val="20"/>
          <w:szCs w:val="20"/>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distributions;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stock;</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assets;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subsidiaries;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or other payment restrictions affecting restricted subsidiaries; and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780" w:hanging="384"/>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amalgamate, or sell all or substantially all of its assets to another person.</w:t>
      </w:r>
    </w:p>
    <w:p>
      <w:pPr>
        <w:spacing w:after="0" w:line="25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 addition, certain provisions in the Company’s 0.750% Convertible Senior Notes due 2030 (the “2030 Convertible Notes”) and the related indenture could make a third-party attempt to acquire the Company more difficult or expensive, discouraging a third party from acquiring the Company or removing incumbent management, which holders of the Company’s common shares may view as favorable.</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These restrictive covenants impose operating and financial restrictions on the Company that limit its ability to engage in acts that may be in the Company’s long-term best interests.</w:t>
      </w:r>
    </w:p>
    <w:p>
      <w:pPr>
        <w:spacing w:after="0" w:line="185"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Company’s indebtedness and liabilities could limit the cash flow available for its operations, and expose the Company to risks that could adversely affect its business, financial condition, and results of operations.</w:t>
      </w:r>
    </w:p>
    <w:p>
      <w:pPr>
        <w:spacing w:after="0" w:line="186"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the Company had approximately $413.4 million of consolidated indebtedness and liabilities. The Company may also incur additional indebtedness to meet future financing needs. The Company’s indebtedness could have significant negative consequences for its security holders and its business, results of operations and financial condition by, among other things:</w:t>
      </w:r>
    </w:p>
    <w:p>
      <w:pPr>
        <w:spacing w:after="0" w:line="203" w:lineRule="exact"/>
        <w:rPr>
          <w:sz w:val="20"/>
          <w:szCs w:val="20"/>
          <w:color w:val="auto"/>
        </w:rPr>
      </w:pPr>
    </w:p>
    <w:p>
      <w:pPr>
        <w:ind w:left="780" w:hanging="384"/>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its vulnerability to adverse economic and industry conditions;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ability to obtain additional financing;</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its cash flow from operations to service its indebtedness, which will reduce the amount of cash available for other purposes;</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its flexibility to plan for, or react to, changes in its business;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its shareholders as a result of issuing common shares upon conversion of the 2030 Convertible Notes;</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2030 Convertible Notes may, subject to certain conditions, require the Company to repurchase their 2030 Convertible Notes following a fundamental change; and</w:t>
      </w:r>
    </w:p>
    <w:p>
      <w:pPr>
        <w:spacing w:after="0" w:line="188" w:lineRule="exact"/>
        <w:rPr>
          <w:rFonts w:ascii="Times New Roman" w:cs="Times New Roman" w:eastAsia="Times New Roman" w:hAnsi="Times New Roman"/>
          <w:sz w:val="18"/>
          <w:szCs w:val="18"/>
          <w:color w:val="auto"/>
        </w:rPr>
      </w:pPr>
    </w:p>
    <w:p>
      <w:pPr>
        <w:ind w:left="780" w:right="20" w:hanging="384"/>
        <w:spacing w:after="0" w:line="281" w:lineRule="auto"/>
        <w:tabs>
          <w:tab w:leader="none" w:pos="7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the Company at a possible competitive disadvantage with competitors that are less leveraged than the Company or have better access to capital.</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Company’s business may not generate sufficient funds, and the Company may otherwise be unable to maintain sufficient cash reserves, to pay amounts due under its indebtedness, and the Company’s cash needs may increase in the future. In addition, the Credit Agreement contains, and any future indebtedness that the Company incurs may contain, financial and other restrictive covenants that limit its ability to operate, raise capital or make payments under its other indebtedness. If the Company fails to comply with these covenants and that of other debt agreements or to make payments under its indebtedness when due, then the Company would be in default under that indebtedness, which could, in turn, result in that and the Company’s other indebtedness becoming immediately payable in full. A description of the Company’s outstanding indebtedness is provided in Note 13 to “Consolidated Financial Statements” in Part II, Item 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1" w:lineRule="exact"/>
        <w:rPr>
          <w:sz w:val="20"/>
          <w:szCs w:val="20"/>
          <w:color w:val="auto"/>
        </w:rPr>
      </w:pPr>
    </w:p>
    <w:p>
      <w:pPr>
        <w:jc w:val="both"/>
        <w:ind w:firstLine="194"/>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of the Company’s key personnel, or its failure to attract and retain its employee population, could adversely affect its business.</w:t>
      </w:r>
    </w:p>
    <w:p>
      <w:pPr>
        <w:spacing w:after="0" w:line="186"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Company’s operations and prospects depend in large part on the performance and continued service of its senior management team. The competition for experienced senior management in the Company’s industry is intense, and the Company may not find qualified replacements for any of these individuals if their services are no longer available on the same terms or at all. The loss of the services of one or more members of the Company’s senior management team could adversely affect its ability to effectively pursue its business strategy.</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 addition, the Company may experience challenges with respect to employee retention given the current competitive labor market. A number of external factors beyond the Company’s control, including its industry’s highly competitive market for skilled workers and leaders, cost inflation, and workforce participation rates, may negatively affect the Company’s ability to retain and attract</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employees. If the Company experiences high attrition rates in its employee population, the results of its operations may be adversely affected.</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and changes in management’s estimates may affect the Company’s reported earnings and operating income.</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U.S. GAAP and accompanying accounting pronouncements are highly complex and involve many subjective judgments. Changes in these rules, their interpretation, management’s estimates, or changes in the Company’s products or business could significantly change its reported future earnings and operating income and could add significant volatility to those measures, without a comparable underlying change in cash flow from operations. More information is provided in “Critical Accounting Estimates” within “Management’s Discussion and Analysis of Financial Condition and Results of Operations” in Item 7.</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market responses to climate change concerns may negatively impact our business and increase our operating costs.</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Public concern about climate change and governmental attention to climate matters has resulted in expanding mandatory and voluntary reporting, diligence, and disclosure on topics such as climate change impacts, carbon emissions, water usage, waste management, and risk oversight and has expanded and may continue to expand the nature, scope, and complexity of matters that the Company is required to control, assess, and report. Furthermore, regulatory efforts to combat climate change could result in increases in the cost of raw materials, taxes, transportation and utilities for the Company’s suppliers and vendors which would result in higher operating costs for the Company and potentially impact the availability of components used in the IMAX Systems. These and other rapidly changing laws, regulations, policies, interpretations, and expectations and shift in consumer sentiment may increase the cost of the Company’s compliance, divert management attention, alter the environment in which it does business, and expose the Company to potentially significant fines or other penalties if it is unable to comply with such laws, regulations or policies, any of which could have a material adverse effect on the Company’s business, results of operations, and financial condition. However, the Company is unable to predict at this time, the potential effects, if any, that any climate change initiatives may have on its business.</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The Company’s business and financial results could be adversely affected by weather conditions and natural and man-made disasters.</w:t>
      </w:r>
    </w:p>
    <w:p>
      <w:pPr>
        <w:spacing w:after="0" w:line="25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Physical risks, including man-made disasters, such as infrastructure failures, structural collapse, fires, explosions, and acts of war and terror, as well as weather conditions and natural disasters, such as earthquakes, droughts, floods, hailstorms, heavy or prolonged precipitation, wildfires, hurricanes, sea level rise and others, affecting the IMAX global network or corporate locations, could harm the Company’s business. Additionally, the physical impacts of climate change may cause occurrences of natural disasters to increase in frequency, severity and duration, magnifying the adverse impact of such occurrences and the cost of insuring against them. The climates and geology of some of the regions in which the Company’s principal offices are located, including California, present increased risks of adverse weather or natural disasters. Any such events in the future could disrupt the Company’s operations and impact the Company’s ability to serve its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is not aware of any cybersecurity threats or incidents to date that have materially affected its strategy, results of operations, or financial condition. However, the scope and impact of any future cybersecurity incident cannot be predicted with certainty. More information on how material cybersecurity attacks may impact the Company’s business is provided in “Item 1A. Risk Factors”.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FRAMEWORK</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employs a multi-faceted cybersecurity risk management framework, which is integrated into its enterprise risk management system. The Company’s security policies and practices follows the ISO 27001 framework and manages its cybersecurity risks through a dedicated information security team, reporting to the Vice President, Information Security. The information security team is tasked with, among other things, assessing, identifying and managing material cybersecurity risks and overseeing the implementation of the Company’s cybersecurity strategy. The Company’s cybersecurity risk management includes, but is not limited to, the following elements.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Risk Identification and Assessment</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information security team conducts periodic risk assessments, which includes penetration testing and vulnerability scanning, on the Company’s Information Technology (“IT”) infrastructure, systems, and networks to identify potential vulnerabilities, weaknesses, and risks, and evaluates the potential impact of cybersecurity risks on the Company’s operations, financials, and business.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Risk Mitigation Measures</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information security team implements and maintains a multi-layered defense approach designed to safeguard the Company’s information technology infrastructure in accordance with industry practices and updates the Company’s systems and software to address identified vulnerabilities. The Company has also developed an incident response and disaster recovery plan to respond to cybersecurity incidents.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Vendor Risk Management</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evaluates the risk profile of its third-party service providers as needed and may include cybersecurity enhancement or compliance requirements in its service agreements, as needed. The information security team periodically reviews key vendors and counterparties’ cybersecurity practices and may conduct audits or assessments at its discretion.</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addition, the Company has established clear lines of communication with key stakeholders, including executives, IT teams, employees, and customers, to ensure transparency and an effective response to cybersecurity incidents. Furthermore, the information security team develops and provides cybersecurity awareness training to the Company’s employees and regularly communicates updates on best cybersecurity practices and improvements in the cybersecurity program.</w:t>
      </w:r>
    </w:p>
    <w:p>
      <w:pPr>
        <w:spacing w:after="0" w:line="20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may use third-party programs and software and engage assessors, consultants, cybersecurity auditors, or other third parties to review, test, and advise on improvements to the Company’s cybersecurity infrastructure.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25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Audit Committee oversees the Company’s risk management and assessment, including its mitigation strategies, and updates the Board on the Company’s risk profile and exposures on an as needed basis. With respect to cybersecurity, the Company’s Chief Technology Officer (“CTO”) and Vice President, Information Security update the Audit Committee on at least an annual basis on matters such as external cybersecurity threats and attack trends; updates to threat monitoring processes; the composition of the Company’s information security team; cybersecurity awareness training and testing; cybersecurity strategy; cybersecurity metrics, and assessments of the progress on cybersecurity programs; and the potential scope and impact of cybersecurity risks and incidents on the Company’s operations and financial condition. The Audit Committee may also meet with management on an ad hoc basis to discuss and review any material cybersecurity incidents or threats.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MANAGEMENT</w:t>
      </w:r>
    </w:p>
    <w:p>
      <w:pPr>
        <w:spacing w:after="0" w:line="255"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Management is responsible for managing risks and informing the Board of the Company’s material near- and long-term risks and risk management strategies. Management presents the Company’s risk assessment, which includes its cybersecurity risks, to the Audit Committee on at least an annual basis.</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CTO leads management’s assessment and management of cybersecurity risks, including to monitor for the prevention, detection, mitigation, and remediation of cybersecurity incidents. The Company’s Vice President, Information Security leads the information security team, which is responsible for managing day-to-day cybersecurity risks and implementing and maintaining the Company’s cybersecurity strategy. The Vice President, Information Security reports to and regularly briefs the CTO on cybersecurity matters, including results of vulnerability testing and remediation, cyber incident responses, and progress on cybersecurity infrastructure initiatives. The CTO and Vice President, Information Security update the Audit Committee about cybersecurity risks and any investigation of a material cybersecurity incident.</w:t>
      </w:r>
    </w:p>
    <w:p>
      <w:pPr>
        <w:spacing w:after="0" w:line="21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Company’s current CTO has over 25 years of experience in senior technology leadership roles, involving oversight of all aspects of technology development and technical operations, including cybersecurity.</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Company’s current Vice President, Information Security has over 20 years of experience in cybersecurity roles, including in cybersecurity engineering, information security assessment, and development and management of corporate security policies and governance problems.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principal executive offices are located in Mississauga, Ontario, Canada and New York, New York. As of December 31, 2025,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principal facilities are as follows: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6220" w:type="dxa"/>
            <w:vAlign w:val="bottom"/>
            <w:gridSpan w:val="2"/>
          </w:tcPr>
          <w:p>
            <w:pPr>
              <w:ind w:left="272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39"/>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Mississauga, Ontario</w:t>
            </w:r>
          </w:p>
        </w:tc>
        <w:tc>
          <w:tcPr>
            <w:tcW w:w="6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980" w:type="dxa"/>
            <w:vAlign w:val="bottom"/>
            <w:vMerge w:val="continue"/>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Headquarters, Administrative, Assembly, Research and Development, and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Own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Services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Playa Vista, California</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Film Production and Post-Production</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Own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Tokyo, Japan</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and Maintenance Services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Shanghai, China</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Maintenance Services, and Administrative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51"/>
        </w:trPr>
        <w:tc>
          <w:tcPr>
            <w:tcW w:w="298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 to</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Waterloo, Ontario</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Administrative, and Research and Development</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w:t>
            </w: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Dublin, Ireland</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Marketing, Administrative, and Research and Development</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London, United Kingdom</w:t>
            </w: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Lease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believes that its existing facilities and equipment are in good operating condition and are suitable for the conduct of its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15 to “Consolidated Financial Statements” in Part II, Item 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shares are traded on the NYSE under the symbol “IMAX.”</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January 31, 2026, the Company had approximately 217 registered holders of record of its common shares.</w:t>
      </w:r>
    </w:p>
    <w:p>
      <w:pPr>
        <w:spacing w:after="0" w:line="25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has not paid, nor does the Company have any current plans to pay, cash dividends on its common shares. The payment of dividends by the Company is subject to certain restrictions under the terms of the Company’s indebtedness (see Note 13 to “Consolidated Financial Statements” in Part II, Item 8.) The payment of any future dividends will be determined by the Board in light of conditions then existing, including the Company’s financial condition and requirements, future prospects, restrictions in financing agreements, business conditions and other factors deemed relevant by the Board.</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performance stock units (“PSU”),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respectively, at the end of the three-year performance.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following graph compares the total cumulative shareholder return for $100 invested on December 31, 2020 (assuming that all dividends were reinvested) in common shares of the Company against the cumulative total return of the NYSE Composite Index, the S&amp;P/TSX Composite Index and the IMAX Peer Group to the end of the most recently completed fiscal year. The IMAX Peer Group consists of Ambarella, Inc., Cinemark Holdings, Inc., Cineplex Inc., Corsair Gaming, Inc., Dolby Laboratories, Inc., fuboTV Inc., Harmonic Inc., Knowles Corporation, The Marcus Corporation, WildBrain Ltd., and Xperi Inc. The performance period includes the COVID-19 pandemic, which significantly impacted the out-of-home entertainment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157595" cy="4164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7595" cy="416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19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1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9"/>
        </w:trPr>
        <w:tc>
          <w:tcPr>
            <w:tcW w:w="19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w:t>
            </w:r>
          </w:p>
        </w:tc>
      </w:tr>
      <w:tr>
        <w:trPr>
          <w:trHeight w:val="24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Composite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151.49</w:t>
            </w:r>
          </w:p>
        </w:tc>
      </w:tr>
      <w:tr>
        <w:trPr>
          <w:trHeight w:val="27"/>
        </w:trPr>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9"/>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S&amp;P/TSX Composite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w:t>
            </w:r>
          </w:p>
        </w:tc>
      </w:tr>
      <w:tr>
        <w:trPr>
          <w:trHeight w:val="243"/>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PEERS INDEX</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r>
    </w:tbl>
    <w:p>
      <w:pPr>
        <w:spacing w:after="0" w:line="3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In 2017, the Company announced its Board of Directors approved a $200.0 million share repurchase program for its common shares that would have initially expired on June 30, 2020, which was subsequently extended for a 12-month period in 2020, 2021, and 2022 and increased in the total share repurchase authority to $400.0 million. In 2023, the Board of Directors approved a 36-month extension to its share repurchase program through June 30, 2026. In 2025, the Company announced an increase of $100.0 million in the Company’s share repurchase program along with a 12-month extension through June 30, 2027. As of December 31, 2025, the Company had $250.7 million available under the program. The repurchases may be made either in the open market or through private transactions, including repurchases made pursuant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 During the three months ended December 31, 2025, the Company did not repurchase any common shares.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and December 31, 2024, the IMAX LTIP trustee did not hold any shares. Any shares held with the trustee are recorded at cost and are reported as a reduction against Capital Stock on the Company’s Consolidated Balance Sheets.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December 31, 2025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62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39"/>
        </w:trPr>
        <w:tc>
          <w:tcPr>
            <w:tcW w:w="46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2025</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250,720,352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250,720,352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2025</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250,720,352</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In 2024, IMAX China’s shareholders granted its Board of Directors (the “IMAX China Board”) a general mandate authorizing the IMAX China Board, subject to applicable laws, to repurchase shares of IMAX China not to exceed 10% of the total number of issued shares as of June 7, 2024 (34,000,845 shares). This program expired on the date of the 2025 Annual General Meeting of IMAX China on June 12, 2025. During the 2025 Annual General Meeting, shareholders granted its Board of Directors a general mandate authorizing the IMAX China Board, subject to applicable laws, to repurchase share of IMAX China not to exceed 10% of the total number of shares outstanding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December 31, 2025, IMAX China did not repurchase any common shares.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2025 and 2024, there were no share purchases in the administration of employee share-based plans.</w:t>
      </w:r>
    </w:p>
    <w:p>
      <w:pPr>
        <w:spacing w:after="0" w:line="25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 summary of the material terms and conditions of the Company’s revolving credit facility, which includes a limitation of the amount of permitted share repurchases, is provided in Note 13 to “Consolidated Financial Statements” in Part II, Item 8.</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Sales of Unregistered Securities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Refer to “Capital Stock —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 Note 16 to “Consolidated Financial Statements” in Part II, Item 8.</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Reserved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3"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i w:val="1"/>
          <w:iCs w:val="1"/>
          <w:color w:val="auto"/>
        </w:rPr>
        <w:t>Presented below is Management’s Discussion and Analysis of Financial Condition and Results of Operations (“MD&amp;A”) for IMAX for the twelve months ended December 31, 2025 and 2024. This MD&amp;A should be read in conjunction with the accompanying Consolidated Financial Statements and related notes and the discussion under Item 8 of the Company’s 2025 Annual Report on Form 10-K (this “Form 10-K”) and contains forward-looking statements that involve risks and uncertainties. Readers of this MD&amp;A should review the sections titled “Special Note Regarding Forward-Looking Information”, “Risk Factors”, and “Quantitative and Qualitative Disclosures about Market Risk” for a discussion of forward-looking statements and factors that could cause actual results to differ materially from the results described in or implied by the forward-looking statements in the MD&amp;A. For a discussion of results and comparisons for the twelve month ended December 31, 2023, see “Part II, Item 7. Management’s Discussion and Analysis of Financial Condition and Results of Operations” in the Company’s 2024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5" w:lineRule="exact"/>
        <w:rPr>
          <w:sz w:val="20"/>
          <w:szCs w:val="20"/>
          <w:color w:val="auto"/>
        </w:rPr>
      </w:pPr>
    </w:p>
    <w:p>
      <w:pPr>
        <w:jc w:val="both"/>
        <w:ind w:firstLine="194"/>
        <w:spacing w:after="0" w:line="243" w:lineRule="auto"/>
        <w:rPr>
          <w:sz w:val="20"/>
          <w:szCs w:val="20"/>
          <w:color w:val="auto"/>
        </w:rPr>
      </w:pPr>
      <w:r>
        <w:rPr>
          <w:rFonts w:ascii="Times New Roman" w:cs="Times New Roman" w:eastAsia="Times New Roman" w:hAnsi="Times New Roman"/>
          <w:sz w:val="18"/>
          <w:szCs w:val="18"/>
          <w:color w:val="auto"/>
        </w:rPr>
        <w:t>IMAX Corporation (“IMAX”)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w:t>
      </w:r>
      <w:r>
        <w:rPr>
          <w:rFonts w:ascii="Arial" w:cs="Arial" w:eastAsia="Arial" w:hAnsi="Arial"/>
          <w:sz w:val="18"/>
          <w:szCs w:val="18"/>
          <w:color w:val="auto"/>
        </w:rPr>
        <w:t>T</w:t>
      </w:r>
      <w:r>
        <w:rPr>
          <w:rFonts w:ascii="Times New Roman" w:cs="Times New Roman" w:eastAsia="Times New Roman" w:hAnsi="Times New Roman"/>
          <w:sz w:val="18"/>
          <w:szCs w:val="18"/>
          <w:color w:val="auto"/>
        </w:rPr>
        <w: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December 31, 2025, there were 1,864 IMAX Systems operating in locations in 91 countries and territories, including 1,796 commercial multiplexes, 10 commercial destinations, and 58 institutional locations in the Company’s global network. This compares to 1,807 IMAX Systems operating in 90 countries and territories as of December 31, 2024, including 1,735 commercial multiplexes, 11 commercial destinations, and 61 institutional locations in the Company’s global network. Additional information on the composition of the IMAX network is provided in the discussion of “Marketing and Customers” in Part I, Item 1.</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51" w:lineRule="exact"/>
        <w:rPr>
          <w:sz w:val="20"/>
          <w:szCs w:val="20"/>
          <w:color w:val="auto"/>
        </w:rPr>
      </w:pPr>
    </w:p>
    <w:p>
      <w:pPr>
        <w:ind w:left="780" w:right="20" w:hanging="384"/>
        <w:spacing w:after="0" w:line="281"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8"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8"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than conventional theater systems so that the screen extends to the edge of a viewer’s peripheral vision and creates more realistic images;</w:t>
      </w:r>
    </w:p>
    <w:p>
      <w:pPr>
        <w:spacing w:after="0" w:line="188"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than conventional theater systems and pinpointed origination of sound to any specific spot in an auditorium equipped with an IMAX System;</w:t>
      </w:r>
    </w:p>
    <w:p>
      <w:pPr>
        <w:spacing w:after="0" w:line="188"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compared to conventional cinema experiences;</w:t>
      </w:r>
    </w:p>
    <w:p>
      <w:pPr>
        <w:spacing w:after="0" w:line="250" w:lineRule="exact"/>
        <w:rPr>
          <w:rFonts w:ascii="Times New Roman" w:cs="Times New Roman" w:eastAsia="Times New Roman" w:hAnsi="Times New Roman"/>
          <w:sz w:val="18"/>
          <w:szCs w:val="18"/>
          <w:color w:val="auto"/>
        </w:rPr>
      </w:pPr>
    </w:p>
    <w:p>
      <w:pPr>
        <w:ind w:left="780" w:hanging="384"/>
        <w:spacing w:after="0" w:line="281" w:lineRule="auto"/>
        <w:tabs>
          <w:tab w:leader="none" w:pos="7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to ensure a consistent image and sound quality presentation across the IMAX global network ; and</w:t>
      </w:r>
    </w:p>
    <w:p>
      <w:pPr>
        <w:sectPr>
          <w:pgSz w:w="11900" w:h="16838" w:orient="portrait"/>
          <w:cols w:equalWidth="0" w:num="1">
            <w:col w:w="11240"/>
          </w:cols>
          <w:pgMar w:left="320" w:top="364"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780" w:right="20" w:hanging="384"/>
        <w:spacing w:after="0" w:line="281"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189" w:lineRule="exact"/>
        <w:rPr>
          <w:sz w:val="20"/>
          <w:szCs w:val="20"/>
          <w:color w:val="auto"/>
        </w:rPr>
      </w:pPr>
    </w:p>
    <w:p>
      <w:pPr>
        <w:jc w:val="both"/>
        <w:ind w:right="20" w:firstLine="194"/>
        <w:spacing w:after="0" w:line="265" w:lineRule="auto"/>
        <w:rPr>
          <w:sz w:val="20"/>
          <w:szCs w:val="20"/>
          <w:color w:val="auto"/>
        </w:rPr>
      </w:pPr>
      <w:r>
        <w:rPr>
          <w:rFonts w:ascii="Times New Roman" w:cs="Times New Roman" w:eastAsia="Times New Roman" w:hAnsi="Times New Roman"/>
          <w:sz w:val="18"/>
          <w:szCs w:val="18"/>
          <w:color w:val="auto"/>
        </w:rPr>
        <w:t>The Company believes that the benefits related to the enhanced and differentiated image quality and film aspect ratio enable audiences in IMAX locations to feel as if they are a part of the on-screen action, creating a more intense, immersive, and awe-inspiring experience than a conventional cinematic format.</w:t>
      </w:r>
    </w:p>
    <w:p>
      <w:pPr>
        <w:spacing w:after="0" w:line="200" w:lineRule="exact"/>
        <w:rPr>
          <w:sz w:val="20"/>
          <w:szCs w:val="20"/>
          <w:color w:val="auto"/>
        </w:rPr>
      </w:pPr>
    </w:p>
    <w:p>
      <w:pPr>
        <w:jc w:val="both"/>
        <w:ind w:firstLine="194"/>
        <w:spacing w:after="0" w:line="243"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generates incremental box office receipts (“global box office”) for the Company’s exhibitor customers and for the movie studios releasing their films to the IMAX network. The incremental global box office generated by IMAX films combined with IMAX’s leading global network footprint and scale has helped establish IMAX as a key premium distribution and marketing platform for Hollywood and foreign local language movie studios.</w:t>
      </w:r>
    </w:p>
    <w:p>
      <w:pPr>
        <w:spacing w:after="0" w:line="223"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 xml:space="preserve">In 2025, the Company’s diversified global programming and marketing strategy resulted in a global box office record of $1.28 billion, surpassing its previous record of $1.13 billion in 2019 by 13% and a 40% increase over the prior year comparative period. The Company achieved its highest grossing year at the domestic (United States and Canada) box office in 2025. Additionally, the Company had record box office in over 30 countries and territories worldwide in 2025, including China, Japan, Germany, India, Australia and Vietnam. The Company’s 2025 film slate was the largest in history, with 122 new films and other content released during the year, including a record 67 local language films. The top grossing titles released in 2025 included the Chinese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which became the highest grossing IMAX release of all time in China and contributed to the highest grossing Chinese New Year in the Company’s history; </w:t>
      </w:r>
      <w:r>
        <w:rPr>
          <w:rFonts w:ascii="Times New Roman" w:cs="Times New Roman" w:eastAsia="Times New Roman" w:hAnsi="Times New Roman"/>
          <w:sz w:val="18"/>
          <w:szCs w:val="18"/>
          <w:i w:val="1"/>
          <w:iCs w:val="1"/>
          <w:color w:val="auto"/>
        </w:rPr>
        <w:t>Avatar: Fire and Ash</w:t>
      </w:r>
      <w:r>
        <w:rPr>
          <w:rFonts w:ascii="Times New Roman" w:cs="Times New Roman" w:eastAsia="Times New Roman" w:hAnsi="Times New Roman"/>
          <w:sz w:val="18"/>
          <w:szCs w:val="18"/>
          <w:color w:val="auto"/>
        </w:rPr>
        <w:t xml:space="preserve">, the Company’s highest grossing Hollywood release of the year, achieving 15% of the film’s total domestic opening weekend box office; </w:t>
      </w:r>
      <w:r>
        <w:rPr>
          <w:rFonts w:ascii="Times New Roman" w:cs="Times New Roman" w:eastAsia="Times New Roman" w:hAnsi="Times New Roman"/>
          <w:sz w:val="18"/>
          <w:szCs w:val="18"/>
          <w:i w:val="1"/>
          <w:iCs w:val="1"/>
          <w:color w:val="auto"/>
        </w:rPr>
        <w:t>F1: The Movie, Mission: Impossible - The Final Reckoning,</w:t>
      </w:r>
      <w:r>
        <w:rPr>
          <w:rFonts w:ascii="Times New Roman" w:cs="Times New Roman" w:eastAsia="Times New Roman" w:hAnsi="Times New Roman"/>
          <w:sz w:val="18"/>
          <w:szCs w:val="18"/>
          <w:color w:val="auto"/>
        </w:rPr>
        <w:t xml:space="preserve"> and the Japanese film </w:t>
      </w:r>
      <w:r>
        <w:rPr>
          <w:rFonts w:ascii="Times New Roman" w:cs="Times New Roman" w:eastAsia="Times New Roman" w:hAnsi="Times New Roman"/>
          <w:sz w:val="18"/>
          <w:szCs w:val="18"/>
          <w:i w:val="1"/>
          <w:iCs w:val="1"/>
          <w:color w:val="auto"/>
        </w:rPr>
        <w:t>Demon Slayer: Infinity Castle.</w:t>
      </w:r>
      <w:r>
        <w:rPr>
          <w:rFonts w:ascii="Times New Roman" w:cs="Times New Roman" w:eastAsia="Times New Roman" w:hAnsi="Times New Roman"/>
          <w:sz w:val="18"/>
          <w:szCs w:val="18"/>
          <w:color w:val="auto"/>
        </w:rPr>
        <w:t xml:space="preserve"> Local language content in 2025 generated $405.4 million in global box office for the Company or 32% of its total global box office, surpassing its previous record of $243.5 million set in 2023 by 66%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Throughout the year, the Company continually optimized its global IMAX network by taking a heavily diversified programming approach, playing multiple titles contemporaneously, and maintaining maximum scheduling flexibility.</w:t>
      </w:r>
    </w:p>
    <w:p>
      <w:pPr>
        <w:spacing w:after="0" w:line="219" w:lineRule="exact"/>
        <w:rPr>
          <w:sz w:val="20"/>
          <w:szCs w:val="20"/>
          <w:color w:val="auto"/>
        </w:rPr>
      </w:pPr>
    </w:p>
    <w:p>
      <w:pPr>
        <w:jc w:val="both"/>
        <w:ind w:firstLine="194"/>
        <w:spacing w:after="0" w:line="219" w:lineRule="exact"/>
        <w:rPr>
          <w:sz w:val="20"/>
          <w:szCs w:val="20"/>
          <w:color w:val="auto"/>
        </w:rPr>
      </w:pPr>
      <w:r>
        <w:rPr>
          <w:rFonts w:ascii="Times New Roman" w:cs="Times New Roman" w:eastAsia="Times New Roman" w:hAnsi="Times New Roman"/>
          <w:sz w:val="18"/>
          <w:szCs w:val="18"/>
          <w:color w:val="auto"/>
        </w:rPr>
        <w:t>In 2025, the Company released several films shot with IMAX proprietary cameras under the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that generated more than $40.0 million in global IMAX box office on a per-title basis. IMAX captured at least 20% of the domestic opening weekend box office on each of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F1: The Movie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Tron: Ares</w:t>
      </w:r>
      <w:r>
        <w:rPr>
          <w:rFonts w:ascii="Times New Roman" w:cs="Times New Roman" w:eastAsia="Times New Roman" w:hAnsi="Times New Roman"/>
          <w:sz w:val="18"/>
          <w:szCs w:val="18"/>
          <w:color w:val="auto"/>
        </w:rPr>
        <w:t>. Despite increasing competition for consumer attention across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home entertainment, demand for premium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format experiences continued to strengthen. The Filmed For IMAX program helped drive the Company’s domestic box office market share to a record 5.2% and to a record global market share of 3.8%, up from 4.5% and 3.1%, respectively, in the prior year, even though IMAX represents only approximately 1% of domestic screens and less than 1% of screens worldwide.</w:t>
      </w:r>
    </w:p>
    <w:p>
      <w:pPr>
        <w:spacing w:after="0" w:line="226" w:lineRule="exact"/>
        <w:rPr>
          <w:sz w:val="20"/>
          <w:szCs w:val="20"/>
          <w:color w:val="auto"/>
        </w:rPr>
      </w:pPr>
    </w:p>
    <w:p>
      <w:pPr>
        <w:jc w:val="both"/>
        <w:ind w:firstLine="194"/>
        <w:spacing w:after="0" w:line="258" w:lineRule="auto"/>
        <w:rPr>
          <w:sz w:val="20"/>
          <w:szCs w:val="20"/>
          <w:color w:val="auto"/>
        </w:rPr>
      </w:pPr>
      <w:r>
        <w:rPr>
          <w:rFonts w:ascii="Times New Roman" w:cs="Times New Roman" w:eastAsia="Times New Roman" w:hAnsi="Times New Roman"/>
          <w:sz w:val="18"/>
          <w:szCs w:val="18"/>
          <w:color w:val="auto"/>
        </w:rPr>
        <w:t xml:space="preserve">In 2025, the Company partnered to release exclusive concert films and limited-run theatrical events, including </w:t>
      </w:r>
      <w:r>
        <w:rPr>
          <w:rFonts w:ascii="Times New Roman" w:cs="Times New Roman" w:eastAsia="Times New Roman" w:hAnsi="Times New Roman"/>
          <w:sz w:val="18"/>
          <w:szCs w:val="18"/>
          <w:i w:val="1"/>
          <w:iCs w:val="1"/>
          <w:color w:val="auto"/>
        </w:rPr>
        <w:t>Becoming Led Zeppelin</w:t>
      </w:r>
      <w:r>
        <w:rPr>
          <w:rFonts w:ascii="Times New Roman" w:cs="Times New Roman" w:eastAsia="Times New Roman" w:hAnsi="Times New Roman"/>
          <w:sz w:val="18"/>
          <w:szCs w:val="18"/>
          <w:color w:val="auto"/>
        </w:rPr>
        <w:t xml:space="preserve"> with Sony Pictures</w:t>
      </w:r>
      <w:r>
        <w:rPr>
          <w:rFonts w:ascii="Times New Roman" w:cs="Times New Roman" w:eastAsia="Times New Roman" w:hAnsi="Times New Roman"/>
          <w:sz w:val="18"/>
          <w:szCs w:val="18"/>
          <w:i w:val="1"/>
          <w:iCs w:val="1"/>
          <w:color w:val="auto"/>
        </w:rPr>
        <w:t>, Prince - Sign O’ The Times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Rolling Stones - At The Max</w:t>
      </w:r>
      <w:r>
        <w:rPr>
          <w:rFonts w:ascii="Times New Roman" w:cs="Times New Roman" w:eastAsia="Times New Roman" w:hAnsi="Times New Roman"/>
          <w:sz w:val="18"/>
          <w:szCs w:val="18"/>
          <w:color w:val="auto"/>
        </w:rPr>
        <w:t xml:space="preserve"> with Mercury Studios, </w:t>
      </w:r>
      <w:r>
        <w:rPr>
          <w:rFonts w:ascii="Times New Roman" w:cs="Times New Roman" w:eastAsia="Times New Roman" w:hAnsi="Times New Roman"/>
          <w:sz w:val="18"/>
          <w:szCs w:val="18"/>
          <w:i w:val="1"/>
          <w:iCs w:val="1"/>
          <w:color w:val="auto"/>
        </w:rPr>
        <w:t>Pink Floyd at Pompeii - MCMLXXII, Depeche Mode: 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j-hope Tour ‘Hope on Stage’ The Movie </w:t>
      </w:r>
      <w:r>
        <w:rPr>
          <w:rFonts w:ascii="Times New Roman" w:cs="Times New Roman" w:eastAsia="Times New Roman" w:hAnsi="Times New Roman"/>
          <w:sz w:val="18"/>
          <w:szCs w:val="18"/>
          <w:color w:val="auto"/>
        </w:rPr>
        <w:t>with Trafalgar Releasing,</w:t>
      </w:r>
      <w:r>
        <w:rPr>
          <w:rFonts w:ascii="Times New Roman" w:cs="Times New Roman" w:eastAsia="Times New Roman" w:hAnsi="Times New Roman"/>
          <w:sz w:val="18"/>
          <w:szCs w:val="18"/>
          <w:i w:val="1"/>
          <w:iCs w:val="1"/>
          <w:color w:val="auto"/>
        </w:rPr>
        <w:t xml:space="preserve"> One to One: John &amp; Yoko </w:t>
      </w:r>
      <w:r>
        <w:rPr>
          <w:rFonts w:ascii="Times New Roman" w:cs="Times New Roman" w:eastAsia="Times New Roman" w:hAnsi="Times New Roman"/>
          <w:sz w:val="18"/>
          <w:szCs w:val="18"/>
          <w:color w:val="auto"/>
        </w:rPr>
        <w:t>with Magnolia Pictures,</w:t>
      </w:r>
      <w:r>
        <w:rPr>
          <w:rFonts w:ascii="Times New Roman" w:cs="Times New Roman" w:eastAsia="Times New Roman" w:hAnsi="Times New Roman"/>
          <w:sz w:val="18"/>
          <w:szCs w:val="18"/>
          <w:i w:val="1"/>
          <w:iCs w:val="1"/>
          <w:color w:val="auto"/>
        </w:rPr>
        <w:t xml:space="preserve"> Springsteen: Deliver Me From Nowhere </w:t>
      </w:r>
      <w:r>
        <w:rPr>
          <w:rFonts w:ascii="Times New Roman" w:cs="Times New Roman" w:eastAsia="Times New Roman" w:hAnsi="Times New Roman"/>
          <w:sz w:val="18"/>
          <w:szCs w:val="18"/>
          <w:color w:val="auto"/>
        </w:rPr>
        <w:t>with 20th Century Studios, and</w:t>
      </w:r>
      <w:r>
        <w:rPr>
          <w:rFonts w:ascii="Times New Roman" w:cs="Times New Roman" w:eastAsia="Times New Roman" w:hAnsi="Times New Roman"/>
          <w:sz w:val="18"/>
          <w:szCs w:val="18"/>
          <w:i w:val="1"/>
          <w:iCs w:val="1"/>
          <w:color w:val="auto"/>
        </w:rPr>
        <w:t xml:space="preserve"> G-Dragon in Cinema [Übermensch] </w:t>
      </w:r>
      <w:r>
        <w:rPr>
          <w:rFonts w:ascii="Times New Roman" w:cs="Times New Roman" w:eastAsia="Times New Roman" w:hAnsi="Times New Roman"/>
          <w:sz w:val="18"/>
          <w:szCs w:val="18"/>
          <w:color w:val="auto"/>
        </w:rPr>
        <w:t>with CJ CGV Co. Ltd. The Company also partnered with Bleecker Street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release of </w:t>
      </w:r>
      <w:r>
        <w:rPr>
          <w:rFonts w:ascii="Times New Roman" w:cs="Times New Roman" w:eastAsia="Times New Roman" w:hAnsi="Times New Roman"/>
          <w:sz w:val="18"/>
          <w:szCs w:val="18"/>
          <w:i w:val="1"/>
          <w:iCs w:val="1"/>
          <w:color w:val="auto"/>
        </w:rPr>
        <w:t>Spinal Tap II: The End Continues</w:t>
      </w:r>
      <w:r>
        <w:rPr>
          <w:rFonts w:ascii="Times New Roman" w:cs="Times New Roman" w:eastAsia="Times New Roman" w:hAnsi="Times New Roman"/>
          <w:sz w:val="18"/>
          <w:szCs w:val="18"/>
          <w:color w:val="auto"/>
        </w:rPr>
        <w:t>, including a live Q&amp;A event.</w:t>
      </w:r>
    </w:p>
    <w:p>
      <w:pPr>
        <w:spacing w:after="0" w:line="207" w:lineRule="exact"/>
        <w:rPr>
          <w:sz w:val="20"/>
          <w:szCs w:val="20"/>
          <w:color w:val="auto"/>
        </w:rPr>
      </w:pPr>
    </w:p>
    <w:p>
      <w:pPr>
        <w:jc w:val="both"/>
        <w:ind w:right="20" w:firstLine="194"/>
        <w:spacing w:after="0" w:line="283" w:lineRule="auto"/>
        <w:rPr>
          <w:sz w:val="20"/>
          <w:szCs w:val="20"/>
          <w:color w:val="auto"/>
        </w:rPr>
      </w:pPr>
      <w:r>
        <w:rPr>
          <w:rFonts w:ascii="Times New Roman" w:cs="Times New Roman" w:eastAsia="Times New Roman" w:hAnsi="Times New Roman"/>
          <w:sz w:val="18"/>
          <w:szCs w:val="18"/>
          <w:color w:val="auto"/>
        </w:rPr>
        <w:t xml:space="preserve">The Company also continued its partnership with A24 to present one-night-only IMAX releases of classic A24 titles, including </w:t>
      </w:r>
      <w:r>
        <w:rPr>
          <w:rFonts w:ascii="Times New Roman" w:cs="Times New Roman" w:eastAsia="Times New Roman" w:hAnsi="Times New Roman"/>
          <w:sz w:val="18"/>
          <w:szCs w:val="18"/>
          <w:i w:val="1"/>
          <w:iCs w:val="1"/>
          <w:color w:val="auto"/>
        </w:rPr>
        <w:t>Talk to Me, Moonlight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Spring Breakers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Company released several event-based and live screenings in 2025, including </w:t>
      </w:r>
      <w:r>
        <w:rPr>
          <w:rFonts w:ascii="Times New Roman" w:cs="Times New Roman" w:eastAsia="Times New Roman" w:hAnsi="Times New Roman"/>
          <w:sz w:val="18"/>
          <w:szCs w:val="18"/>
          <w:i w:val="1"/>
          <w:iCs w:val="1"/>
          <w:color w:val="auto"/>
        </w:rPr>
        <w:t>Dead &amp; Company Live in IMAX from Golden Gate Park</w:t>
      </w:r>
      <w:r>
        <w:rPr>
          <w:rFonts w:ascii="Times New Roman" w:cs="Times New Roman" w:eastAsia="Times New Roman" w:hAnsi="Times New Roman"/>
          <w:sz w:val="18"/>
          <w:szCs w:val="18"/>
          <w:color w:val="auto"/>
        </w:rPr>
        <w:t xml:space="preserve"> with Los Muertos, </w:t>
      </w:r>
      <w:r>
        <w:rPr>
          <w:rFonts w:ascii="Times New Roman" w:cs="Times New Roman" w:eastAsia="Times New Roman" w:hAnsi="Times New Roman"/>
          <w:sz w:val="18"/>
          <w:szCs w:val="18"/>
          <w:i w:val="1"/>
          <w:iCs w:val="1"/>
          <w:color w:val="auto"/>
        </w:rPr>
        <w:t>The Grateful Dead Movie 2025 Meet-Up,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David Gilmour Live at the Circus Maximus, Rome</w:t>
      </w:r>
      <w:r>
        <w:rPr>
          <w:rFonts w:ascii="Times New Roman" w:cs="Times New Roman" w:eastAsia="Times New Roman" w:hAnsi="Times New Roman"/>
          <w:sz w:val="18"/>
          <w:szCs w:val="18"/>
          <w:color w:val="auto"/>
        </w:rPr>
        <w:t xml:space="preserve"> with Trafalgar Releasing, and </w:t>
      </w:r>
      <w:r>
        <w:rPr>
          <w:rFonts w:ascii="Times New Roman" w:cs="Times New Roman" w:eastAsia="Times New Roman" w:hAnsi="Times New Roman"/>
          <w:sz w:val="18"/>
          <w:szCs w:val="18"/>
          <w:i w:val="1"/>
          <w:iCs w:val="1"/>
          <w:color w:val="auto"/>
        </w:rPr>
        <w:t>Girl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Climber </w:t>
      </w:r>
      <w:r>
        <w:rPr>
          <w:rFonts w:ascii="Times New Roman" w:cs="Times New Roman" w:eastAsia="Times New Roman" w:hAnsi="Times New Roman"/>
          <w:sz w:val="18"/>
          <w:szCs w:val="18"/>
          <w:color w:val="auto"/>
        </w:rPr>
        <w:t>with Red Bull Studios. In collaboration with Runway AI, Inc,</w:t>
      </w:r>
      <w:r>
        <w:rPr>
          <w:rFonts w:ascii="Times New Roman" w:cs="Times New Roman" w:eastAsia="Times New Roman" w:hAnsi="Times New Roman"/>
          <w:sz w:val="18"/>
          <w:szCs w:val="18"/>
          <w:i w:val="1"/>
          <w:iCs w:val="1"/>
          <w:color w:val="auto"/>
        </w:rPr>
        <w:t xml:space="preserve"> Runway’s 2025 AI Film Festival </w:t>
      </w:r>
      <w:r>
        <w:rPr>
          <w:rFonts w:ascii="Times New Roman" w:cs="Times New Roman" w:eastAsia="Times New Roman" w:hAnsi="Times New Roman"/>
          <w:sz w:val="18"/>
          <w:szCs w:val="18"/>
          <w:color w:val="auto"/>
        </w:rPr>
        <w:t>was released across ten North American IMAX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locations. The Company further expanded its live content offerings through partnerships with NBC Universal for the </w:t>
      </w:r>
      <w:r>
        <w:rPr>
          <w:rFonts w:ascii="Times New Roman" w:cs="Times New Roman" w:eastAsia="Times New Roman" w:hAnsi="Times New Roman"/>
          <w:sz w:val="18"/>
          <w:szCs w:val="18"/>
          <w:i w:val="1"/>
          <w:iCs w:val="1"/>
          <w:color w:val="auto"/>
        </w:rPr>
        <w:t>SNL50: The Homecoming Concert</w:t>
      </w:r>
      <w:r>
        <w:rPr>
          <w:rFonts w:ascii="Times New Roman" w:cs="Times New Roman" w:eastAsia="Times New Roman" w:hAnsi="Times New Roman"/>
          <w:sz w:val="18"/>
          <w:szCs w:val="18"/>
          <w:color w:val="auto"/>
        </w:rPr>
        <w:t xml:space="preserve"> in select IMAX North American locations, DAZN for the </w:t>
      </w:r>
      <w:r>
        <w:rPr>
          <w:rFonts w:ascii="Times New Roman" w:cs="Times New Roman" w:eastAsia="Times New Roman" w:hAnsi="Times New Roman"/>
          <w:sz w:val="18"/>
          <w:szCs w:val="18"/>
          <w:i w:val="1"/>
          <w:iCs w:val="1"/>
          <w:color w:val="auto"/>
        </w:rPr>
        <w:t>PSG v Marseille Le Classique Match</w:t>
      </w:r>
      <w:r>
        <w:rPr>
          <w:rFonts w:ascii="Times New Roman" w:cs="Times New Roman" w:eastAsia="Times New Roman" w:hAnsi="Times New Roman"/>
          <w:sz w:val="18"/>
          <w:szCs w:val="18"/>
          <w:color w:val="auto"/>
        </w:rPr>
        <w:t xml:space="preserve"> in select IMAX locations across France, Wanda Film for the </w:t>
      </w:r>
      <w:r>
        <w:rPr>
          <w:rFonts w:ascii="Times New Roman" w:cs="Times New Roman" w:eastAsia="Times New Roman" w:hAnsi="Times New Roman"/>
          <w:sz w:val="18"/>
          <w:szCs w:val="18"/>
          <w:i w:val="1"/>
          <w:iCs w:val="1"/>
          <w:color w:val="auto"/>
        </w:rPr>
        <w:t xml:space="preserve">F1 Spanish Grand Prix </w:t>
      </w:r>
      <w:r>
        <w:rPr>
          <w:rFonts w:ascii="Times New Roman" w:cs="Times New Roman" w:eastAsia="Times New Roman" w:hAnsi="Times New Roman"/>
          <w:sz w:val="18"/>
          <w:szCs w:val="18"/>
          <w:color w:val="auto"/>
        </w:rPr>
        <w:t>screening across six IMAX locations in China, Major League Baseball for a live streaming of a</w:t>
      </w:r>
      <w:r>
        <w:rPr>
          <w:rFonts w:ascii="Times New Roman" w:cs="Times New Roman" w:eastAsia="Times New Roman" w:hAnsi="Times New Roman"/>
          <w:sz w:val="18"/>
          <w:szCs w:val="18"/>
          <w:i w:val="1"/>
          <w:iCs w:val="1"/>
          <w:color w:val="auto"/>
        </w:rPr>
        <w:t xml:space="preserve"> World Series </w:t>
      </w:r>
      <w:r>
        <w:rPr>
          <w:rFonts w:ascii="Times New Roman" w:cs="Times New Roman" w:eastAsia="Times New Roman" w:hAnsi="Times New Roman"/>
          <w:sz w:val="18"/>
          <w:szCs w:val="18"/>
          <w:color w:val="auto"/>
        </w:rPr>
        <w:t>game across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IMAX locations in Japan and with multiple exhibitor partners in China the </w:t>
      </w:r>
      <w:r>
        <w:rPr>
          <w:rFonts w:ascii="Times New Roman" w:cs="Times New Roman" w:eastAsia="Times New Roman" w:hAnsi="Times New Roman"/>
          <w:sz w:val="18"/>
          <w:szCs w:val="18"/>
          <w:i w:val="1"/>
          <w:iCs w:val="1"/>
          <w:color w:val="auto"/>
        </w:rPr>
        <w:t>League of Legends Video Games</w:t>
      </w:r>
      <w:r>
        <w:rPr>
          <w:rFonts w:ascii="Times New Roman" w:cs="Times New Roman" w:eastAsia="Times New Roman" w:hAnsi="Times New Roman"/>
          <w:sz w:val="18"/>
          <w:szCs w:val="18"/>
          <w:color w:val="auto"/>
        </w:rPr>
        <w:t xml:space="preserve"> 2025 finals across over 100 IMAX China locations. Furthermore, in 2025, the Company partnered with Netflix for release of </w:t>
      </w:r>
      <w:r>
        <w:rPr>
          <w:rFonts w:ascii="Times New Roman" w:cs="Times New Roman" w:eastAsia="Times New Roman" w:hAnsi="Times New Roman"/>
          <w:sz w:val="18"/>
          <w:szCs w:val="18"/>
          <w:i w:val="1"/>
          <w:iCs w:val="1"/>
          <w:color w:val="auto"/>
        </w:rPr>
        <w:t>Frankenstein</w:t>
      </w:r>
      <w:r>
        <w:rPr>
          <w:rFonts w:ascii="Times New Roman" w:cs="Times New Roman" w:eastAsia="Times New Roman" w:hAnsi="Times New Roman"/>
          <w:sz w:val="18"/>
          <w:szCs w:val="18"/>
          <w:color w:val="auto"/>
        </w:rPr>
        <w:t xml:space="preserve"> across select IMAX locations.</w:t>
      </w:r>
    </w:p>
    <w:p>
      <w:pPr>
        <w:spacing w:after="0" w:line="216"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 xml:space="preserve">The Company will continue to expand its partnerships and the scope and diversity of content it releases across its platform. Already announced for 2026 are the following concert films and events, many of which have exclusive IMAX windows: </w:t>
      </w:r>
      <w:r>
        <w:rPr>
          <w:rFonts w:ascii="Times New Roman" w:cs="Times New Roman" w:eastAsia="Times New Roman" w:hAnsi="Times New Roman"/>
          <w:sz w:val="18"/>
          <w:szCs w:val="18"/>
          <w:i w:val="1"/>
          <w:iCs w:val="1"/>
          <w:color w:val="auto"/>
        </w:rPr>
        <w:t>Stray Kids: The dominATE Experience, Eric Church: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Evangeline vs. The Machine Comes Alive, Twenty One Pilots: More Than We Ever Imagined,</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EPiC: Elvis Presley in Concert.</w:t>
      </w:r>
      <w:r>
        <w:rPr>
          <w:rFonts w:ascii="Times New Roman" w:cs="Times New Roman" w:eastAsia="Times New Roman" w:hAnsi="Times New Roman"/>
          <w:sz w:val="18"/>
          <w:szCs w:val="18"/>
          <w:color w:val="auto"/>
        </w:rPr>
        <w:t xml:space="preserve"> In addition, IMAX is working with Apple TV to bring the 2026 FIA Formula One World Championship live to select IMAX locations across the United States for the first time ever. Five of the most iconic Grands Prix in F1 — Miami, Monaco, Silverstone, Monza, and Austin — will be available across at least 50 IMAX locations nationwide.</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utilizes AI tools and technology across its products and business operations. Within its products, AI is used for purposes such as image enhancement and video streaming optimization. In its business operations, the Company employs AI in various functions, including research, data analysis, marketing, theater operations, slate programming, and general productivity improvements. It is actively exploring other global use cases for AI to improve its products, operations, and efficiency.</w:t>
      </w:r>
    </w:p>
    <w:p>
      <w:pPr>
        <w:spacing w:after="0" w:line="20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Company’s business and financial performance depends in part on general political, social, and economic conditions, including changes to trade policies and tariffs. For a description of these risks, see Risk Factors “The Company’s business may be materially adversely affected by the imposition of tariffs and other trade barriers and retaliatory countermeasures implemented by the United States and other governments.”, “General political, social, economic conditions can affect the Company’s business by reducing both revenues generated from existing IMAX Systems and the demand for new IMAX Systems.”, “The Company conducts business internationally, which exposes it to uncertainties and risks that could negatively affect its operations, sales, and future growth prospects.” in Part I, Item 1A of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Additional information is provided in Note 20 to the Consolidated Financial Statements in Part II, Item 8.</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Content Solutions segment earns revenue from Film Remastering, including the distribution of this content across the IMAX global network. To a lesser extent, the Content Solutions segment also earns revenue from the distribution of large-format documentary films and IMAX events and experiences, including music, gaming, and sports to commercial IMAX theaters, as well as the provision of film post-production services.</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timing of documentary downstream sales, the length of play across the IMAX network, the box office share take rates under the Company’s Film Remastering and distribution arrangements, the level of marketing spend associated with the releases in the year, and fluctuations in the value of foreign currencies versus the U.S. Dollar. The studio sector has experienced, and continues to experience, significant consolidation, which may impact the availability of films for release to the IMAX network. A detailed discussion of industry consolidations in included within “Industry overview—Competition—Exhibitor and Studio Consolidation.” in Part I, Item 1.</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from a studio in exchange for converting a commercial film into the IMAX format and distributing it through the IMAX network. The fee earned by the Company in a typical IMAX Film Remastering and distribution arrangement averages approximately 12.5% of box office on a gross basis before sales taxes except within Greater China, where the Company often receives a lower percentage of net box office due to an incremental importation fee paid by the studios. All of the Company’s box office results in this Form 10-K are inclusive of China booking fees to be consistent with market reporting of global box office.</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quality and/or resolution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locations is remastered into a unique IMAX digital audio format. IMAX sound systems use proprietary loudspeaker systems, designs and proprietary surround sound configurations to ensure every seat in an auditorium is an optimal listening position.</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versus a conventional screen. In select IMAX locations worldwide, movies filmed with IMAX cameras have an IMAX-exclusive 1.43 film aspect ratio, delivering up to 67% more image onto a standard conventional movie screen.</w:t>
      </w:r>
    </w:p>
    <w:p>
      <w:pPr>
        <w:spacing w:after="0" w:line="211" w:lineRule="exact"/>
        <w:rPr>
          <w:sz w:val="20"/>
          <w:szCs w:val="20"/>
          <w:color w:val="auto"/>
        </w:rPr>
      </w:pPr>
    </w:p>
    <w:p>
      <w:pPr>
        <w:jc w:val="both"/>
        <w:ind w:firstLine="194"/>
        <w:spacing w:after="0" w:line="244" w:lineRule="auto"/>
        <w:rPr>
          <w:sz w:val="20"/>
          <w:szCs w:val="20"/>
          <w:color w:val="auto"/>
        </w:rPr>
      </w:pPr>
      <w:r>
        <w:rPr>
          <w:rFonts w:ascii="Times New Roman" w:cs="Times New Roman" w:eastAsia="Times New Roman" w:hAnsi="Times New Roman"/>
          <w:sz w:val="18"/>
          <w:szCs w:val="18"/>
          <w:color w:val="auto"/>
        </w:rPr>
        <w:t xml:space="preserve">Filmed For IMAX is IMAX’s filmmaker partnership program. Filmmakers who participate in the program leverage IMAX technology throughout the production process to deliver a movie that is meant to be seen in an IMAX location. From pre-production, through to release, the Company works closely with filmmakers to maximize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for audiences. Filmed For IMAX movies are shot using either an IMAX certified digital camera or an IMAX film camera, with the IMAX Post-Production team working closely with the filmmaker from camera testing before the shoot begins, to on-set support, to test screenings, and post-production. Most Filmed For IMAX movies leverage IMAX’s exclusive expanded aspect ratio for select sequences and, occasionally, the entire film, and benefit from unique marketing support. The global box office metrics have demonstrated audiences respond extremely favorably to Filmed For IMAX titles, resulting in a higher market share for IMAX. In 2025, Filmed For IMAX titles have on average indexed over 8% higher than titles with no IMAX DNA.</w:t>
      </w:r>
    </w:p>
    <w:p>
      <w:pPr>
        <w:spacing w:after="0" w:line="22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Management believes that growth in global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Japan, India, France, and South Korea. As the popularity of local language films has continued to increase, the Company has extended its content strategy to distribute local language content beyond native markets. In 2025, local language films exhibited across the Company’s global network generated $405.4 million in global box office, representing 32% of the Company’s total global box office, including the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which became the highest grossing IMAX release of all time in China, and Japanese local language film, </w:t>
      </w:r>
      <w:r>
        <w:rPr>
          <w:rFonts w:ascii="Times New Roman" w:cs="Times New Roman" w:eastAsia="Times New Roman" w:hAnsi="Times New Roman"/>
          <w:sz w:val="18"/>
          <w:szCs w:val="18"/>
          <w:i w:val="1"/>
          <w:iCs w:val="1"/>
          <w:color w:val="auto"/>
        </w:rPr>
        <w:t>Demon Slayer: Infinity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Castle</w:t>
      </w:r>
      <w:r>
        <w:rPr>
          <w:rFonts w:ascii="Times New Roman" w:cs="Times New Roman" w:eastAsia="Times New Roman" w:hAnsi="Times New Roman"/>
          <w:sz w:val="18"/>
          <w:szCs w:val="18"/>
          <w:color w:val="auto"/>
        </w:rPr>
        <w:t>, which became the highest grossing IMAX release of all time in Japan.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provides the number of new films and other content released to the Company’s global network during the years ended December 31, 2025 and 2024:</w:t>
      </w:r>
    </w:p>
    <w:p>
      <w:pPr>
        <w:spacing w:after="0" w:line="23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41910</wp:posOffset>
            </wp:positionV>
            <wp:extent cx="2069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79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Hollywood film releases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Vietnam</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Egypt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Saudi Arabia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Netherlands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Poland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Turkey</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798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Total film releases</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year ended December 31, 2025, the films released to the Company’s global network include 15 with IMAX DNA (2024 — ten).</w:t>
      </w:r>
    </w:p>
    <w:p>
      <w:pPr>
        <w:spacing w:after="0" w:line="37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year ended December 31, 2025 that generated the highest IMAX box office totals were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Avatar: Fire and 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 xml:space="preserve">, Japanese local language film </w:t>
      </w:r>
      <w:r>
        <w:rPr>
          <w:rFonts w:ascii="Times New Roman" w:cs="Times New Roman" w:eastAsia="Times New Roman" w:hAnsi="Times New Roman"/>
          <w:sz w:val="18"/>
          <w:szCs w:val="18"/>
          <w:i w:val="1"/>
          <w:iCs w:val="1"/>
          <w:color w:val="auto"/>
        </w:rPr>
        <w:t xml:space="preserve">Demon Slayer: Infinity Castle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Zootopia 2</w:t>
      </w:r>
      <w:r>
        <w:rPr>
          <w:rFonts w:ascii="Times New Roman" w:cs="Times New Roman" w:eastAsia="Times New Roman" w:hAnsi="Times New Roman"/>
          <w:sz w:val="18"/>
          <w:szCs w:val="18"/>
          <w:color w:val="auto"/>
        </w:rPr>
        <w:t>. In addition, during the year ended December 31, 2025, 25 alternative content films and events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distributed, including </w:t>
      </w:r>
      <w:r>
        <w:rPr>
          <w:rFonts w:ascii="Times New Roman" w:cs="Times New Roman" w:eastAsia="Times New Roman" w:hAnsi="Times New Roman"/>
          <w:sz w:val="18"/>
          <w:szCs w:val="18"/>
          <w:i w:val="1"/>
          <w:iCs w:val="1"/>
          <w:color w:val="auto"/>
        </w:rPr>
        <w:t>Becoming Led Zeppelin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Pink Floyd at Pompeii - MCMLXXII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Prince - Sign O’ The Times</w:t>
      </w:r>
      <w:r>
        <w:rPr>
          <w:rFonts w:ascii="Times New Roman" w:cs="Times New Roman" w:eastAsia="Times New Roman" w:hAnsi="Times New Roman"/>
          <w:sz w:val="18"/>
          <w:szCs w:val="18"/>
          <w:color w:val="auto"/>
        </w:rPr>
        <w:t>. (Refer to “Management’s Discussion and Analysis of Financial Condition and Results of Operations ― Sources of Revenue ― Other Content Solutions” in Part II, Item 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To date, in 2026, 21 titles have been released to the global IMAX network, including two titles with IMAX DNA, and the Company has announced the following additional 30 titles to be released in 2026: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560" w:type="dxa"/>
            <w:vAlign w:val="bottom"/>
          </w:tcPr>
          <w:p>
            <w:pPr>
              <w:spacing w:after="0"/>
              <w:rPr>
                <w:sz w:val="14"/>
                <w:szCs w:val="14"/>
                <w:color w:val="auto"/>
              </w:rPr>
            </w:pPr>
          </w:p>
        </w:tc>
      </w:tr>
      <w:tr>
        <w:trPr>
          <w:trHeight w:val="230"/>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Release Date</w:t>
            </w:r>
            <w:r>
              <w:rPr>
                <w:rFonts w:ascii="Times New Roman" w:cs="Times New Roman" w:eastAsia="Times New Roman" w:hAnsi="Times New Roman"/>
                <w:sz w:val="18"/>
                <w:szCs w:val="18"/>
                <w:b w:val="1"/>
                <w:bCs w:val="1"/>
                <w:color w:val="auto"/>
                <w:w w:val="97"/>
                <w:vertAlign w:val="superscript"/>
              </w:rPr>
              <w:t>(1)</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26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9"/>
              </w:rPr>
              <w:t>Scream 7</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800" w:type="dxa"/>
            <w:vAlign w:val="bottom"/>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w w:val="99"/>
              </w:rPr>
              <w:t>Twenty One Pilots: More Than We Ever Imagined</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Trafalgar Releasing</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7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The Revenant 10th Anniversary Re-Release</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8"/>
              </w:rPr>
              <w:t>The Bride!</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Hoppers</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9"/>
        </w:trPr>
        <w:tc>
          <w:tcPr>
            <w:tcW w:w="3800" w:type="dxa"/>
            <w:vAlign w:val="bottom"/>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w w:val="97"/>
              </w:rPr>
              <w:t>Golden Kamuy 2</w:t>
            </w:r>
            <w:r>
              <w:rPr>
                <w:rFonts w:ascii="Times New Roman" w:cs="Times New Roman" w:eastAsia="Times New Roman" w:hAnsi="Times New Roman"/>
                <w:sz w:val="21"/>
                <w:szCs w:val="21"/>
                <w:i w:val="1"/>
                <w:iCs w:val="1"/>
                <w:color w:val="auto"/>
                <w:w w:val="97"/>
                <w:vertAlign w:val="superscript"/>
              </w:rPr>
              <w:t>(2)</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Toho Cinemas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7"/>
              </w:rPr>
              <w:t>Ghost Board</w:t>
            </w:r>
            <w:r>
              <w:rPr>
                <w:rFonts w:ascii="Times New Roman" w:cs="Times New Roman" w:eastAsia="Times New Roman" w:hAnsi="Times New Roman"/>
                <w:sz w:val="21"/>
                <w:szCs w:val="21"/>
                <w:i w:val="1"/>
                <w:iCs w:val="1"/>
                <w:color w:val="auto"/>
                <w:w w:val="97"/>
                <w:vertAlign w:val="superscript"/>
              </w:rPr>
              <w:t>(2)</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M Studio</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9"/>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7"/>
              </w:rPr>
              <w:t>Kiki’s Delivery Service</w:t>
            </w:r>
            <w:r>
              <w:rPr>
                <w:rFonts w:ascii="Times New Roman" w:cs="Times New Roman" w:eastAsia="Times New Roman" w:hAnsi="Times New Roman"/>
                <w:sz w:val="21"/>
                <w:szCs w:val="21"/>
                <w:i w:val="1"/>
                <w:iCs w:val="1"/>
                <w:color w:val="auto"/>
                <w:w w:val="97"/>
                <w:vertAlign w:val="superscript"/>
              </w:rPr>
              <w:t>(2)</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Studio Ghibli/GKIDS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Project Hail Mary</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Amazon MGM Studios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The Super Mario Galaxy Movie</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7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9"/>
              </w:rPr>
              <w:t>Michael</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Lionsgate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April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9"/>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4"/>
              </w:rPr>
              <w:t>2DIE4</w:t>
            </w:r>
            <w:r>
              <w:rPr>
                <w:rFonts w:ascii="Times New Roman" w:cs="Times New Roman" w:eastAsia="Times New Roman" w:hAnsi="Times New Roman"/>
                <w:sz w:val="21"/>
                <w:szCs w:val="21"/>
                <w:i w:val="1"/>
                <w:iCs w:val="1"/>
                <w:color w:val="auto"/>
                <w:w w:val="94"/>
                <w:vertAlign w:val="superscript"/>
              </w:rPr>
              <w:t>(2)</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Abdala Brothers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Mortal Kombat II</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The Mandalorian and Grogu</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9"/>
              </w:rPr>
              <w:t>Disclosure Day</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7"/>
              </w:rPr>
              <w:t>Toy Story 5</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7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9"/>
              </w:rPr>
              <w:t>Supergirl</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9"/>
              </w:rPr>
              <w:t>Minions 3</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79"/>
        </w:trPr>
        <w:tc>
          <w:tcPr>
            <w:tcW w:w="380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Moana</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Walt Disney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July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800" w:type="dxa"/>
            <w:vAlign w:val="bottom"/>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The Odyssey</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Flowervale Street</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August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60"/>
        </w:trPr>
        <w:tc>
          <w:tcPr>
            <w:tcW w:w="3800" w:type="dxa"/>
            <w:vAlign w:val="bottom"/>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Resident Evil</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September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9"/>
        </w:trPr>
        <w:tc>
          <w:tcPr>
            <w:tcW w:w="380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Digger</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8"/>
              </w:rPr>
              <w:t>Street Fighter</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9"/>
        </w:trPr>
        <w:tc>
          <w:tcPr>
            <w:tcW w:w="380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Hunger Games: Sunrise on the Reaping</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Lionsgate</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800" w:type="dxa"/>
            <w:vAlign w:val="bottom"/>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Narnia</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Netflix</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279"/>
        </w:trPr>
        <w:tc>
          <w:tcPr>
            <w:tcW w:w="3800" w:type="dxa"/>
            <w:vAlign w:val="bottom"/>
            <w:shd w:val="clear" w:color="auto" w:fill="CCEEFF"/>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Jumanji 3</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Sony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60"/>
        </w:trPr>
        <w:tc>
          <w:tcPr>
            <w:tcW w:w="3800" w:type="dxa"/>
            <w:vAlign w:val="bottom"/>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Avengers: Doomsday</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2026</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w:t>
            </w:r>
          </w:p>
        </w:tc>
      </w:tr>
      <w:tr>
        <w:trPr>
          <w:trHeight w:val="279"/>
        </w:trPr>
        <w:tc>
          <w:tcPr>
            <w:tcW w:w="3800" w:type="dxa"/>
            <w:vAlign w:val="bottom"/>
            <w:shd w:val="clear" w:color="auto" w:fill="CCEEFF"/>
          </w:tcPr>
          <w:p>
            <w:pPr>
              <w:jc w:val="center"/>
              <w:ind w:right="339"/>
              <w:spacing w:after="0"/>
              <w:rPr>
                <w:sz w:val="20"/>
                <w:szCs w:val="20"/>
                <w:color w:val="auto"/>
              </w:rPr>
            </w:pPr>
            <w:r>
              <w:rPr>
                <w:rFonts w:ascii="Times New Roman" w:cs="Times New Roman" w:eastAsia="Times New Roman" w:hAnsi="Times New Roman"/>
                <w:sz w:val="16"/>
                <w:szCs w:val="16"/>
                <w:i w:val="1"/>
                <w:iCs w:val="1"/>
                <w:color w:val="auto"/>
              </w:rPr>
              <w:t>Dune: Part Three</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2026</w:t>
            </w:r>
          </w:p>
        </w:tc>
        <w:tc>
          <w:tcPr>
            <w:tcW w:w="256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r>
        <w:trPr>
          <w:trHeight w:val="321"/>
        </w:trPr>
        <w:tc>
          <w:tcPr>
            <w:tcW w:w="3800" w:type="dxa"/>
            <w:vAlign w:val="bottom"/>
          </w:tcPr>
          <w:p>
            <w:pPr>
              <w:jc w:val="center"/>
              <w:ind w:right="319"/>
              <w:spacing w:after="0"/>
              <w:rPr>
                <w:sz w:val="20"/>
                <w:szCs w:val="20"/>
                <w:color w:val="auto"/>
              </w:rPr>
            </w:pPr>
            <w:r>
              <w:rPr>
                <w:rFonts w:ascii="Times New Roman" w:cs="Times New Roman" w:eastAsia="Times New Roman" w:hAnsi="Times New Roman"/>
                <w:sz w:val="16"/>
                <w:szCs w:val="16"/>
                <w:i w:val="1"/>
                <w:iCs w:val="1"/>
                <w:color w:val="auto"/>
                <w:w w:val="94"/>
              </w:rPr>
              <w:t>Ramayana</w:t>
            </w:r>
            <w:r>
              <w:rPr>
                <w:rFonts w:ascii="Times New Roman" w:cs="Times New Roman" w:eastAsia="Times New Roman" w:hAnsi="Times New Roman"/>
                <w:sz w:val="21"/>
                <w:szCs w:val="21"/>
                <w:i w:val="1"/>
                <w:iCs w:val="1"/>
                <w:color w:val="auto"/>
                <w:w w:val="94"/>
                <w:vertAlign w:val="superscript"/>
              </w:rPr>
              <w:t>(2)</w:t>
            </w: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DNEG</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c>
          <w:tcPr>
            <w:tcW w:w="2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Filmed For IMAX</w:t>
            </w:r>
          </w:p>
        </w:tc>
      </w:tr>
    </w:tbl>
    <w:p>
      <w:pPr>
        <w:spacing w:after="0" w:line="45" w:lineRule="exact"/>
        <w:rPr>
          <w:sz w:val="20"/>
          <w:szCs w:val="20"/>
          <w:color w:val="auto"/>
        </w:rPr>
      </w:pPr>
    </w:p>
    <w:p>
      <w:pPr>
        <w:ind w:left="340" w:hanging="314"/>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Denotes local language release.</w:t>
      </w:r>
    </w:p>
    <w:p>
      <w:pPr>
        <w:spacing w:after="0" w:line="366"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in 2026.</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distributes large-format documentary feature films through its global commercial network and institutional theaters. Traditionally, the Company receives as its distribution fee either a fixed amount or a fixed percentage of the theater box office and, following the recoupment of its costs, is typically entitled to receive an additional percentage of gross revenues as participation revenues.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believes that the IMAX network is a valuable global platform to launch and distribute original content, including documentaries. The ownership rights to such films may be held by the film sponsors, the film investors and/or the Company. As of December 31, 2025, the Company had distribution rights with respect to approximately 75 films, which cover subjects such as space, wildlife, music, sports, history and natural wonders.</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In 2025, the Company released the institutional 3D version of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xml:space="preserve"> across select IMAX locations in North America, Europe, and Australia. In 2026, the Company plans to release the documentary </w:t>
      </w:r>
      <w:r>
        <w:rPr>
          <w:rFonts w:ascii="Times New Roman" w:cs="Times New Roman" w:eastAsia="Times New Roman" w:hAnsi="Times New Roman"/>
          <w:sz w:val="18"/>
          <w:szCs w:val="18"/>
          <w:i w:val="1"/>
          <w:iCs w:val="1"/>
          <w:color w:val="auto"/>
        </w:rPr>
        <w:t>Portrait of an Artist</w:t>
      </w:r>
      <w:r>
        <w:rPr>
          <w:rFonts w:ascii="Times New Roman" w:cs="Times New Roman" w:eastAsia="Times New Roman" w:hAnsi="Times New Roman"/>
          <w:sz w:val="18"/>
          <w:szCs w:val="18"/>
          <w:color w:val="auto"/>
        </w:rPr>
        <w:t xml:space="preserve"> in collaboration with The National Basketball Association (“NBA”), Unanimous Media, and Religion of Sports offering an intimate glimpse into the life of NBA superstar Stephen Curry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early 2026, </w:t>
      </w:r>
      <w:r>
        <w:rPr>
          <w:rFonts w:ascii="Times New Roman" w:cs="Times New Roman" w:eastAsia="Times New Roman" w:hAnsi="Times New Roman"/>
          <w:sz w:val="18"/>
          <w:szCs w:val="18"/>
          <w:i w:val="1"/>
          <w:iCs w:val="1"/>
          <w:color w:val="auto"/>
        </w:rPr>
        <w:t>The Lost Wolves of Yellowstone</w:t>
      </w:r>
      <w:r>
        <w:rPr>
          <w:rFonts w:ascii="Times New Roman" w:cs="Times New Roman" w:eastAsia="Times New Roman" w:hAnsi="Times New Roman"/>
          <w:sz w:val="18"/>
          <w:szCs w:val="18"/>
          <w:color w:val="auto"/>
        </w:rPr>
        <w:t xml:space="preserve">, in collaboration with Grizzly Creek Films LLC, and French language documentary </w:t>
      </w:r>
      <w:r>
        <w:rPr>
          <w:rFonts w:ascii="Times New Roman" w:cs="Times New Roman" w:eastAsia="Times New Roman" w:hAnsi="Times New Roman"/>
          <w:sz w:val="18"/>
          <w:szCs w:val="18"/>
          <w:i w:val="1"/>
          <w:iCs w:val="1"/>
          <w:color w:val="auto"/>
        </w:rPr>
        <w:t>Athos,</w:t>
      </w:r>
      <w:r>
        <w:rPr>
          <w:rFonts w:ascii="Times New Roman" w:cs="Times New Roman" w:eastAsia="Times New Roman" w:hAnsi="Times New Roman"/>
          <w:sz w:val="18"/>
          <w:szCs w:val="18"/>
          <w:color w:val="auto"/>
        </w:rPr>
        <w:t xml:space="preserve"> produced by Federation Studio France were released. Upcoming 2026 documentaries, which are currently in production, include </w:t>
      </w:r>
      <w:r>
        <w:rPr>
          <w:rFonts w:ascii="Times New Roman" w:cs="Times New Roman" w:eastAsia="Times New Roman" w:hAnsi="Times New Roman"/>
          <w:sz w:val="18"/>
          <w:szCs w:val="18"/>
          <w:i w:val="1"/>
          <w:iCs w:val="1"/>
          <w:color w:val="auto"/>
        </w:rPr>
        <w:t>Stormbound</w:t>
      </w:r>
      <w:r>
        <w:rPr>
          <w:rFonts w:ascii="Times New Roman" w:cs="Times New Roman" w:eastAsia="Times New Roman" w:hAnsi="Times New Roman"/>
          <w:sz w:val="18"/>
          <w:szCs w:val="18"/>
          <w:color w:val="auto"/>
        </w:rPr>
        <w:t xml:space="preserve"> produced by Academy Award-winning producer, Adam McKay; and </w:t>
      </w:r>
      <w:r>
        <w:rPr>
          <w:rFonts w:ascii="Times New Roman" w:cs="Times New Roman" w:eastAsia="Times New Roman" w:hAnsi="Times New Roman"/>
          <w:sz w:val="18"/>
          <w:szCs w:val="18"/>
          <w:i w:val="1"/>
          <w:iCs w:val="1"/>
          <w:color w:val="auto"/>
        </w:rPr>
        <w:t>Frontier</w:t>
      </w:r>
      <w:r>
        <w:rPr>
          <w:rFonts w:ascii="Times New Roman" w:cs="Times New Roman" w:eastAsia="Times New Roman" w:hAnsi="Times New Roman"/>
          <w:sz w:val="18"/>
          <w:szCs w:val="18"/>
          <w:color w:val="auto"/>
        </w:rPr>
        <w:t xml:space="preserve"> produced in collaboration with Nocturnal Entertainment Productions, LLC, Atlas Entertainment LL, and Believe Entertainment Group, LLC. </w:t>
      </w:r>
      <w:r>
        <w:rPr>
          <w:rFonts w:ascii="Times New Roman" w:cs="Times New Roman" w:eastAsia="Times New Roman" w:hAnsi="Times New Roman"/>
          <w:sz w:val="18"/>
          <w:szCs w:val="18"/>
          <w:i w:val="1"/>
          <w:iCs w:val="1"/>
          <w:color w:val="auto"/>
        </w:rPr>
        <w:t>The Elephant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Odyssey</w:t>
      </w:r>
      <w:r>
        <w:rPr>
          <w:rFonts w:ascii="Times New Roman" w:cs="Times New Roman" w:eastAsia="Times New Roman" w:hAnsi="Times New Roman"/>
          <w:sz w:val="18"/>
          <w:szCs w:val="18"/>
          <w:color w:val="auto"/>
        </w:rPr>
        <w:t>, a documentary in collaboration with Beach House Pictures Pte Ltd and China International Communications Group, is expected to be released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2027.</w:t>
      </w:r>
    </w:p>
    <w:p>
      <w:pPr>
        <w:spacing w:after="0" w:line="216"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December 31, 2025, the Company was able to deliver live and interactive events to over 400 locations worldwide.</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also provides IMAX film and digital cameras to content creators under the IMAX certified camera program.</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spacing w:after="0" w:line="203"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and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 The Company depends principally on exhibitors to purchase or lease IMAX Systems and to fulfill their contractual commitments. Financial difficulties faced by exhibitor partners could result in delays in fulfillment of contractual obligations or an erosion in new signings. (Refer to “Risk Factors―The Company may not convert all of its backlog into revenue and cash flows.” in Part I, Item 1A.)</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253"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1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also provides IMAX Systems to exhibitors through JRSAs. Under the traditional form of these arrangements, the Company provides the IMAX System under a long-term lease in which the Company assumes the majority of the equipment and installation costs. In exchange for its upfront investment, the Company, generally,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material obligations.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revenue earned from customers under the Company’s JRSAs can vary from quarter-to-quarter and year-to-year based on a number of factors that drive global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3"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JRSAs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December 31, 2025, the Company had 911 locations under JRSAs in its global commercial multiplex network. The Company also had contracts in backlog for 295 systems under JRSAs as of December 31, 2025, including 183 new locations and 112 upgrades to existing locations.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IMAX quality standards. Annual maintenance fees are paid throughout the duration of the term of the system agreements.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250" w:lineRule="exact"/>
        <w:rPr>
          <w:sz w:val="20"/>
          <w:szCs w:val="20"/>
          <w:color w:val="auto"/>
        </w:rPr>
      </w:pPr>
    </w:p>
    <w:p>
      <w:pPr>
        <w:jc w:val="both"/>
        <w:ind w:firstLine="194"/>
        <w:spacing w:after="0" w:line="236" w:lineRule="auto"/>
        <w:rPr>
          <w:sz w:val="20"/>
          <w:szCs w:val="20"/>
          <w:color w:val="auto"/>
        </w:rPr>
      </w:pPr>
      <w:r>
        <w:rPr>
          <w:rFonts w:ascii="Times New Roman" w:cs="Times New Roman" w:eastAsia="Times New Roman" w:hAnsi="Times New Roman"/>
          <w:sz w:val="18"/>
          <w:szCs w:val="18"/>
          <w:color w:val="auto"/>
        </w:rPr>
        <w:t>IMAX’s Streaming and Consumer Technology (“SCT”) business offers a single unified program: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This umbrella program builds on IMAX’s brand and proprietary VisionScience™ technology to deliver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to users across streaming platforms and consumer devices. The new IMAX Enhanced program for partners includes three core elements:</w:t>
      </w:r>
    </w:p>
    <w:p>
      <w:pPr>
        <w:spacing w:after="0" w:line="225" w:lineRule="exact"/>
        <w:rPr>
          <w:sz w:val="20"/>
          <w:szCs w:val="20"/>
          <w:color w:val="auto"/>
        </w:rPr>
      </w:pPr>
    </w:p>
    <w:p>
      <w:pPr>
        <w:ind w:left="660" w:right="20" w:hanging="329"/>
        <w:spacing w:after="0" w:line="28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Live: Real-time enhancement for sports, concerts, and events using SCT’s proprietary technology to measure, enhance, optimize, and validate premium color, contrast, and clarity at the speed of live.</w:t>
      </w:r>
    </w:p>
    <w:p>
      <w:pPr>
        <w:spacing w:after="0" w:line="188" w:lineRule="exact"/>
        <w:rPr>
          <w:rFonts w:ascii="Times New Roman" w:cs="Times New Roman" w:eastAsia="Times New Roman" w:hAnsi="Times New Roman"/>
          <w:sz w:val="18"/>
          <w:szCs w:val="18"/>
          <w:color w:val="auto"/>
        </w:rPr>
      </w:pPr>
    </w:p>
    <w:p>
      <w:pPr>
        <w:jc w:val="both"/>
        <w:ind w:left="660" w:hanging="329"/>
        <w:spacing w:after="0" w:line="26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On-Demand: Quality preservation and optimization for films and series to preserve creative intent with IMAX-calibrated fidelity and remastering, offering viewers a differentiated, premium IMAX-assured experience. IMAX Enhanced on-demand content is currently available for fan-favorite titles across leading services such as Disney+, Sony Pictures Core, and Tencent Video.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left="660" w:hanging="329"/>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Certification &amp; Calibration: Establishes IMAX quality standards for consumer devices to ensure playback meets IMAX benchmarks. It assures that the enhancement and preservation of quality applied upstream for both Live and On-Demand workflows are maintained faithfully and experienced as intended on consumer devices. As of December 31, 2025, IMAX Enhanced certified devices in-market are with partners including Sony Electronics, Hisense, TCL, LG, and Philips.</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SCT products previously branded as StreamSmart™ (encoding optimization) and StreamAware™ (quality assurance and monitoring) have been integrated into the IMAX Enhanced program, streamlining operations and enabling partners to deliver premium viewing experiences validated through IMAX’s proprietary quality standards.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IMAX’s SCT represents an extension of the IMAX brand and technology beyond traditional theatrical programming into live streaming for connected theaters and live and on-demand streaming home entertainment experiences. Leveraging IMAX’s globally recognized brand and proprietary technology, IMAX Enhanced is designed to drive consumer engagement and create incremental return on investment for content owners and rights holders.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All Other also includes revenues from sources including one owned and operated IMAX System in Sacramento, California; a commercial arrangement with one theater resulting in the sharing of profits and losses; and the provision of management services to three other theaters.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system type and geographic location as of December 31,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20" w:type="dxa"/>
            <w:vAlign w:val="bottom"/>
          </w:tcPr>
          <w:p>
            <w:pPr>
              <w:spacing w:after="0"/>
              <w:rPr>
                <w:sz w:val="16"/>
                <w:szCs w:val="16"/>
                <w:color w:val="auto"/>
              </w:rPr>
            </w:pPr>
          </w:p>
        </w:tc>
      </w:tr>
      <w:tr>
        <w:trPr>
          <w:trHeight w:val="39"/>
        </w:trPr>
        <w:tc>
          <w:tcPr>
            <w:tcW w:w="200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1"/>
        </w:trPr>
        <w:tc>
          <w:tcPr>
            <w:tcW w:w="20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200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2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2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9"/>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6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69"/>
        </w:trPr>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3"/>
        </w:trPr>
        <w:tc>
          <w:tcPr>
            <w:tcW w:w="200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0"/>
        </w:trPr>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71"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4,466 commercial locations, of which there are 1,796 commercial IMAX Systems operating as of December 31, 2025, representing a market penetration of only 40%. The Company believes that the majority of its future growth will come from international markets. As of December 31, 2025, 76% of IMAX Systems in the global commercial multiplex network were located within international markets (defined as all countries other than the United States and Canada) (2024 ― 76%). More specifically, the Company’s network across all countries outside of the United Sates, Canada, and Greater China grew 8.4% in 2025. Revenues and GBO derived from international markets continue to exceed revenues and GBO from the United States and Canada.</w:t>
      </w:r>
    </w:p>
    <w:p>
      <w:pPr>
        <w:spacing w:after="0" w:line="21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commercial multiplex locations in operation within the IMAX network by arrangement type and geographic location as of December 31, 2025 and 2024: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60" w:type="dxa"/>
            <w:vAlign w:val="bottom"/>
          </w:tcPr>
          <w:p>
            <w:pPr>
              <w:spacing w:after="0"/>
              <w:rPr>
                <w:sz w:val="16"/>
                <w:szCs w:val="16"/>
                <w:color w:val="auto"/>
              </w:rPr>
            </w:pPr>
          </w:p>
        </w:tc>
      </w:tr>
      <w:tr>
        <w:trPr>
          <w:trHeight w:val="39"/>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5"/>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4"/>
        </w:trPr>
        <w:tc>
          <w:tcPr>
            <w:tcW w:w="4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9"/>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5"/>
        </w:trPr>
        <w:tc>
          <w:tcPr>
            <w:tcW w:w="4620" w:type="dxa"/>
            <w:vAlign w:val="bottom"/>
          </w:tcPr>
          <w:p>
            <w:pPr>
              <w:spacing w:after="0"/>
              <w:rPr>
                <w:sz w:val="20"/>
                <w:szCs w:val="20"/>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560" w:type="dxa"/>
            <w:vAlign w:val="bottom"/>
          </w:tcPr>
          <w:p>
            <w:pPr>
              <w:spacing w:after="0"/>
              <w:rPr>
                <w:sz w:val="20"/>
                <w:szCs w:val="20"/>
                <w:color w:val="auto"/>
              </w:rPr>
            </w:pPr>
          </w:p>
        </w:tc>
      </w:tr>
      <w:tr>
        <w:trPr>
          <w:trHeight w:val="230"/>
        </w:trPr>
        <w:tc>
          <w:tcPr>
            <w:tcW w:w="46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6"/>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6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60" w:type="dxa"/>
            <w:vAlign w:val="bottom"/>
          </w:tcPr>
          <w:p>
            <w:pPr>
              <w:spacing w:after="0"/>
              <w:rPr>
                <w:sz w:val="16"/>
                <w:szCs w:val="16"/>
                <w:color w:val="auto"/>
              </w:rPr>
            </w:pPr>
          </w:p>
        </w:tc>
      </w:tr>
      <w:tr>
        <w:trPr>
          <w:trHeight w:val="39"/>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5"/>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4"/>
        </w:trPr>
        <w:tc>
          <w:tcPr>
            <w:tcW w:w="4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9"/>
        </w:trPr>
        <w:tc>
          <w:tcPr>
            <w:tcW w:w="46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5"/>
        </w:trPr>
        <w:tc>
          <w:tcPr>
            <w:tcW w:w="4620" w:type="dxa"/>
            <w:vAlign w:val="bottom"/>
          </w:tcPr>
          <w:p>
            <w:pPr>
              <w:spacing w:after="0"/>
              <w:rPr>
                <w:sz w:val="19"/>
                <w:szCs w:val="19"/>
                <w:color w:val="auto"/>
              </w:rPr>
            </w:pPr>
          </w:p>
        </w:tc>
        <w:tc>
          <w:tcPr>
            <w:tcW w:w="11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560" w:type="dxa"/>
            <w:vAlign w:val="bottom"/>
          </w:tcPr>
          <w:p>
            <w:pPr>
              <w:spacing w:after="0"/>
              <w:rPr>
                <w:sz w:val="19"/>
                <w:szCs w:val="19"/>
                <w:color w:val="auto"/>
              </w:rPr>
            </w:pPr>
          </w:p>
        </w:tc>
      </w:tr>
      <w:tr>
        <w:trPr>
          <w:trHeight w:val="201"/>
        </w:trPr>
        <w:tc>
          <w:tcPr>
            <w:tcW w:w="4620" w:type="dxa"/>
            <w:vAlign w:val="bottom"/>
          </w:tcPr>
          <w:p>
            <w:pPr>
              <w:spacing w:after="0"/>
              <w:rPr>
                <w:sz w:val="17"/>
                <w:szCs w:val="17"/>
                <w:color w:val="auto"/>
              </w:rPr>
            </w:pPr>
          </w:p>
        </w:tc>
        <w:tc>
          <w:tcPr>
            <w:tcW w:w="11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46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9"/>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4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6"/>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1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4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580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3" w:lineRule="exact"/>
        <w:rPr>
          <w:sz w:val="20"/>
          <w:szCs w:val="20"/>
          <w:color w:val="auto"/>
        </w:rPr>
      </w:pPr>
    </w:p>
    <w:p>
      <w:pPr>
        <w:ind w:right="20"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system backlog by arrangement type and geographic location as of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8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9"/>
        </w:trPr>
        <w:tc>
          <w:tcPr>
            <w:tcW w:w="46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4"/>
        </w:trPr>
        <w:tc>
          <w:tcPr>
            <w:tcW w:w="4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9"/>
        </w:trPr>
        <w:tc>
          <w:tcPr>
            <w:tcW w:w="46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35"/>
        </w:trPr>
        <w:tc>
          <w:tcPr>
            <w:tcW w:w="4620" w:type="dxa"/>
            <w:vAlign w:val="bottom"/>
          </w:tcPr>
          <w:p>
            <w:pPr>
              <w:spacing w:after="0"/>
              <w:rPr>
                <w:sz w:val="20"/>
                <w:szCs w:val="20"/>
                <w:color w:val="auto"/>
              </w:rPr>
            </w:pPr>
          </w:p>
        </w:tc>
        <w:tc>
          <w:tcPr>
            <w:tcW w:w="12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46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3"/>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9"/>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4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9"/>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500" w:type="dxa"/>
            <w:vAlign w:val="bottom"/>
            <w:gridSpan w:val="3"/>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4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3"/>
        </w:trPr>
        <w:tc>
          <w:tcPr>
            <w:tcW w:w="582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backlog total of 434 systems includes 216 new IMAX Laser Systems and 131 upgrades of existing locations to IMAX Laser Systems.</w:t>
      </w:r>
    </w:p>
    <w:p>
      <w:pPr>
        <w:spacing w:after="0" w:line="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backlog total of 434 systems includes 303 new systems and 131 upgrades.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8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9"/>
        </w:trPr>
        <w:tc>
          <w:tcPr>
            <w:tcW w:w="46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84"/>
        </w:trPr>
        <w:tc>
          <w:tcPr>
            <w:tcW w:w="4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9"/>
        </w:trPr>
        <w:tc>
          <w:tcPr>
            <w:tcW w:w="46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5"/>
        </w:trPr>
        <w:tc>
          <w:tcPr>
            <w:tcW w:w="4620" w:type="dxa"/>
            <w:vAlign w:val="bottom"/>
          </w:tcPr>
          <w:p>
            <w:pPr>
              <w:spacing w:after="0"/>
              <w:rPr>
                <w:sz w:val="19"/>
                <w:szCs w:val="19"/>
                <w:color w:val="auto"/>
              </w:rPr>
            </w:pPr>
          </w:p>
        </w:tc>
        <w:tc>
          <w:tcPr>
            <w:tcW w:w="12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Sales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01"/>
        </w:trPr>
        <w:tc>
          <w:tcPr>
            <w:tcW w:w="4620" w:type="dxa"/>
            <w:vAlign w:val="bottom"/>
          </w:tcPr>
          <w:p>
            <w:pPr>
              <w:spacing w:after="0"/>
              <w:rPr>
                <w:sz w:val="17"/>
                <w:szCs w:val="17"/>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15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46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63"/>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27"/>
        </w:trPr>
        <w:tc>
          <w:tcPr>
            <w:tcW w:w="4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9"/>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43"/>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4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9"/>
        </w:trPr>
        <w:tc>
          <w:tcPr>
            <w:tcW w:w="5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7"/>
        </w:trPr>
        <w:tc>
          <w:tcPr>
            <w:tcW w:w="46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3"/>
        </w:trPr>
        <w:tc>
          <w:tcPr>
            <w:tcW w:w="582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backlog total of 440 systems includes 250 new IMAX Laser Systems and 85 upgrades of existing locations to IMAX Laser Systems.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backlog total of 440 systems includes 355 new systems and 85 upgrades.</w:t>
      </w:r>
    </w:p>
    <w:p>
      <w:pPr>
        <w:spacing w:after="0" w:line="35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signed contracts. The Company believes that the contractual obligations for IMAX System installations that are listed in backlog are valid and binding commitments. From time to time, in the normal course of its business, the Company will have customers who are unable to proceed with an IMAX System installation for a variety of reasons, including the inability to obtain certain consents, approvals or financing.</w:t>
      </w:r>
    </w:p>
    <w:p>
      <w:pPr>
        <w:spacing w:after="0" w:line="20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Approximately 72% of IMAX System arrangements in backlog as of December 31, 2025 are scheduled to be installed in international markets (2024 ― 84%).</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“Risk Factors―The Company may not convert all of its backlog into revenue and cash flows.” in Part I, Item 1A.)</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years ended December 31, 2025 and 2024:</w:t>
      </w:r>
    </w:p>
    <w:p>
      <w:pPr>
        <w:spacing w:after="0" w:line="29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41910</wp:posOffset>
            </wp:positionV>
            <wp:extent cx="2069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79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Signings:</w:t>
            </w:r>
          </w:p>
        </w:tc>
        <w:tc>
          <w:tcPr>
            <w:tcW w:w="1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r>
      <w:tr>
        <w:trPr>
          <w:trHeight w:val="269"/>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63"/>
        </w:trPr>
        <w:tc>
          <w:tcPr>
            <w:tcW w:w="798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(2)</w:t>
            </w:r>
          </w:p>
        </w:tc>
        <w:tc>
          <w:tcPr>
            <w:tcW w:w="1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7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78 IMAX System upgrades (2024 ― 73 upgrades).</w:t>
      </w:r>
    </w:p>
    <w:p>
      <w:pPr>
        <w:spacing w:after="0" w:line="200" w:lineRule="exact"/>
        <w:rPr>
          <w:sz w:val="20"/>
          <w:szCs w:val="20"/>
          <w:color w:val="auto"/>
        </w:rPr>
      </w:pPr>
    </w:p>
    <w:p>
      <w:pPr>
        <w:spacing w:after="0" w:line="21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5067935</wp:posOffset>
            </wp:positionH>
            <wp:positionV relativeFrom="paragraph">
              <wp:posOffset>41910</wp:posOffset>
            </wp:positionV>
            <wp:extent cx="2069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8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79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9"/>
        </w:trPr>
        <w:tc>
          <w:tcPr>
            <w:tcW w:w="79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69"/>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9"/>
        </w:trPr>
        <w:tc>
          <w:tcPr>
            <w:tcW w:w="9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7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3"/>
        </w:trPr>
        <w:tc>
          <w:tcPr>
            <w:tcW w:w="90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40" w:right="20" w:hanging="314"/>
        <w:spacing w:after="0" w:line="267" w:lineRule="auto"/>
        <w:tabs>
          <w:tab w:leader="none" w:pos="332"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Six IMAX Systems were relocated from their original location (2024 ― seven).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ind w:left="340" w:hanging="314"/>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62 IMAX System upgrades (2024 ― 69 upgrades).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5"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United States Generally Accepted Accounting Principles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Company’s Consolidated Financial Statements. Actual results may ultimately differ from the Company’s original estimates, as future events and circumstances sometimes do not develop as expected, and the differences may be material. Management believes that the following are the Company’s most critical accounting estimates, which are not ranked in any particular order, that may affect the Company’s reported results of operations and/or financial condition. The Company’s significant accounting policies are described in Note 2 to “Consolidated Financial Statements” in Part II, Item 8.</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application of U.S. GAAP related to the measurement and recognition of revenue requires management to make judgments and estimates. In addition, revenue contracts with nonstandard terms and conditions may require significant interpretation to determine the appropriate accounting.</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Systems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System arrangement to determine which are considered distinct, either individually or in a group, for accounting purposes and which of the deliverables represent separate performance obligations. The transaction price in an IMAX System arrangement is allocated to each good or service that is identified as a separate performance obligation based on estimated standalone selling prices. This allocation is based on observable prices when the Company sells the good or service separately. In circumstances when a selling price is not directly observable, the Company will estimate the standalone selling price using information available, including market assessments and expected cost plus margin.</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System, which includes the projector, sound system, screen system and, if applicable, a 3D glasses cleaning machine; (ii) services associated with the IMAX System, including theater design support, the supervision of installation services, and projectionist training; and (iii) a license to use the IMAX brand to market</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location.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has established standalone prices for the System Obligation and maintenance and extended warranty services, as well as for film license arrangements. The Company uses the adjusted market assessment and cost-plus approaches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initial revenue recognized in a sales arrangement consists of a lump-sum payment typically received before and in connection with the installation of the IMAX System plus the present value of any future payments, including ongoing fixed minimum payments, which are subject to indexed increases over the term of the arrangement, and potential additional payments owed by the customer if certain minimum box office receipt thresholds are exceeded.</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Constraints on the Recognition of Variable Consideration</w:t>
      </w:r>
    </w:p>
    <w:p>
      <w:pPr>
        <w:spacing w:after="0" w:line="253"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transaction price for the System Obligation, other than for IMAX Systems delivered pursuant to JRSAs, consists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customer if certain minimum box office receipt thresholds are exceeded or where no minimum is required,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w:t>
      </w:r>
    </w:p>
    <w:p>
      <w:pPr>
        <w:spacing w:after="0" w:line="214"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Accordingly, for each contract subject to an indexed minimum payment increase, the Company estimates the most likely amount using published indices, subject to collectability. The average change over time in the consumer price index can significantly impact the Company’s estimates should inflation change at a higher level due to government policy and the impact of other events outside of its control. The amount of the estimated minimum payment increase is then recorded at its present value as of the date of recognition using the customer’s implied borrowing rate. (Refer to “Risk Factors - The Company conducts business internationally, which exposes it to uncertainties and risks that could negatively affect its operations, sales, and future growth prospects” in Part I, Item 1A.)</w:t>
      </w:r>
    </w:p>
    <w:p>
      <w:pPr>
        <w:spacing w:after="0" w:line="211"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location markets to estimate the most likely amount of variable consideration to be earned over the term of the arrangement. Management then applies a constraint to this estimate by reducing the projection by a percentage factor for theaters or markets with no or limited historical box office experience. In cases where direct historical experience can be observed, average historical box office results, eliminating significant outliers, are used. The resulting amount of variable consideration is then recorded at its present value as of the date of recognition using a risk-weighted discount rate, subject to collectability. The Company reviews its variable consideration assets on at least a quarterly basis considering recent global box office performance and, when applicable, updated global box office projections for future periods. (Refer to “Risk Factors - The Company’s systems revenue can vary significantly from its cash flows under IMAX System sales or lease arrangements” in Part I, Item 1A.)</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ability of the Company to collect its accounts receivable, financing receivables, and variable consideration receivables is dependent on the viability and solvency of individual theater operators which is significantly influenced by consumer behavior and general economic conditions. Theater operators and, in certain situations, movie studios, may experience financial difficulties that could cause them to be unable to fulfill their payment obligations to the Company.</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develops its estimate of credit losses by class of receivable and customer type through a calculation that utilizes historical loss rates which are then adjusted for specific receivables that are judged to have a higher-than-normal risk profile after taking into account management’s internal credit quality classifications, as well as macro-economic and industry risk factors.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Judgments regarding the collectability of accounts receivable, financing receivables, and variable consideration receivables, and the amount of any required allowance for credit losses, are based on management’s initial credit evaluation of the customer and the regular ongoing monitoring of the credit quality of each customer. This monitoring process includes an analysis of collections history and aging for each customer, as well as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Consolidated Financial Statements are prepared and involve estimates about the future. As a result, the Company’s judgments and associated estimates of credit losses may ultimately prove, with the benefit of hindsight, to be incorrect.</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inventories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IMAX Systems.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7 to “Consolidated Financial Statements” in Part II, Item 8.)</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3"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unit’s business, including projections of future global box office results and IMAX System installations, lower than expected operating results, increased competition, legal factors, or the sale or disposition of a significant portion of a unit. For reporting units with goodwill, an impairment loss is recognized for the amount by which the unit’s carrying value, including goodwill, exceeds its fair value. The carrying value of each reporting unit is based on a systematic and rational allocation of certain assets and liabilities. The fair value of each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 Actual results may materially differ from management’s estimates.</w:t>
      </w:r>
    </w:p>
    <w:p>
      <w:pPr>
        <w:spacing w:after="0" w:line="22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Assumptions and estimates about future cash flows and discount rates are complex and often subjective and require significant judgment. The analysis is dependent on internal forecasts, estimation of the long-term rates of revenue growth for the Company’s reporting units, terminal growth rates, profitability measures, and determination of the discount rates for the reporting units.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During the fourth quarter of 2025, the Company performed a goodwill impairment test, resulting in a goodwill impairment charge of $7.0 million against the portion of goodwill related to the SSIMWAVE reporting unit. The impairment charge was due to a change in the Company’s market focus, resulting in a downward adjustment to the SSIMWAVE reporting unit’s expected cash flows based on the discounted cash flow method. For the impairment test of the SSIMWAVE reporting unit, the Company utilized a discount rate of 15.2% and a revenue growth rate of 25.0% in certain years which represent the most significant assumptions in the model. (Refer to Note 12 to “Consolidated Financial Statements” in Part II, Item 8.)</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53"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Long-lived assets include property, plant and equipment and other intangible assets, and are grouped and reviewed for impairment at the lowest level for which identifiable cash flows are largely independent whenever events or changes in circumstances indicate that the carrying amount of the asset (or asset group) may not be recoverable. In such situations, long-lived assets are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long-lived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Assets</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global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Corporation Second Amended and Restated Long-Term Incentive Plan (as amended from time to time, the “IMAX LTIP”) and the IMAX China Long-Term Incentive Plan (the “China LTIP”), a separate share-based compensation plan adopted by a subsidiary of the Company for its employees in Greater China. The IMAX LTIP is the Company’s governing document and awards to employees, directors, and consultants under this plan may consist of stock options, restricted share units (“RSUs”), performance stock units (“PSUs”) and other awards.</w:t>
      </w:r>
    </w:p>
    <w:p>
      <w:pPr>
        <w:spacing w:after="0" w:line="21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(as defined below), which is recognized as an expense in the Consolidated Statements of Operations on a straight-line basis over the requisite service period. Share- based compensation expense is not adjusted for estimated forfeitures, but is instead adjusted when and if actual forfeitures occur.</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Earnings Before Interest, Income Taxes, Depreciation, and Amortization (“EBITDA”) targets, and one which vests based on a combination of employee service and the achievement of total shareholder return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at the end of the three-year performance period.</w:t>
      </w:r>
    </w:p>
    <w:p>
      <w:pPr>
        <w:spacing w:after="0" w:line="21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 and other relevant data. The compensation expense is fixed on the date of grant based on the fair value of the PSUs granted, and therefore not attached to the number of PSUs that may ultimately vest. In the instance when the service criteria is not met, any expense previously recognized is reversed.</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(Refer to “Capital Stock —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 Note 16 to “Consolidated Financial Statements” in Part II, Item 8.)</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Investment tax credits are recognized as a reduction of income tax expense.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all or a portion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220" w:lineRule="exact"/>
        <w:rPr>
          <w:sz w:val="20"/>
          <w:szCs w:val="20"/>
          <w:color w:val="auto"/>
        </w:rPr>
      </w:pPr>
    </w:p>
    <w:p>
      <w:pPr>
        <w:jc w:val="both"/>
        <w:ind w:firstLine="194"/>
        <w:spacing w:after="0" w:line="283" w:lineRule="auto"/>
        <w:rPr>
          <w:sz w:val="20"/>
          <w:szCs w:val="20"/>
          <w:color w:val="auto"/>
        </w:rPr>
      </w:pPr>
      <w:r>
        <w:rPr>
          <w:rFonts w:ascii="Times New Roman" w:cs="Times New Roman" w:eastAsia="Times New Roman" w:hAnsi="Times New Roman"/>
          <w:sz w:val="18"/>
          <w:szCs w:val="18"/>
          <w:color w:val="auto"/>
        </w:rPr>
        <w:t xml:space="preserve">(Refer to “Income Taxes — </w:t>
      </w:r>
      <w:r>
        <w:rPr>
          <w:rFonts w:ascii="Times New Roman" w:cs="Times New Roman" w:eastAsia="Times New Roman" w:hAnsi="Times New Roman"/>
          <w:sz w:val="18"/>
          <w:szCs w:val="18"/>
          <w:i w:val="1"/>
          <w:iCs w:val="1"/>
          <w:color w:val="auto"/>
        </w:rPr>
        <w:t>Deferred Tax Assets and Deferred Tax Liability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Valuation Allowance</w:t>
      </w:r>
      <w:r>
        <w:rPr>
          <w:rFonts w:ascii="Times New Roman" w:cs="Times New Roman" w:eastAsia="Times New Roman" w:hAnsi="Times New Roman"/>
          <w:sz w:val="18"/>
          <w:szCs w:val="18"/>
          <w:color w:val="auto"/>
        </w:rPr>
        <w:t>” in Note 11 to “Consolidated Financial Statements” in Part II, Item 8.)</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5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management’s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(Refer to “Income Taxes — </w:t>
      </w:r>
      <w:r>
        <w:rPr>
          <w:rFonts w:ascii="Times New Roman" w:cs="Times New Roman" w:eastAsia="Times New Roman" w:hAnsi="Times New Roman"/>
          <w:sz w:val="18"/>
          <w:szCs w:val="18"/>
          <w:i w:val="1"/>
          <w:iCs w:val="1"/>
          <w:color w:val="auto"/>
        </w:rPr>
        <w:t>Uncertain Tax Positions</w:t>
      </w:r>
      <w:r>
        <w:rPr>
          <w:rFonts w:ascii="Times New Roman" w:cs="Times New Roman" w:eastAsia="Times New Roman" w:hAnsi="Times New Roman"/>
          <w:sz w:val="18"/>
          <w:szCs w:val="18"/>
          <w:color w:val="auto"/>
        </w:rPr>
        <w:t>” in Note 11 to “Consolidated Financial Statements” in Part II, Item 8.)</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Refer to Note 3 to “Consolidated Financial Statements” in Part II, Item 8 for a discussion of recently issued accounting standards and their impact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2025 and 2024</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per-share amounts, as well as adjusted net income attributable to common shareholders and adjusted net income attributable to common shareholders per share for the years ended December 31,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9"/>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r>
      <w:tr>
        <w:trPr>
          <w:trHeight w:val="39"/>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5"/>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9"/>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80,584</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r>
    </w:tbl>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2025, the Company’s revenues and gross margin increased by $58.0 million, or 16%, and $56.0 million, or 29%, respectively, when compared to the year ended December 31, 2024, principally due to stronger IMAX global box office along with higher system sales installation revenue. The 2025 global box office performance was driven by the Company capturing a higher global box office share of Hollywood films, driven in large part by the record number of Filmed For IMAX titles, and a significantly higher contribution from local language content, including a record Chinese New Year. In 2025, the Company installed 160 systems, including 98 new systems, resulting in network growth of 3.2%.</w:t>
      </w:r>
    </w:p>
    <w:p>
      <w:pPr>
        <w:spacing w:after="0" w:line="212" w:lineRule="exact"/>
        <w:rPr>
          <w:sz w:val="20"/>
          <w:szCs w:val="20"/>
          <w:color w:val="auto"/>
        </w:rPr>
      </w:pPr>
    </w:p>
    <w:p>
      <w:pPr>
        <w:ind w:right="20"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years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9"/>
        </w:trPr>
        <w:tc>
          <w:tcPr>
            <w:tcW w:w="3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115,553</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242,928</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tcPr>
          <w:p>
            <w:pPr>
              <w:ind w:left="20"/>
              <w:spacing w:after="0" w:line="263"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2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8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410,212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246,190</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SCT and other ancillary activities.</w:t>
      </w: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Operating Results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Company’s segment operating results are presented based on how the Chief Operating Decision Maker (“CODM”) assesses operating performance and internally reports financial information. See Note 20 to “Consolidated Financial Statements” in Part II, Item 8 for additional information on the Company’s reportable segments.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Content Solutions segment revenues and gross margin increased by $26.5 million, or 21%, to $151.3 million from $124.7 million and $33.2 million, or 50%, to $99.7 million from $66.5 million, respectively, when compared to the same period in 2024.</w:t>
      </w:r>
    </w:p>
    <w:p>
      <w:pPr>
        <w:spacing w:after="0" w:line="189"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 xml:space="preserve">For the year ended December 31, 2025, global box office generated by IMAX films totaled $1.28 billion, a 40% increase from $0.92 billion in 2024. This growth is the result of the Company’s focus on a diversified global programming and marketing strategy to maximize global box office. During 2025, IMAX global box office was generated by the exhibition of 126 films and other content (122 new films and 4 re-releases), including the following Hollywood titles: </w:t>
      </w:r>
      <w:r>
        <w:rPr>
          <w:rFonts w:ascii="Times New Roman" w:cs="Times New Roman" w:eastAsia="Times New Roman" w:hAnsi="Times New Roman"/>
          <w:sz w:val="18"/>
          <w:szCs w:val="18"/>
          <w:i w:val="1"/>
          <w:iCs w:val="1"/>
          <w:color w:val="auto"/>
        </w:rPr>
        <w:t>Avatar: Fire and Ash</w:t>
      </w:r>
      <w:r>
        <w:rPr>
          <w:rFonts w:ascii="Times New Roman" w:cs="Times New Roman" w:eastAsia="Times New Roman" w:hAnsi="Times New Roman"/>
          <w:sz w:val="18"/>
          <w:szCs w:val="18"/>
          <w:color w:val="auto"/>
        </w:rPr>
        <w:t xml:space="preserve"> ($112 million),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($98 million),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 xml:space="preserve"> ($76 million), </w:t>
      </w:r>
      <w:r>
        <w:rPr>
          <w:rFonts w:ascii="Times New Roman" w:cs="Times New Roman" w:eastAsia="Times New Roman" w:hAnsi="Times New Roman"/>
          <w:sz w:val="18"/>
          <w:szCs w:val="18"/>
          <w:i w:val="1"/>
          <w:iCs w:val="1"/>
          <w:color w:val="auto"/>
        </w:rPr>
        <w:t>Zootopia 2</w:t>
      </w:r>
      <w:r>
        <w:rPr>
          <w:rFonts w:ascii="Times New Roman" w:cs="Times New Roman" w:eastAsia="Times New Roman" w:hAnsi="Times New Roman"/>
          <w:sz w:val="18"/>
          <w:szCs w:val="18"/>
          <w:color w:val="auto"/>
        </w:rPr>
        <w:t xml:space="preserve"> ($59 million), </w:t>
      </w:r>
      <w:r>
        <w:rPr>
          <w:rFonts w:ascii="Times New Roman" w:cs="Times New Roman" w:eastAsia="Times New Roman" w:hAnsi="Times New Roman"/>
          <w:sz w:val="18"/>
          <w:szCs w:val="18"/>
          <w:i w:val="1"/>
          <w:iCs w:val="1"/>
          <w:color w:val="auto"/>
        </w:rPr>
        <w:t>Superman</w:t>
      </w:r>
      <w:r>
        <w:rPr>
          <w:rFonts w:ascii="Times New Roman" w:cs="Times New Roman" w:eastAsia="Times New Roman" w:hAnsi="Times New Roman"/>
          <w:sz w:val="18"/>
          <w:szCs w:val="18"/>
          <w:color w:val="auto"/>
        </w:rPr>
        <w:t xml:space="preserve"> ($57 million), </w:t>
      </w:r>
      <w:r>
        <w:rPr>
          <w:rFonts w:ascii="Times New Roman" w:cs="Times New Roman" w:eastAsia="Times New Roman" w:hAnsi="Times New Roman"/>
          <w:sz w:val="18"/>
          <w:szCs w:val="18"/>
          <w:i w:val="1"/>
          <w:iCs w:val="1"/>
          <w:color w:val="auto"/>
        </w:rPr>
        <w:t>The Fantastic Four: First Steps</w:t>
      </w:r>
      <w:r>
        <w:rPr>
          <w:rFonts w:ascii="Times New Roman" w:cs="Times New Roman" w:eastAsia="Times New Roman" w:hAnsi="Times New Roman"/>
          <w:sz w:val="18"/>
          <w:szCs w:val="18"/>
          <w:color w:val="auto"/>
        </w:rPr>
        <w:t xml:space="preserve"> ($49 million), and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($41 million). In addition, for the year ended December 31, 2025, the local language films exhibited across the IMAX network generated over $405.4 million in GBO, representing 32% of the Company’s total GBO. The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the highest grossing film ever in China, became the highest grossing IMAX release in 2025 ($167 million). The Japanese local language anime film </w:t>
      </w:r>
      <w:r>
        <w:rPr>
          <w:rFonts w:ascii="Times New Roman" w:cs="Times New Roman" w:eastAsia="Times New Roman" w:hAnsi="Times New Roman"/>
          <w:sz w:val="18"/>
          <w:szCs w:val="18"/>
          <w:i w:val="1"/>
          <w:iCs w:val="1"/>
          <w:color w:val="auto"/>
        </w:rPr>
        <w:t>Demon Slayer: Infinity Castle</w:t>
      </w:r>
      <w:r>
        <w:rPr>
          <w:rFonts w:ascii="Times New Roman" w:cs="Times New Roman" w:eastAsia="Times New Roman" w:hAnsi="Times New Roman"/>
          <w:sz w:val="18"/>
          <w:szCs w:val="18"/>
          <w:color w:val="auto"/>
        </w:rPr>
        <w:t xml:space="preserve"> ($96 million) became the highest grossing IMAX release of all time in Japan. During 2024, IMAX global box office was generated by the exhibition of 129 films and other content (118 new films and 11 re-releases). The increase in revenue year over year from higher IMAX global box office were partially offset by lower documentary revenue year over year as 2024 benefitted from the revenue earned from the sale of the worldwide commercial and streaming rights of the Company’s original documentary, </w:t>
      </w:r>
      <w:r>
        <w:rPr>
          <w:rFonts w:ascii="Times New Roman" w:cs="Times New Roman" w:eastAsia="Times New Roman" w:hAnsi="Times New Roman"/>
          <w:sz w:val="18"/>
          <w:szCs w:val="18"/>
          <w:i w:val="1"/>
          <w:iCs w:val="1"/>
          <w:color w:val="auto"/>
        </w:rPr>
        <w:t>The Blue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Angels</w:t>
      </w:r>
      <w:r>
        <w:rPr>
          <w:rFonts w:ascii="Times New Roman" w:cs="Times New Roman" w:eastAsia="Times New Roman" w:hAnsi="Times New Roman"/>
          <w:sz w:val="18"/>
          <w:szCs w:val="18"/>
          <w:color w:val="auto"/>
        </w:rPr>
        <w:t>, to Amazon Content Services LLC.</w:t>
      </w:r>
    </w:p>
    <w:p>
      <w:pPr>
        <w:spacing w:after="0" w:line="218" w:lineRule="exact"/>
        <w:rPr>
          <w:sz w:val="20"/>
          <w:szCs w:val="20"/>
          <w:color w:val="auto"/>
        </w:rPr>
      </w:pPr>
    </w:p>
    <w:p>
      <w:pPr>
        <w:jc w:val="both"/>
        <w:ind w:firstLine="194"/>
        <w:spacing w:after="0" w:line="261" w:lineRule="auto"/>
        <w:rPr>
          <w:sz w:val="20"/>
          <w:szCs w:val="20"/>
          <w:color w:val="auto"/>
        </w:rPr>
      </w:pPr>
      <w:r>
        <w:rPr>
          <w:rFonts w:ascii="Times New Roman" w:cs="Times New Roman" w:eastAsia="Times New Roman" w:hAnsi="Times New Roman"/>
          <w:sz w:val="18"/>
          <w:szCs w:val="18"/>
          <w:color w:val="auto"/>
        </w:rPr>
        <w:t xml:space="preserve">In 2025, the Company released 15 movies that were filmed with IMAX proprietary cameras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Filmed For IMAX), including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Superman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Fantastic Four: First Steps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Tron: Ares. </w:t>
      </w:r>
      <w:r>
        <w:rPr>
          <w:rFonts w:ascii="Times New Roman" w:cs="Times New Roman" w:eastAsia="Times New Roman" w:hAnsi="Times New Roman"/>
          <w:sz w:val="18"/>
          <w:szCs w:val="18"/>
          <w:color w:val="auto"/>
        </w:rPr>
        <w:t>IMAX captured approximately 20% or more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opening weekend domestic box office on these titles in 2025, despite accounting for only approximately 1% of available domestic screens. In 2025, the average Filmed For IMAX domestic opening weekend indexing was approximately 15% compared to 13% in 2024.</w:t>
      </w:r>
    </w:p>
    <w:p>
      <w:pPr>
        <w:spacing w:after="0" w:line="206"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also influenced by the costs associated with the films and other content exhibited in the period. The costs associated with films and other content can include production, post-production, distribution, and marketing, which are expensed as incurred. For the year ended December 31, 2025, gross margin percent was 66% compared to 53% for the same period in 2024. The increase was driven by a higher level of IMAX global box office, which</w:t>
      </w:r>
    </w:p>
    <w:p>
      <w:pPr>
        <w:sectPr>
          <w:pgSz w:w="11900" w:h="16838" w:orient="portrait"/>
          <w:cols w:equalWidth="0" w:num="1">
            <w:col w:w="11240"/>
          </w:cols>
          <w:pgMar w:left="320" w:top="364"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led to higher revenue flow through and lower costs associated with documentary content, as there were no new releases in 2025, that carries a lower margin.</w:t>
      </w: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provides detailed information about IMAX Systems installed and the associated revenue recognized at that time, except for traditional JRSAs as revenue is recognized over the lease term, during the years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9"/>
        </w:trPr>
        <w:tc>
          <w:tcPr>
            <w:tcW w:w="4620" w:type="dxa"/>
            <w:vAlign w:val="bottom"/>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4620" w:type="dxa"/>
            <w:vAlign w:val="bottom"/>
          </w:tcPr>
          <w:p>
            <w:pPr>
              <w:spacing w:after="0"/>
              <w:rPr>
                <w:sz w:val="15"/>
                <w:szCs w:val="15"/>
                <w:color w:val="auto"/>
              </w:rPr>
            </w:pPr>
          </w:p>
        </w:tc>
        <w:tc>
          <w:tcPr>
            <w:tcW w:w="19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r>
      <w:tr>
        <w:trPr>
          <w:trHeight w:val="39"/>
        </w:trPr>
        <w:tc>
          <w:tcPr>
            <w:tcW w:w="462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1"/>
        </w:trPr>
        <w:tc>
          <w:tcPr>
            <w:tcW w:w="462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8"/>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9"/>
        </w:trPr>
        <w:tc>
          <w:tcPr>
            <w:tcW w:w="462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62,388</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43,152</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19,108</w:t>
            </w:r>
          </w:p>
        </w:tc>
      </w:tr>
      <w:tr>
        <w:trPr>
          <w:trHeight w:val="27"/>
        </w:trPr>
        <w:tc>
          <w:tcPr>
            <w:tcW w:w="46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75,738</w:t>
            </w: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Included in the table above are six IMAX Systems which were relocated from their original locations (2024 ― seven IMAX Systems). When an IMAX System under a sale or sales-type lease arrangement is relocated, the amount of revenue earned by the Company may vary from transaction-to-transaction and is usually less than the amount earned for a new sale. In certain situations when an IMAX System is relocated, the original location is upgraded to an IMAX Laser System.</w:t>
      </w:r>
    </w:p>
    <w:p>
      <w:pPr>
        <w:spacing w:after="0" w:line="207"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For the year ended December 31, 2025, Technology Products and Services segment revenue and gross margin increased by $35.2 million or 16% and $27.7 million or 24%, respectively, when compared to the prior year. The higher level of revenue is primarily driven by a higher level of rental revenues, which is box office dependent, and upfront revenue recognized on systems of $9.2 million, resulting from a higher number of system installations coupled with annual variable consideration assessments. Rental revenues increased by $18.9 million or 30%, driven by IMAX GBO generated by locations under JRSAs, which increased by $141.8 million or 34% when compared to the prior year, from $418.4 million to $560.2 million. Also contributing to the increase in revenue was an increase in after-market revenues of $4.6 million, primarily led by higher sales of 3D glasses associated with the release of </w:t>
      </w:r>
      <w:r>
        <w:rPr>
          <w:rFonts w:ascii="Times New Roman" w:cs="Times New Roman" w:eastAsia="Times New Roman" w:hAnsi="Times New Roman"/>
          <w:sz w:val="18"/>
          <w:szCs w:val="18"/>
          <w:i w:val="1"/>
          <w:iCs w:val="1"/>
          <w:color w:val="auto"/>
        </w:rPr>
        <w:t>Avatar: Fire and Ash</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gross margin percent was 57% compared to 53% in the prior year, which primarily reflects the positive incremental flow through of the higher level of box office to JRSA revenues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All Other revenue and gross margin decreased by $3.7 million and $4.9 million, respectively, when compared to the same period in 2024, which principally reflects the results of the Company’s SCT business which was re-positioned and relaunched in late 2025 under the brand of IMAX Enhanced.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(“SG&amp;A”) expenses for the years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16"/>
                <w:szCs w:val="16"/>
                <w:color w:val="auto"/>
              </w:rPr>
            </w:pPr>
          </w:p>
        </w:tc>
        <w:tc>
          <w:tcPr>
            <w:tcW w:w="13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9"/>
        </w:trPr>
        <w:tc>
          <w:tcPr>
            <w:tcW w:w="6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138,455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(26,133)</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1"/>
        </w:trPr>
        <w:tc>
          <w:tcPr>
            <w:tcW w:w="6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selling, general and administrative expenses, excluding share-based</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112,322</w:t>
            </w:r>
          </w:p>
        </w:tc>
        <w:tc>
          <w:tcPr>
            <w:tcW w:w="14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111,804</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compensation</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vMerge w:val="continue"/>
            <w:shd w:val="clear" w:color="auto" w:fill="CCEEFF"/>
          </w:tcPr>
          <w:p>
            <w:pPr>
              <w:spacing w:after="0"/>
              <w:rPr>
                <w:sz w:val="22"/>
                <w:szCs w:val="22"/>
                <w:color w:val="auto"/>
              </w:rPr>
            </w:pPr>
          </w:p>
        </w:tc>
        <w:tc>
          <w:tcPr>
            <w:tcW w:w="82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right="20" w:hanging="314"/>
        <w:spacing w:after="0" w:line="270" w:lineRule="auto"/>
        <w:tabs>
          <w:tab w:leader="none" w:pos="332"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total share-based compensation expense is also recognized within Cost and Expenses Applicable to Revenue and Research and development. Refer to “Capital Stock — Share-Based Compensation” in Note 16 to “Consolidated Financial Statements” in Part II, Item 8.</w:t>
      </w:r>
    </w:p>
    <w:p>
      <w:pPr>
        <w:ind w:left="340" w:hanging="314"/>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5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SG&amp;A expenses year-over-year reflect a consistent level, and consist primarily of compensation costs, travel, fees and other general corporate expenditures. For the year ended December 31, 2025, SG&amp;A includes higher annual performance driven incentive compensation costs and fringe benefits, partially offset by management’s continued focus on operational efficiencies, including workforce reductions. Additionally, in the year, the Company recognized $2.7 million in benefits resulting from an Employee</w:t>
      </w:r>
    </w:p>
    <w:p>
      <w:pPr>
        <w:sectPr>
          <w:pgSz w:w="11900" w:h="16838" w:orient="portrait"/>
          <w:cols w:equalWidth="0" w:num="1">
            <w:col w:w="11240"/>
          </w:cols>
          <w:pgMar w:left="320" w:top="364"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Retention Credit as a reduction to SG&amp;A expenses, which partially offset the higher compensation costs noted. Year-over-year the benefits of the Employee Retention Credit are partially offset by adjustments recorded in the prior year relating to payouts in connection with a prior year acquisition.</w:t>
      </w:r>
    </w:p>
    <w:p>
      <w:pPr>
        <w:spacing w:after="0" w:line="189"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As a percentage of revenue, SG&amp;A expenses excluding share-based compensation improved to 27% as compared to 32% in 2024, which reflects management’s continued focus on cost discipline as expenses increased at a much lower rate than revenue.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2025, Research and development expenses were $5.8 million, representing an increase of $0.7 million, or 14%, when compared to $5.1 million during the same period in the prior year. The lower Research and development expenses in 2024 reflects the capitalization of costs in accordance with the achievement of technological feasibility of the Company’s new film cameras and related technologies. The Company continues to expense its investment in other projects, including in the development of new SCT product offerings and improvements to its existing IMAX System product suite.</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(Reversal), Net</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credit loss expense of $0.7 million, as compared to a credit loss reversal of $1.0 million recognized in the prior year. The change was primarily attributable to specific provisions related to certain exhibitors in Greater China with whom the Company terminated and/or transferred agreements during the year.</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Overall, stronger global box office performance in the year has contributed to a notable improvement in collections. The resurgence in theatrical attendance, driven by a robust film slate, has increased and accelerated cash inflows from studio and exhibitor customers. This trend reflects both the sustained consumer demand for premium cinematic experiences and the effectiveness of IMAX’s strategic initiatives in global distribution and exhibition.</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estimates credit losses based on both a historical provision rate and customer specific circumstances. Management’s judgments regarding expected credit losses are based on the facts available to management at the time that the Consolidated Financial Statements are prepared and involve estimates about the future. As a result, the Company’s judgments and associated estimates of credit losses may ultimately prove, with the benefit of hindsight, to be incorrect. (Refer to Note 4 to “Condensed Consolidated Financial Statements” in Part II, Item 8.)</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and Other Impairments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2025, the Company recorded $2.5 million (2024 — $3.7 million) of Restructuring Charges and Other Impairments. These charges are associated with strategic initiatives aimed at enhancing operational efficiency, reducing costs, and optimizing the Company’s organization structure. Restructuring Charges and Other Impairments are presented as a separate line item in the Consolidated Statements of Operations to enhance transparency and provide stakeholders with a better understanding of the Company’s financial performance.</w:t>
      </w:r>
    </w:p>
    <w:p>
      <w:pPr>
        <w:spacing w:after="0" w:line="207"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Specifically, in 2025, the Company incurred $1.4 million (2024 — $2.4 million) of termination charges in connection with its plan to optimize its organizational structure by eliminating redundant roles, addressing spans and layers to capture efficiencies, and centralizing certain operational roles, including the restructuring of the SCT division, which includes SSIMWAVE. Additionally, the Company incurred $0.4 million (2024 — $1.3 million) of non-recurring fees related to the assessment of its corporate structure and the resulting internal asset sale, as described in the 2024 Form 10-K, and $0.7 million in connection with the impairment of certain intangible assets impacted by restructuring activities during the year.</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the Company incurred $7.0 million (2024 — $nil) of goodwill impairment charges. The impairment charge was due to a change in the Company’s market focus, resulting in a downward adjustment to the SSIMWAVE reporting unit’s expected cash flows based on the discounted cash flow method. As noted above in the Restructuring Charges and Other Impairments section, during 2025 the Company recognized certain termination charges associated with the SSIMWAVE business that are expected to reduce ongoing overhead costs. (Refer to “Risk Factors―The Company has been and may continue to be subject to impairment losses related to goodwill and long-lived assets.” in Part I, Item 1A and Note 12 to “Consolidated Financial Statements” in Part II, Item 8.)</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Realized and Unrealized Investment (Losses) Gains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2025, Realized and Unrealized Investment (Losses) Gains was a loss of $0.9 million, compared to a gain of $0.1 million in the prior year. The current year loss primarily relates to a $1.0 million loss of the Company’s investment in equity securities to bring the carrying value down to the fair value as assessed by management. This loss was partially offset by unrealized gains related to the fair value adjustment of the company-owned life insurance. (Refer to Note 21 to “Consolidated Financial Statements” in Part II, Item 8.)</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interest expense was $7.4 million, representing a decrease of $0.7 million, or 9%, as compared to $8.1 million in 2024 primarily due to a lower level of borrowings under the Credit Facility and a lower average interest rate during the period as compared to the prior period. (Refer to Note 13 to “Consolidated Financial Statements” in Part II, Item 8.)</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 ended December 31, 2025, interest income was $2.8 million compared to $2.2 million in the prior year.</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Induced Conversion Expense on Settlement of Convertible Notes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$15.3 million of Induced Conversion Expense on Settlement of Convertible Notes which reflects the fair value of consideration paid to holders of the 2026 0.50% Convertible Notes (the “2026 Convertible Notes”) in excess of the value to which they were entitled to receive pursuant to the original conversion terms. Refer to Note 13 to “Consolidated Financial Statements” in Part II, Item 8 for more information on this transaction. No such expense was recognized in 2024.</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the Company recorded an income tax expense of $17.8 million (2024 — $5.0 million). The Company’s effective tax rate for year ended December 31, 2025 of 28.1% differs from the Canadian federal statutory tax rate of 15.0% (2024 — 26.5%), primarily due to a non-deductible premium paid, and taxable capital gain incurred, on the partial settlement of the 2026 Convertible Notes and a taxable capital gain on settlement of $4.0 million and $1.5 million respectively, non-deductible goodwill impairment of $1.8 million, statutory tax rate differences of $5.2 million (2024 — $2.3 million), an increase in interest expense related to tax reserves of $0.8 million (2024 — reduction, net of interest expense, of $1.4 million), and withholding taxes of $4.0 million (2024 — $3.9 million). This was offset by a tax benefit related to investment tax credits of $1.2 million (2024 — $1.2 million), a net decrease in the valuation allowance related to deferred taxes of $6.0 million in respect of the use of tax attributes in reporting entities where it was concluded in prior years that it is more likely that not that the benefit from deferred taxes will not be realized (2024 — increase of $3.5 million), and other tax benefit of $1.7 million (2024 — $7.6 million including $4.0 million related to an internal asset sale). The remainder of the difference was due to normal course movements and non-material items.</w:t>
      </w:r>
    </w:p>
    <w:p>
      <w:pPr>
        <w:spacing w:after="0" w:line="21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effective tax rate of 28.1% in 2025 reflects the impact of one-time charges in 2025 (see above for discussion of Induced Conversion Expense on Settlement of Convertible Notes and Goodwill Impairment) for which the Company did not receive any tax benefits, while 2024’s effective tax rate was unusually low at 13.3% having benefitted from an internal asset sale to more closely align intellectual property rights with its global operations.</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Company’s deferred tax liability of $12.5 million as of December 31, 2025 (2024 — $12.5 million) relates to the estimated applicable foreign withholding taxes associated with historical earnings that were not indefinitely reinvested, which become payable upon the repatriation of any such earnings. During the year ended December 31, 2025, $nil (2024 — $nil) of historical earnings from a subsidiary in China were distributed and, as a result, $nil (2024 — $nil) of foreign withholding taxes were paid to the relevant tax authorities.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11 to “Consolidated Financial Statements” in Part II, Item 8 for more information on the Company’s tax position.)</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the net income attributable to non-controlling interests of the Company’s subsidiaries was $10.7 million (2024 — $6.6 million), an increase of 60%, or $4.0 million, year-over-year. The increase primarily reflects the higher level of IMAX box office earned in Greater China, as described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YEARS ENDED DECEMBER 31, 2025 AND 2024</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discussion below summarizes our cash flows from operating, investing, and financing activities as reflected in the Consolidated Statements of Cash Flows for the years ended December 31, 2025 and 2024.</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127,068</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50,576</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24,392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Net cash provided by operating activities increased $56.2 million in 2025, when compared to 2024, primarily due to an increase in the net income earned in the current period primarily due to stronger IMAX global box office and a net increase in working capital. (Refer to Note 18 to “Consolidated Financial Statements” in Part II, Item 8 for more information on the Company’s change in other operating assets and liabilities.)</w:t>
      </w:r>
    </w:p>
    <w:p>
      <w:pPr>
        <w:spacing w:after="0" w:line="203" w:lineRule="exact"/>
        <w:rPr>
          <w:sz w:val="20"/>
          <w:szCs w:val="20"/>
          <w:color w:val="auto"/>
        </w:rPr>
      </w:pPr>
    </w:p>
    <w:p>
      <w:pPr>
        <w:ind w:right="400" w:firstLine="194"/>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increased $0.7 million in 2025, when compared to 2024, which reflects an increase in the level of investment in equipment contributed to the Company’s JRSAs with exhibitor customers and partially offset by general corporate capital expenditures.</w:t>
      </w:r>
    </w:p>
    <w:p>
      <w:pPr>
        <w:spacing w:after="0" w:line="18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Net cash used in financing activities increased $28.0 million in 2025, when compared to 2024, which reflects the issuance of the Convertible Notes partially offset by the repurchase of the outstanding principal of the 2026 Convertible Notes and redemption of the related capped calls and higher repayments of borrowings during the year. (Refer to Note 13 to “Consolidated Financial Statements” in Part II, Item 8 for more information on the Company’s change in other operating assets and liabilities.)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Company’s principal sources of liquidity included: (i) its balances of cash and cash equivalents of $151.2 million; (ii) the anticipated collection of trade accounts receivable, which includes amounts owed under JRSAs and Film Remastering and distribution agreements with movie studios; (iii) the anticipated collection of financing receivables due in the next 12 months under sale and sales-type lease arrangements for IMAX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211"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the Company had $338.0 million in available borrowing capacity under its Seventh Amended and Restated Credit Agreement (the “Credit Agreement”), $27.1 million in available borrowing capacity under the IMAX (Shanghai) Multimedia Technology Co., Ltd. (“IMAX Shanghai”) revolving credit facility with the Bank of China (the “Bank of China Facility”), and $28.5 million in available borrowing capacity under IMAX Shanghai’s revolving credit facility with HSBC Bank (China) Company Limited, Shanghai Branch (the “HSBC China Facility”). (Refer to “Borrowings — </w:t>
      </w:r>
      <w:r>
        <w:rPr>
          <w:rFonts w:ascii="Times New Roman" w:cs="Times New Roman" w:eastAsia="Times New Roman" w:hAnsi="Times New Roman"/>
          <w:sz w:val="18"/>
          <w:szCs w:val="18"/>
          <w:i w:val="1"/>
          <w:iCs w:val="1"/>
          <w:color w:val="auto"/>
        </w:rPr>
        <w:t>Revolving Credit Facility Borrowings, Net</w:t>
      </w:r>
      <w:r>
        <w:rPr>
          <w:rFonts w:ascii="Times New Roman" w:cs="Times New Roman" w:eastAsia="Times New Roman" w:hAnsi="Times New Roman"/>
          <w:sz w:val="18"/>
          <w:szCs w:val="18"/>
          <w:color w:val="auto"/>
        </w:rPr>
        <w:t>” in Note 13 to “Consolidated Financial Statements” in Part II, Item 8 for a description of the material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Credit Agreement, the Bank of China Facility, and the HSBC Facility.)</w:t>
      </w:r>
    </w:p>
    <w:p>
      <w:pPr>
        <w:spacing w:after="0" w:line="211"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Company’s $151.2 million balance of cash and cash equivalents as of December 31, 2025 (December 31, 2024 — $100.6 million) includes $137.4 million in cash held outside of Canada (December 31, 2024 — $85.4 million), of which $97.2 million was held in the People’s Republic of China (“PRC”) (December 31, 2024 — $47.5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year ended December 31, 2025, no historical earnings from a subsidiary in China were distributed (2024 — $nil) and, as a result, no foreign withholding taxes were paid to the relevant tax authorities (2024 — $nil). As of December 31, 2025, the Company’s Consolidated Balance Sheets include a deferred tax liability of $12.5 million (December 31, 2024 —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1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As a result, there is no guarantee that these forecasts will come to fruition and that the Company will be able to fund its operations through cash flows from operations. In particular, the Company’s operating cash flows and cash</w:t>
      </w:r>
    </w:p>
    <w:p>
      <w:pPr>
        <w:sectPr>
          <w:pgSz w:w="11900" w:h="16838" w:orient="portrait"/>
          <w:cols w:equalWidth="0" w:num="1">
            <w:col w:w="11240"/>
          </w:cols>
          <w:pgMar w:left="320" w:top="364"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balances will be adversely impacted if management’s projections of future signings and installations of IMAX Systems and global box office performance of remastered content distributed to the IMAX network are not realized.</w:t>
      </w:r>
    </w:p>
    <w:p>
      <w:pPr>
        <w:spacing w:after="0" w:line="189"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December 31, 2025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Years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8"/>
        </w:trPr>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20"/>
                <w:szCs w:val="20"/>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40" w:type="dxa"/>
            <w:vAlign w:val="bottom"/>
          </w:tcPr>
          <w:p>
            <w:pPr>
              <w:spacing w:after="0"/>
              <w:rPr>
                <w:sz w:val="16"/>
                <w:szCs w:val="16"/>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tcPr>
          <w:p>
            <w:pPr>
              <w:spacing w:after="0"/>
              <w:rPr>
                <w:sz w:val="16"/>
                <w:szCs w:val="16"/>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9"/>
        </w:trPr>
        <w:tc>
          <w:tcPr>
            <w:tcW w:w="3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3"/>
        </w:trPr>
        <w:tc>
          <w:tcPr>
            <w:tcW w:w="394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Convertible Notes</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Convertible Notes</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259,422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256,839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payments to be made under binding commitments with suppliers and outstanding payments to be made for supplies ordered, but yet to be invoiced.</w:t>
      </w:r>
    </w:p>
    <w:p>
      <w:pPr>
        <w:spacing w:after="0" w:line="18" w:lineRule="exact"/>
        <w:rPr>
          <w:rFonts w:ascii="Times New Roman" w:cs="Times New Roman" w:eastAsia="Times New Roman" w:hAnsi="Times New Roman"/>
          <w:sz w:val="14"/>
          <w:szCs w:val="14"/>
          <w:i w:val="1"/>
          <w:iCs w:val="1"/>
          <w:color w:val="auto"/>
        </w:rPr>
      </w:pPr>
    </w:p>
    <w:p>
      <w:pPr>
        <w:jc w:val="both"/>
        <w:ind w:left="340" w:right="20" w:hanging="314"/>
        <w:spacing w:after="0" w:line="259" w:lineRule="auto"/>
        <w:tabs>
          <w:tab w:leader="none" w:pos="332"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2028, in accordance with the terms of the SERP, although Mr. Gelfond has not informed the Company that he intends to retire at that time. (Refer to Note 22 to “Consolidated Financial Statements” in Part II, Item 8.)</w:t>
      </w:r>
    </w:p>
    <w:p>
      <w:pPr>
        <w:ind w:left="340" w:hanging="314"/>
        <w:spacing w:after="0"/>
        <w:tabs>
          <w:tab w:leader="none" w:pos="34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minimum annual rental payments due under the Company’s operating leases.</w:t>
      </w:r>
    </w:p>
    <w:p>
      <w:pPr>
        <w:spacing w:after="0" w:line="5" w:lineRule="exact"/>
        <w:rPr>
          <w:rFonts w:ascii="Times New Roman" w:cs="Times New Roman" w:eastAsia="Times New Roman" w:hAnsi="Times New Roman"/>
          <w:sz w:val="14"/>
          <w:szCs w:val="14"/>
          <w:i w:val="1"/>
          <w:iCs w:val="1"/>
          <w:color w:val="auto"/>
        </w:rPr>
      </w:pPr>
    </w:p>
    <w:p>
      <w:pPr>
        <w:ind w:left="340" w:right="20" w:hanging="314"/>
        <w:spacing w:after="0" w:line="257" w:lineRule="auto"/>
        <w:tabs>
          <w:tab w:leader="none" w:pos="332"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Federal Economic Development Loan is repayable over 36 months, with repayments commencing January 2024. (Refer to “Borrowings — Convertible Notes and Other Borrowings, Net” in Note 13 to “Consolidated Financial Statements” in Part II, Item 8.)</w:t>
      </w:r>
    </w:p>
    <w:p>
      <w:pPr>
        <w:ind w:left="340" w:right="20" w:hanging="314"/>
        <w:spacing w:after="0" w:line="261" w:lineRule="auto"/>
        <w:tabs>
          <w:tab w:leader="none" w:pos="332"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0.500% per annum on the remaining principal of $0.7 million. The Convertible Notes will mature on April 1, 2026, unless earlier repurchased, redeemed or converted. (Refer to “Borrowings — Convertible Notes and Other Borrowings, Net” in Note 13 to “Consolidated Financial Statements” in Part II, Item 8.)</w:t>
      </w:r>
    </w:p>
    <w:p>
      <w:pPr>
        <w:jc w:val="both"/>
        <w:ind w:left="340" w:right="20" w:hanging="314"/>
        <w:spacing w:after="0" w:line="261" w:lineRule="auto"/>
        <w:tabs>
          <w:tab w:leader="none" w:pos="332"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0.750% per annum on the principal of $250.0 million, payable semi-annually in arrears on May 15 and November 15 of each year, beginning on May 15, 2026. The Convertible Notes will mature on November 15, 2030, unless earlier repurchased, redeemed or converted. (Refer to “Borrowings — Convertible Notes and Other Borrowings, Net” in Note 13 to “Consolidated Financial Statements” in Part II, Item 8.)</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5"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U.S. Securities and Exchange Commission regulations. Specifically, the Company presents the following non-GAAP financial measures as supplemental measures of its performance:</w:t>
      </w:r>
    </w:p>
    <w:p>
      <w:pPr>
        <w:spacing w:after="0" w:line="203" w:lineRule="exact"/>
        <w:rPr>
          <w:sz w:val="20"/>
          <w:szCs w:val="20"/>
          <w:color w:val="auto"/>
        </w:rPr>
      </w:pPr>
    </w:p>
    <w:p>
      <w:pPr>
        <w:ind w:left="780" w:hanging="384"/>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 and</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 expenses.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goodwill impairment;</w:t>
      </w:r>
    </w:p>
    <w:p>
      <w:pPr>
        <w:spacing w:after="0" w:line="1" w:lineRule="exact"/>
        <w:rPr>
          <w:sz w:val="20"/>
          <w:szCs w:val="20"/>
          <w:color w:val="auto"/>
        </w:rPr>
      </w:pPr>
    </w:p>
    <w:p>
      <w:pPr>
        <w:ind w:right="20" w:firstLine="8"/>
        <w:spacing w:after="0" w:line="259" w:lineRule="auto"/>
        <w:tabs>
          <w:tab w:leader="none" w:pos="3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and other impairments; (v) employee retention credits; and (vi) induced conversion expense on settlement of convertible notes, as well as the related tax impact of these adjustments.</w:t>
      </w:r>
    </w:p>
    <w:p>
      <w:pPr>
        <w:spacing w:after="0" w:line="208"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2"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basic and diluted share are presented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9"/>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6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losses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Induced conversion expense on settlement of convertible notes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540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80,584</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51,010</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(in thousands):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1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Total Adjusted EBITDA per Credit Facility is defined as EBITDA excluding: (i) share-based and other non-cash compensation; (ii) realized and unrealized investment gains or losses; (iii) restructuring charges and other impairments; (iv) write-downs, net of recoveries, including goodwill, asset impairments and credit loss expense or reversal; and (v) induced conversion expense on settlement of convertible notes.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right="20" w:firstLine="194"/>
        <w:spacing w:after="0" w:line="281" w:lineRule="auto"/>
        <w:rPr>
          <w:sz w:val="20"/>
          <w:szCs w:val="20"/>
          <w:color w:val="auto"/>
        </w:rPr>
      </w:pPr>
      <w:r>
        <w:rPr>
          <w:rFonts w:ascii="Times New Roman" w:cs="Times New Roman" w:eastAsia="Times New Roman" w:hAnsi="Times New Roman"/>
          <w:sz w:val="18"/>
          <w:szCs w:val="18"/>
          <w:color w:val="auto"/>
        </w:rPr>
        <w:t>Reconciliations of net income, which is the most directly comparable GAAP measure, to EBITDA and Adjusted EBITDA per Credit Facility are presented in the table below.</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8"/>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6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9"/>
        </w:trPr>
        <w:tc>
          <w:tcPr>
            <w:tcW w:w="94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45,526</w:t>
            </w:r>
          </w:p>
        </w:tc>
      </w:tr>
      <w:tr>
        <w:trPr>
          <w:trHeight w:val="24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9"/>
        </w:trPr>
        <w:tc>
          <w:tcPr>
            <w:tcW w:w="9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w:t>
            </w:r>
          </w:p>
        </w:tc>
      </w:tr>
      <w:tr>
        <w:trPr>
          <w:trHeight w:val="24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9"/>
        </w:trPr>
        <w:tc>
          <w:tcPr>
            <w:tcW w:w="9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w:t>
            </w:r>
          </w:p>
        </w:tc>
      </w:tr>
      <w:tr>
        <w:trPr>
          <w:trHeight w:val="26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43"/>
        </w:trPr>
        <w:tc>
          <w:tcPr>
            <w:tcW w:w="9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130,301</w:t>
            </w:r>
          </w:p>
        </w:tc>
      </w:tr>
      <w:tr>
        <w:trPr>
          <w:trHeight w:val="24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w:t>
            </w: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9"/>
        </w:trPr>
        <w:tc>
          <w:tcPr>
            <w:tcW w:w="9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losses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4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7"/>
        </w:trPr>
        <w:tc>
          <w:tcPr>
            <w:tcW w:w="9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9"/>
        </w:trPr>
        <w:tc>
          <w:tcPr>
            <w:tcW w:w="9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Write-downs, including goodwill, asset impairments and credit loss expense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43"/>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Induced conversion expense on settlement of convertible notes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15,264</w:t>
            </w:r>
          </w:p>
        </w:tc>
      </w:tr>
      <w:tr>
        <w:trPr>
          <w:trHeight w:val="27"/>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184,945</w:t>
            </w:r>
          </w:p>
        </w:tc>
      </w:tr>
      <w:tr>
        <w:trPr>
          <w:trHeight w:val="23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(19,193)</w:t>
            </w:r>
          </w:p>
        </w:tc>
      </w:tr>
      <w:tr>
        <w:trPr>
          <w:trHeight w:val="27"/>
        </w:trPr>
        <w:tc>
          <w:tcPr>
            <w:tcW w:w="9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8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also adjusts SG&amp;A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2"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 reconciliation of SG&amp;A Expenses, the most directly comparable GAAP measure presented in the Consolidated Statement of Operations in Part I, Item 1, to Adjusted Selling, General and Administrative Expenses is presented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138,455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380" w:type="dxa"/>
            <w:vAlign w:val="bottom"/>
          </w:tcPr>
          <w:p>
            <w:pPr>
              <w:spacing w:after="0"/>
              <w:rPr>
                <w:sz w:val="21"/>
                <w:szCs w:val="21"/>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(26,133)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112,322</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91 different countries, and therefore unfavorable exchange rates between applicable local currencies and the U.S. Dollar could have an impact on the GBO generated by the Company’s exhibitor customers and its revenues. The Company has incoming cash flows from its revenue generating</w:t>
      </w:r>
    </w:p>
    <w:p>
      <w:pPr>
        <w:sectPr>
          <w:pgSz w:w="11900" w:h="16838" w:orient="portrait"/>
          <w:cols w:equalWidth="0" w:num="1">
            <w:col w:w="11240"/>
          </w:cols>
          <w:pgMar w:left="320" w:top="364"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678.2 million or $96.5 million in cash and cash equivalents as of December 31, 2025 (December 31, 2024 — RMB 341.1 million or $47.5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w:t>
      </w:r>
    </w:p>
    <w:p>
      <w:pPr>
        <w:spacing w:after="0" w:line="21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foreign exchange net loss of less than $0.1 million as compared to a foreign exchange net loss of $1.2 million in 2024, associated with the translation of foreign currency denominated monetary assets and liabilities.</w:t>
      </w:r>
    </w:p>
    <w:p>
      <w:pPr>
        <w:spacing w:after="0" w:line="189"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These foreign currency forward contracts met the criteria required for hedge accounting under the Derivatives and Hedging Topic of the Financial Accounting Standards Board (“FASB”) Accounting Standards Codification (“ASC”) at inception, and continue to meet hedge effectiveness tests as of December 31, 2025, with settlement dates throughout 2026 and 2027. Foreign currency derivatives are recognized and measured on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Loss and reclassified to the Consolidated Statements of Operations when the forecasted transaction occurs. Any ineffective portion is recognized immediately in the Consolidated Statements of Operations.</w:t>
      </w:r>
    </w:p>
    <w:p>
      <w:pPr>
        <w:spacing w:after="0" w:line="21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December 31, 2025 was $48.4 million (December 31, 2024 — $48.4 million). A gain of $1.7 million was recorded to Other Comprehensive Income with respect to the change in fair value of these contracts in 2025 (2024 — loss of $3.5 million; 2023 — gain of $0.6 million). A loss of $1.3 million was reclassified from Accumulated Other Comprehensive Loss to Selling, General and Administrative Expenses in 2025 (2024 — loss of $0.6 million; 2023 — loss of $0.9 million). In 2025, there were no gains or losses resulting from a change in the classification of certain forward contracts no longer meeting the requirements for hedge accounting were reclassified from Accumulated Other Comprehensive Loss to Selling, General and Administrative Expenses (2024 — $nil). The notional value of forward contracts that do not qualify for hedge accounting as of December 31, 2025 was $nil (December 31, 2024 — $nil).</w:t>
      </w:r>
    </w:p>
    <w:p>
      <w:pPr>
        <w:spacing w:after="0" w:line="21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Company’s Financing Receivables and working capital items denominated in Canadian Dollars, RMB, Japanese Yen, Euros and other foreign currencies translated into U.S. Dollars was $130.2 million. Assuming a 10% appreciation or depreciation in foreign currency exchange rates from the quoted foreign currency exchange rates as of December 31, 2025, the potential change in the fair value of foreign currency-denominated financing receivables and working capital items would have been $13.0 million, which would be mostly revalued through Shareholders’ Equity. A significant portion of the Company’s Selling, General, and Administrative Expenses is denominated in Canadian Dollars. Assuming a 1% change appreciation or depreciation in foreign currency exchange rates as of December 31, 2025, the potential change in the amount of Selling, General, and Administrative Expenses would be $0.3 million.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5" w:lineRule="exact"/>
        <w:rPr>
          <w:sz w:val="20"/>
          <w:szCs w:val="20"/>
          <w:color w:val="auto"/>
        </w:rPr>
      </w:pPr>
    </w:p>
    <w:p>
      <w:pPr>
        <w:ind w:right="20" w:firstLine="194"/>
        <w:spacing w:after="0" w:line="281"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and the resulting impact of those changes on its interest income from cash, and its interest expense from variable-rate borrowings.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 ended December 31, 2025 the Company had drawn down $37.0 million on its Credit Agreement (the “Credit Facility”) (December 31, 2024</w:t>
      </w:r>
    </w:p>
    <w:p>
      <w:pPr>
        <w:spacing w:after="0" w:line="2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$37.0 million), $nil on its HSBC China Facility (December 31, 2024 — $nil) and $nil on its Bank of China Facility (December 31, 2024 — $nil), which are all subject to variable effective interest rates.</w:t>
      </w:r>
    </w:p>
    <w:p>
      <w:pPr>
        <w:spacing w:after="0" w:line="20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Company’s variable rate debt instruments were $37.0 million as of December 31, 2025 and 2024. Variable rate debt instruments represented 8% of its total liabilities as of December 31, 2025 and 2024. If the interest rates available to the Company increased by 10%, the Company’s interest expense would increase by $0.2 million and interest income from cash would increase by $0.4 million. These amounts are determined by considering the impact of the hypothetical interest rates on the Company’s variable rate debt and cash balances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5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Pr>
          <w:p>
            <w:pPr>
              <w:spacing w:after="0"/>
              <w:rPr>
                <w:sz w:val="2"/>
                <w:szCs w:val="2"/>
                <w:color w:val="auto"/>
              </w:rPr>
            </w:pPr>
          </w:p>
        </w:tc>
        <w:tc>
          <w:tcPr>
            <w:tcW w:w="31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5"/>
        </w:trPr>
        <w:tc>
          <w:tcPr>
            <w:tcW w:w="20" w:type="dxa"/>
            <w:vAlign w:val="bottom"/>
          </w:tcPr>
          <w:p>
            <w:pPr>
              <w:spacing w:after="0"/>
              <w:rPr>
                <w:sz w:val="17"/>
                <w:szCs w:val="17"/>
                <w:color w:val="auto"/>
              </w:rPr>
            </w:pPr>
          </w:p>
        </w:tc>
        <w:tc>
          <w:tcPr>
            <w:tcW w:w="688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Firm ID </w:t>
            </w:r>
            <w:r>
              <w:rPr>
                <w:rFonts w:ascii="Times New Roman" w:cs="Times New Roman" w:eastAsia="Times New Roman" w:hAnsi="Times New Roman"/>
                <w:sz w:val="18"/>
                <w:szCs w:val="18"/>
                <w:color w:val="000000"/>
              </w:rPr>
              <w:t>271)</w:t>
            </w:r>
          </w:p>
        </w:tc>
        <w:tc>
          <w:tcPr>
            <w:tcW w:w="3760" w:type="dxa"/>
            <w:vAlign w:val="bottom"/>
            <w:gridSpan w:val="4"/>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FF"/>
                <w:w w:val="88"/>
              </w:rPr>
              <w:t>62</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6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3760" w:type="dxa"/>
            <w:vAlign w:val="bottom"/>
            <w:gridSpan w:val="4"/>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66</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9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years ended December 31, 2025, 2024, and 2023</w:t>
            </w: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67</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5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68</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480" w:type="dxa"/>
            <w:vAlign w:val="bottom"/>
            <w:gridSpan w:val="5"/>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years ended December 31, 2025, 2024, and 2023</w:t>
            </w:r>
          </w:p>
        </w:tc>
        <w:tc>
          <w:tcPr>
            <w:tcW w:w="302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69</w:t>
            </w:r>
          </w:p>
        </w:tc>
      </w:tr>
      <w:tr>
        <w:trPr>
          <w:trHeight w:val="20"/>
        </w:trPr>
        <w:tc>
          <w:tcPr>
            <w:tcW w:w="2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7500" w:type="dxa"/>
            <w:vAlign w:val="bottom"/>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8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70</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Report of Independent Registered Public Accounting Firm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IMAX Corporation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audited the accompanying consolidated balance sheets of IMAX Corporation and its subsidiaries (the Company) as of December 31, 2025 and 2024, and the related consolidated statements of operations, of comprehensive income,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1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IMAX Systems</w:t>
      </w:r>
    </w:p>
    <w:p>
      <w:pPr>
        <w:spacing w:after="0" w:line="6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As described in notes 2 and 19 to the consolidated financial statements, the Company recognized revenue from IMAX Systems related to the IMAX Technology Products and Services reportable segment (System Sales) of $94.5 million for the year ended December 31, 2025. Management evaluates whether an IMAX System arrangement involves either a sale or a lease of an IMAX System, and for those arrangements that are accounted for as a sale of an IMAX System, determines the transaction price and the allocation thereof to each separate performance obligation based on estimated standalone selling prices. For arrangements accounted for as a sale of an IMAX System, the transaction price allocated to the performance obligation is recognized when the conditions signifying transfer of control have been met. For IMAX Systems, management applied significant judgment in (i) determining whether the arrangement related to either a sale or a lease by considering the terms of the arrangement including title to the IMAX System equipment and payment consideration; (ii) estimating the transaction price which may include the discounted present value of fixed ongoing payments and variable consideration (such as indexed minimum payment increases and additional payments owed by the customer if certain minimum box office receipt thresholds are exceeded); (iii) allocating the transaction price to each separate performance obligation based on estimated standalone selling prices; and (iv) determining the timing of revenue recognition based on when performance obligations are met.</w:t>
      </w:r>
    </w:p>
    <w:p>
      <w:pPr>
        <w:spacing w:after="0" w:line="2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revenue recognition of IMAX Systems is a critical audit matter are that management identified the matter as a critical accounting estimate, and there was significant judgment required by management in (i) determining whether the arrangement related to a sale or a lease, and based on the type of sale or lease each arrangement represents, whether it falls in the scope of ASC 606 or ASC 842; (ii) estimating the transaction price, which may include the discounted present value of fixed ongoing payments and variable consideration; (iii) allocating the transaction price to each separate performance obligation; and (iv) determining the timing of revenue recognition. This in turn led to a high degree of auditor judgment, subjectivity and effort in performing procedures and evaluating audit evidence relating to the revenue recognition of IMAX Systems.</w:t>
      </w:r>
    </w:p>
    <w:p>
      <w:pPr>
        <w:spacing w:after="0" w:line="2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management’s review and approval of revenue recognition memoranda produced for each IMAX System, which include the determination of the type of arrangement, the estimate of the transaction price and allocation thereof and the timing of the related revenue recognition. These procedures also included, among others, evaluating the reasonableness of management’s assessment of whether the arrangement related to either a sale or a lease by considering the contractual terms and conditions of the executed contracts. Procedures were also performed to test management’s process for estimating the transaction price for a sample of contracts with customers, including (i) evaluating the appropriateness of management’s discounted present value method; (ii) testing the completeness, accuracy and relevance of the data used in estimating the transaction price; and (iii) evaluating the reasonableness of significant assumptions used by management, including the discount rate and expected future performance of underlying theatres associated with the arrangement. Evaluating management’s assumption related to the discount rate involved evaluating whether the assumption was reasonable considering consistency with external market data. Evaluating management’s assumption related to expected future performance of the underlying theatres associated with the arrangement involved evaluating whether the assumption was reasonable considering the current and past performance of underlying theatres. Procedures were also performed to test management’s process for allocating the transaction price to each separate performance obligation, including (i) evaluating the appropriateness of management’s method of allocating the transaction price; (ii) testing the completeness, accuracy and relevance of the data used in allocating the transaction price; and (iii) evaluating the reasonableness of significant assumptions used by management, including estimated standalone selling prices. Evaluating management’s assumption related to estimated standalone selling prices involved evaluating whether the assumption was reasonable by comparing the estimate to current and historical transactions. Evaluating the appropriateness of management’s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assessment of the timing of revenue recognition involved inspecting the customers’ certificates of acceptance and theatre openings during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Toronto,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33"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color w:val="auto"/>
        </w:rPr>
        <w:t>We have served as the Company’s auditor since 1987</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which includes periods before the Company became subject to SEC reporting requirements.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 CONSOLIDATED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39"/>
        </w:trPr>
        <w:tc>
          <w:tcPr>
            <w:tcW w:w="79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4"/>
        </w:trPr>
        <w:tc>
          <w:tcPr>
            <w:tcW w:w="7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151,168</w:t>
            </w:r>
          </w:p>
        </w:tc>
        <w:tc>
          <w:tcPr>
            <w:tcW w:w="14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894,031</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6"/>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4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466,298</w:t>
            </w:r>
          </w:p>
        </w:tc>
        <w:tc>
          <w:tcPr>
            <w:tcW w:w="1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452,183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 (see Notes 14 and 15)</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53,921,676 issued and outstanding (December 31, 2024 — 52,946,200 issued and outstanding)</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419,162</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164,782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337,891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299,466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78,069</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427,067</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377,535</w:t>
            </w:r>
          </w:p>
        </w:tc>
      </w:tr>
      <w:tr>
        <w:trPr>
          <w:trHeight w:val="25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894,031</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6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98,339</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87,765</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100,792</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189,752</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75,566</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36"/>
        </w:trPr>
        <w:tc>
          <w:tcPr>
            <w:tcW w:w="62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410,212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352,208</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374,839</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46,756</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25,686</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164,022</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162,008</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160,498</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246,190</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190,200</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214,341</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(reversal), net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84,229</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43,862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50,398</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Induced conversion expense on settlement of convertible notes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63,293</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37,698</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46,117</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45,526</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32,702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33,066</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34,876</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26,059</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25,335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6"/>
        </w:trPr>
        <w:tc>
          <w:tcPr>
            <w:tcW w:w="6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53,864</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55,146</w:t>
            </w: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
        </w:trPr>
        <w:tc>
          <w:tcPr>
            <w:tcW w:w="62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6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2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45,526</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32,702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33,066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defined benefit plan actuarial gain (loss)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postretirement benefit plans actuarial loss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defined benefit and postretirement benefit plans net gain</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net gain (loss) from cash flow hedging instruments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r>
      <w:tr>
        <w:trPr>
          <w:trHeight w:val="27"/>
        </w:trPr>
        <w:tc>
          <w:tcPr>
            <w:tcW w:w="6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before tax</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income (loss)</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6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53,047</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27,440</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29,729</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(11,878)</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41,169</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21,542</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23,100</w:t>
            </w:r>
          </w:p>
        </w:tc>
      </w:tr>
      <w:tr>
        <w:trPr>
          <w:trHeight w:val="20"/>
        </w:trPr>
        <w:tc>
          <w:tcPr>
            <w:tcW w:w="6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6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45,526</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33,066</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62,446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60,022</w:t>
            </w:r>
          </w:p>
        </w:tc>
      </w:tr>
      <w:tr>
        <w:trPr>
          <w:trHeight w:val="252"/>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 (reversal), net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r>
      <w:tr>
        <w:trPr>
          <w:trHeight w:val="252"/>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goodwill and asset impairments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r>
      <w:tr>
        <w:trPr>
          <w:trHeight w:val="252"/>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24,230</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gain</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52"/>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loss (gain)</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Induced conversion expense on settlement on convertible notes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r>
      <w:tr>
        <w:trPr>
          <w:trHeight w:val="252"/>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(20,394)</w:t>
            </w:r>
          </w:p>
        </w:tc>
      </w:tr>
      <w:tr>
        <w:trPr>
          <w:trHeight w:val="252"/>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w:t>
            </w:r>
          </w:p>
        </w:tc>
      </w:tr>
      <w:tr>
        <w:trPr>
          <w:trHeight w:val="236"/>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(7,308)</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(35,192)</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(35,989)</w:t>
            </w:r>
          </w:p>
        </w:tc>
      </w:tr>
      <w:tr>
        <w:trPr>
          <w:trHeight w:val="242"/>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127,068</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70,837</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58,615</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(6,491)</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securities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42"/>
        </w:trPr>
        <w:tc>
          <w:tcPr>
            <w:tcW w:w="6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(41,916)</w:t>
            </w:r>
          </w:p>
        </w:tc>
        <w:tc>
          <w:tcPr>
            <w:tcW w:w="1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(41,216)</w:t>
            </w:r>
          </w:p>
        </w:tc>
        <w:tc>
          <w:tcPr>
            <w:tcW w:w="1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(31,790)</w:t>
            </w:r>
          </w:p>
        </w:tc>
      </w:tr>
      <w:tr>
        <w:trPr>
          <w:trHeight w:val="21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convertible notes, net</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243,125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capped calls related to convertible notes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 related to convertible notes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related to repurchase of convertible notes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(275,415)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capped calls related to convertible notes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39,717</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(53,248)</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other borrowings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other borrowings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facility amendment fees paid</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 IMAX Corporation</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(17,855)</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(26,823)</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 IMAX China</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(6,466)</w:t>
            </w:r>
          </w:p>
        </w:tc>
      </w:tr>
      <w:tr>
        <w:trPr>
          <w:trHeight w:val="233"/>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 under finance lease obligations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to non-controlling interests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w:t>
            </w:r>
          </w:p>
        </w:tc>
      </w:tr>
      <w:tr>
        <w:trPr>
          <w:trHeight w:val="236"/>
        </w:trPr>
        <w:tc>
          <w:tcPr>
            <w:tcW w:w="62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(34,079)</w:t>
            </w: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(6,041)</w:t>
            </w: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(48,530)</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24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Increase (decrease) in cash and cash equivalents during year</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50,576</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24,392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(21,201)</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year</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100,592</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97,401</w:t>
            </w:r>
          </w:p>
        </w:tc>
      </w:tr>
      <w:tr>
        <w:trPr>
          <w:trHeight w:val="26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151,168</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100,592</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9"/>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6"/>
        </w:trPr>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9"/>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capital stock:</w:t>
            </w: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18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80" w:type="dxa"/>
            <w:vAlign w:val="bottom"/>
          </w:tcPr>
          <w:p>
            <w:pPr>
              <w:jc w:val="right"/>
              <w:ind w:right="233"/>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401,420</w:t>
            </w:r>
          </w:p>
        </w:tc>
        <w:tc>
          <w:tcPr>
            <w:tcW w:w="140" w:type="dxa"/>
            <w:vAlign w:val="bottom"/>
          </w:tcPr>
          <w:p>
            <w:pPr>
              <w:spacing w:after="0"/>
              <w:rPr>
                <w:sz w:val="16"/>
                <w:szCs w:val="16"/>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389,048</w:t>
            </w:r>
          </w:p>
        </w:tc>
        <w:tc>
          <w:tcPr>
            <w:tcW w:w="140" w:type="dxa"/>
            <w:vAlign w:val="bottom"/>
          </w:tcPr>
          <w:p>
            <w:pPr>
              <w:spacing w:after="0"/>
              <w:rPr>
                <w:sz w:val="16"/>
                <w:szCs w:val="16"/>
                <w:color w:val="auto"/>
              </w:rPr>
            </w:pPr>
          </w:p>
        </w:tc>
        <w:tc>
          <w:tcPr>
            <w:tcW w:w="360" w:type="dxa"/>
            <w:vAlign w:val="bottom"/>
          </w:tcPr>
          <w:p>
            <w:pPr>
              <w:jc w:val="right"/>
              <w:ind w:right="213"/>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376,715</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share units and performance stock units vested, net of shares withheld for employee tax obligations</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12,483</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stock options exercised, net of shares withheld for employee tax obligations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 date fair value of stock options exercised</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Average carrying value of repurchased and retired common shares</w:t>
            </w: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419,162</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401,420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389,048</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other equity:</w:t>
            </w: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185,268</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185,087</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185,678</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share-based payment expense - stock options</w:t>
            </w: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share-based payment expense - restricted share units</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17,629</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13,895</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12,502</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share-based payment expense - performance stock units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8,321</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share units and performance stock units vested</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(23,278)</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(20,122)</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(21,074)</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Grant date fair value of stock options exercised</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ownership interest related to IMAX China common share repurchases</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Settlement of capped calls related to 2026 convertible notes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30,747</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Induced conversion impact on settlement of 2026 convertible notes</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(31,506)</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capped calls related to 2030 convertible notes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(21,925)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164,782</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185,268</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185,087</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statutory surplus reserve:</w:t>
            </w: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statutory surplus reserve, IMAX China</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3,932</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accumulated deficit:</w:t>
            </w: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(274,675)</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(292,845)</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(293,124)</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attributable to common shareholders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34,876</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26,059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25,335</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Statutory surplus reserve deducted from retained earnings, IMAX China</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shares repurchased and retired</w:t>
            </w: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(25,056)</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(239,967)</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(274,675)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(292,845)</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accumulated other comprehensive loss:</w:t>
            </w: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(16,598)</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(12,081)</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(9,846)</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(4,517)</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(2,235)</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(10,305)</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(16,598)</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(12,081)</w:t>
            </w:r>
          </w:p>
        </w:tc>
      </w:tr>
      <w:tr>
        <w:trPr>
          <w:trHeight w:val="16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 to non-controlling interests:</w:t>
            </w: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78,069</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71,790</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65,691</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7,793</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Share-based compensation attributable to non-controlling interests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paid to non-controlling shareholders of IMAX China</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ownership interest related to IMAX China common share repurchases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89,176</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78,069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71,790</w:t>
            </w: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427,067</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377,535</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344,931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shares issued and outstanding:</w:t>
            </w:r>
          </w:p>
        </w:tc>
        <w:tc>
          <w:tcPr>
            <w:tcW w:w="3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r>
      <w:tr>
        <w:trPr>
          <w:trHeight w:val="18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52,946,200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53,260,276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54,148,614</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Employee stock options exercised</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179,958</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248,763</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Performance stock units settled with new treasury shares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267,314</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190,914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233,306</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5"/>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share units settled with new treasury shares</w:t>
            </w: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528,204</w:t>
            </w: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521,010</w:t>
            </w: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514,383</w:t>
            </w:r>
          </w:p>
        </w:tc>
      </w:tr>
      <w:tr>
        <w:trPr>
          <w:trHeight w:val="188"/>
        </w:trPr>
        <w:tc>
          <w:tcPr>
            <w:tcW w:w="6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 of common shares</w:t>
            </w: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(1,274,763)</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(1,636,027)</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53,921,676</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52,946,200</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53,260,276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the accompanying notes, which are an integral part of these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is a Canadian corporation that was formed in March 1994 as a result of an amalgamation between WGIM Acquisition Corp. and the former IMAX Corporation (“Predecessor IMAX”). Predecessor IMAX was incorporated in 1967. As of December 31, 2025, IMAX Corporation indirectly owned 71.57% of IMAX China Holding, Inc. (“IMAX China”), whose shares trade on the Hong Kong Stock Exchange. IMAX China is a consolidated subsidiary of the Company.</w:t>
      </w:r>
    </w:p>
    <w:p>
      <w:pPr>
        <w:spacing w:after="0" w:line="207" w:lineRule="exact"/>
        <w:rPr>
          <w:sz w:val="20"/>
          <w:szCs w:val="20"/>
          <w:color w:val="auto"/>
        </w:rPr>
      </w:pPr>
    </w:p>
    <w:p>
      <w:pPr>
        <w:jc w:val="both"/>
        <w:ind w:firstLine="194"/>
        <w:spacing w:after="0" w:line="243"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w:t>
      </w:r>
      <w:r>
        <w:rPr>
          <w:rFonts w:ascii="Arial" w:cs="Arial" w:eastAsia="Arial" w:hAnsi="Arial"/>
          <w:sz w:val="18"/>
          <w:szCs w:val="18"/>
          <w:color w:val="auto"/>
        </w:rPr>
        <w:t>T</w:t>
      </w:r>
      <w:r>
        <w:rPr>
          <w:rFonts w:ascii="Times New Roman" w:cs="Times New Roman" w:eastAsia="Times New Roman" w:hAnsi="Times New Roman"/>
          <w:sz w:val="18"/>
          <w:szCs w:val="18"/>
          <w:color w:val="auto"/>
        </w:rPr>
        <w: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IMAX film remastering (“IMAX Film Remastering” and formerly known as “IMAX DMR”) and the sale or lease of premium IMAX theater systems (“IMAX System(s)”).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museums, science centers and destination entertainment sites. The Company does not own the locations in the IMAX network, except for one, and is not an exhibitor, but instead sells or leases the IMAX System for the distribution of specially formatted content to exhibitor customers along with a license to use its trademarks and ongoing maintenance services.</w:t>
      </w:r>
    </w:p>
    <w:p>
      <w:pPr>
        <w:spacing w:after="0" w:line="212"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As of December 31, 2025, there were 1,864 IMAX Systems operating in locations in 91 countries and territories, including 1,796 commercial multiplexes, 10 commercial destinations and 58 institutional locations in the Company’s global network. This compares to 1,807 IMAX Systems operating in 90 countries and territories as of December 31, 2024 including 1,735 commercial multiplexes, 11 commercial destinations, and 61 institutional locations in the Company’s global network.</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also distributes large-format documentary films, primarily to institutional theaters, and distributes exclusive IMAX events and experiences. In addition, the Company provides film post-production and quality control services for large-format films, whether produced by IMAX or third parties, and digital post-production services.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United States Generally Accepted Accounting Principles (“U.S. GAAP”) and pursuant to the rules and regulations of the Securities and Exchange Commission (the “SEC”). The significant accounting policies used by the Company are summarized below.</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5" w:lineRule="exact"/>
        <w:rPr>
          <w:sz w:val="20"/>
          <w:szCs w:val="20"/>
          <w:color w:val="auto"/>
        </w:rPr>
      </w:pPr>
    </w:p>
    <w:p>
      <w:pPr>
        <w:jc w:val="both"/>
        <w:ind w:right="20" w:firstLine="194"/>
        <w:spacing w:after="0" w:line="288"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“Non-Controlling Interests — </w:t>
      </w:r>
      <w:r>
        <w:rPr>
          <w:rFonts w:ascii="Times New Roman" w:cs="Times New Roman" w:eastAsia="Times New Roman" w:hAnsi="Times New Roman"/>
          <w:sz w:val="18"/>
          <w:szCs w:val="18"/>
          <w:i w:val="1"/>
          <w:iCs w:val="1"/>
          <w:color w:val="auto"/>
        </w:rPr>
        <w:t>Other Non-Controlling Interests</w:t>
      </w:r>
      <w:r>
        <w:rPr>
          <w:rFonts w:ascii="Times New Roman" w:cs="Times New Roman" w:eastAsia="Times New Roman" w:hAnsi="Times New Roman"/>
          <w:sz w:val="18"/>
          <w:szCs w:val="18"/>
          <w:color w:val="auto"/>
        </w:rPr>
        <w:t>” in Note 24. The Company does not consolidate the other five film production companies because it does not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Consolidated Financial Statements. A change in the value of an equity method investment that is other than temporary is recognized in the Consolidated Statements of Operations.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2025 and 2024, total assets and liabilities of the Company’s consolidated VIEs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Consolidated Financial Statements and accompanying notes. Management’s judgments, assumptions, and estimates are based on historical experience, future expectations and other factors that are believed to be reasonable as of the date of the Consolidated Financial Statements. Actual results may ultimately differ from management’s original estimates, as future events and circumstances sometimes do not develop as expected, and the differences may be material.</w:t>
      </w:r>
    </w:p>
    <w:p>
      <w:pPr>
        <w:spacing w:after="0" w:line="212"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 (iv) provisions for the write-down of excess and obsolete inventories; (v) the fair values of the reporting units used in assessing the recoverability of goodwill;</w:t>
      </w:r>
    </w:p>
    <w:p>
      <w:pPr>
        <w:spacing w:after="0" w:line="1" w:lineRule="exact"/>
        <w:rPr>
          <w:sz w:val="20"/>
          <w:szCs w:val="20"/>
          <w:color w:val="auto"/>
        </w:rPr>
      </w:pPr>
    </w:p>
    <w:p>
      <w:pPr>
        <w:jc w:val="both"/>
        <w:ind w:firstLine="8"/>
        <w:spacing w:after="0" w:line="251" w:lineRule="auto"/>
        <w:tabs>
          <w:tab w:leader="none" w:pos="33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projections used in testing the recoverability of long-lived assets such as the system equipment supporting joint revenue sharing arrangements (“JRSA”) ; (vii) the economic lives of the system equipment supporting joint revenue sharing arrangements; (viii) the useful lives of tangible and intangible assets; (ix) the ultimate revenue forecasts used to test the recoverability of film assets; (x) the discount rates used to determine the present value of financing receivables, variable consideration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allowance of deferred income tax assets; and (xiv) reserves related to uncertain tax positions.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5"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Company considers all highly liquid investments convertible to a known amount of cash and with an original maturity of three months or less to be cash equivalents.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as well as macro-economic and industry risk factors. The write- off of any billed receivable balance requires the approval of management.</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4 for more information related to the Company’s receivables and current expected credit losses.)</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Inventories are carried at the lower of cost, determined on an average cost basis, and net realizable value except for raw materials, which are carried at the lower of cost and replacement cost. Finished goods and work-in-process includes the cost of raw materials, direct labor, theater design costs, and an applicable share of manufacturing overhead costs.</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costs related to IMAX Systems under sale and sales-type lease arrangements are transferred from Inventories to Costs and Expenses Applicable to Revenues – Technology Sales in the period when the sale is recognized in the Consolidated Statements of Operations. The costs related to IMAX Systems under joint revenue sharing arrangements are transferred from Inventories to assets under construction in Property, Plant and Equipment when allocated to a signed JRSA.</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records write-downs for excess and obsolete inventories based upon management’s judgments regarding future events and business conditions, including the anticipated installation dates for the current backlog of theater system contracts, contracts in negotiation, technological developments, growth prospects within the customers’ ultimate marketplace and anticipated market acceptance of the Company’s current and pending theater IMAX Systems.</w:t>
      </w:r>
    </w:p>
    <w:p>
      <w:pPr>
        <w:spacing w:after="0" w:line="20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Finished goods inventories includes IMAX Systems for which title has passed to the Company’s customer in situations when the IMAX System has been delivered to the customer, but the criteria for revenue recognition were not met as of the balance sheet date.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Film Assets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Film Assets consist of: (i) capitalized costs associated with the digital remastering of films where the copyright is owned by a third party, including labor and allocated overhead, and (ii) capitalized costs associated with the production of films, including labor, allocated overhead, and the cost of acquiring film rights. Production financing provided by third parties that acquire substantive rights in the film is recorded as a reduction of the cost of the film.</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Capitalized film costs are amortized and participation costs are accrued to Costs and Expenses Applicable to Revenues using the individual-film-forecast method, which amortizes such costs in the same ratio as the associated ultimate revenue. Estimates of ultimate revenues are prepared on a title-by-title basis and reviewed regularly by management and revised where necessary to reflect the most current information. Ultimate revenues reflect management’s estimates of future revenue over a period not to exceed 10 years following the date of the film’s initial release.</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recoverability of the Company’s film assets is dependent upon the commercial acceptance of the underlying films and the resulting level of global box office results and, in certain situations, ancillary revenues. If management’s projections of future net cash flows resulting from the exploitation of a film indicate that the carrying value of the film asset is not recoverable, the film asset is written down to its fair value.</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Film exploitation costs, including advertising and marketing, are recorded in Costs and Expenses Applicable to Revenues – Image Enhancement and Maintenance Services as incurred, except for those costs that are made after recognizing revenue, which are recorded when the related revenues are recognized.</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Property, Plant and Equipment is recorded at cost and is depreciated on a straight-line basis over the estimated useful lives of the underlying assets as follows:</w:t>
      </w:r>
    </w:p>
    <w:p>
      <w:pPr>
        <w:spacing w:after="0" w:line="239"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Theater system components</w:t>
      </w: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7"/>
          <w:szCs w:val="17"/>
          <w:color w:val="auto"/>
        </w:rPr>
        <w:t>— Over the equipment’s expected useful life (7 to 20 years)</w:t>
      </w:r>
    </w:p>
    <w:p>
      <w:pPr>
        <w:spacing w:after="0" w:line="28"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Camera equipment and connectivity equipment</w:t>
      </w:r>
      <w:r>
        <w:rPr>
          <w:sz w:val="20"/>
          <w:szCs w:val="20"/>
          <w:color w:val="auto"/>
        </w:rPr>
        <w:tab/>
      </w:r>
      <w:r>
        <w:rPr>
          <w:rFonts w:ascii="Times New Roman" w:cs="Times New Roman" w:eastAsia="Times New Roman" w:hAnsi="Times New Roman"/>
          <w:sz w:val="18"/>
          <w:szCs w:val="18"/>
          <w:color w:val="auto"/>
        </w:rPr>
        <w:t>— Over a period between 5 years to 15 years</w:t>
      </w:r>
    </w:p>
    <w:p>
      <w:pPr>
        <w:spacing w:after="0" w:line="42"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Buildings</w:t>
      </w:r>
      <w:r>
        <w:rPr>
          <w:sz w:val="20"/>
          <w:szCs w:val="20"/>
          <w:color w:val="auto"/>
        </w:rPr>
        <w:tab/>
      </w:r>
      <w:r>
        <w:rPr>
          <w:rFonts w:ascii="Times New Roman" w:cs="Times New Roman" w:eastAsia="Times New Roman" w:hAnsi="Times New Roman"/>
          <w:sz w:val="18"/>
          <w:szCs w:val="18"/>
          <w:color w:val="auto"/>
        </w:rPr>
        <w:t>— Over a period between 20 to 25 years</w:t>
      </w:r>
    </w:p>
    <w:p>
      <w:pPr>
        <w:spacing w:after="0" w:line="62"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Office and production equipment</w:t>
      </w:r>
      <w:r>
        <w:rPr>
          <w:sz w:val="20"/>
          <w:szCs w:val="20"/>
          <w:color w:val="auto"/>
        </w:rPr>
        <w:tab/>
      </w:r>
      <w:r>
        <w:rPr>
          <w:rFonts w:ascii="Times New Roman" w:cs="Times New Roman" w:eastAsia="Times New Roman" w:hAnsi="Times New Roman"/>
          <w:sz w:val="18"/>
          <w:szCs w:val="18"/>
          <w:color w:val="auto"/>
        </w:rPr>
        <w:t>— Over a period between 3 to 5 years</w:t>
      </w:r>
    </w:p>
    <w:p>
      <w:pPr>
        <w:spacing w:after="0" w:line="62"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Leasehold improvements</w:t>
      </w:r>
      <w:r>
        <w:rPr>
          <w:sz w:val="20"/>
          <w:szCs w:val="20"/>
          <w:color w:val="auto"/>
        </w:rPr>
        <w:tab/>
      </w:r>
      <w:r>
        <w:rPr>
          <w:rFonts w:ascii="Times New Roman" w:cs="Times New Roman" w:eastAsia="Times New Roman" w:hAnsi="Times New Roman"/>
          <w:sz w:val="17"/>
          <w:szCs w:val="17"/>
          <w:color w:val="auto"/>
        </w:rPr>
        <w:t>— Over the shorter of the initial term of the underlying lease plus any reasonably assured</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renewal periods, and the useful life of the asset</w:t>
      </w:r>
    </w:p>
    <w:p>
      <w:pPr>
        <w:spacing w:after="0" w:line="132" w:lineRule="exact"/>
        <w:rPr>
          <w:sz w:val="20"/>
          <w:szCs w:val="20"/>
          <w:color w:val="auto"/>
        </w:rPr>
      </w:pPr>
    </w:p>
    <w:p>
      <w:pPr>
        <w:ind w:left="340" w:hanging="314"/>
        <w:spacing w:after="0"/>
        <w:tabs>
          <w:tab w:leader="none" w:pos="3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equipment under joint revenue sharing arrangements.</w:t>
      </w:r>
    </w:p>
    <w:p>
      <w:pPr>
        <w:spacing w:after="0" w:line="37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cost of IMAX System components and related equipment expected to be used in future JRSAs, including related direct labor costs and an allocation of direct production costs, are recorded within assets under construction until the underlying IMAX System is installed and in working condition. These assets are depreciated to Costs and Expenses Applicable to Revenues on a straight-line basis over the lesser of the term of the JRSA and the equipment’s expected useful life. The estimated useful lives of the IMAX System components and related equipment used in JRSA are reviewed periodically to determine if any adjustments are required.</w:t>
      </w:r>
    </w:p>
    <w:p>
      <w:pPr>
        <w:spacing w:after="0" w:line="21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Property, Plant and Equipment is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such assets for impairment include a current expectation that it is more likely than not that the long-lived asset will be sold significantly before the end of its useful life, a significant decrease in the market price of the long-lived asset, and a significant change in the extent or manner in which the long-lived asset is being used.</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Other Assets principally include lease incentives provided to certain exhibitor customers under JRSAs, as well as sales commissions and other deferred selling expenses that directly relate to the acquisition of the revenue generating contract and are incremental to the Company’s other expenses. To a much lesser extent, Other Assets also includes various investments and foreign currency derivatives.</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Capitalized lease incentives are amortized on a straight-line basis over the term of the lease and are recorded within Costs and Expenses Applicable to Revenues — Technology Rentals. Sales commissions and other selling expenses paid prior to the recognition of the related revenue are deferred and recognized within Costs and Expenses Applicable to Revenues upon the client acceptance of the IMAX System or the abandonment of the sale arrangement. Foreign currency derivatives are accounted for at fair value using quoted prices in active markets.</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periods when there are no outstanding borrowings under the Company’s revolving credit facility arrangements, any related debt issuance costs are recorded within Other Assets and amortized on a straight-line basis over the term of the facility. In periods when there are outstanding borrowings under the Company’s revolving credit facility arrangements, any related debt issuance costs are reclassified to reduce the principal amount of outstanding borrowings and amortized on a straight-line basis over the term of the facility. (Refer to Note 13 for information related to the Company’s borrowings.)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net assets acquired in a business combination. Goodwill is not amortized, but is tested annually for impairment at the reporting unit level in the fourth quarter of the year and between annual tests if indicators of potential impairment exist. These indicators could include a decline in the Company’s stock price and market capitalization, a significant change in the outlook for the reporting unit’s business, including projections of future global box office results and IMAX System installations, lower than expected operating results, increased competition, legal factors, or the sale or disposition of a significant portion of a unit. For reporting units with goodwill, an impairment loss is recognized for the amount by which the unit’s carrying value, including goodwill, exceeds its fair value. The carrying value of each unit is based on a systematic and rational allocation of certain assets and liabilities. The fair value of each unit is assessed using a discounted cash flow model based on management’s current short-term forecast and estimated long-term projections, against which various sensitivity analyses are performed. The discount rates used in the cash flow model are derived based on the Company’s estimated weighted average cost of capital. These estimates and the likelihood of future changes in these estimates depend on a number of underlying variables and a range of possible outcomes.</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Other intangible assets with finite lives are generally amortized on a straight-line basis over estimated useful lives ranging from 3 to 20 years, except for intangible assets that have an identifiable pattern of consumption of the economic benefit of the asset. Such intangible assets are amortized over the consumption pattern.</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Research and development acquired in a business combination is measured at fair value using market-participant assumptions and is initially classified as an indefinite-lived intangible asset. The in-process intangible research and development (“IPR&amp;D”) assets are considered indefinite-lived until the abandonment or completion of the associated research and development efforts. If the acquired IPR&amp;D project is abandoned, the related intangible would be written off or impaired. Once the IPR&amp;D activities are completed, management would determine the useful lives and the methods of amortization of the related intangible assets.</w:t>
      </w:r>
    </w:p>
    <w:p>
      <w:pPr>
        <w:spacing w:after="0" w:line="21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capitalizes costs associated with internally developed and/or purchased software systems for internal use that have reached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no later than the point at which the project is substantially complete and ready for its intended purpose. Costs incurred during the preliminary project and post-implementation stages are charged to expense. These capitalized costs are amortized on a straight-line basis over the estimated useful life.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Intangible Assets are grouped at the lowest level for which identifiable cash flows are largely independent and reviewed for impairment whenever events or changes in circumstances indicate that the carrying amount of the asset (or asset group) may not be recoverable. In such situations, the asset (or asset group) is considered impaired when estimated future cash flows (undiscounted and without interest charges) resulting from the use of the asset (or asset group) and its eventual disposition are less than the carrying value of the asset (or asset group). In such situations, the asset (or asset group) is written down to its fair value, which is the present value of the estimated future cash flows. Factors that are considered when evaluating intangible assets for impairment include a current expectation that it is more likely than not that the intangible asset will be sold significantly before the end of its useful life, a significant decrease in the market price of the intangible asset, and a significant change in the extent or manner in which the intangible asset is being used.</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transferred to the customer. The Deferred Revenue balance related to an individual location increases as progress payments are made and is then derecognized when the Company satisfies its performance obligations. To a lesser extent, the Deferred Revenue balance also relates to situations when an exhibitor customer pays the contractual maintenance fee prior to the recognition of revenue and fixed payments received for IMAX Systems under JRSAs which are recognized as revenue on a straight-line basis over the lease term.</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(“PRC”), entities registered in the PRC are required to maintain certain statutory reserves, which are appropriated from after-tax profits, after offsetting accumulated losses from prior year and before dividends can be declared or paid to equity holders.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Company’s PRC subsidiaries are required to appropriate 10% of statutory net profits to statutory surplus reserves, upon distribution of their after-tax profits. The Company’s PRC subsidiaries may discontinue the appropriation of statutory surplus reserves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a discretionary surplus reserve using post-tax profits in accordance with resolutions of the Board of Directors.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Income taxes are accounted for under the liability method whereby deferred income tax assets and liabilities are recognized for the expected future tax consequences of temporary differences between the accounting and tax bases of assets and liabilities. Deferred income tax assets and liabilities are measured using enacted tax rates expected to apply to taxable income in the years in which temporary differences are expected to be recovered or settled. The effect on deferred income tax assets and liabilities of a change in tax rates or laws is recognized in the Company’s Consolidated Financial Statements in the period in which the change is enacted. Investment tax credits are recognized as a reduction of income tax expense.</w:t>
      </w:r>
    </w:p>
    <w:p>
      <w:pPr>
        <w:spacing w:after="0" w:line="212"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 Company assesses the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 in the current period. In assessing the need for a valuation allowance, management considers, among other things, projections of future taxable income and ongoing prudent and feasible tax planning strategies. If management determines that sufficient negative evidence exists, then management will consider recording a valuation allowance against a portion or all of the deferred tax assets in that jurisdiction. If, after recording a valuation allowance, management’s projections of future taxable income and other positive evidence considered in evaluating the need for a valuation allowance prove, with the benefit of hindsight, to be inaccurate, it could prove more difficult to support the realization of these deferred tax assets. As a result, an additional valuation allowance could be required, which would have an adverse impact on the Company’s effective income tax rate and results. Conversely, if, after recording a valuation allowance, management determines that sufficient positive evidence exists in the jurisdiction in which a valuation allowance is recorded, the Company may reverse all or a portion of the valuation allowance in that jurisdiction. In such situations, the adjustment made to the deferred tax asset would have a favorable impact on the Company’s effective income tax rate and results in the period such determination was made.</w:t>
      </w:r>
    </w:p>
    <w:p>
      <w:pPr>
        <w:spacing w:after="0" w:line="222"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is subject to ongoing tax exposures, examinations and assessments in various jurisdictions. Tax benefits are recognized only when it is more likely than not, based on the technical merits, that the benefits will be sustained on examination. Tax benefits that meet the more likely than not recognition threshold are measured using a probability weighting of the largest amount of tax benefit that has greater than 50% likelihood of being realized upon settlement. Whether the more likely than not recognition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threshold is met for a particular tax benefit is a matter of judgment based on the individual facts and circumstances evaluated in light of all available evidence as of the balance sheet date. Although management believes that the Company has adequately accounted for its uncertain tax positions, tax audits can result in subsequent assessments where the ultimate resolution may result in the Company owing additional taxes above what was originally recognized in its financial statements.</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Tax reserves for uncertain tax positions are adjusted by the Company to reflect its best estimate of the outcome of examinations and assessments and in light of changing facts and circumstances, such as the completion of a tax audit, expiration of a statute of limitations, the refinement of an estimate, and interest accruals associated with the uncertain tax positions until they are resolved. Some of these adjustments require significant judgment in estimating the timing and amount of the additional tax expense.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IMAX Systems</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evaluates each of the performance obligations in an IMAX System arrangement to determine which are considered distinct, either individually or in a group, for accounting purposes and which of the deliverables represent separate performance obligations.</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Company’s “System Obligation” consists of the following: (i) an IMAX System, which includes the projector, sound system, screen system and, if applicable, a 3D glasses cleaning machine; (ii) services associated with the IMAX System, including auditorium design support, the supervision of installation services, and projectionist training; and (iii) a license to use the IMAX brand to market the auditorium. The System Obligation, as a group, is a distinct performance obligation. The Company is not responsible for the physical installation of the equipment in the customer’s facility; however, it supervises the installation by the customer. The customer has the right to use the IMAX brand from the date the Company and the customer enter into an arrangement.</w:t>
      </w:r>
    </w:p>
    <w:p>
      <w:pPr>
        <w:spacing w:after="0" w:line="21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and an extended warranty over the life of the arrangement in exchange for an annual maintenance fee, which is subject to a consumer price index increase on renewal each year. Consideration related to the provision of maintenance services is included in the allocation of the transaction price to the separate performance obligations in the arrangement at contract inception, as discussed in more detail below. The Company’s maintenance services are a stand ready obligation and, as a result, are recognized on a straight-line basis annually throughout the contract term.</w:t>
      </w:r>
    </w:p>
    <w:p>
      <w:pPr>
        <w:spacing w:after="0" w:line="212"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transaction price in an IMAX System arrangement is allocated to each good or service that is identified as a separate performance obligation based on estimated standalone selling prices. This allocation is based on observable prices when the Company sells the goods or services separately. The Company has established standalone prices for the System Obligation and maintenance and extended warranty services, as well as for film license arrangements. The Company uses an adjusted market assessment and cost-plus approaches for separate performance obligations that do not have standalone selling prices or third-party evidence of estimated standalone selling prices. The Company considers multiple factors including its historical pricing practices, product class, market competition and geography.</w:t>
      </w:r>
    </w:p>
    <w:p>
      <w:pPr>
        <w:spacing w:after="0" w:line="211"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IMAX System arrangements involve either the lease or the sale of an IMAX System. The transaction price for the System Obligation, other than for IMAX Systems delivered pursuant to joint revenue sharing arrangements, consist of upfront or initial payments made before and after the final installation of the system and ongoing payments throughout the term of the arrangement. The Company estimates the transaction price, including an estimate of future variable consideration, received in exchange for the goods delivered or services rendered. The arrangement for the sale of an IMAX System includes indexed minimum payment increases over the term of the arrangement, as well as the potential for additional payments owed by the exhibitor customer if certain minimum box office receipt thresholds are exceeded. In addition, sales arrangements include amounts owed by the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location, which are developed using historical data for the location and, if necessary, comparable theaters and territories (see “Constraints on the Recognition of Variable Consideration” below). Transfer of control of the System Obligation occurs at the earlier of client acceptance of the installation of the IMAX System, including projectionist training, and the opening of the location to the public, as discussed in more detail below.</w:t>
      </w:r>
    </w:p>
    <w:p>
      <w:pPr>
        <w:spacing w:after="0" w:line="220"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IMAX System arrangements are non-cancellable unless the Company fails to perform its obligations. In the absence of a material default by the Company, there is no right to any remedy for the customer under the Company’s arrangements. If a material default by the Company exists, the customer has the right to terminate the arrangement and seek a refund only if the customer provides notice to the Company of a material default and only if the Company does not cure the default within a specified period.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Sales Arrangements</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For IMAX System arrangements that qualify as a sale, the transaction price allocated to the System Obligation is recognized in the Consolidated Statements of Operations upon the transfer of control of the system to the customer, which is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IMAX System.</w:t>
      </w:r>
    </w:p>
    <w:p>
      <w:pPr>
        <w:spacing w:after="0" w:line="212"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The initial revenue recognized in a sales arrangement consists of payments received before and in connection with the installation of the IMAX System and the present value of any future payments, including ongoing fixed minimum payments, which are subject to indexed increases over the term of the arrangement, and potential additional payments owed by the customer if certain minimum box office receipt thresholds are exceeded. In addition, sales arrangements include amounts owed by the customer based on a percentage of their box office receipts over the term of the arrangement. Potential payments based on the future box office receipts of the customer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(see “Constraints on the Recognition of Variable Consideration” below).</w:t>
      </w:r>
    </w:p>
    <w:p>
      <w:pPr>
        <w:spacing w:after="0" w:line="21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has also agreed, on occasion, to sell equipment under lease or at the end of a lease term. The transaction price agreed to for these lease buyouts is reflected in the Company’s Consolidated Statements of Operations within Revenues – Technology Sales.</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Taxes assessed by governmental authorities that are both imposed on and concurrent with the specific revenue-producing transactions and collected by the Company have been excluded from the measurement of the transaction prices discussed above.</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Constraints on the Recognition of Variable Consideration</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recognition of variable consideration involves a significant amount of judgment. Variable consideration is recognized subject to appropriate constraints to avoid a significant reversal of revenue in future periods. The Company reviews its variable consideration assets on at least a quarterly basis considering recent global box office performance and, when applicable, updated global box office projections for future periods. The relevant accounting guidance identifies the following examples of situations when constraining the amount of variable consideration is appropriate:</w:t>
      </w:r>
    </w:p>
    <w:p>
      <w:pPr>
        <w:spacing w:after="0" w:line="207" w:lineRule="exact"/>
        <w:rPr>
          <w:sz w:val="20"/>
          <w:szCs w:val="20"/>
          <w:color w:val="auto"/>
        </w:rPr>
      </w:pPr>
    </w:p>
    <w:p>
      <w:pPr>
        <w:ind w:left="780" w:hanging="384"/>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consideration is highly susceptible to factors outside the entity’s influence;</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about the amount of consideration is not expected to be resolved for a long period of time;</w:t>
      </w:r>
    </w:p>
    <w:p>
      <w:pPr>
        <w:spacing w:after="0" w:line="250" w:lineRule="exact"/>
        <w:rPr>
          <w:rFonts w:ascii="Times New Roman" w:cs="Times New Roman" w:eastAsia="Times New Roman" w:hAnsi="Times New Roman"/>
          <w:sz w:val="18"/>
          <w:szCs w:val="18"/>
          <w:color w:val="auto"/>
        </w:rPr>
      </w:pPr>
    </w:p>
    <w:p>
      <w:pPr>
        <w:ind w:left="780" w:hanging="384"/>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experience (or other evidence) with similar types of contracts is limited, or that experience has limited predictive value; and</w:t>
      </w:r>
    </w:p>
    <w:p>
      <w:pPr>
        <w:spacing w:after="0" w:line="250" w:lineRule="exact"/>
        <w:rPr>
          <w:rFonts w:ascii="Times New Roman" w:cs="Times New Roman" w:eastAsia="Times New Roman" w:hAnsi="Times New Roman"/>
          <w:sz w:val="18"/>
          <w:szCs w:val="18"/>
          <w:color w:val="auto"/>
        </w:rPr>
      </w:pPr>
    </w:p>
    <w:p>
      <w:pPr>
        <w:ind w:left="780" w:right="20" w:hanging="384"/>
        <w:spacing w:after="0" w:line="281" w:lineRule="auto"/>
        <w:tabs>
          <w:tab w:leader="none" w:pos="7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a practice of either offering a broad range of price concessions or changing the payment terms and conditions of similar contracts in similar circumstances.</w:t>
      </w:r>
    </w:p>
    <w:p>
      <w:pPr>
        <w:spacing w:after="0" w:line="18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As discussed above, the Company’s significant streams of variable consideration relate to arrangements for the sale of IMAX Systems which include indexed minimum payment increases over the term of the arrangement, as well as the potential for additional payments owed by the customer if certain minimum box office receipt thresholds are exceeded. In addition, sales arrangements include variable consideration based on a percentage of the customer’s box office receipts over the term of the arrangement.</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Variable consideration related to indexed minimum payment increases is outside of the Company’s control, but the movement in the rates is historically well documented and economic trends in inflation are easily accessible. For each contract subject to an indexed minimum payment increase, the Company estimates the most likely amount using published indices. The amount of the estimated minimum payment increase is then recorded at its present value as of the date of recognition using the customer’s implied borrowing rate.</w:t>
      </w:r>
    </w:p>
    <w:p>
      <w:pPr>
        <w:spacing w:after="0" w:line="207"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Variable consideration related to the level of the customer’s box office receipts is outside of the Company’s control as it is dependent upon the future commercial success of the films released to the IMAX network. The estimated variable consideration initially recognized by the Company is based on management’s box office projections for the location, which are developed using historical box office data for that location and, if necessary, comparable locations and territories. Using this data, management applies its understanding of these exhibition markets to estimate the most likely amount of variable consideration to be earned over the term of the arrangement. Management then applies a constraint to this estimate by reducing the projection by a percentage factor for locations or markets with no or limited historical box office experience. In cases where direct historical experience can be observed, average</w:t>
      </w:r>
    </w:p>
    <w:p>
      <w:pPr>
        <w:sectPr>
          <w:pgSz w:w="11900" w:h="16838" w:orient="portrait"/>
          <w:cols w:equalWidth="0" w:num="1">
            <w:col w:w="11240"/>
          </w:cols>
          <w:pgMar w:left="320" w:top="364"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historical box office results, eliminating significant outliers, is used. The resulting amount of variable consideration is then recorded at its present value as of the date of recognition using a risk-weighted discount rate.</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Lease Arrangements</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As a lessor, the Company provides IMAX Systems to customers through long-term lease arrangements. Under these arrangements, in exchange for providing the IMAX System, the Company earns fixed upfront and ongoing consideration. A lease arrangement that transfers substantially all of the benefits and risks incident to ownership of the IMAX System is classified as a sales-type lease; otherwise the lease is classified as an operating lease. Prior to commencement of the lease term, the Company may modify certain payment terms or make concessions. If these circumstances occur, the Company reassesses the classification of the lease based on the modified terms and conditions.</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For sales-type leases, the revenue allocated to the System Obligation is recognized when the lease term commences, which the Company deems to be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the written customer acceptance certifying the completion of installation and run-in testing of the equipment and the completion of projectionist training or (b) the public opening of the theater, provided collectability is reasonably assured.</w:t>
      </w:r>
    </w:p>
    <w:p>
      <w:pPr>
        <w:spacing w:after="0" w:line="21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initial revenue recognized for sales-type leases consists of the initial payments received and the present value of future initial payments and fixed minimum ongoing payments computed at the interest rate implicit in the lease. Contingent payments in excess of the fixed minimum payments are recognized when reported by theater operators, provided collectability is reasonably assured.</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For JRSAs that are classified as operating leases, initial payments and fixed minimum ongoing payments are recognized as revenue on a straight-line basis over the lease term. For these leases, the lease term is considered to commence when all of the following conditions have been met: (i) the projector, sound system and screen system have been installed and are in full working condition; (ii) the 3D glasses cleaning machine, if applicable, has been delivered; (iii) projectionist training has been completed; and (iv) the earlier of (a) the receipt of written customer acceptance certifying the completion of installation and run-in testing of the equipment and the completion of projectionist training or (b) the public opening of the theater. Contingent payments in excess of fixed minimum ongoing payments are recognized as revenue when reported by theater operators, provided collectability is reasonably assured.</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Finance Income</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Finance Income is recognized over the term of the sales-type lease or financed sale receivable, provided collectability is reasonably assured. A theater operator that is classified within the “All Transactions Suspended” category under the Company’s internal credit quality guidelines is placed on nonaccrual status and Finance Income recognition related to the location is stopped. While the recognition of Finance Income is suspended, payments received from a customer are applied against the outstanding balance owed. If payments are sufficient to cover any unreserved receivables, a recovery of provision taken on the billed amount, if applicable, is recorded to the extent of the residual cash received. Once the collectability issues are resolved and the customer has returned to being in good standing, the Company will resume recognition of Finance Income.</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Improvements and Modifications</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Improvements and modifications to an IMAX System after installation are treated as a separate performance obligation, if and when the Company is requested to perform these services. Revenue is recognized for these services once they have been provided.</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Costs and Expenses Applicable to Revenues – Technology Sales</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Costs and Expenses Applicable to Revenues – Technology Sales relates to sale and sales-type leases of IMAX Systems and other equipment, and includes the cost of the equipment and costs related to project management, design, delivery and installation supervision services, as applicable. The costs related to IMAX Systems under sale and sales-type lease arrangements are transferred from Inventories to Costs and Expenses Applicable to Revenues in the period when the sale is recognized in the Consolidated Statements of Operations.</w:t>
      </w:r>
    </w:p>
    <w:p>
      <w:pPr>
        <w:spacing w:after="0" w:line="207"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Sales commissions and other selling expenses that directly relate to the acquisition of the revenue generating contract and are incremental to the Company’s other expenses are deferred and recognized in the Consolidated Statements of Operations upon the client acceptance of the IMAX System. The Company may have warranty obligations at or after the time revenue is recognized which require the replacement of certain parts that do not affect the functionality of the theater system or services. The costs for warranty obligations for known issues are accrued as charges to Costs and Expenses Applicable to Revenues – Technology Sales at the time revenue is recognized based on the Company’s past historical experience and cost estimates.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Costs and Expenses Applicable to Revenues – Technology Rentals</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Costs and Expenses Applicable to Revenues – Technology Rentals relates to JRSAs classified as operating leases, and primarily includes the depreciation of IMAX System components and related equipment used in the JRSA. Impairment losses, if any, are also included in Costs and Expenses Applicable to Revenues – Technology Rentals. Commissions related to these arrangements are deferred and recognized as Costs and Expenses Applicable to Revenues – Technology Rentals in the month they are earned by the salesperson, which is typically the month of installation. Direct advertising and marketing costs for each location are charged to Costs and Expenses Applicable to Revenues – Technology Rentals as incurred.</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Terminations, Consensual Buyouts and Concessions</w:t>
      </w:r>
    </w:p>
    <w:p>
      <w:pPr>
        <w:spacing w:after="0" w:line="253"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 Company enters into IMAX System arrangements with customers that contain customer payment obligations prior to the scheduled installation of the IMAX System. During the period of time between signing and the installation of the IMAX System, which may extend several years, certain customers may be unable to, or may elect not to, proceed with the system installation for a number of reasons including business considerations, or the inability to obtain certain consents, approvals or financing. Once the determination is made that the customer will not proceed with installation, the arrangement may be terminated under the default provisions of the arrangement or by mutual agreement between the Company and the customer (a “consensual buyout”). Terminations by default are situations when a customer does not meet the payment obligations under an arrangement and the Company retains the amounts paid by the customer. Under terminations by default, the Company evaluates the deferred revenue for potential breakage in accordance with ASC 606. Breakage is recognized as revenue when the Company concludes that the customer’s likelihood of exercising its remaining rights is remote. Under a consensual buyout, the Company and the customer agree, in writing, to a settlement and to release each other of any further obligations under the arrangement or an arbitrated settlement is reached. Under a consensual buyout, any initial payments retained or additional payments received by the Company are recognized as revenue when the settlement arrangements are executed and the cash is received, respectively.</w:t>
      </w:r>
    </w:p>
    <w:p>
      <w:pPr>
        <w:spacing w:after="0" w:line="22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 addition, the Company may agree with a customer to convert its obligations for one type of IMAX System configuration that has not yet been installed to an arrangement to acquire or lease a different type of IMAX System. The Company considers these situations to be the termination of the original arrangement and the origination of a new arrangement.</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may offer certain incentives to customers to complete IMAX System transactions including payment concessions or free services and products such as film licenses or 3D glasses. Reductions in, and deferral of, payments are taken into account in determining the transaction price either by a direct reduction in the sales price or a reduction of payments to be discounted. Free products and services are accounted for as separate performance obligations.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Maintenance and Extended Warranty Services</w:t>
      </w:r>
    </w:p>
    <w:p>
      <w:pPr>
        <w:spacing w:after="0" w:line="253" w:lineRule="exact"/>
        <w:rPr>
          <w:sz w:val="20"/>
          <w:szCs w:val="20"/>
          <w:color w:val="auto"/>
        </w:rPr>
      </w:pPr>
    </w:p>
    <w:p>
      <w:pPr>
        <w:jc w:val="both"/>
        <w:ind w:firstLine="194"/>
        <w:spacing w:after="0" w:line="275" w:lineRule="auto"/>
        <w:rPr>
          <w:sz w:val="20"/>
          <w:szCs w:val="20"/>
          <w:color w:val="auto"/>
        </w:rPr>
      </w:pPr>
      <w:r>
        <w:rPr>
          <w:rFonts w:ascii="Times New Roman" w:cs="Times New Roman" w:eastAsia="Times New Roman" w:hAnsi="Times New Roman"/>
          <w:sz w:val="17"/>
          <w:szCs w:val="17"/>
          <w:color w:val="auto"/>
        </w:rPr>
        <w:t>Maintenance and extended warranty services may be provided under an arrangement with multiple performance obligations or as a separately priced contract. Revenues related to these services are deferred and recognized on a straight-line basis over the contract period and are recognized within Revenues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Image Enhancement and Maintenance Services in the Consolidated Statements of Operations. Maintenance and extended warranty services include maintenance of the customer’s equipment and replacement parts. Under certain maintenance arrangements, maintenance services may include additional training services to the customer’s technicians. All costs associated with this maintenance and extended warranty program are expensed as incurred. As the maintenance services are a stand ready obligation with the cost of providing the service expected to increase throughout the term, revenue is recognized over the term of the arrangement such that increased amounts are recognized in later periods.</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IMAX Film Remastering Services</w:t>
      </w:r>
    </w:p>
    <w:p>
      <w:pPr>
        <w:spacing w:after="0" w:line="25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a film remastering arrangement, the Company receives a percentage of the box-office receipts from a third party who owns the copyright to a film in exchange for converting the film into an IMAX Film Remastering format and distributing it through the IMAX network. In these arrangements, although the Company does not hold rights to the intellectual property in the form of the film content, it is compensated for the application of its intellectual property in the form of its patented film remastering processes to create new intellectual property in the form of an IMAX Film Remastering version of the film. Revenues associated with film remastering arrangements qualify for the variable consideration exemption for sales- or usage-based royalties in the relevant accounting guidance and are recognized within Revenues – Image Enhancement and Maintenance Services in the period when the corresponding box office sales occur.</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Losses on IMAX Film Remastering services are recognized as Costs and Expenses Applicable to Revenues – Image Enhancement and Maintenance Services in the period when it is determined that the Company’s estimate of total revenues to be realized by the remastered film will not exceed the corresponding cost of IMAX Film Remastering services.</w:t>
      </w:r>
    </w:p>
    <w:p>
      <w:pPr>
        <w:sectPr>
          <w:pgSz w:w="11900" w:h="16838" w:orient="portrait"/>
          <w:cols w:equalWidth="0" w:num="1">
            <w:col w:w="11240"/>
          </w:cols>
          <w:pgMar w:left="320" w:top="363"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Film Production Services</w:t>
      </w:r>
    </w:p>
    <w:p>
      <w:pPr>
        <w:spacing w:after="0" w:line="25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certain film arrangements, the Company produces a film financed by third parties whereby the third party retains the copyright, and the Company obtains exclusive distribution rights. Under these arrangements, the Company is entitled to receive a fixed fee or retain, as a fee, the excess of gross revenue over the cost of the production (the “production fee”). The third party receives a portion of the revenues received by the Company from distributing the film, which is charged to Costs and Expenses Applicable to Revenues – Image Enhancement and Maintenance Services. Production fees are deferred and recognized as a reduction in the cost of the film based on the ratio of the Company’s distribution revenues recognized in the current period to the ultimate distribution revenues expected from the film. Film exploitation costs, including advertising and marketing, are recorded in Costs and Expenses Applicable to Revenues – Image Enhancement and Maintenance Services as incurred.</w:t>
      </w:r>
    </w:p>
    <w:p>
      <w:pPr>
        <w:spacing w:after="0" w:line="211"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Revenue from film production services where the Company does not hold the associated distribution rights are recognized in Revenues – Image Enhancement and Maintenance Services when performance obligations associated with the contractual service are satisfied.</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Losses on film production services are recognized as Costs and Expenses Applicable to Revenues – Image Enhancement and Maintenance Services in the period when it is determined that the Company’s estimate of total revenues to be realized by the Company will not exceed estimated total production costs to be expended on the film production.</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Film Distribution Services</w:t>
      </w:r>
    </w:p>
    <w:p>
      <w:pPr>
        <w:spacing w:after="0" w:line="25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a Film Distribution arrangement, the Company distributes large-format documentary films, primarily to institutional locations, and distributes exclusive entertainment experiences ranging from live performances to interactive events with leading artists and creators. Revenue from the licensing of films qualifies for the variable consideration exemption for sales- or usage-based royalties in the relevant accounting guidance and is recognized within Revenues – Image Enhancement and Maintenance Services when all performance obligations have been satisfied, which includes the completion and delivery of the film and the commencement of the license period. In situations when film license fees are based on a percentage of box-office receipts, revenue is recognized when box-office receipts are reported by the exhibitor. Film exploitation costs, including advertising and marketing, are expensed as incurred within Costs and Expenses Applicable to Revenues – Image Enhancement and Maintenance Services.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Film Post-Production Services</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Revenues from post-production film services are recognized within Revenues – Image Enhancement and Maintenance Services when performance of the contracted services is completed.</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Software License and Subscription Services</w:t>
      </w:r>
    </w:p>
    <w:p>
      <w:pPr>
        <w:spacing w:after="0" w:line="253"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Through the Streaming and Consumer Technology business unit, the Company provides term licenses, which give customers the right to use its software for a specific period, and perpetual licenses, which give customers the right to use its software for an indefinite period. For both types of licenses, the associated revenue is recognized at the point in time when the customer can use and benefit from the software, which is generally upon delivery to the customer or upon commencement of the renewal term. For licenses that are deployed and hosted at the customer site, revenue is recognized upon delivery of the software to the customer or upon commencement of the renewal term. For licenses where the software is provided through a hosting arrangement, if the customer does not have a contractual right to take possession of the underlying software without significant penalty, or it is not feasible for the customer to run the software on its own hardware or contract a third party to host the services, the arrangement is accounted for as a service transaction whereby the Company has a stand-ready obligation to provide the software over the license period. Therefore, the related revenue is recognized ratably over the license period, as control of service is transferred to the customer.</w:t>
      </w:r>
    </w:p>
    <w:p>
      <w:pPr>
        <w:spacing w:after="0" w:line="21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Company’s software license arrangements for both term and perpetual licenses typically include maintenance and support services which provide technical support and unspecified updates and upgrades on a when-and-if-available basis. The contractual term of the arrangement to provide maintenance and support services for perpetual licenses is renewable, generally on an annual basis, at the option of the customer. Maintenance and support services represent stand-ready obligations for which revenue is recognized ratably over the term of the arrangements.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Revenues from licenses and maintenance and support services are recognized within Revenues – Image Enhancement and Maintenance Services.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5"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As a lessee, the Company’s lease arrangements principally involve office and warehouse space, which are classified as operating leases. The corresponding operating lease right-of-use (“ROU”) assets and lease liabilities are recorded within Property, Plant and Equipment and Accrued and Other Liabilities on the Company’s Consolidated Balance Sheets. ROU assets represent the Company’s right to use an underlying asset for the lease term. Operating lease liabilities are recognized at commencement date based on the present value of lease payments over the lease term. The incremental borrowing rate used in the calculation of the Company’s lease liabilities is based on the location of each leased property. None of the Company’s leases include options to purchase the leased property. Most of the Company’s leases include one or more options to renew, with renewal terms that can extend the lease term from one to five years or more. The Company has the ability to renew its leases through either extension options or mutual agreement. The depreciable lives of ROU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 When there are modifications to the lease agreements, the Company remeasures the lease liabilities to reflect changes to lease payments and recognizes the amount of the remeasurement of the lease liability as an adjustment to the ROU assets. Amortization of ROU assets and interest on lease liabilities are included within Selling, General and Administrative Expenses in the Company’s Consolidated Statements of Operations. (Refer to Note 5 for additional information related to the Company’s operating leases.)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Research and development costs, which are expensed as incurred, primarily include projector and sound parts, labor, consulting fees, allocation of overheads, and other related materials which pertain to the Company’s development of new products and services. Development costs pertaining to fixed and intangible assets that have alternative future uses are capitalized and amortized under their related policies.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Monetary assets and liabilities that are denominated in a currency other than the Company’s functional currency are translated into the relevant functional currency using the exchange rate prevailing at the end of the period. Foreign exchange translation gains and losses are included in the determination of earnings in the period in which they arise.</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Assets and liabilities recorded in foreign currencies are translated at the exchange rate on the balance sheet date. Revenues, expenses, gains, and losses recorded in foreign currencies are translated using the exchange rates prevailing during the period in which they are recognized. Translation adjustments resulting from this process are recorded to Other Comprehensive Income (Loss) and reported on the Company’s Consolidated Balance Sheets within Accumulated Other Comprehensive Loss until the subsidiary is sold or liquidated, at which point the adjustments are recognized in Consolidated Statements of Operations.</w:t>
      </w:r>
    </w:p>
    <w:p>
      <w:pPr>
        <w:spacing w:after="0" w:line="212"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Foreign currency derivatives are recognized and measured on the Consolidated Balance Sheets at their fair value. Changes in the fair value (i.e., gains or losses) are recognized in the Consolidated Statements of Operations except for derivatives designated and qualifying as foreign currency hedging instruments. For foreign currency hedging instruments, the gain or loss related to the effective portion of the hedge of a forecasted transaction is reported within Other Comprehensive Income (Loss) and reclassified to the Consolidated Statements of Operations when the forecasted transaction occurs. Any ineffective portion is recognized immediately in the Consolidated Statements of Operations.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Corporation Second Amended and Restated Long-Term Incentive Plan (as may be amended, the “IMAX LTIP”) and the China Long-Term Incentive Plan (the “China LTIP”) as summarized in Note 16. The IMAX LTIP is the Company’s governing document and awards to employees, directors, and consultants under this plan may consist of stock options, restricted share units (“RSUs”), performance stock units (“PSUs”) and other awards. A separate share-based compensation plan, the China LTIP, was adopted by a subsidiary of the Company in October 2012.</w:t>
      </w:r>
    </w:p>
    <w:p>
      <w:pPr>
        <w:spacing w:after="0" w:line="21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measures share-based compensation expense using the grant date fair value of the award (see below), which is recognized as an expense in the Consolidated Statements of Operations on a straight-line basis over the requisite service period. Share- based compensation expense is not adjusted for estimated forfeitures but is instead adjusted when and if actual forfeitures occur.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3"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The Company utilizes a lattice-binomial option-pricing model (“Binomial Model”) to determine the fair value of stock option awards on the grant date. The fair value determined by the Binomial Model is affected by the Company’s stock price as well as assumptions regarding a number of highly complex and subjective variables. These variables include, but are not limited to, the Company’s expected stock price volatility over the term of the award, and actual and projected employee stock option exercise behaviors. The Binomial Model also considers the expected exercise multiple which is the multiple of exercise price to grant price at which exercises are expected to occur on average. Option-pricing models were developed for use in estimating the value of traded options that have no vesting or hedging restrictions and are fully transferable. Because the Company’s employee stock options have certain characteristics that are significantly different from traded options, and because changes in the subjective assumptions can materially affect the estimated value, in management’s opinion, the Binomial Model best provides a fair measure of the fair value of the Company’s employee stock options.</w:t>
      </w:r>
    </w:p>
    <w:p>
      <w:pPr>
        <w:spacing w:after="0" w:line="214"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stratifies its employees into homogeneous groups in order to calculate the grant date fair value of stock options using the Binomial Model. As a result, ranges of assumptions are used for the expected life of the option. The Company uses historical data to estimate option exercise behavior within the Binomial Model and various groups of employees that have similar historical exercise behavior are grouped together for valuation purposes. The expected volatility rate is estimated based on a blended volatility method which takes into consideration the Company’s historical share price volatility, the Company’s implied volatility which is determined in reference to observed current market prices for the Company’s traded options and the Company’s peer group volatility.</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no longer issues stock options as a form of employee compensation.</w:t>
      </w:r>
    </w:p>
    <w:p>
      <w:pPr>
        <w:spacing w:after="0" w:line="249" w:lineRule="exact"/>
        <w:rPr>
          <w:sz w:val="20"/>
          <w:szCs w:val="20"/>
          <w:color w:val="auto"/>
        </w:rPr>
      </w:pPr>
    </w:p>
    <w:p>
      <w:pPr>
        <w:jc w:val="both"/>
        <w:ind w:firstLine="194"/>
        <w:spacing w:after="0" w:line="283" w:lineRule="auto"/>
        <w:rPr>
          <w:sz w:val="20"/>
          <w:szCs w:val="20"/>
          <w:color w:val="auto"/>
        </w:rPr>
      </w:pPr>
      <w:r>
        <w:rPr>
          <w:rFonts w:ascii="Times New Roman" w:cs="Times New Roman" w:eastAsia="Times New Roman" w:hAnsi="Times New Roman"/>
          <w:sz w:val="18"/>
          <w:szCs w:val="18"/>
          <w:color w:val="auto"/>
        </w:rPr>
        <w:t xml:space="preserve">(Refer to “Capital Stock —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in Note 16 for the assumptions used to determine the fair value of the Company’s stock options.)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fair value of RSU awards is equal to the closing price of the Company’s common stock on the date of grant or the average closing price of the Company’s common shares for five days prior to the date of grant. The value of the portion of the award that is ultimately expected to vest is recognized as compensation expense over the requisite service period in the Company’s Consolidated Statements of Operations. The Company’s RSUs are classified as equity.</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respectively, at the end of the three-year performance period. The Company’s PSUs are classified as equity.</w:t>
      </w:r>
    </w:p>
    <w:p>
      <w:pPr>
        <w:spacing w:after="0" w:line="21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or as stipulated in the respective employee’s agreement. The grant date fair value of PSUs with TSR targets is determined on the grant date using a Monte Carlo simulation, which is a valuation model that considers the likelihood of achieving the TSR targets embedded in the award (“Monte Carlo Model”). The compensation expense attributable to each type of PSU is recognized on a straight-line basis over the requisite service period.</w:t>
      </w:r>
    </w:p>
    <w:p>
      <w:pPr>
        <w:spacing w:after="0" w:line="212"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highly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207"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ectPr>
          <w:pgSz w:w="11900" w:h="16838" w:orient="portrait"/>
          <w:cols w:equalWidth="0" w:num="1">
            <w:col w:w="11240"/>
          </w:cols>
          <w:pgMar w:left="320" w:top="364"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Share-Based Payment Awards to Non-Employees</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Share-based payment awards for services provided by non-employees are measured at grant date fair value of the equity instruments that the Company is obligated to issue when the service has been rendered and any other conditions necessary to earn the right to benefit from the instruments have been satisfied. The grant date is the date which the Company and the non-employees reach a mutual understanding of the key terms and conditions of the share-based payment awards. When there are performance conditions related to the vesting of the share-based awards, the Company assesses the probability of vesting at each reporting date and adjusts the compensation costs based on the probability assessment.</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Pension Plans and Postretirement Benefits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has a defined benefit pension plan, the Supplemental Executive Retirement Plan (the “SERP”). As the Company’s SERP was unfunded, as of December 31, 2025, a liability was recognized for the benefit obligation.</w:t>
      </w:r>
    </w:p>
    <w:p>
      <w:pPr>
        <w:spacing w:after="0" w:line="189"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Assumptions used in computing the defined benefit obligations are reviewed annually by management in consultation with its actuaries and adjusted for current conditions. Actuarial gains or losses and prior service costs or credits that arise during the period but are not recognized as components of net periodic benefits cost are recognized as a component of Other Comprehensive Income (Loss). Amounts recognized in Accumulated Other Comprehensive Loss including unrecognized actuarial gains or losses and prior service costs are adjusted as they are subsequently recognized in the Consolidated Statements of Operations as components of net periodic benefit cost. Prior service costs resulting from the pension plan inception or amendments are amortized over the expected future service life of the employees, cumulative actuarial gains and losses in excess of 10% of the projected benefit obligation are amortized over the expected average remaining service life of the employees, and current service costs are expensed when earned. The remaining weighted average future service life of the employee used in computing the defined benefit obligation for the year ended December 31, 2025 was three years.</w:t>
      </w:r>
    </w:p>
    <w:p>
      <w:pPr>
        <w:spacing w:after="0" w:line="2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defined contribution pension plans, required contributions by the Company are recorded as an expense within Selling, General and Administrative Expenses in the Company’s Consolidated Statements of Operations.</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A liability is recognized for the unfunded accumulated benefit obligation of the postretirement benefits plan. Assumptions used in computing the accumulated benefit obligation are reviewed by management in consultation with its actuaries and adjusted for current conditions. Net benefit cost is split between operating income and non-operating income, where only the service cost is included in income from operations and the non-service components are included in Retirement Benefits Non-Service Expenses. Actuarial gains and losses are recognized as a component of Other Comprehensive (Loss) Income. Amounts recognized in Accumulated Other Comprehensive Loss including unrecognized actuarial gains or losses are adjusted as they are subsequently recognized within Retirement Benefits Non-Service Expense in the Consolidated Statements of Operations.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situations when the Company acts as a guarantor, at the inception of a guarantee, it recognizes a liability for the fair value of the underlying guarantee.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as required under the relevant accounting guidance have been included in Note 15.</w:t>
      </w:r>
    </w:p>
    <w:p>
      <w:pPr>
        <w:spacing w:after="0" w:line="228" w:lineRule="exact"/>
        <w:rPr>
          <w:sz w:val="20"/>
          <w:szCs w:val="20"/>
          <w:color w:val="auto"/>
        </w:rPr>
      </w:pPr>
    </w:p>
    <w:p>
      <w:pPr>
        <w:ind w:left="200" w:right="7000" w:hanging="192"/>
        <w:spacing w:after="0" w:line="532" w:lineRule="auto"/>
        <w:tabs>
          <w:tab w:leader="none" w:pos="186"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Standards and Accounting Changes </w:t>
      </w:r>
      <w:r>
        <w:rPr>
          <w:rFonts w:ascii="Times New Roman" w:cs="Times New Roman" w:eastAsia="Times New Roman" w:hAnsi="Times New Roman"/>
          <w:sz w:val="18"/>
          <w:szCs w:val="18"/>
          <w:b w:val="1"/>
          <w:bCs w:val="1"/>
          <w:i w:val="1"/>
          <w:iCs w:val="1"/>
          <w:color w:val="auto"/>
        </w:rPr>
        <w:t xml:space="preserve">Adoption of New Accounting Policies </w:t>
      </w:r>
      <w:r>
        <w:rPr>
          <w:rFonts w:ascii="Times New Roman" w:cs="Times New Roman" w:eastAsia="Times New Roman" w:hAnsi="Times New Roman"/>
          <w:sz w:val="18"/>
          <w:szCs w:val="18"/>
          <w:i w:val="1"/>
          <w:iCs w:val="1"/>
          <w:color w:val="auto"/>
        </w:rPr>
        <w:t>Improvements to Income Tax Disclosures</w:t>
      </w:r>
    </w:p>
    <w:p>
      <w:pPr>
        <w:spacing w:after="0" w:line="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 Update (“ASU”) No. 2023-09, “Income Taxes (Topic 740): Improvements to Income Tax Disclosures” (“ASU 2023-09”). The amendments in ASU 2023-09 are intended to improve the transparency of income tax disclosures by requiring (i) consistent categories and greater disaggregation of information in the rate reconciliation, and (ii) income taxes to be paid disaggregated by jurisdiction. The Company adopted ASU 2023-09 for the year ended December 31, 2025 on a prospective basis. The adoption of this ASU impacted the Company’s income tax disclosures in Note 11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Induced Conversions of Convertible Debt Instruments</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Update No. 2024-04, “Debt - Debt with Conversion and Other Options (Subtopic 470-20): Induced Conversions of Convertible Debt Instruments” (“ASU 2024-04”). ASU 2024-04 clarifies the requirements for determining whether certain settlements of convertible debt instruments should be accounted for as an induced conversion. The Company adopted ASU 2024-04 for the Company’s year ended December 31, 2025. The adoption of this ASU impacted the accounting for and disclosure of the Company’s convertible debt instruments, as disclosed in Note 13 of these Consolidated Financial Statements.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FASB Accounting Standard Codification Updates Not Yet Adopted</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(“ASU 2024-03”). The amendments in ASU 2024-03 expand disclosures about specific expense categories presented on the face of the income statement and addresses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interim periods within annual reporting periods beginning after December 15, 2027 with early adoption permitted. The Company is in the process of evaluating the impact of ASU 2024-03 on its Consolidated Financial Statements.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“Financial Instruments - Credit Losses (Topic 326): Measurement of Credit Losses for Accounts Receivable and Contract Assets” (“ASU 2025-05”). The amendments in ASU 2025-05 provide a practical expedient that allows entities to assume current economic conditions as of the balance sheet date will remain unchanged throughout the reasonable and supportable forecast period when estimating expected credit losses for eligible financial assets, including trade receivables and contract assets. ASU 2025-05 is effective for fiscal periods beginning after December 15, 2025, including interim periods within those fiscal years. The Company does not expect the adoption of this ASU to have a material impact on its Consolidated Financial Statements.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in the process of evaluating the impact of this ASU on its Consolidated Financial Statements.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Hedge Accounting Improvements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(“ASU 2025-09”). The amendments in ASU 2025-09 more closely align hedge accounting with the economics of an entity’s risk management activities for (i) similar risk assessment for cash flow hedges, (ii) hedging forecasted interest payment on choose-your-rate debt instruments, (iii) cash flow hedges of nonfinancial forecasted transactions, (iv) net written options as hedging instruments, and (v) foreign-currency-denominated debt instrument as hedging instrument and hedged item. ASU 2025-09 is effective for fiscal periods beginning after December 15, 2026, and interim periods thereafter. The Company is in the process of evaluating the impact of this ASU on its Consolidated Financial Statements.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Accounting for Government Grants Received by Business Entities</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(“ASU 2025-10”). The amendments in ASU 2025-10 establishes accounting and guidance for a government grant received by an entity. Under the new guidance, a government grant is not recognized until it is probable that an entity will comply with the conditions attached to the grant and the grant will be received, and recognition guidance is met. A grant related to an asset is recognized on the balance sheet as an entity incurs the related costs for which the grant is intended to compensate. ASU 2025-10 is effective for fiscal periods beginning after December 15, 2028, and interim periods thereafter. The Company is in the process of evaluating the impact of this ASU on its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ASUs that are not noted above were assessed and determined to be not applicable or not significant to the Company’s Consolidated Financial Statements for the year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Receivables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order to mitigate the credit risk associated with the Company’s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as follows:</w:t>
      </w:r>
    </w:p>
    <w:p>
      <w:pPr>
        <w:spacing w:after="0" w:line="211" w:lineRule="exact"/>
        <w:rPr>
          <w:sz w:val="20"/>
          <w:szCs w:val="20"/>
          <w:color w:val="auto"/>
        </w:rPr>
      </w:pPr>
    </w:p>
    <w:p>
      <w:pPr>
        <w:ind w:left="780" w:hanging="384"/>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received on a regular basis.</w:t>
      </w:r>
    </w:p>
    <w:p>
      <w:pPr>
        <w:spacing w:after="0" w:line="250" w:lineRule="exact"/>
        <w:rPr>
          <w:rFonts w:ascii="Times New Roman" w:cs="Times New Roman" w:eastAsia="Times New Roman" w:hAnsi="Times New Roman"/>
          <w:sz w:val="18"/>
          <w:szCs w:val="18"/>
          <w:color w:val="auto"/>
        </w:rPr>
      </w:pPr>
    </w:p>
    <w:p>
      <w:pPr>
        <w:jc w:val="both"/>
        <w:ind w:left="780" w:hanging="384"/>
        <w:spacing w:after="0" w:line="257" w:lineRule="auto"/>
        <w:tabs>
          <w:tab w:leader="none" w:pos="7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211" w:lineRule="exact"/>
        <w:rPr>
          <w:rFonts w:ascii="Times New Roman" w:cs="Times New Roman" w:eastAsia="Times New Roman" w:hAnsi="Times New Roman"/>
          <w:sz w:val="18"/>
          <w:szCs w:val="18"/>
          <w:color w:val="auto"/>
        </w:rPr>
      </w:pPr>
    </w:p>
    <w:p>
      <w:pPr>
        <w:jc w:val="both"/>
        <w:ind w:left="780" w:hanging="384"/>
        <w:spacing w:after="0" w:line="257" w:lineRule="auto"/>
        <w:tabs>
          <w:tab w:leader="none" w:pos="7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211" w:lineRule="exact"/>
        <w:rPr>
          <w:rFonts w:ascii="Times New Roman" w:cs="Times New Roman" w:eastAsia="Times New Roman" w:hAnsi="Times New Roman"/>
          <w:sz w:val="18"/>
          <w:szCs w:val="18"/>
          <w:color w:val="auto"/>
        </w:rPr>
      </w:pPr>
    </w:p>
    <w:p>
      <w:pPr>
        <w:jc w:val="both"/>
        <w:ind w:left="780" w:hanging="384"/>
        <w:spacing w:after="0" w:line="265" w:lineRule="auto"/>
        <w:tabs>
          <w:tab w:leader="none" w:pos="7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continue to monitor economic trends and conditions and portfolio performance and adjust its allowance for credit loss accordingly. Refer to “Summary of Significant Accounting Policies — </w:t>
      </w:r>
      <w:r>
        <w:rPr>
          <w:rFonts w:ascii="Times New Roman" w:cs="Times New Roman" w:eastAsia="Times New Roman" w:hAnsi="Times New Roman"/>
          <w:sz w:val="18"/>
          <w:szCs w:val="18"/>
          <w:i w:val="1"/>
          <w:iCs w:val="1"/>
          <w:color w:val="auto"/>
        </w:rPr>
        <w:t>Estimates and Assumptions</w:t>
      </w:r>
      <w:r>
        <w:rPr>
          <w:rFonts w:ascii="Times New Roman" w:cs="Times New Roman" w:eastAsia="Times New Roman" w:hAnsi="Times New Roman"/>
          <w:sz w:val="18"/>
          <w:szCs w:val="18"/>
          <w:color w:val="auto"/>
        </w:rPr>
        <w:t>” in Note 2.</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7"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years ended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4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2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4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provision (reversal), net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
        </w:trPr>
        <w:tc>
          <w:tcPr>
            <w:tcW w:w="4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20" w:type="dxa"/>
            <w:vAlign w:val="bottom"/>
          </w:tcPr>
          <w:p>
            <w:pPr>
              <w:spacing w:after="0"/>
              <w:rPr>
                <w:sz w:val="19"/>
                <w:szCs w:val="19"/>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9"/>
        </w:trPr>
        <w:tc>
          <w:tcPr>
            <w:tcW w:w="4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(reversal) provision, net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9"/>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4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the Company’s allowance for current expected credit losses related to Accounts Receivable increased by $0.6 million, largely reflective of specific provisions related to certain exhibitors in Greater China for which the Company determined there was an increased risk of non-collection of aged receivables.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2024, the Company’s allowance for current expected credit losses related to Accounts Receivable decreased by $2.7 million, largely the result of an increase in collections of outstanding balances as exhibition partners continue to improve their financial position post pandemic.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3"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December 31, 2025 and 2024, financing receivables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32,628</w:t>
            </w:r>
          </w:p>
        </w:tc>
        <w:tc>
          <w:tcPr>
            <w:tcW w:w="1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36"/>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127,099</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(26,160)</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0" w:type="dxa"/>
            <w:vAlign w:val="bottom"/>
          </w:tcPr>
          <w:p>
            <w:pPr>
              <w:spacing w:after="0"/>
              <w:rPr>
                <w:sz w:val="1"/>
                <w:szCs w:val="1"/>
                <w:color w:val="auto"/>
              </w:rPr>
            </w:pPr>
          </w:p>
        </w:tc>
      </w:tr>
      <w:tr>
        <w:trPr>
          <w:trHeight w:val="236"/>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100,939</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121,954</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60,139</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and 2024, the weighted-average remaining lease term and weighted-average interest rate associated with the Company’s sales-type lease arrangements and financed sales receivables, as applicable, were as follows:</w:t>
      </w:r>
    </w:p>
    <w:p>
      <w:pPr>
        <w:spacing w:after="0" w:line="236"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4922520</wp:posOffset>
            </wp:positionH>
            <wp:positionV relativeFrom="paragraph">
              <wp:posOffset>41910</wp:posOffset>
            </wp:positionV>
            <wp:extent cx="22148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1488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gridSpan w:val="2"/>
          </w:tcPr>
          <w:p>
            <w:pPr>
              <w:ind w:left="8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776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43"/>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9"/>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8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r>
      <w:tr>
        <w:trPr>
          <w:trHeight w:val="27"/>
        </w:trPr>
        <w:tc>
          <w:tcPr>
            <w:tcW w:w="7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December 31, 2025 and 2024. The amounts disclosed for each credit quality classification are determined on a theater-by-theater basis and include both billed and unbilled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43"/>
        </w:trPr>
        <w:tc>
          <w:tcPr>
            <w:tcW w:w="3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December 31, 2025 and 2024. The amounts disclosed for each credit quality classification are determined on a theater-by-theater basis and include both billed and unbilled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76,474</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100,939</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9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39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Accrued</w:t>
            </w:r>
          </w:p>
        </w:tc>
        <w:tc>
          <w:tcPr>
            <w:tcW w:w="200" w:type="dxa"/>
            <w:vAlign w:val="bottom"/>
          </w:tcPr>
          <w:p>
            <w:pPr>
              <w:spacing w:after="0"/>
              <w:rPr>
                <w:sz w:val="14"/>
                <w:szCs w:val="14"/>
                <w:color w:val="auto"/>
              </w:rPr>
            </w:pPr>
          </w:p>
        </w:tc>
        <w:tc>
          <w:tcPr>
            <w:tcW w:w="72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90+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2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116,825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132,552</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1060" w:type="dxa"/>
            <w:vAlign w:val="bottom"/>
            <w:tcBorders>
              <w:bottom w:val="single" w:sz="8" w:color="auto"/>
            </w:tcBorders>
            <w:gridSpan w:val="4"/>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1060" w:type="dxa"/>
            <w:vAlign w:val="bottom"/>
            <w:gridSpan w:val="4"/>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20" w:type="dxa"/>
            <w:vAlign w:val="bottom"/>
          </w:tcPr>
          <w:p>
            <w:pPr>
              <w:jc w:val="center"/>
              <w:ind w:right="117"/>
              <w:spacing w:after="0" w:line="157" w:lineRule="exact"/>
              <w:rPr>
                <w:sz w:val="20"/>
                <w:szCs w:val="20"/>
                <w:color w:val="auto"/>
              </w:rPr>
            </w:pPr>
            <w:r>
              <w:rPr>
                <w:rFonts w:ascii="Times New Roman" w:cs="Times New Roman" w:eastAsia="Times New Roman" w:hAnsi="Times New Roman"/>
                <w:sz w:val="14"/>
                <w:szCs w:val="14"/>
                <w:b w:val="1"/>
                <w:bCs w:val="1"/>
                <w:color w:val="auto"/>
                <w:w w:val="97"/>
              </w:rPr>
              <w:t>30-89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center"/>
              <w:ind w:right="117"/>
              <w:spacing w:after="0" w:line="157" w:lineRule="exact"/>
              <w:rPr>
                <w:sz w:val="20"/>
                <w:szCs w:val="20"/>
                <w:color w:val="auto"/>
              </w:rPr>
            </w:pPr>
            <w:r>
              <w:rPr>
                <w:rFonts w:ascii="Times New Roman" w:cs="Times New Roman" w:eastAsia="Times New Roman" w:hAnsi="Times New Roman"/>
                <w:sz w:val="14"/>
                <w:szCs w:val="14"/>
                <w:b w:val="1"/>
                <w:bCs w:val="1"/>
                <w:color w:val="auto"/>
              </w:rPr>
              <w:t>90+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9"/>
        </w:trPr>
        <w:tc>
          <w:tcPr>
            <w:tcW w:w="2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sales receivables with billed amounts past due for which it continued to accrue finance income as of December 31, 2025 and 2024.</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9"/>
        </w:trPr>
        <w:tc>
          <w:tcPr>
            <w:tcW w:w="38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1"/>
        </w:trPr>
        <w:tc>
          <w:tcPr>
            <w:tcW w:w="3860" w:type="dxa"/>
            <w:vAlign w:val="bottom"/>
          </w:tcPr>
          <w:p>
            <w:pPr>
              <w:spacing w:after="0"/>
              <w:rPr>
                <w:sz w:val="14"/>
                <w:szCs w:val="14"/>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30-89</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90+</w:t>
            </w: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40" w:type="dxa"/>
            <w:vAlign w:val="bottom"/>
          </w:tcPr>
          <w:p>
            <w:pPr>
              <w:spacing w:after="0"/>
              <w:rPr>
                <w:sz w:val="14"/>
                <w:szCs w:val="14"/>
                <w:color w:val="auto"/>
              </w:rPr>
            </w:pPr>
          </w:p>
        </w:tc>
      </w:tr>
      <w:tr>
        <w:trPr>
          <w:trHeight w:val="188"/>
        </w:trPr>
        <w:tc>
          <w:tcPr>
            <w:tcW w:w="3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7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Days</w:t>
            </w:r>
          </w:p>
        </w:tc>
        <w:tc>
          <w:tcPr>
            <w:tcW w:w="16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18,902</w:t>
            </w:r>
          </w:p>
        </w:tc>
      </w:tr>
      <w:tr>
        <w:trPr>
          <w:trHeight w:val="24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39,773</w:t>
            </w:r>
          </w:p>
        </w:tc>
      </w:tr>
      <w:tr>
        <w:trPr>
          <w:trHeight w:val="27"/>
        </w:trPr>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48,340</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58,675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
        </w:trPr>
        <w:tc>
          <w:tcPr>
            <w:tcW w:w="38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7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8"/>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6"/>
                <w:szCs w:val="16"/>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9"/>
        </w:trPr>
        <w:tc>
          <w:tcPr>
            <w:tcW w:w="38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3"/>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23,795</w:t>
            </w:r>
          </w:p>
        </w:tc>
      </w:tr>
      <w:tr>
        <w:trPr>
          <w:trHeight w:val="24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52,602</w:t>
            </w:r>
          </w:p>
        </w:tc>
      </w:tr>
      <w:tr>
        <w:trPr>
          <w:trHeight w:val="27"/>
        </w:trPr>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3"/>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76,397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sales receivables that were on nonaccrual status as of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6"/>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Pr>
          <w:p>
            <w:pPr>
              <w:spacing w:after="0"/>
              <w:rPr>
                <w:sz w:val="16"/>
                <w:szCs w:val="16"/>
                <w:color w:val="auto"/>
              </w:rPr>
            </w:pPr>
          </w:p>
        </w:tc>
      </w:tr>
      <w:tr>
        <w:trPr>
          <w:trHeight w:val="39"/>
        </w:trPr>
        <w:tc>
          <w:tcPr>
            <w:tcW w:w="49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57"/>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rPr>
              <w:t>Allowances</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 Credit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Credit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7"/>
                <w:szCs w:val="17"/>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9"/>
        </w:trPr>
        <w:tc>
          <w:tcPr>
            <w:tcW w:w="49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4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did not recognize any Finance Income related to the net investment in leases in nonaccrual status.</w:t>
      </w:r>
    </w:p>
    <w:p>
      <w:pPr>
        <w:spacing w:after="0" w:line="189"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$0.3 million (2024 — $1.0 million; 2023 — $0.2 million) in Finance Income related to the financed sales receivables in nonaccrual status.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sales receivables for the years ended December 31, 2025 and 2024:</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6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9"/>
        </w:trPr>
        <w:tc>
          <w:tcPr>
            <w:tcW w:w="796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184"/>
        </w:trPr>
        <w:tc>
          <w:tcPr>
            <w:tcW w:w="79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29"/>
        </w:trPr>
        <w:tc>
          <w:tcPr>
            <w:tcW w:w="7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6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reversal,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426"/>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9"/>
        </w:trPr>
        <w:tc>
          <w:tcPr>
            <w:tcW w:w="79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4"/>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5"/>
                <w:szCs w:val="15"/>
                <w:color w:val="auto"/>
              </w:rPr>
            </w:pPr>
          </w:p>
        </w:tc>
        <w:tc>
          <w:tcPr>
            <w:tcW w:w="13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9"/>
                <w:szCs w:val="19"/>
                <w:color w:val="auto"/>
              </w:rPr>
            </w:pPr>
          </w:p>
        </w:tc>
        <w:tc>
          <w:tcPr>
            <w:tcW w:w="13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9"/>
        </w:trPr>
        <w:tc>
          <w:tcPr>
            <w:tcW w:w="79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provision,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2025 and 2024, the Company’s allowance for current expected credit losses related to its net investment in leases and financed sales receivables decreased by $0.2 million and increased by $0.8 million, respectively, which reflects the Company’s credit quality assessment of future minimum payments due from its exhibition customers.</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r>
      <w:tr>
        <w:trPr>
          <w:trHeight w:val="39"/>
        </w:trPr>
        <w:tc>
          <w:tcPr>
            <w:tcW w:w="80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8000" w:type="dxa"/>
            <w:vAlign w:val="bottom"/>
          </w:tcPr>
          <w:p>
            <w:pPr>
              <w:spacing w:after="0"/>
              <w:rPr>
                <w:sz w:val="15"/>
                <w:szCs w:val="15"/>
                <w:color w:val="auto"/>
              </w:rPr>
            </w:pPr>
          </w:p>
        </w:tc>
        <w:tc>
          <w:tcPr>
            <w:tcW w:w="11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80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11"/>
        </w:trPr>
        <w:tc>
          <w:tcPr>
            <w:tcW w:w="800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Theater</w:t>
            </w:r>
          </w:p>
        </w:tc>
      </w:tr>
      <w:tr>
        <w:trPr>
          <w:trHeight w:val="20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Operators</w:t>
            </w:r>
          </w:p>
        </w:tc>
      </w:tr>
      <w:tr>
        <w:trPr>
          <w:trHeight w:val="39"/>
        </w:trPr>
        <w:tc>
          <w:tcPr>
            <w:tcW w:w="80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tcBorders>
              <w:bottom w:val="single" w:sz="8" w:color="CCEEFF"/>
            </w:tcBorders>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43"/>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(reversal) provision, net</w:t>
            </w: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7"/>
        </w:trPr>
        <w:tc>
          <w:tcPr>
            <w:tcW w:w="8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top w:val="single" w:sz="8" w:color="auto"/>
              <w:bottom w:val="single" w:sz="8" w:color="auto"/>
            </w:tcBorders>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8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the Company’s allowance for current expected credit losses related to Variable Consideration Receivables remained consistent.</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2024, the Company’s allowance for current expected credit losses related to Variable Consideration Receivables decreased by $0.5 million as part of the Company’s assessment of the risk profile of the balance.</w:t>
      </w:r>
    </w:p>
    <w:p>
      <w:pPr>
        <w:spacing w:after="0" w:line="185"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250"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IMAX Corporation as a Lessee</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Company’s operating lease arrangements principally involve office and warehouse space. Office equipment is generally purchased outright. Leases with an initial term of less than 12 months are not recorded on the Consolidated Balance Sheets and the related lease expense is recognized on a straight-line basis over the lease term. The Company has the ability to renew its leases through either extension options or mutual agreement. The incremental borrowing rate used in the calculation of the Company’s lease liabilities is based on the location of each leased property. None of the Company’s leases include options to purchase the leased</w:t>
      </w:r>
    </w:p>
    <w:p>
      <w:pPr>
        <w:sectPr>
          <w:pgSz w:w="11900" w:h="16838" w:orient="portrait"/>
          <w:cols w:equalWidth="0" w:num="1">
            <w:col w:w="11240"/>
          </w:cols>
          <w:pgMar w:left="320" w:top="363" w:right="339" w:bottom="955"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95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property. The depreciable lives of right-of-use assets and related leasehold improvements are limited by the expected lease term. The Company’s lease agreements do not contain any material residual value guarantees or material restrictive covenants.</w:t>
      </w:r>
    </w:p>
    <w:p>
      <w:pPr>
        <w:spacing w:after="0" w:line="189"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has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components of lease expense, which are primarily recorded within Selling, General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and variable lease costs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2025, 2024, and 2023, supplemental cash and non-cash information related to leases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leasing activities: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2025 and 2024, supplemental balance sheet information related to leases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33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1700" w:type="dxa"/>
            <w:vAlign w:val="bottom"/>
            <w:tcBorders>
              <w:bottom w:val="single" w:sz="8" w:color="CCEEFF"/>
            </w:tcBorders>
          </w:tcPr>
          <w:p>
            <w:pPr>
              <w:spacing w:after="0"/>
              <w:rPr>
                <w:sz w:val="3"/>
                <w:szCs w:val="3"/>
                <w:color w:val="auto"/>
              </w:rPr>
            </w:pPr>
          </w:p>
        </w:tc>
        <w:tc>
          <w:tcPr>
            <w:tcW w:w="22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2"/>
        </w:trPr>
        <w:tc>
          <w:tcPr>
            <w:tcW w:w="33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68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Sheet Location</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47"/>
        </w:trPr>
        <w:tc>
          <w:tcPr>
            <w:tcW w:w="3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auto"/>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r>
      <w:tr>
        <w:trPr>
          <w:trHeight w:val="243"/>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8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4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r>
      <w:tr>
        <w:trPr>
          <w:trHeight w:val="27"/>
        </w:trPr>
        <w:tc>
          <w:tcPr>
            <w:tcW w:w="3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02"/>
        </w:trPr>
        <w:tc>
          <w:tcPr>
            <w:tcW w:w="3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4660" w:type="dxa"/>
            <w:vAlign w:val="bottom"/>
            <w:gridSpan w:val="3"/>
          </w:tcPr>
          <w:p>
            <w:pPr>
              <w:ind w:left="680"/>
              <w:spacing w:after="0" w:line="202" w:lineRule="exact"/>
              <w:rPr>
                <w:sz w:val="20"/>
                <w:szCs w:val="20"/>
                <w:color w:val="auto"/>
              </w:rPr>
            </w:pPr>
            <w:r>
              <w:rPr>
                <w:rFonts w:ascii="Times New Roman" w:cs="Times New Roman" w:eastAsia="Times New Roman" w:hAnsi="Times New Roman"/>
                <w:sz w:val="18"/>
                <w:szCs w:val="18"/>
                <w:color w:val="auto"/>
              </w:rPr>
              <w:t>Balance Sheet Location</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7"/>
        </w:trPr>
        <w:tc>
          <w:tcPr>
            <w:tcW w:w="3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49"/>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r>
      <w:tr>
        <w:trPr>
          <w:trHeight w:val="243"/>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68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4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and 2024, the weighted-average remaining lease term and weighted-average interest rate associated with the Company’s leases were as follows: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2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760" w:type="dxa"/>
            <w:vAlign w:val="bottom"/>
            <w:vMerge w:val="continue"/>
          </w:tcPr>
          <w:p>
            <w:pPr>
              <w:spacing w:after="0"/>
              <w:rPr>
                <w:sz w:val="15"/>
                <w:szCs w:val="15"/>
                <w:color w:val="auto"/>
              </w:rPr>
            </w:pPr>
          </w:p>
        </w:tc>
        <w:tc>
          <w:tcPr>
            <w:tcW w:w="16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76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57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of December 31, 2025, the maturities of the Company’s operating lease liabilities were as follows:</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7760" w:type="dxa"/>
            <w:vAlign w:val="bottom"/>
          </w:tcPr>
          <w:p>
            <w:pPr>
              <w:spacing w:after="0"/>
              <w:rPr>
                <w:sz w:val="3"/>
                <w:szCs w:val="3"/>
                <w:color w:val="auto"/>
              </w:rPr>
            </w:pPr>
          </w:p>
        </w:tc>
        <w:tc>
          <w:tcPr>
            <w:tcW w:w="1920" w:type="dxa"/>
            <w:vAlign w:val="bottom"/>
            <w:gridSpan w:val="3"/>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3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0" w:type="dxa"/>
            <w:vAlign w:val="bottom"/>
          </w:tcPr>
          <w:p>
            <w:pPr>
              <w:spacing w:after="0"/>
              <w:rPr>
                <w:sz w:val="1"/>
                <w:szCs w:val="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3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5"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 xml:space="preserve">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2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Under JRSAs, the customer has the ability and the right to operate the hardware components or direct others to operate them in a manner determined by the customer. The Company’s JRSAs are typically non-cancellable for 10 years or longer with renewal provisions. Title to the IMAX System under a JRSA generally does not transfer to the customer. The Company’s JRSAs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1"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next five years and thereafter following the December 31, 2025 balance sheet date:</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Sales-Type</w:t>
            </w:r>
          </w:p>
        </w:tc>
      </w:tr>
      <w:tr>
        <w:trPr>
          <w:trHeight w:val="188"/>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9"/>
        </w:trPr>
        <w:tc>
          <w:tcPr>
            <w:tcW w:w="9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7"/>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14,899</w:t>
            </w:r>
          </w:p>
        </w:tc>
      </w:tr>
      <w:tr>
        <w:trPr>
          <w:trHeight w:val="27"/>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4 for additional information related to the net investment in leases related to the Company’s sales-type lease arrangements.)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Variable Considerations from Contracts with Customers</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 xml:space="preserve">The arrangement for the sale of an IMAX System includes indexed minimum payment increases over the term of the arrangement, as well as the potential for additional payments owed by an exhibitor customer if certain minimum box office receipt thresholds are exceeded. In addition, sales arrangements include amounts owed by an exhibitor customer based on a percentage of their box office receipts over the term of the arrangement. These contract provisions are considered to be variable consideration. An estimate of the present value of such variable consideration is recognized as revenue upon the transfer of control of the System Obligation to the customer, subject to constraints to ensure that there is not a risk of significant revenue reversal. This estimate is based on management’s box office projections for the individual IMAX System, which are developed using historical data for the location and, if necessary, comparable locations and territories. Estimates for future indexed minimum payment increases are based on historical index rates, in addition to any external factors which may influence this index in the future. (Refer to “Summary of Significant Accounting Policies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in Note 2 for a more detailed discussion of the Company’s accounting policy related to variable consideration, including constraints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of variable consideration.)</w:t>
      </w:r>
    </w:p>
    <w:p>
      <w:pPr>
        <w:spacing w:after="0" w:line="21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activity related to variable consideration from contracts with customers for the years ended December 31, 2025,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44,024</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for newly recognized sales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to finance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Transferred to receivables from variable consideration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variable consideration estimates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allowance for credit losses (see Note 4)</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91,402</w:t>
            </w:r>
          </w:p>
        </w:tc>
        <w:tc>
          <w:tcPr>
            <w:tcW w:w="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6"/>
        </w:trPr>
        <w:tc>
          <w:tcPr>
            <w:tcW w:w="6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32,505</w:t>
            </w: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Inventories included balances of $1.0 million (December 31, 2024 — $1.8 million) for which title had passed to the customer, but the criteria for revenue recognition were not met as of the balance sheet date.</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activity for the Company’s inventories valuation allowance account for the years ended December 31, 2025, 2024, and 2023:</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6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charged to expenses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6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deductions</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4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right="40" w:hanging="314"/>
        <w:spacing w:after="0" w:line="260" w:lineRule="auto"/>
        <w:tabs>
          <w:tab w:leader="none" w:pos="332" w:val="left"/>
        </w:tabs>
        <w:numPr>
          <w:ilvl w:val="1"/>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 expense of $nil charged directly to the Consolidated Statements of Operations during the year ended December 31, 2025 (2024 — expense of $0.1 million; 2023 — expense of $0.5 million).</w:t>
      </w:r>
    </w:p>
    <w:p>
      <w:pPr>
        <w:ind w:left="340" w:hanging="314"/>
        <w:spacing w:after="0"/>
        <w:tabs>
          <w:tab w:leader="none" w:pos="340" w:val="left"/>
        </w:tabs>
        <w:numPr>
          <w:ilvl w:val="1"/>
          <w:numId w:val="4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write-off of amounts previously charged to valuation allowance.</w:t>
      </w:r>
    </w:p>
    <w:p>
      <w:pPr>
        <w:spacing w:after="0" w:line="367" w:lineRule="exact"/>
        <w:rPr>
          <w:rFonts w:ascii="Times New Roman" w:cs="Times New Roman" w:eastAsia="Times New Roman" w:hAnsi="Times New Roman"/>
          <w:sz w:val="14"/>
          <w:szCs w:val="14"/>
          <w:i w:val="1"/>
          <w:iCs w:val="1"/>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Film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and released films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Films in production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Films in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In 2025, the Company recognized film asset amortization of $18.5 million (2024 — $24.8 million; 2023 — $20.3 million). The Company expects to amortize $13.1 million of the Film Assets balance within three years of December 31, 2025, including $6.6 million in 2026, $5.1 million in 2027, and $1.4 million in 2028. In certain film arrangements, the Company co-produces a film with a third party whereby the third party retains certain rights to the film. The amount of participation payments owed to third parties related to co-produced films as of December 31, 2025 was $5.3 million (December 31, 2024 — $5.2 million) and was recorded on the Consolidated Balance Sheets within Accrued and Other Liabilities.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2025, the Company recognized film asset write-downs of $0.2 million (2024 — less than $0.1 million; 2023 — $0.4 million).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1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6"/>
                <w:szCs w:val="16"/>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39"/>
        </w:trPr>
        <w:tc>
          <w:tcPr>
            <w:tcW w:w="4140" w:type="dxa"/>
            <w:vAlign w:val="bottom"/>
            <w:tcBorders>
              <w:bottom w:val="single" w:sz="8" w:color="CCEEFF"/>
            </w:tcBorders>
          </w:tcPr>
          <w:p>
            <w:pPr>
              <w:spacing w:after="0"/>
              <w:rPr>
                <w:sz w:val="3"/>
                <w:szCs w:val="3"/>
                <w:color w:val="auto"/>
              </w:rPr>
            </w:pPr>
          </w:p>
        </w:tc>
        <w:tc>
          <w:tcPr>
            <w:tcW w:w="2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2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IMAX System components</w:t>
            </w:r>
            <w:r>
              <w:rPr>
                <w:rFonts w:ascii="Times New Roman" w:cs="Times New Roman" w:eastAsia="Times New Roman" w:hAnsi="Times New Roman"/>
                <w:sz w:val="23"/>
                <w:szCs w:val="23"/>
                <w:color w:val="auto"/>
                <w:vertAlign w:val="superscript"/>
              </w:rPr>
              <w:t>(1)(2)(3)</w:t>
            </w:r>
          </w:p>
        </w:tc>
        <w:tc>
          <w:tcPr>
            <w:tcW w:w="2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345,386</w:t>
            </w:r>
          </w:p>
        </w:tc>
        <w:tc>
          <w:tcPr>
            <w:tcW w:w="14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197,966</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147,420</w:t>
            </w: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Camera and connectivity equipment</w:t>
            </w:r>
          </w:p>
        </w:tc>
        <w:tc>
          <w:tcPr>
            <w:tcW w:w="2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15,962</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0" w:type="dxa"/>
            <w:vAlign w:val="bottom"/>
          </w:tcPr>
          <w:p>
            <w:pPr>
              <w:spacing w:after="0"/>
              <w:rPr>
                <w:sz w:val="1"/>
                <w:szCs w:val="1"/>
                <w:color w:val="auto"/>
              </w:rPr>
            </w:pPr>
          </w:p>
        </w:tc>
      </w:tr>
      <w:tr>
        <w:trPr>
          <w:trHeight w:val="236"/>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361,348</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205,821</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155,527</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23"/>
                <w:szCs w:val="23"/>
                <w:color w:val="auto"/>
                <w:vertAlign w:val="superscript"/>
              </w:rPr>
              <w:t>(4)</w:t>
            </w:r>
          </w:p>
        </w:tc>
        <w:tc>
          <w:tcPr>
            <w:tcW w:w="2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0" w:type="dxa"/>
            <w:vAlign w:val="bottom"/>
          </w:tcPr>
          <w:p>
            <w:pPr>
              <w:spacing w:after="0"/>
              <w:rPr>
                <w:sz w:val="1"/>
                <w:szCs w:val="1"/>
                <w:color w:val="auto"/>
              </w:rPr>
            </w:pPr>
          </w:p>
        </w:tc>
      </w:tr>
      <w:tr>
        <w:trPr>
          <w:trHeight w:val="26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23"/>
                <w:szCs w:val="23"/>
                <w:color w:val="auto"/>
                <w:vertAlign w:val="superscript"/>
              </w:rPr>
              <w:t>(5)</w:t>
            </w:r>
          </w:p>
        </w:tc>
        <w:tc>
          <w:tcPr>
            <w:tcW w:w="2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0" w:type="dxa"/>
            <w:vAlign w:val="bottom"/>
          </w:tcPr>
          <w:p>
            <w:pPr>
              <w:spacing w:after="0"/>
              <w:rPr>
                <w:sz w:val="1"/>
                <w:szCs w:val="1"/>
                <w:color w:val="auto"/>
              </w:rPr>
            </w:pPr>
          </w:p>
        </w:tc>
      </w:tr>
      <w:tr>
        <w:trPr>
          <w:trHeight w:val="249"/>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2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2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4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2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43,290</w:t>
            </w:r>
          </w:p>
        </w:tc>
        <w:tc>
          <w:tcPr>
            <w:tcW w:w="0" w:type="dxa"/>
            <w:vAlign w:val="bottom"/>
          </w:tcPr>
          <w:p>
            <w:pPr>
              <w:spacing w:after="0"/>
              <w:rPr>
                <w:sz w:val="1"/>
                <w:szCs w:val="1"/>
                <w:color w:val="auto"/>
              </w:rPr>
            </w:pPr>
          </w:p>
        </w:tc>
      </w:tr>
      <w:tr>
        <w:trPr>
          <w:trHeight w:val="269"/>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23"/>
                <w:szCs w:val="23"/>
                <w:color w:val="auto"/>
                <w:vertAlign w:val="superscript"/>
              </w:rPr>
              <w:t>(6)</w:t>
            </w:r>
          </w:p>
        </w:tc>
        <w:tc>
          <w:tcPr>
            <w:tcW w:w="2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2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36"/>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136,530</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72,578</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63,952</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523,492</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280,582</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7"/>
        </w:trPr>
        <w:tc>
          <w:tcPr>
            <w:tcW w:w="41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5"/>
        </w:trPr>
        <w:tc>
          <w:tcPr>
            <w:tcW w:w="6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88"/>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200" w:type="dxa"/>
            <w:vAlign w:val="bottom"/>
          </w:tcPr>
          <w:p>
            <w:pPr>
              <w:spacing w:after="0"/>
              <w:rPr>
                <w:sz w:val="16"/>
                <w:szCs w:val="16"/>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Net Book Value</w:t>
            </w: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leased or held for use:</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6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IMAX System components</w:t>
            </w:r>
            <w:r>
              <w:rPr>
                <w:rFonts w:ascii="Times New Roman" w:cs="Times New Roman" w:eastAsia="Times New Roman" w:hAnsi="Times New Roman"/>
                <w:sz w:val="23"/>
                <w:szCs w:val="23"/>
                <w:color w:val="auto"/>
                <w:vertAlign w:val="superscript"/>
              </w:rPr>
              <w:t>(1)(2)(3)</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331,412</w:t>
            </w:r>
          </w:p>
        </w:tc>
        <w:tc>
          <w:tcPr>
            <w:tcW w:w="14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184,297</w:t>
            </w:r>
          </w:p>
        </w:tc>
        <w:tc>
          <w:tcPr>
            <w:tcW w:w="14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147,115</w:t>
            </w:r>
          </w:p>
        </w:tc>
      </w:tr>
      <w:tr>
        <w:trPr>
          <w:trHeight w:val="26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Camera and connectivity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36"/>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340,812</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190,577</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150,235</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62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Assets under construction</w:t>
            </w:r>
            <w:r>
              <w:rPr>
                <w:rFonts w:ascii="Times New Roman" w:cs="Times New Roman" w:eastAsia="Times New Roman" w:hAnsi="Times New Roman"/>
                <w:sz w:val="23"/>
                <w:szCs w:val="23"/>
                <w:color w:val="auto"/>
                <w:vertAlign w:val="superscript"/>
              </w:rPr>
              <w:t>(4)</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w:t>
            </w:r>
          </w:p>
        </w:tc>
      </w:tr>
      <w:tr>
        <w:trPr>
          <w:trHeight w:val="26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r>
              <w:rPr>
                <w:rFonts w:ascii="Times New Roman" w:cs="Times New Roman" w:eastAsia="Times New Roman" w:hAnsi="Times New Roman"/>
                <w:sz w:val="23"/>
                <w:szCs w:val="23"/>
                <w:color w:val="auto"/>
                <w:vertAlign w:val="superscript"/>
              </w:rPr>
              <w:t>(5)</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45,229</w:t>
            </w:r>
          </w:p>
        </w:tc>
      </w:tr>
      <w:tr>
        <w:trPr>
          <w:trHeight w:val="26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 and production equipment</w:t>
            </w:r>
            <w:r>
              <w:rPr>
                <w:rFonts w:ascii="Times New Roman" w:cs="Times New Roman" w:eastAsia="Times New Roman" w:hAnsi="Times New Roman"/>
                <w:sz w:val="23"/>
                <w:szCs w:val="23"/>
                <w:color w:val="auto"/>
                <w:vertAlign w:val="superscript"/>
              </w:rPr>
              <w:t>(6)</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w:t>
            </w:r>
          </w:p>
        </w:tc>
      </w:tr>
      <w:tr>
        <w:trPr>
          <w:trHeight w:val="26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36"/>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137,699</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73,952</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63,747</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506,042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265,909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right="20" w:hanging="314"/>
        <w:spacing w:after="0" w:line="260" w:lineRule="auto"/>
        <w:tabs>
          <w:tab w:leader="none" w:pos="332"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system components are assets with costs of $1.4 million (2024 — $1.4 million) and accumulated depreciation of $1.4 million (2024 — $1.4 million) that are leased to customers under operating leases.</w:t>
      </w:r>
    </w:p>
    <w:p>
      <w:pPr>
        <w:ind w:left="340" w:right="20" w:hanging="314"/>
        <w:spacing w:after="0" w:line="261" w:lineRule="auto"/>
        <w:tabs>
          <w:tab w:leader="none" w:pos="332"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system components are assets with costs of $328.8 million (2024 — $313.9 million) and accumulated depreciation of $184.7 million (2024 — $171.4 million) that are used in JRSAs.</w:t>
      </w:r>
    </w:p>
    <w:p>
      <w:pPr>
        <w:spacing w:after="0" w:line="175" w:lineRule="exact"/>
        <w:rPr>
          <w:rFonts w:ascii="Times New Roman" w:cs="Times New Roman" w:eastAsia="Times New Roman" w:hAnsi="Times New Roman"/>
          <w:sz w:val="14"/>
          <w:szCs w:val="14"/>
          <w:i w:val="1"/>
          <w:iCs w:val="1"/>
          <w:color w:val="auto"/>
        </w:rPr>
      </w:pPr>
    </w:p>
    <w:p>
      <w:pPr>
        <w:ind w:left="340" w:right="20" w:hanging="314"/>
        <w:spacing w:after="0" w:line="254" w:lineRule="auto"/>
        <w:tabs>
          <w:tab w:leader="none" w:pos="332"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2025, the Company recorded charges of $0.6 million (2024 — $3.4 million; 2023 — $0.8 million) in Costs and Expenses Applicable to Technology Rentals mostly related to the write-down of systems under JRSAs resulting from contract amendments.</w:t>
      </w:r>
    </w:p>
    <w:p>
      <w:pPr>
        <w:spacing w:after="0" w:line="1"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assets under construction are components with costs of $9.5 million (2024 — $6.9 million) that will be utilized to construct assets to be used in JRSAs.</w:t>
      </w:r>
    </w:p>
    <w:p>
      <w:pPr>
        <w:spacing w:after="0" w:line="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right-of-use assets primarily include operating leases for office and warehouse space.</w:t>
      </w:r>
    </w:p>
    <w:p>
      <w:pPr>
        <w:spacing w:after="0" w:line="14" w:lineRule="exact"/>
        <w:rPr>
          <w:rFonts w:ascii="Times New Roman" w:cs="Times New Roman" w:eastAsia="Times New Roman" w:hAnsi="Times New Roman"/>
          <w:sz w:val="14"/>
          <w:szCs w:val="14"/>
          <w:i w:val="1"/>
          <w:iCs w:val="1"/>
          <w:color w:val="auto"/>
        </w:rPr>
      </w:pPr>
    </w:p>
    <w:p>
      <w:pPr>
        <w:ind w:left="340" w:right="20" w:hanging="314"/>
        <w:spacing w:after="0" w:line="282" w:lineRule="auto"/>
        <w:tabs>
          <w:tab w:leader="none" w:pos="332"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Fully depreciated office and production equipment is still in use by the Company. In 2025, the Company identified and wrote off $6.6 million (2024 — $0.7 million) of office and production equipment that was fully depreciated and no longer in use.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Assets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incentives provided to exhibitor customers, net of accumulated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and other deferred selling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6"/>
        </w:trPr>
        <w:tc>
          <w:tcPr>
            <w:tcW w:w="798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24,820</w:t>
            </w: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right="20" w:hanging="314"/>
        <w:spacing w:after="0" w:line="303" w:lineRule="auto"/>
        <w:tabs>
          <w:tab w:leader="none" w:pos="332" w:val="left"/>
        </w:tabs>
        <w:numPr>
          <w:ilvl w:val="0"/>
          <w:numId w:val="5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During the year ended December 31, 2025, the Company recorded an impairment charge of $1.0 million on the investment in equity securities. (Refer to “Financial Instruments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4"/>
          <w:szCs w:val="14"/>
          <w:i w:val="1"/>
          <w:iCs w:val="1"/>
          <w:color w:val="auto"/>
        </w:rPr>
        <w:t xml:space="preserve"> Investments in Equity Securities” in Note 21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Before Taxes by Jurisdiction</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before taxes by tax jurisdiction for the years ended December 31, 2025, 2024, and 2023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(2,032)</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(14,240)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(13,366)</w:t>
            </w: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65,325</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rPr>
              <w:t>51,938</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color w:val="auto"/>
                <w:w w:val="96"/>
              </w:rPr>
              <w:t>59,483</w:t>
            </w: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63,293</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37,698</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6"/>
              </w:rPr>
              <w:t>46,117</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Prior year amounts have been revised to conform to the current presentation with one category for Foreign income. No amounts have been reclassified between Canada and Foreign.</w:t>
      </w:r>
    </w:p>
    <w:p>
      <w:pPr>
        <w:sectPr>
          <w:pgSz w:w="11900" w:h="16838" w:orient="portrait"/>
          <w:cols w:equalWidth="0" w:num="1">
            <w:col w:w="11240"/>
          </w:cols>
          <w:pgMar w:left="320" w:top="364" w:right="339" w:bottom="10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009"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 expense for the years ended December 31, 2025, 2024, and 2023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28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Income tax expense – current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Provincial</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0" w:type="dxa"/>
            <w:vAlign w:val="bottom"/>
          </w:tcPr>
          <w:p>
            <w:pPr>
              <w:spacing w:after="0"/>
              <w:rPr>
                <w:sz w:val="1"/>
                <w:szCs w:val="1"/>
                <w:color w:val="auto"/>
              </w:rPr>
            </w:pPr>
          </w:p>
        </w:tc>
      </w:tr>
      <w:tr>
        <w:trPr>
          <w:trHeight w:val="249"/>
        </w:trPr>
        <w:tc>
          <w:tcPr>
            <w:tcW w:w="628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Income tax (expense) benefit – deferred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Provincial</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36"/>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(17,767)</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Prior year amounts have been revised to conform to the current presentation to present the information into Federal, Provincial, and Foreign Categories.</w:t>
      </w:r>
    </w:p>
    <w:p>
      <w:pPr>
        <w:spacing w:after="0" w:line="18" w:lineRule="exact"/>
        <w:rPr>
          <w:rFonts w:ascii="Times New Roman" w:cs="Times New Roman" w:eastAsia="Times New Roman" w:hAnsi="Times New Roman"/>
          <w:sz w:val="14"/>
          <w:szCs w:val="14"/>
          <w:i w:val="1"/>
          <w:iCs w:val="1"/>
          <w:color w:val="auto"/>
        </w:rPr>
      </w:pPr>
    </w:p>
    <w:p>
      <w:pPr>
        <w:jc w:val="both"/>
        <w:ind w:left="340" w:right="20" w:hanging="314"/>
        <w:spacing w:after="0" w:line="259" w:lineRule="auto"/>
        <w:tabs>
          <w:tab w:leader="none" w:pos="332"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valuation allowance is recorded in jurisdictions where management has determined, based on the weight of all available evidence, both positive and negative, that a valuation allowance for deferred tax assets is required. For the year ended December 31, 2025, the Company recorded a $5.7 million net decrease (2024 — net increase of $3.5 million, 2023 — net decrease of $0.7 million) in the valuation allowance against its deferred tax assets in Canada. Of the $5.7 million net decrease in the valuation allowance recorded in 2025, a $6.0 million decrease is reflected within Income Tax Expense in the Company’s Consolidated Statements of Operations, and a $0.3 million increase is reflected directly on the Consolidated Balance Sheets.</w:t>
      </w:r>
    </w:p>
    <w:p>
      <w:pPr>
        <w:ind w:left="340" w:right="20" w:hanging="314"/>
        <w:spacing w:after="0" w:line="261" w:lineRule="auto"/>
        <w:tabs>
          <w:tab w:leader="none" w:pos="332" w:val="left"/>
        </w:tabs>
        <w:numPr>
          <w:ilvl w:val="0"/>
          <w:numId w:val="5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year ended December 31, 2025, Income Tax Expense excludes a tax expense of $1.2 million included in Other Comprehensive Income (2024 — benefit of $0.9 million; 2023 — expense of $0.2 million).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Income Tax Expense to Statutory Rate</w:t>
      </w:r>
    </w:p>
    <w:p>
      <w:pPr>
        <w:spacing w:after="0" w:line="255"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Company’s effective tax rate and income tax expense differs from the Canadian federal statutory income tax rates due to the following factors: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60" w:type="dxa"/>
            <w:vAlign w:val="bottom"/>
            <w:gridSpan w:val="2"/>
          </w:tcPr>
          <w:p>
            <w:pPr>
              <w:jc w:val="right"/>
              <w:ind w:right="1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8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5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8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2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Income tax expense at Canadian federal statutory tax rate</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resulting from:</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Ontario provincial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Foreign tax effects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statutory tax rate differences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to tax liabilities resulting from tax return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to tax liabilities resulting from tax return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subsidy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 taxes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Statutory tax rate difference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to tax liabilities resulting from tax return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7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premium paid on refinancing</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gain on settlement of capped call</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to tax reserves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to deferred tax liabilities resulting from prior year tax return adjustments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included in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(17,767)</w:t>
            </w:r>
          </w:p>
        </w:tc>
        <w:tc>
          <w:tcPr>
            <w:tcW w:w="14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right="640" w:hanging="314"/>
        <w:spacing w:after="0" w:line="281" w:lineRule="auto"/>
        <w:tabs>
          <w:tab w:leader="none" w:pos="332" w:val="left"/>
        </w:tabs>
        <w:numPr>
          <w:ilvl w:val="0"/>
          <w:numId w:val="5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Canadian federal statutory tax rate of 15% is comprised of the basic Part I federal tax rate of 38%, netting to 15% after the federal tax abatement and general tax reduction.</w:t>
      </w:r>
    </w:p>
    <w:p>
      <w:pPr>
        <w:spacing w:after="0" w:line="330"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The reconciliation of taxes at the federal statutory rate to the income tax expense for the years ended December 31, 2024 and 2023 in accordance with the guidance prior to the adoption of ASU 2023-09 was as follows: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200" w:type="dxa"/>
        <w:tblCellMar>
          <w:top w:w="0" w:type="dxa"/>
          <w:left w:w="0" w:type="dxa"/>
          <w:bottom w:w="0" w:type="dxa"/>
          <w:right w:w="0" w:type="dxa"/>
        </w:tblCellMar>
      </w:tblPr>
      <w:tr>
        <w:trPr>
          <w:trHeight w:val="188"/>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5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gridSpan w:val="2"/>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rates)</w:t>
            </w: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39"/>
        </w:trPr>
        <w:tc>
          <w:tcPr>
            <w:tcW w:w="65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68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Income tax expense at combined statutory rates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resulting from:</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valuation allowance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to tax reserves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federal and state taxes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at different rates in foreign and other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provincial jurisdictions</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and other tax credits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to deferred tax assets and liabilities resulting from tax return and other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6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Internal asset sale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items included in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6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14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540" w:hanging="321"/>
        <w:spacing w:after="0" w:line="281" w:lineRule="auto"/>
        <w:tabs>
          <w:tab w:leader="none" w:pos="532" w:val="left"/>
        </w:tabs>
        <w:numPr>
          <w:ilvl w:val="0"/>
          <w:numId w:val="5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Canadian corporate tax rate of 26.5% is comprised of the basic Part I federal tax rate of 38%, netting to 15% after the federal tax abatement and general tax reduction, plus the additional Ontario provincial tax rate of 11.5%.</w:t>
      </w:r>
    </w:p>
    <w:p>
      <w:pPr>
        <w:spacing w:after="0" w:line="200" w:lineRule="exact"/>
        <w:rPr>
          <w:sz w:val="20"/>
          <w:szCs w:val="20"/>
          <w:color w:val="auto"/>
        </w:rPr>
      </w:pPr>
    </w:p>
    <w:p>
      <w:pPr>
        <w:spacing w:after="0" w:line="372" w:lineRule="exact"/>
        <w:rPr>
          <w:sz w:val="20"/>
          <w:szCs w:val="20"/>
          <w:color w:val="auto"/>
        </w:rPr>
      </w:pPr>
    </w:p>
    <w:p>
      <w:pPr>
        <w:jc w:val="both"/>
        <w:ind w:right="100" w:firstLine="194"/>
        <w:spacing w:after="0" w:line="260" w:lineRule="auto"/>
        <w:rPr>
          <w:sz w:val="20"/>
          <w:szCs w:val="20"/>
          <w:color w:val="auto"/>
        </w:rPr>
      </w:pPr>
      <w:r>
        <w:rPr>
          <w:rFonts w:ascii="Times New Roman" w:cs="Times New Roman" w:eastAsia="Times New Roman" w:hAnsi="Times New Roman"/>
          <w:sz w:val="18"/>
          <w:szCs w:val="18"/>
          <w:color w:val="auto"/>
        </w:rPr>
        <w:t>During 2024, the Company completed an internal asset sale to more closely align intellectual property rights with its operations. The tax expense on the capital gains was offset by deferred tax benefits resulting in a net tax benefit of $4.0 million. The valuation allowance also includes a $2.3 million net tax benefit related to the internal asset sale, resulting in a total net tax benefit of $6.3 million recognized in Income Tax Expense of the Consolidated Statements of Operations.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Paid for Income Taxes, Net of Refunds</w:t>
      </w:r>
    </w:p>
    <w:p>
      <w:pPr>
        <w:spacing w:after="0" w:line="255" w:lineRule="exact"/>
        <w:rPr>
          <w:sz w:val="20"/>
          <w:szCs w:val="20"/>
          <w:color w:val="auto"/>
        </w:rPr>
      </w:pPr>
    </w:p>
    <w:p>
      <w:pPr>
        <w:jc w:val="both"/>
        <w:ind w:right="100" w:firstLine="194"/>
        <w:spacing w:after="0" w:line="277" w:lineRule="auto"/>
        <w:rPr>
          <w:sz w:val="20"/>
          <w:szCs w:val="20"/>
          <w:color w:val="auto"/>
        </w:rPr>
      </w:pPr>
      <w:r>
        <w:rPr>
          <w:rFonts w:ascii="Times New Roman" w:cs="Times New Roman" w:eastAsia="Times New Roman" w:hAnsi="Times New Roman"/>
          <w:sz w:val="18"/>
          <w:szCs w:val="18"/>
          <w:color w:val="auto"/>
        </w:rPr>
        <w:t>Cash paid for income taxes, net of refunds, for the years ended December 31, 2024 and 2023 was $14.6 million and $17.8 million, respectively. During 2025, the Company made the following cash tax payments: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56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88"/>
        </w:trPr>
        <w:tc>
          <w:tcPr>
            <w:tcW w:w="9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52"/>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96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9"/>
        </w:trPr>
        <w:tc>
          <w:tcPr>
            <w:tcW w:w="96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Provincial</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0" w:type="dxa"/>
            <w:vAlign w:val="bottom"/>
          </w:tcPr>
          <w:p>
            <w:pPr>
              <w:spacing w:after="0"/>
              <w:rPr>
                <w:sz w:val="1"/>
                <w:szCs w:val="1"/>
                <w:color w:val="auto"/>
              </w:rPr>
            </w:pPr>
          </w:p>
        </w:tc>
      </w:tr>
      <w:tr>
        <w:trPr>
          <w:trHeight w:val="26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4"/>
        <w:spacing w:after="0"/>
        <w:tabs>
          <w:tab w:leader="none" w:pos="340" w:val="left"/>
        </w:tabs>
        <w:numPr>
          <w:ilvl w:val="0"/>
          <w:numId w:val="5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payments to other jurisdictions that are individually insignificant.</w:t>
      </w: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Deferred Tax Liability</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2025 and 2024, the Company’s deferred tax assets and deferred tax liability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63"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tax credit and other tax credit carryforwards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Write-downs of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of tax accounting basis in various assets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share-based compensation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recognition on net investment in leases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reserves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Net deferred tax asset</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both"/>
        <w:ind w:left="340" w:right="20" w:hanging="314"/>
        <w:spacing w:after="0" w:line="271" w:lineRule="auto"/>
        <w:tabs>
          <w:tab w:leader="none" w:pos="332"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deferred tax liability of $12.5 million as of December 31, 2025 (2024 — $12.5 million) relates to the estimated applicable foreign withholding taxes associated with historical earnings that were not indefinitely reinvested which will become payable upon the repatriation of any such earnings. During the year ended December 31, 2025, $nil (2024 — $nil) of historical earnings from a subsidiary in China were distributed and as a result, $nil (2024 — $nil) of foreign withholding taxes were paid to the relevant tax authorities.</w:t>
      </w:r>
    </w:p>
    <w:p>
      <w:pPr>
        <w:spacing w:after="0" w:line="336"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net deferred tax assets included a liability of $1.6 million (December 31, 2024 — liability of $0.4 million) associated with amounts recognized within Accumulated Other Comprehensive Loss, including unrealized actuarial gains and losses related to the Company’s pension and other postretirement benefit plans and unrealized net gains and losses on cash flow hedging instruments.</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Carryforwards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Estimated Canadian net operating loss carryforwards of $40.0 million can be used to reduce taxable income through 2044 and $1.4 million of Ireland net operating losses can be carried forward indefinitely. Investment tax credits and other tax credits of $7.8 million can be carried forward to reduce income taxes payable through to 2045.</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Indefinitely Reinvested Assertion</w:t>
      </w:r>
    </w:p>
    <w:p>
      <w:pPr>
        <w:spacing w:after="0" w:line="255"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Income taxes are accrued for the earnings of non-Canadian affiliates and associated companies unless management determines that such earnings will be indefinitely reinvested outside of Canada.</w:t>
      </w:r>
    </w:p>
    <w:p>
      <w:pPr>
        <w:spacing w:after="0" w:line="18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During the year ended December 31, 2025, $nil (2024 — $nil) of historical earnings from a subsidiary in China were distributed and, as a result, $nil (2024 — $nil) of foreign withholding taxes were paid to the relevant tax authorities. The Company had a deferred tax liability of $12.5 million as of December 31, 2025 (2024 — $12.5 million) related to the estimated applicable foreign withholding taxes associated with these historical earnings.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As of December 31, 2025, the Company’s Consolidated Balance Sheets include net deferred income tax assets of $12.6 million, which is net of a valuation allowance of $59.9 million (December 31, 2024 — $14.5 million, which is net of a valuation allowance of $65.6 million). For the year ended December 31, 2025, the Company recorded a net decrease in valuation allowance of $5.7 million (2024 — net increase of $3.5 million). The net decrease includes $4.7 million in reporting entities where it was concluded that it is more likely than not that the benefit from deferred tax assets will not be realized, $1.2 million related to deferred assets recorded in Other Comprehensive Income, and $1.3 million related to tax return and other tax adjustments. This was partially offset by an increase of $1.2 million related deferred assets on investment tax credits and $0.4 million for items recorded through Shareholders’ Equity. The net decrease in the valuation allowance is reflected within Income Tax Expense in the Company’s Consolidated Statements of Operations and a portion in Other Equity in the Consolidated Balance Sheets. The valuation allowance is expected to reverse at the point in time when management determines it is more likely than not that the Company will incur sufficient tax liabilities to allow it to utilize the deferred tax assets against which the valuation allowance is recorded.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As of December 31, 2025, the Company had total tax reserves (including interest and penalties) of $11.3 million (2024 — $10.6 million) for various uncertain tax positions. While the Company believes it has adequately provided for all tax positions, amounts asserted by taxing authorities could differ from the Company’s accrued liability. Accordingly, additional provisions on federal, provincial, state and foreign tax-related matters may be required in the future as revised estimates are made or the underlying matters are settled or otherwise resolved.</w:t>
      </w:r>
    </w:p>
    <w:p>
      <w:pPr>
        <w:spacing w:after="0" w:line="20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the Company recorded a net increase of $nil (2024 — decrease of $1.6 million, 2023 — decrease of $0.8 million) related to tax reserves (excluding interest and penalties).</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has elected to classify interest and penalties related to income tax liabilities, when applicable, as part of the Income Tax Expense in its Consolidated Statements of Operations rather than Interest Expense. The Company recorded a net increase of $0.8 million in potential interest and penalties associated with its provision for uncertain tax positions for the years ended December 31, 2025 (2024 — $0.1 million; 2023 — $0.6 million).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amount of tax reserves (excluding interest and penalties)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24"/>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resulting from lapse of applicable statute of limitations and</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practices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number of years with open tax audits varies depending on the tax jurisdiction. The Company’s material taxing jurisdictions include Canada, the United States, Ireland, and China. The Company’s 2022 through 2025 tax years remain subject to examination by the IRS for United States federal tax purposes, and the 2017 through 2025 tax years remain subject to examination by the appropriate governmental agencies for Canadian federal tax purposes. There are other ongoing audits in various other jurisdictions that are not material to the Consolidated Financial Statements.</w:t>
      </w:r>
    </w:p>
    <w:p>
      <w:pPr>
        <w:spacing w:after="0" w:line="207"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 is subject to audit by tax authorities in the various jurisdictions in which it operates in the ordinary course of its business and believes that it has adequately reserved for the expected exposures in its accounts. During the fourth quarter of 2022, the Company received a Notice of Reassessment (the “Reassessment”) in the amount of $13.2 million (inclusive of interest). A revised Reassessment was issued by the Canada Revenue Agency in June 2024 to reduce the amount previously reassessed to $3.0 million (inclusive of interest). The Company has filed a Notice of Objection with respect to this Reassessment and believes that the matter will be resolved on a basis that is consistent with its filing position.</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 Buyback Tax</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Legislation to introduce a 2% tax on the value of certain share buybacks net of share issuances by publicly traded Canadian-resident corporations was enacted during the second quarter of 2024. The tax applies to net share repurchases on or after January 1, 2024, with certain exceptions. The tax is imposed on the repurchasing corporation itself and will be included in the cost basis of the repurchased treasury stock. During the year ended December 31, 2025, the Company has recorded $nil share buyback tax as the Company did not have any share buybacks during the year.</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One Big Beautiful Bill Act</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Key provisions of the Act include revisions to Interest Deductibility (IRC §163(j)), Bonus Depreciation, and Section §179. The Act did not have a material impact on the Company’s consolidated financial statements, including its effective tax rate. The Company will continue to monitor interpretive guidance and assess any future impact, if applicable.</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Pillar Two Legislation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(“OECD”) announced the OECD/G20 Inclusive Framework on Base Erosion and Profit Shifting which agreed to a two-pillar solution to address tax challenges arising from digitalization of the economy. On December 20, 2021, the OECD released Pillar Two Model Rules (“Pillar Two”) defining the global minimum tax rules, which contemplate a 15% minimum tax rate. The OECD continues to release additional guidance, including administrative guidance on how the Pillar Two rules should be interpreted and applied, and many countries are passing legislation to comply with Pillar Two. Canada enacted its Pillar Two rules on June 20, 2024. The Company is under the revenue threshold where Pillar Two would apply and is not currently subject to tax under these rules.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Effect on Other Comprehensive Income</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income tax (expense) benefit related to the components of Other Comprehensive Income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defined benefit plan actuarial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postretirement benefit plan actuarial loss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defined benefit and postretirement benefit plans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change in cash flow hedging instruments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change in cash flow hedging 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Goodwill and Other Intangible Assets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the Company’s total Goodwill was $45.8 million (December 31, 2024 — $52.8 million) of which $39.0 million (December 31, 2024 — $39.0 million) relates to the Technology Products and Services reporting unit and $6.8 million (December 31, 2024 — $13.8 million) relates to the Streaming and Consumer Technology reporting unit (formerly SSIMWAVE reporting unit, refer to Note 20 for additional information).</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Technology Products and Services reporting unit, the Company performed a qualitative impairment test as of September 30, 2025 (annual test date) to evaluate whether it is more likely than not that the fair value of its reporting units was less than their respective carrying amounts. Based on such assessment, the Company concluded, that it is more likely than not that the fair value of any such reporting unit is more than its carrying value.</w:t>
      </w:r>
    </w:p>
    <w:p>
      <w:pPr>
        <w:spacing w:after="0" w:line="203"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The Company performed both a qualitative and quantitative assessment of goodwill impairment for the SSIMWAVE reporting unit as of November 1, 2025 (annual test date). The impairment test indicated that a partial goodwill impairment charge of $7.0 million was required, with $6.8 million of goodwill remaining within the SSIMWAVE reporting unit. The impairment charge was due to a change in the Company’s market focus, resulting in a downward adjustment to the SSIMWAVE reporting unit’s expected cash flows based on the discounted cash flow method. The discounted cash flow method, which estimates fair value based on the present value of future cash flows, required the Company to make various assumptions regarding the timing and amount of these cash flows, including revenue growth rates, projected operating expenditures, and the terminal value of the business at the end of the projection period. The Company’s 2025 assessment includes assumptions about future cash flows based on its internal forecasts, which incorporate the 2026 budget and the long-range plan. The revenue growth rates were based on expected trends supported by market growth projections. The terminal value was estimated using a long-term growth rate that closely approximated inflation. The discount rate determined for the reporting unit was based on the risks of achieving the future cash flows, including risks applicable to the industry and market as a whole, as well as the capital structure of comparable entities. For the impairment test of the SSIMWAVE reporting unit, the Company utilized a discount rate of 15.2% and a revenue growth rate of 25.0% in certain years which represent the most significant assumptions in the model.</w:t>
      </w:r>
    </w:p>
    <w:p>
      <w:pPr>
        <w:spacing w:after="0" w:line="220"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Assumptions and estimates about future cash flows and discount rates are complex and often subjective and require significant judgment. The analysis is dependent on internal forecasts, estimation of the long-term rates of revenue growth for the Company’s reporting units, terminal growth rates, profitability measures, and determination of the discount rates for the reporting units.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Assuming that all other components of the Company’s fair value estimate remain unchanged, an increase of 100 basis points in discount rate increases the impairment by $1.4 million, a 10% decline in forecasted revenue increases the impairment by $3.5 million, and a decrease of 10% in the revenue growth rate increases the impairment by $1.7 million.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Changes to the carrying amount of goodwill for the years ended December 31, 2025 and 2024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3"/>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24"/>
                <w:szCs w:val="24"/>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24"/>
                <w:szCs w:val="2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3"/>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24"/>
                <w:szCs w:val="24"/>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24"/>
                <w:szCs w:val="24"/>
                <w:color w:val="auto"/>
              </w:rPr>
            </w:pPr>
          </w:p>
        </w:tc>
        <w:tc>
          <w:tcPr>
            <w:tcW w:w="13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4"/>
                <w:szCs w:val="14"/>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 and</w:t>
            </w:r>
          </w:p>
        </w:tc>
        <w:tc>
          <w:tcPr>
            <w:tcW w:w="200" w:type="dxa"/>
            <w:vAlign w:val="bottom"/>
          </w:tcPr>
          <w:p>
            <w:pPr>
              <w:spacing w:after="0"/>
              <w:rPr>
                <w:sz w:val="14"/>
                <w:szCs w:val="14"/>
                <w:color w:val="auto"/>
              </w:rPr>
            </w:pPr>
          </w:p>
        </w:tc>
        <w:tc>
          <w:tcPr>
            <w:tcW w:w="13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Impairment</w:t>
            </w:r>
            <w:r>
              <w:rPr>
                <w:rFonts w:ascii="Times New Roman" w:cs="Times New Roman" w:eastAsia="Times New Roman" w:hAnsi="Times New Roman"/>
                <w:sz w:val="18"/>
                <w:szCs w:val="18"/>
                <w:b w:val="1"/>
                <w:bCs w:val="1"/>
                <w:color w:val="auto"/>
                <w:w w:val="97"/>
                <w:vertAlign w:val="superscript"/>
              </w:rPr>
              <w:t>(1)</w:t>
            </w:r>
          </w:p>
        </w:tc>
        <w:tc>
          <w:tcPr>
            <w:tcW w:w="2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Marketing-related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(1)  Refer to “Restructuring Charges and Other Impairments</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i w:val="1"/>
                <w:iCs w:val="1"/>
                <w:color w:val="auto"/>
              </w:rPr>
              <w:t xml:space="preserve"> in Note 25 for additional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 and</w:t>
            </w:r>
          </w:p>
        </w:tc>
        <w:tc>
          <w:tcPr>
            <w:tcW w:w="200" w:type="dxa"/>
            <w:vAlign w:val="bottom"/>
          </w:tcPr>
          <w:p>
            <w:pPr>
              <w:spacing w:after="0"/>
              <w:rPr>
                <w:sz w:val="15"/>
                <w:szCs w:val="15"/>
                <w:color w:val="auto"/>
              </w:rPr>
            </w:pPr>
          </w:p>
        </w:tc>
        <w:tc>
          <w:tcPr>
            <w:tcW w:w="13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88"/>
        </w:trPr>
        <w:tc>
          <w:tcPr>
            <w:tcW w:w="62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 and intellectual property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Marketing-related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During 2025, the Company capitalized $6.7 million related to the development of internal use software, marketing-related intangibles, as well as additions in patents and trademarks (2024 — $8.4 million). The weighted average amortization period for these additions is 5.3 years (2024 — 4.9 years). The net book value of the other intangible assets capitalized in 2025 was $5.5 million as of December 31, 2025 (2024 — $7.0 million).</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During 2025, the Company incurred costs of $0.3 million to renew or extend the term of acquired patents and trademarks which were recorded in Selling, General and Administrative expenses (2024 — $0.5 million; 2023 — $0.4 million).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Fully amortized other intangible assets are still in use by the Company. In 2025, the Company identified and wrote off $0.6 million (2024 — $3.9 million; 2023—$1.0 million) of fully amortized patents and trademarks that are no longer in use.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estimated amortization expense for each of the next five years following the December 31, 2025 balance sheet date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9"/>
        </w:trPr>
        <w:tc>
          <w:tcPr>
            <w:tcW w:w="798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7,225</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552"/>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Borrowings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8"/>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Borrowings, Net</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8"/>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of December 31, 2025 and 2024, Revolving Credit Facility Borrowings, Net included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24"/>
                <w:szCs w:val="24"/>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9"/>
        </w:trPr>
        <w:tc>
          <w:tcPr>
            <w:tcW w:w="7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21"/>
                <w:szCs w:val="21"/>
                <w:color w:val="auto"/>
              </w:rPr>
            </w:pPr>
          </w:p>
        </w:tc>
        <w:tc>
          <w:tcPr>
            <w:tcW w:w="13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(2,423)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7"/>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34,577</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was a party to a Sixth Amended and Restated Credit Agreement, dated March 25, 2022 (the “Credit Agreement”), that provided for a credit facility (the “Credit Facility”). On July 14, 2025, the Company entered into a Seventh Amended and Restated Credit Agreement (the “New Credit Agreement”) with Wells Fargo Bank, National Association, as agent, and a syndicate of lenders party thereto. The facility under the New Credit Agreement (the “New Credit Facility”) matures on July 14, 2030. The Company’s obligations under the New Credit Agreement are guaranteed by certain of the Company’s subsidiaries (the “Guarantors”), and are secured by first-priority security interests in substantially all of the assets of the Company and the Guarantors.</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New Credit Agreement provides for a revolving borrowing capacity of $375.0 million, and contains an uncommitted accordion feature that allows the Company to further increase its borrowing capacity by the greater of $140.0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New Credit Agreement requires that the Company does not exceed a maximum Senior Secured Net Leverage Ratio (as defined therein) of 3.25:1.00 which may be increased under certain circumstances and is tested on the last day of each fiscal quarter. The Company was in compliance with this requirement as of December 31, 2025 as the Senior Secured Net Leverage Ratio was 0.00:1.00.</w:t>
      </w:r>
    </w:p>
    <w:p>
      <w:pPr>
        <w:spacing w:after="0" w:line="20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Loans under the New Credit Facility bear interest, at the Company’s option, at (i) Term Secure Overnight Financing Rate (“Term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be less than 0.00% per annum.</w:t>
      </w:r>
    </w:p>
    <w:p>
      <w:pPr>
        <w:spacing w:after="0" w:line="20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borrowings under the Credit Facility were $37.0 million (December 31, 2024 — $37.0 million) and bore interest at Term SOFR, plus a margin up to 1.50% per annum (December 31, 2024 — 1.75%) based on the Company’s total leverage ratio. The effective interest rate for the year ended December 31, 2025 was 6.07% (2024 — 6.96%).</w:t>
      </w:r>
    </w:p>
    <w:p>
      <w:pPr>
        <w:spacing w:after="0" w:line="203" w:lineRule="exact"/>
        <w:rPr>
          <w:sz w:val="20"/>
          <w:szCs w:val="20"/>
          <w:color w:val="auto"/>
        </w:rPr>
      </w:pPr>
    </w:p>
    <w:p>
      <w:pPr>
        <w:jc w:val="both"/>
        <w:ind w:right="20" w:firstLine="194"/>
        <w:spacing w:after="0" w:line="265" w:lineRule="auto"/>
        <w:rPr>
          <w:sz w:val="20"/>
          <w:szCs w:val="20"/>
          <w:color w:val="auto"/>
        </w:rPr>
      </w:pPr>
      <w:r>
        <w:rPr>
          <w:rFonts w:ascii="Times New Roman" w:cs="Times New Roman" w:eastAsia="Times New Roman" w:hAnsi="Times New Roman"/>
          <w:sz w:val="18"/>
          <w:szCs w:val="18"/>
          <w:color w:val="auto"/>
        </w:rPr>
        <w:t>The New Credit Agreement contains customary affirmative and negative covenants for a transaction of this type, including covenants that limit indebtedness, liens, asset sales, investments, and restricted payments, in each case, subject to negotiated exceptions and baskets. The New Credit Agreement also contains customary representations, warranties, and event of default provisions for a transaction of this type.</w:t>
      </w:r>
    </w:p>
    <w:p>
      <w:pPr>
        <w:sectPr>
          <w:pgSz w:w="11900" w:h="16838" w:orient="portrait"/>
          <w:cols w:equalWidth="0" w:num="1">
            <w:col w:w="11240"/>
          </w:cols>
          <w:pgMar w:left="320" w:top="364"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incurred fees of approximately $2.2 million in connection with the New Credit Agreement, which are being amortized on a straight-line basis over the term of the New Credit Agreement.</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2025 and 2024, the Company had no letters of credit or advance payment guarantees outstanding under the New Credit Facility.</w:t>
      </w:r>
    </w:p>
    <w:p>
      <w:pPr>
        <w:spacing w:after="0" w:line="25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the amount available for future borrowings under the New Credit Facility was $338.0 million (2024 — $263.0 million under the previous Credit Facility).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Within the New Credit Facility, the Company is able to purchase foreign currency forward contracts and/or other swap arrangements. As of December 31, 2025, the net unrealized gain on the Company’s outstanding foreign currency forward contracts was $1.0 million, representing the amount by which the fair value of these forward contracts exceeded their nominal value (2024 — net unrealized loss of $2.0 million; 2023 — net unrealized gain of $0.8 million). As of December 31, 2025, the notional value of the Company’s outstanding foreign currency forward contracts was $48.4 million (December 31, 2024 — $48.4 million).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June 2022, IMAX (Shanghai) Multimedia Technology Co., Ltd. (“IMAX Shanghai”), one of the Company’s majority-owned subsidiaries in China, renewed its unsecured revolving facility with Bank of China for up to 200.0 million Chinese Renminbi (“RMB”) ($28.5 million), including RMB 10.0 million ($1.4 million) for letters of guarantee, to fund ongoing working capital requirements (the “Bank of China Facility”). The Bank of China Facility has been renewed to March 20, 2026.</w:t>
      </w:r>
    </w:p>
    <w:p>
      <w:pPr>
        <w:spacing w:after="0" w:line="20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no borrowings were outstanding under the Bank of China Facility and outstanding letters of guarantee were RMB 1.0 million ($0.1 million).</w:t>
      </w:r>
    </w:p>
    <w:p>
      <w:pPr>
        <w:spacing w:after="0" w:line="18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As of December 31, 2025, the amount available for future borrowings under the Bank of China Facility was RMB 190.0 million ($27.1 million) and the amount available for letters of guarantee was RMB 9.0 million ($1.3 million). The amount available for future borrowings under the Bank of China Facility is not subject to a standby fee. The effective interest rate for the year ended December 31, 2025 was 0% (2024 — 0%). There were no amounts drawn under the Bank of China Facility during the year ended December 31, 2025.</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In June 2022, IMAX Shanghai entered into an unsecured revolving facility for up to RMB 200.0 million ($28.5 million) with HSBC Bank (China) Company Limited, Shanghai Branch to fund ongoing working capital requirements (the “HSBC China Facility”). As of December 31, 2025 and 2024, no borrowings were outstanding under the HSBC China facility. As of December 31, 2025, the amount available for future borrowings under the HSBC China Facility was RMB 200.0 million ($28.5 million). The effective interest rate for the year ended December 31, 2025 was 0% (2024 — 0%). There were no amounts drawn under the HSBC China Facility during the year ended December 31, 2025.</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October 2019, the Company entered into a $5.0 million facility with National Bank of Canada (the “NBC Facility”) fully insured by Export Development Canada for use solely in conjunction with the issuance of performance guarantees and letters of credit. In October 2025, the NBC Facility was renewed to October 8, 2026. The NBC Facility is renewable on the same terms and conditions on an annual basis. The Company did not have any letters of credit or advance payment guarantees outstanding as of December 31, 2025 and 2024 under this facility.</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2025 and December 31, 2024, Convertible Notes and Other Borrowings, Net included the following: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p>
      <w:pPr>
        <w:jc w:val="right"/>
        <w:ind w:right="3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8" w:lineRule="exact"/>
        <w:rPr>
          <w:sz w:val="20"/>
          <w:szCs w:val="20"/>
          <w:color w:val="auto"/>
        </w:rPr>
      </w:pPr>
    </w:p>
    <w:p>
      <w:pPr>
        <w:ind w:left="20"/>
        <w:spacing w:after="0"/>
        <w:tabs>
          <w:tab w:leader="none" w:pos="8600" w:val="left"/>
          <w:tab w:leader="none" w:pos="10300" w:val="left"/>
        </w:tabs>
        <w:rPr>
          <w:sz w:val="20"/>
          <w:szCs w:val="20"/>
          <w:color w:val="auto"/>
        </w:rPr>
      </w:pPr>
      <w:r>
        <w:rPr>
          <w:rFonts w:ascii="Times New Roman" w:cs="Times New Roman" w:eastAsia="Times New Roman" w:hAnsi="Times New Roman"/>
          <w:sz w:val="14"/>
          <w:szCs w:val="14"/>
          <w:i w:val="1"/>
          <w:iCs w:val="1"/>
          <w:color w:val="auto"/>
        </w:rPr>
        <w:t>(In thousands of U.S. Dollars)</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955"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Unamortized discounts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955"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970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 net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tabs>
          <w:tab w:leader="none" w:pos="860" w:val="left"/>
          <w:tab w:leader="none" w:pos="1680" w:val="left"/>
          <w:tab w:leader="none" w:pos="2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250,743</w:t>
        <w:tab/>
        <w:t>$</w:t>
      </w:r>
      <w:r>
        <w:rPr>
          <w:sz w:val="20"/>
          <w:szCs w:val="20"/>
          <w:color w:val="auto"/>
        </w:rPr>
        <w:tab/>
      </w:r>
      <w:r>
        <w:rPr>
          <w:rFonts w:ascii="Times New Roman" w:cs="Times New Roman" w:eastAsia="Times New Roman" w:hAnsi="Times New Roman"/>
          <w:sz w:val="17"/>
          <w:szCs w:val="17"/>
          <w:color w:val="auto"/>
        </w:rPr>
        <w:t>230,000</w:t>
      </w:r>
    </w:p>
    <w:p>
      <w:pPr>
        <w:spacing w:after="0" w:line="62" w:lineRule="exact"/>
        <w:rPr>
          <w:sz w:val="20"/>
          <w:szCs w:val="20"/>
          <w:color w:val="auto"/>
        </w:rPr>
      </w:pPr>
    </w:p>
    <w:p>
      <w:pPr>
        <w:jc w:val="both"/>
        <w:ind w:left="1000"/>
        <w:spacing w:after="0"/>
        <w:tabs>
          <w:tab w:leader="none" w:pos="2680" w:val="left"/>
        </w:tabs>
        <w:rPr>
          <w:sz w:val="20"/>
          <w:szCs w:val="20"/>
          <w:color w:val="auto"/>
        </w:rPr>
      </w:pPr>
      <w:r>
        <w:rPr>
          <w:rFonts w:ascii="Times New Roman" w:cs="Times New Roman" w:eastAsia="Times New Roman" w:hAnsi="Times New Roman"/>
          <w:sz w:val="18"/>
          <w:szCs w:val="18"/>
          <w:color w:val="auto"/>
        </w:rPr>
        <w:t>(7,636)</w:t>
      </w:r>
      <w:r>
        <w:rPr>
          <w:sz w:val="20"/>
          <w:szCs w:val="20"/>
          <w:color w:val="auto"/>
        </w:rPr>
        <w:tab/>
      </w:r>
      <w:r>
        <w:rPr>
          <w:rFonts w:ascii="Times New Roman" w:cs="Times New Roman" w:eastAsia="Times New Roman" w:hAnsi="Times New Roman"/>
          <w:sz w:val="18"/>
          <w:szCs w:val="18"/>
          <w:color w:val="auto"/>
        </w:rPr>
        <w:t>(1,864)</w:t>
      </w:r>
    </w:p>
    <w:p>
      <w:pPr>
        <w:spacing w:after="0" w:line="76" w:lineRule="exact"/>
        <w:rPr>
          <w:sz w:val="20"/>
          <w:szCs w:val="20"/>
          <w:color w:val="auto"/>
        </w:rPr>
      </w:pPr>
    </w:p>
    <w:p>
      <w:pPr>
        <w:ind w:left="880"/>
        <w:spacing w:after="0"/>
        <w:tabs>
          <w:tab w:leader="none" w:pos="2560" w:val="left"/>
        </w:tabs>
        <w:rPr>
          <w:sz w:val="20"/>
          <w:szCs w:val="20"/>
          <w:color w:val="auto"/>
        </w:rPr>
      </w:pPr>
      <w:r>
        <w:rPr>
          <w:rFonts w:ascii="Times New Roman" w:cs="Times New Roman" w:eastAsia="Times New Roman" w:hAnsi="Times New Roman"/>
          <w:sz w:val="18"/>
          <w:szCs w:val="18"/>
          <w:color w:val="auto"/>
        </w:rPr>
        <w:t>243,107</w:t>
      </w:r>
      <w:r>
        <w:rPr>
          <w:sz w:val="20"/>
          <w:szCs w:val="20"/>
          <w:color w:val="auto"/>
        </w:rPr>
        <w:tab/>
      </w:r>
      <w:r>
        <w:rPr>
          <w:rFonts w:ascii="Times New Roman" w:cs="Times New Roman" w:eastAsia="Times New Roman" w:hAnsi="Times New Roman"/>
          <w:sz w:val="18"/>
          <w:szCs w:val="18"/>
          <w:color w:val="auto"/>
        </w:rPr>
        <w:t>228,136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34290</wp:posOffset>
            </wp:positionV>
            <wp:extent cx="20694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364" w:right="33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7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49"/>
        </w:trPr>
        <w:tc>
          <w:tcPr>
            <w:tcW w:w="79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244,034</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2026 Convertible Notes</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“2026 Convertible Notes”) in a private placement conducted pursuant to Rule 144A under the Securities Act of 1933, as amended.</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2026 Convertible Notes are senior unsecured obligations of the Company and bear interest at a rate of 0.500% per annum on the principal of $230.0 million, payable semi-annually in arrears on April 1 and October 1 of each year. The 2026 Convertible Notes will mature on April 1, 2026, unless redeemed or repurchased by the Company or converted on an earlier date.</w:t>
      </w:r>
    </w:p>
    <w:p>
      <w:pPr>
        <w:spacing w:after="0" w:line="20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On November 6, 2025, the Company completed the repurchase of $229.3 million (or 99.7%) of the outstanding principal amount of the 2026 Convertible Notes in separate, privately negotiated repurchase transactions with a limited number of holders for an aggregate repurchase price of approximately $275.5 million, which included accrued and unpaid interest of $0.1 million. The repurchase was funded by the issuance of new notes, as described below under “2030 Convertible Notes” and borrowings under the Company’s New Credit Facility. The Company accounted for the notes repurchase as induced conversions and recognized a $31.5 million charge to Other Equity and $15.3 million of fair value, representing the consideration paid to holders of the 2026 Convertible Notes in excess of the value to which they were entitled to receive pursuant to the original conversion terms, was recorded within Induced conversion expense on settlement of convertible notes in the Company’s Consolidated Statements of Operations.</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From and after January 1, 2026, holders of the remaining outstanding 2026 Convertible Notes may convert their 2026 Convertible Notes at any time at their election until the close of business on the second scheduled trading day immediately before the maturity date. Effective January 1, 2026, the Company made an irrevocable election to settle the principal portion and any applicable conversion premiums of the 2026 Convertible Notes only in cash.</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2026 Convertible Notes, the Company entered into privately negotiated capped call transactions (the “2026 Capped Call Transactions”) with certain financial institutions to reduce potential dilution in connection with the redemption of the 2026 Convertible Notes. In connection with the repurchase of the 2026 Convertible Notes, the Company received $30.7 million in cash in connection with settling certain 2026 Capped Call Transactions. As the Capped Call Transactions were classified as equity, the proceeds from settlement of these Capped Calls were recorded to Other Equity within Shareholders’ Equity in the Company’s Consolidated Statements of Shareholders’ Equity and on the Consolidated Balance Sheets. The remaining outstanding 2026 Capped Call Transactions will expire on April 1, 2026 unless exercised earlier.</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On November 6, 2025, the Company issued $250.0 million of 0.750% Convertible Senior Notes due 2030 (the “2030 Convertible Notes”) in a private placement conducted pursuant to Rue 144A under the Securities Act of 1933, as amended. The net proceeds from the issuance of the 2030 Convertible Notes were $243.1 million, after deducting the initial purchasers’ discounts and commissions.</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2030 Convertible Notes are senior unsecured obligations of the Company and bear interest at a rate of 0.750% per annum on the principal of $250.0 million, payable semi-annually in arrears on May 15 and November 15 of each year. The 2030 Convertible Notes will mature on November 15, 2030, unless they are redeemed or repurchased by the Company or converted on an earlier date.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Holders may convert their notes at their option in the following circumstances:</w:t>
      </w:r>
    </w:p>
    <w:p>
      <w:pPr>
        <w:spacing w:after="0" w:line="251" w:lineRule="exact"/>
        <w:rPr>
          <w:sz w:val="20"/>
          <w:szCs w:val="20"/>
          <w:color w:val="auto"/>
        </w:rPr>
      </w:pPr>
    </w:p>
    <w:p>
      <w:pPr>
        <w:ind w:left="660" w:right="20" w:hanging="329"/>
        <w:spacing w:after="0" w:line="281"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2026 (and only during such calendar quarter), if the last reported sale price per common share of the Company, no par value (“common shares”), exceeds 130% of</w:t>
      </w:r>
    </w:p>
    <w:p>
      <w:pPr>
        <w:sectPr>
          <w:pgSz w:w="11900" w:h="16838" w:orient="portrait"/>
          <w:cols w:equalWidth="0" w:num="1">
            <w:col w:w="11240"/>
          </w:cols>
          <w:pgMar w:left="320" w:top="364" w:right="339" w:bottom="1440" w:gutter="0" w:footer="0" w:header="0"/>
          <w:type w:val="continuous"/>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left="660"/>
        <w:spacing w:after="0" w:line="281" w:lineRule="auto"/>
        <w:rPr>
          <w:sz w:val="20"/>
          <w:szCs w:val="20"/>
          <w:color w:val="auto"/>
        </w:rPr>
      </w:pPr>
      <w:r>
        <w:rPr>
          <w:rFonts w:ascii="Times New Roman" w:cs="Times New Roman" w:eastAsia="Times New Roman" w:hAnsi="Times New Roman"/>
          <w:sz w:val="18"/>
          <w:szCs w:val="18"/>
          <w:color w:val="auto"/>
        </w:rPr>
        <w:t>the conversion price for each of at least 20 trading days, whether or not consecutive, during the 30 consecutive trading days ending on, and including, the last trading day of the immediately preceding calendar quarter;</w:t>
      </w:r>
    </w:p>
    <w:p>
      <w:pPr>
        <w:spacing w:after="0" w:line="189" w:lineRule="exact"/>
        <w:rPr>
          <w:sz w:val="20"/>
          <w:szCs w:val="20"/>
          <w:color w:val="auto"/>
        </w:rPr>
      </w:pPr>
    </w:p>
    <w:p>
      <w:pPr>
        <w:jc w:val="both"/>
        <w:ind w:left="660" w:hanging="329"/>
        <w:spacing w:after="0" w:line="265"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common share on such trading day and the conversion rate on such trading day;</w:t>
      </w:r>
    </w:p>
    <w:p>
      <w:pPr>
        <w:spacing w:after="0" w:line="203"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or distributions on the common shares, as provided in the Indenture;</w:t>
      </w:r>
    </w:p>
    <w:p>
      <w:pPr>
        <w:spacing w:after="0" w:line="250" w:lineRule="exact"/>
        <w:rPr>
          <w:rFonts w:ascii="Times New Roman" w:cs="Times New Roman" w:eastAsia="Times New Roman" w:hAnsi="Times New Roman"/>
          <w:sz w:val="18"/>
          <w:szCs w:val="18"/>
          <w:color w:val="auto"/>
        </w:rPr>
      </w:pPr>
    </w:p>
    <w:p>
      <w:pPr>
        <w:ind w:left="640" w:hanging="309"/>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notes for redemption; and</w:t>
      </w:r>
    </w:p>
    <w:p>
      <w:pPr>
        <w:spacing w:after="0" w:line="250" w:lineRule="exact"/>
        <w:rPr>
          <w:rFonts w:ascii="Times New Roman" w:cs="Times New Roman" w:eastAsia="Times New Roman" w:hAnsi="Times New Roman"/>
          <w:sz w:val="18"/>
          <w:szCs w:val="18"/>
          <w:color w:val="auto"/>
        </w:rPr>
      </w:pPr>
    </w:p>
    <w:p>
      <w:pPr>
        <w:ind w:left="660" w:right="20" w:hanging="329"/>
        <w:spacing w:after="0" w:line="281"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including, August 15, 2030 until the close of business on the second scheduled trading day immediately before the maturity date.</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Upon conversion, the Company will pay or deliver, as applicable, cash or a combination of cash and common shares, at its election, based on the applicable conversion rates. The initial conversion rate is 23.5743 common shares per $1,000 principal amount of 2030 Convertible Notes, which represents an initial conversion price of approximately $42.42 per common share, and is subject to adjustment upon the occurrence of certain events.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below), holders may require the Company to repurchase their 2030 Convertible Notes at a cash repurchase price equal to the principal amount of the 2030 Convertible Notes to be repurchased, plus accrued and unpaid interest, if any. Subject to the terms and conditions of the indenture governing the 2030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212"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In connection with the pricing of the 2030 Convertible Notes, the Company entered into privately negotiated capped call transactions (the “2030 Capped Call Transactions”) with certain financial institutions. The 2030 Capped Call Transactions are expected to reduce potential dilution resulting from the common shares the Company is required to issue and/or to offset any potential cash payments the Company is required to make in excess of the principal amount of the 2030 Convertible Notes in the event that the market price per share of the Company’s common shares is greater than the strike price of the Capped Call Transactions with such reduction and/or offset subject to a cap. The 2030 Capped Call Transactions have an initial cap price of $57.1025 per share of the Company’s common shares, which represents a premium of 75% over the last reported sale price of the common shares when they were priced on November 3, 2025, and are subject to certain adjustments under the terms of the 2030 Capped Call Transactions. Collectively, the 2030 Capped Call Transactions cover, subject to anti-dilution adjustments substantially similar to those applicable to the 2030 Convertible Notes, the number of the Company’s common shares underlying the 2030 Convertible Notes. The cost of the 2030 Capped Call Transactions was approximately $21.9 million, recorded to Other Equity within Shareholders’ Equity in the Company’s Consolidated Statements of Shareholders’ Equity and on the Consolidated Balance Sheets.</w:t>
      </w:r>
    </w:p>
    <w:p>
      <w:pPr>
        <w:spacing w:after="0" w:line="222"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2026 Convertible Notes and the 2030 Convertible Notes are together referred to as the “Convertible Notes”. The 2026 Capped Call Transactions and the 2030 Capped Call Transactions are together referred to as the “Capped Call Transactions”.</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Capped Call Transactions meet all of the applicable criteria for equity classification in accordance with ASC 815-10-15-74(a), “Derivatives and Hedging — Embedded Derivatives — Certain Contracts Involving an Entity’s Own Equity,” and, as a result, the related cost was recorded as a reduction to Other Equity within Shareholders’ Equity in the Company’s Consolidated Statements of Shareholders’ Equity and on the Consolidated Balance Sheets.</w:t>
      </w:r>
    </w:p>
    <w:p>
      <w:pPr>
        <w:spacing w:after="0" w:line="20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on the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Company’s wholly-owned subsidiary, SSIMWAVE Inc., entered into a contribution agreement with the Federal Economic Development Agency for Southern Ontario (the “Federal Economic Development Loan”) on May 29, 2019, under which SSIMWAVE Inc. received $4.2 million Canadian Dollars ($3.2 million) by way of repayable contributions toward certain eligible projects costs. The contributions under the agreement covered 35% of the eligible and supported costs of SSIMWAVE Inc. between January 10, 2019 and December 31, 2022. The contributions were repayable over 60 months, with repayments beginning in January 2024 and an annual interest rate of 0%.</w:t>
      </w:r>
    </w:p>
    <w:p>
      <w:pPr>
        <w:spacing w:after="0" w:line="212"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On January 1, 2024, SSIMWAVE Inc. was amalgamated into the Company. On January 4, 2024, the Federal Economic Development Loan was assigned to the Company with an amendment to the repayment term. The contributions under the assigned agreement are repayable over 36 months beginning January 2024, with an annual interest rate of 0%.</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benefit of the interest-free loan has been determined by calculating the present value of the payments using a market-based interest rate and comparing this to the proceeds received. The benefit is recorded as the interest-free benefit of government funding within Interest Income in the Company’s Consolidated Statements of Operations. The obligation is being accreted to its maturity amount, resulting in an interest accretion expense of $0.2 million in 2025 (2024 — $0.3 million; 2023 — $0.5 million) which is being recorded within Interest Expense in the Company’s Consolidated Statements of Operations.</w:t>
      </w:r>
    </w:p>
    <w:p>
      <w:pPr>
        <w:spacing w:after="0" w:line="212"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the Federal Economic Development Loan had a carrying value of $0.9 million, net of unaccreted interest benefit and was recorded within Convertible Notes and Other Borrowings, Net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 The following table presents a summary of the Company’s contractual obligations and commitments as of December 31,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Years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5"/>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88"/>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Obligation</w:t>
            </w:r>
          </w:p>
        </w:tc>
        <w:tc>
          <w:tcPr>
            <w:tcW w:w="240" w:type="dxa"/>
            <w:vAlign w:val="bottom"/>
          </w:tcPr>
          <w:p>
            <w:pPr>
              <w:spacing w:after="0"/>
              <w:rPr>
                <w:sz w:val="16"/>
                <w:szCs w:val="16"/>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20" w:type="dxa"/>
            <w:vAlign w:val="bottom"/>
          </w:tcPr>
          <w:p>
            <w:pPr>
              <w:spacing w:after="0"/>
              <w:rPr>
                <w:sz w:val="16"/>
                <w:szCs w:val="16"/>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9"/>
        </w:trPr>
        <w:tc>
          <w:tcPr>
            <w:tcW w:w="39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3"/>
        </w:trPr>
        <w:tc>
          <w:tcPr>
            <w:tcW w:w="394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23,480</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Convertible Notes</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Convertible Notes</w:t>
            </w:r>
            <w:r>
              <w:rPr>
                <w:rFonts w:ascii="Times New Roman" w:cs="Times New Roman" w:eastAsia="Times New Roman" w:hAnsi="Times New Roman"/>
                <w:sz w:val="23"/>
                <w:szCs w:val="23"/>
                <w:color w:val="auto"/>
                <w:vertAlign w:val="superscript"/>
              </w:rPr>
              <w:t>(6)</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259,422</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7"/>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67,597</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256,839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payments to be made under binding commitments with suppliers and outstanding payments to be made for supplies ordered, but yet to be invoiced.</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has an unfunded defined benefit pension plan covering its Chief Executive Officer. (Refer to Note 22.)</w:t>
      </w:r>
    </w:p>
    <w:p>
      <w:pPr>
        <w:spacing w:after="0" w:line="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total minimum annual rental payments due under the Company’s operating leases. (Refer to Note 5.)</w:t>
      </w:r>
    </w:p>
    <w:p>
      <w:pPr>
        <w:spacing w:after="0" w:line="14" w:lineRule="exact"/>
        <w:rPr>
          <w:rFonts w:ascii="Times New Roman" w:cs="Times New Roman" w:eastAsia="Times New Roman" w:hAnsi="Times New Roman"/>
          <w:sz w:val="14"/>
          <w:szCs w:val="14"/>
          <w:i w:val="1"/>
          <w:iCs w:val="1"/>
          <w:color w:val="auto"/>
        </w:rPr>
      </w:pPr>
    </w:p>
    <w:p>
      <w:pPr>
        <w:ind w:left="340" w:right="20" w:hanging="314"/>
        <w:spacing w:after="0" w:line="261" w:lineRule="auto"/>
        <w:tabs>
          <w:tab w:leader="none" w:pos="332"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Federal Economic Development Loan is repayable over 36 months, with repayments commencing January 2024. (Refer to “Borrowings — Convertible Notes and Other Borrowings, Net” in Note 13.)</w:t>
      </w:r>
    </w:p>
    <w:p>
      <w:pPr>
        <w:ind w:left="340" w:right="20" w:hanging="314"/>
        <w:spacing w:after="0" w:line="250" w:lineRule="auto"/>
        <w:tabs>
          <w:tab w:leader="none" w:pos="332"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0.500% per annum on the principal of $0.7 million, payable semi-annually in arrears on April 1 and October 1 of each year. The Convertible Notes will mature on April 1, 2026, unless repurchased, redeemed or converted. (Refer to “Borrowings — Convertible Notes and Other Borrowings, Net” in Note 13.)</w:t>
      </w:r>
    </w:p>
    <w:p>
      <w:pPr>
        <w:spacing w:after="0" w:line="1" w:lineRule="exact"/>
        <w:rPr>
          <w:rFonts w:ascii="Times New Roman" w:cs="Times New Roman" w:eastAsia="Times New Roman" w:hAnsi="Times New Roman"/>
          <w:sz w:val="14"/>
          <w:szCs w:val="14"/>
          <w:i w:val="1"/>
          <w:iCs w:val="1"/>
          <w:color w:val="auto"/>
        </w:rPr>
      </w:pPr>
    </w:p>
    <w:p>
      <w:pPr>
        <w:jc w:val="both"/>
        <w:ind w:left="340" w:right="20" w:hanging="314"/>
        <w:spacing w:after="0" w:line="271" w:lineRule="auto"/>
        <w:tabs>
          <w:tab w:leader="none" w:pos="332" w:val="left"/>
        </w:tabs>
        <w:numPr>
          <w:ilvl w:val="0"/>
          <w:numId w:val="6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Convertible Notes bear interest at a rate of 0.750% per annum on the principal of $250.0 million, payable semi-annually in arrears on May 15 and November 15 of each year, beginning on May 15, 2026. The Convertible Notes will mature on November 15, 2030 unless earlier repurchased, redeemed or converted. (Refer to “Borrowings — Convertible Notes and Other Borrowings, Net” in Note 13.)</w:t>
      </w:r>
    </w:p>
    <w:p>
      <w:pPr>
        <w:spacing w:after="0" w:line="337"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compensates its sales force with both fixed and variable compensation. Commissions on the sale or lease of IMAX Systems are payable in graduated amounts from the time of collection of the customer’s first payment to the Company up to the collection of the customer’s last initial payment. As of December 31, 2025, $1.7 million (December 31, 2024 — $2.9 million) of commissions had been accrued and would be payable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Contingencies and Guarantees</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15"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In an order dated November 14, 2024, the Bombay High Court dismissed the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Company’s application. On December 13, 2024, the Company filed an appeal of this order, and on December 30, 2025, the Commercial Appellate Division of the Bombay High Court reversed the 2024 dismissal, rejected E-City’s objections to enforcement of the arbitration award, and recognized the award as a decree of the Court. The Court directed the parties to appear before an Executing Court to proceed with execution of the award. On January 6, 2026, two of the E-City respondents filed a Special Leave Petition requesting that the Supreme Court of India hear an appeal of the matter. The Company fully intends to continue pursuing its rights and seeking to enforce the arbitration award. No amounts have been recognized in connection with this matter.</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Financial Guarantees</w:t>
      </w:r>
    </w:p>
    <w:p>
      <w:pPr>
        <w:spacing w:after="0" w:line="253"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 (Refer to “Borrowings — Convertible Notes and Other Borrowings, Net” in Note 13.)</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on the Consolidated Balance Sheets, was $nil and $0.1 million as of December 31, 2025 and 2024,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Director/Officer Indemnifications</w:t>
      </w:r>
    </w:p>
    <w:p>
      <w:pPr>
        <w:spacing w:after="0" w:line="253" w:lineRule="exact"/>
        <w:rPr>
          <w:sz w:val="20"/>
          <w:szCs w:val="20"/>
          <w:color w:val="auto"/>
        </w:rPr>
      </w:pPr>
    </w:p>
    <w:p>
      <w:pPr>
        <w:jc w:val="both"/>
        <w:ind w:firstLine="194"/>
        <w:spacing w:after="0" w:line="254"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had been accrued on the Company’s Consolidated Balance Sheets as of December 31, 2025 and December 31, 2024 with respect to this indemnity.</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Indemnification Agreements</w:t>
      </w:r>
    </w:p>
    <w:p>
      <w:pPr>
        <w:spacing w:after="0" w:line="253"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Consolidated Financial Statements with respect to the contingent aspect of these indemnities.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Capital Stock</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Authorized Common Shares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The following is a summary of the rights, privileges, restrictions, and conditions of the common shares.</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holders of common shares are entitled to receive dividends, if and when declared by the directors of the Company, subject to the rights of the holders of any other class of shares of the Company entitled to receive dividends in priority to the common shares.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holders of the common shares are entitled to one vote for each common share held at all meetings of the shareholders.</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Settlements of Share-Based Compensation</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settled the exercise of stock options and the vesting of PSUs and RSUs with its common shares. These settlements were either through newly issued common shares from treasury or through</w:t>
      </w:r>
    </w:p>
    <w:p>
      <w:pPr>
        <w:sectPr>
          <w:pgSz w:w="11900" w:h="16838" w:orient="portrait"/>
          <w:cols w:equalWidth="0" w:num="1">
            <w:col w:w="11240"/>
          </w:cols>
          <w:pgMar w:left="320" w:top="363"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of common shares in the open market by the IMAX LTIP trustee. The following table summarizes the settlement of stock option, PSU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transactions: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5"/>
                <w:szCs w:val="15"/>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179,958</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248,763</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options 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179,958</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248,763</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267,314</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190,914</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233,306</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tax withholdings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195,898</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125,312</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PSUs 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463,212</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316,226</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368,602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8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from treasury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528,204</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521,010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514,383</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tax withholdings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191,573</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182,409</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RSUs 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719,777</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703,419</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747,132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5"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Company issues share-based compensation to eligible employees, directors, and consultants under the IMAX LTIP and the China LTIP, as summarized below. On June 3, 2020, the Company’s shareholders approved the IMAX LTIP at its Annual and Special Meeting.</w:t>
      </w:r>
    </w:p>
    <w:p>
      <w:pPr>
        <w:spacing w:after="0" w:line="189"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Awards under the IMAX LTIP may consist of stock options, RSUs, PSUs, and other awards. As of December 31, 2025, the Company only issued RSUs and PSUs under the IMAX LTIP.</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2025, share-based compensation expense totaled $26.6 million (2024 — $22.8 million; 2023 — $23.6 million) and is reflected in the following accounts in the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 and other impairments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As of December 31, 2025, the Company had reserved a total of 4,203,883 (December 31, 2024 — 5,032,849) common shares for future issuance under the IMAX LTIP. Of this amount, 1,818,698 common shares are reserved for the future exercise of stock options (December 31, 2024 — 2,469,238), 1,140,515 common shares are reserved for the future vesting of PSUs (December 31, 2024 — 1,097,634), and 1,244,670 common shares are reserved for the future vesting of RSUs (December 31, 2024 — 1,465,977).</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and SOP Stock Options</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Company’s policy is to issue new common shares from treasury or shares purchased in the open market to satisfy stock options which are exercised. Prior to 2020, the Company issued stock options under the Company’s Stock Option Plan (the “SOP”) as share-based compensation. The Company no longer grants stock option awards as share-based compensation under the IMAX LTIP and SOP.</w:t>
      </w:r>
    </w:p>
    <w:p>
      <w:pPr>
        <w:spacing w:after="0" w:line="203"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All stock options issued under the SOP have vested and expire 10 years or less from the date of the grant. The SOP and IMAX LTIP provide for double-trigger accelerated vesting in the event of a change in control, as defined in each plan.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recorded the following expenses related to stock options issued to employees and directors under the SOP:</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respectively, the Company’s Consolidated Statements of Operations did not include an income tax benefit related to stock option expense.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During the years ended December 31, 2025, 2024, and 2023, the Company did not grant any stock options.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SOP and IMAX LTIP for the years ended December 31, 2025, 2024, and 2023:</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860" w:type="dxa"/>
            <w:vAlign w:val="bottom"/>
          </w:tcPr>
          <w:p>
            <w:pPr>
              <w:spacing w:after="0"/>
              <w:rPr>
                <w:sz w:val="14"/>
                <w:szCs w:val="14"/>
                <w:color w:val="auto"/>
              </w:rPr>
            </w:pPr>
          </w:p>
        </w:tc>
      </w:tr>
      <w:tr>
        <w:trPr>
          <w:trHeight w:val="201"/>
        </w:trPr>
        <w:tc>
          <w:tcPr>
            <w:tcW w:w="3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9"/>
        </w:trPr>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3740" w:type="dxa"/>
            <w:vAlign w:val="bottom"/>
          </w:tcPr>
          <w:p>
            <w:pPr>
              <w:spacing w:after="0"/>
              <w:rPr>
                <w:sz w:val="15"/>
                <w:szCs w:val="15"/>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3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year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3,604,739</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(179,958)</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(248,763)</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(470,582)</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(607,114)</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year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1,818,698</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year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1,818,698</w:t>
            </w: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0"/>
        </w:trPr>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As of December 31, 2025, 1,818,698 options outstanding, which are fully vested and exercisable, with a weighted average exercise price of $25.82, an aggregate intrinsic value of $20.3 million and a weighted average remaining contractual life of 1.7 years. The intrinsic value of options exercised in 2025 was $1.7 million (2024 —$0.9 million; 2023 — $nil).</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w:t>
      </w:r>
    </w:p>
    <w:p>
      <w:pPr>
        <w:spacing w:after="0" w:line="253"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RSUs have been granted to employees and directors under the IMAX LTIP. Each RSU represents a contingent right to receive a common share and is the economic equivalent of one common share. The grant date fair value of each RSU is equal to the share price of the Company’s stock at the grant date or the average closing price of the Company’s common share for five days prior to the date of grant. For the years ended December 31, 2025, 2024, and 2023, the Company recorded the following expenses related to RSUs issued to employees and directors in the IMAX LTIP:</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expenses</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Company’s actual tax benefits realized for the tax deductions related to the vesting of RSUs was $1.3 million for the year ended December 31, 2025 (2024 — $0.7 million; 2023 — $0.8 million).</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accrued liability for granted RSUs was $1.4 million as of December 31, 2025 (December 31, 2024 — $2.6 million).</w:t>
      </w:r>
    </w:p>
    <w:p>
      <w:pPr>
        <w:spacing w:after="0" w:line="25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Total share-based compensation expense related to non-vested RSUs not yet recognized and the weighted average period over which the awards are expected to be recognized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related to non-vested RSUs not yet recognized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period awards are expected to be recognized (in years)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years ended December 31, 2025, 2024, and 2023:</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740" w:type="dxa"/>
            <w:vAlign w:val="bottom"/>
          </w:tcPr>
          <w:p>
            <w:pPr>
              <w:spacing w:after="0"/>
              <w:rPr>
                <w:sz w:val="15"/>
                <w:szCs w:val="15"/>
                <w:color w:val="auto"/>
              </w:rPr>
            </w:pPr>
          </w:p>
        </w:tc>
      </w:tr>
      <w:tr>
        <w:trPr>
          <w:trHeight w:val="188"/>
        </w:trPr>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9"/>
        </w:trPr>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4"/>
        </w:trPr>
        <w:tc>
          <w:tcPr>
            <w:tcW w:w="3740" w:type="dxa"/>
            <w:vAlign w:val="bottom"/>
          </w:tcPr>
          <w:p>
            <w:pPr>
              <w:spacing w:after="0"/>
              <w:rPr>
                <w:sz w:val="15"/>
                <w:szCs w:val="15"/>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3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year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1,465,977</w:t>
            </w: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1,286,830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1,252,044</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559,775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950,342</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900,199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7"/>
        </w:trPr>
        <w:tc>
          <w:tcPr>
            <w:tcW w:w="3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9"/>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(719,777)</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(703,419)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(747,132)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(67,776)</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(118,281)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7"/>
        </w:trPr>
        <w:tc>
          <w:tcPr>
            <w:tcW w:w="3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8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1,244,670</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1,465,977</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1,286,830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Historically, RSUs granted under the IMAX LTIP have vested between immediately and 3 years from the grant date. On June 3 2020, the IMAX LTIP was amended to require a minimum vesting period of one year on future RSU grants, with a carve-out for an aggregate of no more than 5% of the total number of common shares authorized for issuance under the plan that may vest on a shorter schedule. Vesting of the RSUs is subject to continued employment or service with the Company. The following table summarizes the number of RSUs issued from the carve-out balance: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5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
        </w:trPr>
        <w:tc>
          <w:tcPr>
            <w:tcW w:w="96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under the IMAX LTIP</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during previous years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(703,900)</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during 2025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(44,863)</w:t>
            </w:r>
          </w:p>
        </w:tc>
      </w:tr>
      <w:tr>
        <w:trPr>
          <w:trHeight w:val="26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281,237</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Restricted Share Units to Non-Employees</w:t>
      </w:r>
    </w:p>
    <w:p>
      <w:pPr>
        <w:spacing w:after="0" w:line="253"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Company issued 2,200 RSUs to a strategic advisor in 2025 (2024 — 24,982; 2023 — nil), which were fully vested as of December, 31, 2025. These RSUs had a weighted average grant date fair value per share of $25.00 and an expense of $0.1 million in the year ended December 31, 2025.</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issued 42,663 RSUs to Directors in 2025 (2024 — 73,533; 2023 — 63,443). These RSUs had a weighted average grant date fair value per share of $27.42 (2024 — $15.91; 2023 — $18.44) and an expense of $1.2 million for the year ended December 31, 2025 (2024 — $1.2 million; 2023 — $1.2 million)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These expenses are included in the above expense and carve-out tables.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Summary</w:t>
      </w:r>
    </w:p>
    <w:p>
      <w:pPr>
        <w:spacing w:after="0" w:line="253"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PSUs awards, one which vests based on a combination of employee service and the achievement of certain Adjusted EBITDA targets and one which vests based on a combination of employee service and the achievement of total TSR targets. The achievement of the Adjusted EBITDA and TSR targets in these PSUs is determined over a three-year performance period. For PSUs granted as of December 31, 2025, the number of PSUs that ultimately vest can range from 0% to a maximum vesting opportunity of 175% of the initial Adjusted EBITDA PSU award or 150% of the initial TSR PSU award, depending upon actual performance versus the established Adjusted EBITDA and TSR targets, respectively, at the end of the three-year performance period.</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20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w:t>
      </w:r>
    </w:p>
    <w:p>
      <w:pPr>
        <w:sectPr>
          <w:pgSz w:w="11900" w:h="16838" w:orient="portrait"/>
          <w:cols w:equalWidth="0" w:num="1">
            <w:col w:w="11240"/>
          </w:cols>
          <w:pgMar w:left="320" w:top="364"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recorded the following expenses related to outstanding PSUs, which includes adjustments reflecting management’s estimate of the number of PSUs with Adjusted EBITDA targets expected to vest: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 expenses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Company’s actual tax benefits realized for the tax deductions related to the vesting of PSUs was $0.4 million for the year ended December 31, 2025 (2024 ― $0.2 million; 2023 ― $0.3 million).</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Total share-based compensation expense related to non-vested PSUs not yet recognized and the weighted average period over which the awards are expected to be recognized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not yet recognized related to non-vested PSUs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0" w:type="dxa"/>
            <w:vAlign w:val="bottom"/>
          </w:tcPr>
          <w:p>
            <w:pPr>
              <w:spacing w:after="0"/>
              <w:rPr>
                <w:sz w:val="1"/>
                <w:szCs w:val="1"/>
                <w:color w:val="auto"/>
              </w:rPr>
            </w:pPr>
          </w:p>
        </w:tc>
      </w:tr>
      <w:tr>
        <w:trPr>
          <w:trHeight w:val="215"/>
        </w:trPr>
        <w:tc>
          <w:tcPr>
            <w:tcW w:w="6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period awards are expected to be recognized (in years)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6"/>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820" w:type="dxa"/>
            <w:vAlign w:val="bottom"/>
          </w:tcPr>
          <w:p>
            <w:pPr>
              <w:spacing w:after="0"/>
              <w:rPr>
                <w:sz w:val="15"/>
                <w:szCs w:val="15"/>
                <w:color w:val="auto"/>
              </w:rPr>
            </w:pPr>
          </w:p>
        </w:tc>
      </w:tr>
      <w:tr>
        <w:trPr>
          <w:trHeight w:val="188"/>
        </w:trPr>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9"/>
        </w:trPr>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3740" w:type="dxa"/>
            <w:vAlign w:val="bottom"/>
          </w:tcPr>
          <w:p>
            <w:pPr>
              <w:spacing w:after="0"/>
              <w:rPr>
                <w:sz w:val="15"/>
                <w:szCs w:val="15"/>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1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3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year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931,716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6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555,247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580,336</w:t>
            </w:r>
          </w:p>
        </w:tc>
        <w:tc>
          <w:tcPr>
            <w:tcW w:w="140" w:type="dxa"/>
            <w:vAlign w:val="bottom"/>
          </w:tcPr>
          <w:p>
            <w:pPr>
              <w:spacing w:after="0"/>
              <w:rPr>
                <w:sz w:val="23"/>
                <w:szCs w:val="23"/>
                <w:color w:val="auto"/>
              </w:rPr>
            </w:pPr>
          </w:p>
        </w:tc>
        <w:tc>
          <w:tcPr>
            <w:tcW w:w="114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585,602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6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(368,602)</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69"/>
        </w:trPr>
        <w:tc>
          <w:tcPr>
            <w:tcW w:w="3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3"/>
                <w:szCs w:val="23"/>
                <w:color w:val="auto"/>
                <w:vertAlign w:val="superscript"/>
              </w:rPr>
              <w:t>(3)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(49,154)</w:t>
            </w: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(89,097)</w:t>
            </w:r>
          </w:p>
        </w:tc>
        <w:tc>
          <w:tcPr>
            <w:tcW w:w="14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18"/>
                <w:szCs w:val="18"/>
                <w:color w:val="auto"/>
                <w:w w:val="99"/>
              </w:rPr>
              <w:t>(226,095)</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8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1,140,515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1,097,634</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922,621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16" w:lineRule="exact"/>
        <w:rPr>
          <w:sz w:val="20"/>
          <w:szCs w:val="20"/>
          <w:color w:val="auto"/>
        </w:rPr>
      </w:pPr>
    </w:p>
    <w:p>
      <w:pPr>
        <w:jc w:val="both"/>
        <w:ind w:left="20" w:right="20" w:firstLine="6"/>
        <w:spacing w:after="0" w:line="267" w:lineRule="auto"/>
        <w:tabs>
          <w:tab w:leader="none" w:pos="229"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year ended December 31, 2025, the balance of shares granted includes 159,376 (2024 ― 135,511; 2023 ― 157,963) additional shares, at a weighted average grant date fair value per share of $19.18 (2024 ― $19.71; 2023 ― $16.92), as PSUs granted in 2022 (2024 ― 2021; 2023 ― 2020) with Adjusted EBITDA targets vested at 175% on account of full achievement of the targets.</w:t>
      </w:r>
    </w:p>
    <w:p>
      <w:pPr>
        <w:ind w:left="20" w:right="20" w:firstLine="6"/>
        <w:spacing w:after="0" w:line="261" w:lineRule="auto"/>
        <w:tabs>
          <w:tab w:leader="none" w:pos="231"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year ended December 31, 2025, the balance of shares granted includes 17,375 (2024 ― nil; 2023 ― nil) additional shares at a weighted grant date fair value per share of $22.72 (2024 ― $nil; 2023 ― $nil), as PSUs granted in 2022 (2024 ― 2021; 2023 ― 2020) with TSR targets vested at 123.5% based on actual performance versus the targets.</w:t>
      </w:r>
    </w:p>
    <w:p>
      <w:pPr>
        <w:ind w:left="20" w:right="20" w:firstLine="6"/>
        <w:spacing w:after="0" w:line="261" w:lineRule="auto"/>
        <w:tabs>
          <w:tab w:leader="none" w:pos="230" w:val="left"/>
        </w:tabs>
        <w:numPr>
          <w:ilvl w:val="0"/>
          <w:numId w:val="6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2023, forfeited PSUs include the TSR awards granted in 2020 which did not vest as the market condition was not satisfied. The Company recorded an expense of $1.5 million associated with these 104,633 shares that has not been reversed at the time of forfeiture.</w:t>
      </w:r>
    </w:p>
    <w:p>
      <w:pPr>
        <w:spacing w:after="0" w:line="344"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the maximum number of shares of common stock that may be issued with respect to PSUs outstanding was 1,914,989, assuming full achievement of the Adjusted EBITDA and TSR targets.</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China Long-Term Incentive Plan</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Each stock option (“China Option”), RSU, or PSU issued under the China LTIP represents an opportunity to participate economically in the future growth and value creation of IMAX China.</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 connection with the IMAX China IPO and in accordance with the China LTIP, IMAX China adopted a post-IPO share option plan and a post-IPO restricted stock unit plan. Pursuant to these plans, IMAX China has issued additional China Options, China LTIP Performance Stock Units (“China PSUs”), and China LTIP Restricted Share Units (“China RSUs”).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share-based compensation expense related to China Options, China RSUs and China PSUs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Options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 RSUs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PSUs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5"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On June 12, 2017, the Company announced that the Board of Directors approved a $200.0 million share repurchase program for its common shares that would have initially expired on June 30, 2020, which was subsequently extended and increased in the total share repurchase authority to $400.0 million. In June 2025, the Company’s Board of Directors approved a 12-month extension to its share repurchase program through June 30, 2027, and an increase of $100.0 million in the Company’s share repurchase program authorization. With the increase of $100.0 million, the Company’s total share repurchase authority is $500.0 million under the current share repurchase program. As of December 31, 2025, the Company had $250.7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 repurchases during the years ended December 31,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33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98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980" w:type="dxa"/>
            <w:vAlign w:val="bottom"/>
          </w:tcPr>
          <w:p>
            <w:pPr>
              <w:spacing w:after="0"/>
              <w:rPr>
                <w:sz w:val="14"/>
                <w:szCs w:val="14"/>
                <w:color w:val="auto"/>
              </w:rPr>
            </w:pPr>
          </w:p>
        </w:tc>
      </w:tr>
      <w:tr>
        <w:trPr>
          <w:trHeight w:val="188"/>
        </w:trPr>
        <w:tc>
          <w:tcPr>
            <w:tcW w:w="4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80" w:type="dxa"/>
            <w:vAlign w:val="bottom"/>
          </w:tcPr>
          <w:p>
            <w:pPr>
              <w:spacing w:after="0"/>
              <w:rPr>
                <w:sz w:val="16"/>
                <w:szCs w:val="16"/>
                <w:color w:val="auto"/>
              </w:rPr>
            </w:pPr>
          </w:p>
        </w:tc>
      </w:tr>
      <w:tr>
        <w:trPr>
          <w:trHeight w:val="52"/>
        </w:trPr>
        <w:tc>
          <w:tcPr>
            <w:tcW w:w="46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84"/>
        </w:trPr>
        <w:tc>
          <w:tcPr>
            <w:tcW w:w="56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46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6"/>
        </w:trPr>
        <w:tc>
          <w:tcPr>
            <w:tcW w:w="5680" w:type="dxa"/>
            <w:vAlign w:val="bottom"/>
            <w:gridSpan w:val="2"/>
            <w:shd w:val="clear" w:color="auto" w:fill="CCEEFF"/>
          </w:tcPr>
          <w:p>
            <w:pPr>
              <w:jc w:val="right"/>
              <w:ind w:right="4188"/>
              <w:spacing w:after="0"/>
              <w:rPr>
                <w:sz w:val="20"/>
                <w:szCs w:val="20"/>
                <w:color w:val="auto"/>
              </w:rPr>
            </w:pPr>
            <w:r>
              <w:rPr>
                <w:rFonts w:ascii="Times New Roman" w:cs="Times New Roman" w:eastAsia="Times New Roman" w:hAnsi="Times New Roman"/>
                <w:sz w:val="18"/>
                <w:szCs w:val="18"/>
                <w:color w:val="auto"/>
              </w:rPr>
              <w:t>Shares repurchased</w:t>
            </w:r>
          </w:p>
        </w:tc>
        <w:tc>
          <w:tcPr>
            <w:tcW w:w="11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1,166,370</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7"/>
        </w:trPr>
        <w:tc>
          <w:tcPr>
            <w:tcW w:w="4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2025 and 2024, there were no shares purchases in the administration of employee share based plans.</w:t>
      </w:r>
    </w:p>
    <w:p>
      <w:pPr>
        <w:spacing w:after="0" w:line="25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the IMAX LTIP trustee did not hold any shares. Any shares held with the trustee are recorded at cost and are reported as a reduction against Capital Stock on the Company’s Consolidated Balance Sheets.</w:t>
      </w:r>
    </w:p>
    <w:p>
      <w:pPr>
        <w:spacing w:after="0" w:line="189"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2024, IMAX China’s shareholders granted its Board of Directors a general mandate authorizing IMAX China’s Board of Directors, subject to applicable laws, to repurchase shares of IMAX China not to exceed 10% of the total number of issued shares as of June 7, 2024 (34,000,845 shares). This program expired on the date of the 2025 Annual General Meeting of IMAX China on June 12, 2025. During the 2025 Annual General Meeting, shareholders granted its Board of Directors a general mandate authorizing the Board of Directors of IMAX China, subject to applicable laws to repurchase shares of IMAX China not to exceed 10% of the total number of issued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1"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 xml:space="preserve">In 2025, IMAX China repurchased 1,495,900 (2024 ― 119,900) common shares at an average price of HKD 7.56 per share ($0.96 per share) for a total of HKD 11.3 million or U.S. $1.4 million (2024 ― HKD 7.43 per share or $0.95 per share, for a total of HKD 0.9 million or U.S $0.1 million). The change in non-controlling interest as a result of common shares repurchased by IMAX China is recorded within Non-Controlling Interest on the Consolidated Balance Sheets and in the Consolidated Statements of Shareholders’ Equity. The difference between the consideration paid and the ownership interest obtained as a result of IMAX China share repurchases is recorded within Other Equity on the Consolidated Balance Sheets and in the Consolidated Statements of Shareholders’ Equity (Refer to “Summary of Significant Accounting Policies — </w:t>
      </w: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in Note 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IMAX China’s share repurchases during the years ended December 31,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34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980" w:type="dxa"/>
            <w:vAlign w:val="bottom"/>
          </w:tcPr>
          <w:p>
            <w:pPr>
              <w:spacing w:after="0"/>
              <w:rPr>
                <w:sz w:val="15"/>
                <w:szCs w:val="15"/>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980" w:type="dxa"/>
            <w:vAlign w:val="bottom"/>
          </w:tcPr>
          <w:p>
            <w:pPr>
              <w:spacing w:after="0"/>
              <w:rPr>
                <w:sz w:val="15"/>
                <w:szCs w:val="15"/>
                <w:color w:val="auto"/>
              </w:rPr>
            </w:pPr>
          </w:p>
        </w:tc>
      </w:tr>
      <w:tr>
        <w:trPr>
          <w:trHeight w:val="188"/>
        </w:trPr>
        <w:tc>
          <w:tcPr>
            <w:tcW w:w="4600" w:type="dxa"/>
            <w:vAlign w:val="bottom"/>
          </w:tcPr>
          <w:p>
            <w:pPr>
              <w:spacing w:after="0"/>
              <w:rPr>
                <w:sz w:val="16"/>
                <w:szCs w:val="16"/>
                <w:color w:val="auto"/>
              </w:rPr>
            </w:pPr>
          </w:p>
        </w:tc>
        <w:tc>
          <w:tcPr>
            <w:tcW w:w="21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80" w:type="dxa"/>
            <w:vAlign w:val="bottom"/>
          </w:tcPr>
          <w:p>
            <w:pPr>
              <w:spacing w:after="0"/>
              <w:rPr>
                <w:sz w:val="16"/>
                <w:szCs w:val="16"/>
                <w:color w:val="auto"/>
              </w:rPr>
            </w:pPr>
          </w:p>
        </w:tc>
      </w:tr>
      <w:tr>
        <w:trPr>
          <w:trHeight w:val="39"/>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4"/>
        </w:trPr>
        <w:tc>
          <w:tcPr>
            <w:tcW w:w="4600" w:type="dxa"/>
            <w:vAlign w:val="bottom"/>
          </w:tcPr>
          <w:p>
            <w:pPr>
              <w:spacing w:after="0"/>
              <w:rPr>
                <w:sz w:val="15"/>
                <w:szCs w:val="15"/>
                <w:color w:val="auto"/>
              </w:rPr>
            </w:pPr>
          </w:p>
        </w:tc>
        <w:tc>
          <w:tcPr>
            <w:tcW w:w="156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1,495,900</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119,900</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7"/>
        </w:trPr>
        <w:tc>
          <w:tcPr>
            <w:tcW w:w="46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year</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53,260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issued (repurchased),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52,650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53,864</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the calculation of diluted earnings per share excluded 1,908,128 (2024 ― 1,213,884; 2023 ― 3,380,142) shares that were issuable upon the vesting of 623,584 RSUs (2024 ― 416,778; 2023 ― 18,877), the vesting of 993,732 PSUs (2024 ― 796,186; 2023 ― 31,843), and the exercise of 290,812 stock options (2024 ― 920; 2023 ― 3,329,422 ), as the effect would be anti-dilutive.</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year ended December 31, 2025 also excluded any shares potentially issuable upon the conversion of the Convertible Notes as the average market price of the Company’s common shares during the period of time they were outstanding was less than the conversion price of the Convertible Notes. (Refer to “Borrowings — C</w:t>
      </w:r>
      <w:r>
        <w:rPr>
          <w:rFonts w:ascii="Times New Roman" w:cs="Times New Roman" w:eastAsia="Times New Roman" w:hAnsi="Times New Roman"/>
          <w:sz w:val="18"/>
          <w:szCs w:val="18"/>
          <w:i w:val="1"/>
          <w:iCs w:val="1"/>
          <w:color w:val="auto"/>
        </w:rPr>
        <w:t>onvertible Notes and Other Borrowings, Net</w:t>
      </w:r>
      <w:r>
        <w:rPr>
          <w:rFonts w:ascii="Times New Roman" w:cs="Times New Roman" w:eastAsia="Times New Roman" w:hAnsi="Times New Roman"/>
          <w:sz w:val="18"/>
          <w:szCs w:val="18"/>
          <w:color w:val="auto"/>
        </w:rPr>
        <w:t>” in Note 13.)</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their registered capital. The statutory surplus reserve is non-distributable other than during liquidation and may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212"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statutory surplus reserve of RMB 37.7 million ($5.8 million) has reached 50% of its PRC subsidiaries’ registered capital, as such no further contributions to the reserve are required.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Consolidated Statements of Operations Supplemental Information</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Expenses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Applicable to Revenues in the Consolidated Statements of Operations, for the years ended December 31, 2025, 2024, and 2023: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7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spacing w:after="0"/>
              <w:rPr>
                <w:sz w:val="15"/>
                <w:szCs w:val="15"/>
                <w:color w:val="auto"/>
              </w:rPr>
            </w:pPr>
          </w:p>
        </w:tc>
      </w:tr>
      <w:tr>
        <w:trPr>
          <w:trHeight w:val="39"/>
        </w:trPr>
        <w:tc>
          <w:tcPr>
            <w:tcW w:w="37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80" w:type="dxa"/>
            <w:vAlign w:val="bottom"/>
          </w:tcPr>
          <w:p>
            <w:pPr>
              <w:spacing w:after="0"/>
              <w:rPr>
                <w:sz w:val="14"/>
                <w:szCs w:val="14"/>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8"/>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6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80" w:type="dxa"/>
            <w:vAlign w:val="bottom"/>
          </w:tcPr>
          <w:p>
            <w:pPr>
              <w:spacing w:after="0"/>
              <w:rPr>
                <w:sz w:val="16"/>
                <w:szCs w:val="16"/>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9"/>
        </w:trPr>
        <w:tc>
          <w:tcPr>
            <w:tcW w:w="37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3"/>
        </w:trPr>
        <w:tc>
          <w:tcPr>
            <w:tcW w:w="372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6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15,200</w:t>
            </w:r>
          </w:p>
        </w:tc>
      </w:tr>
      <w:tr>
        <w:trPr>
          <w:trHeight w:val="26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6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20,131</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17,037</w:t>
            </w: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right="20" w:hanging="314"/>
        <w:spacing w:after="0" w:line="260" w:lineRule="auto"/>
        <w:tabs>
          <w:tab w:leader="none" w:pos="332" w:val="left"/>
        </w:tabs>
        <w:numPr>
          <w:ilvl w:val="0"/>
          <w:numId w:val="6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4"/>
        <w:spacing w:after="0"/>
        <w:tabs>
          <w:tab w:leader="none" w:pos="340" w:val="left"/>
        </w:tabs>
        <w:numPr>
          <w:ilvl w:val="0"/>
          <w:numId w:val="6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4" w:lineRule="exact"/>
        <w:rPr>
          <w:rFonts w:ascii="Times New Roman" w:cs="Times New Roman" w:eastAsia="Times New Roman" w:hAnsi="Times New Roman"/>
          <w:sz w:val="14"/>
          <w:szCs w:val="14"/>
          <w:i w:val="1"/>
          <w:iCs w:val="1"/>
          <w:color w:val="auto"/>
        </w:rPr>
      </w:pPr>
    </w:p>
    <w:p>
      <w:pPr>
        <w:jc w:val="both"/>
        <w:ind w:left="340" w:right="20" w:hanging="314"/>
        <w:spacing w:after="0" w:line="282" w:lineRule="auto"/>
        <w:tabs>
          <w:tab w:leader="none" w:pos="332" w:val="left"/>
        </w:tabs>
        <w:numPr>
          <w:ilvl w:val="0"/>
          <w:numId w:val="6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5" w:lineRule="exact"/>
        <w:rPr>
          <w:sz w:val="20"/>
          <w:szCs w:val="20"/>
          <w:color w:val="auto"/>
        </w:rPr>
      </w:pPr>
    </w:p>
    <w:p>
      <w:pPr>
        <w:jc w:val="both"/>
        <w:ind w:firstLine="194"/>
        <w:spacing w:after="0" w:line="288" w:lineRule="auto"/>
        <w:rPr>
          <w:sz w:val="20"/>
          <w:szCs w:val="20"/>
          <w:color w:val="auto"/>
        </w:rPr>
      </w:pPr>
      <w:r>
        <w:rPr>
          <w:rFonts w:ascii="Times New Roman" w:cs="Times New Roman" w:eastAsia="Times New Roman" w:hAnsi="Times New Roman"/>
          <w:sz w:val="17"/>
          <w:szCs w:val="17"/>
          <w:color w:val="auto"/>
        </w:rPr>
        <w:t xml:space="preserve">Included in Selling, General and Administrative Expenses for the year ended December 31, 2025 was a foreign currency net loss of less than $0.1 million (2024 — net loss of $1.2 million; 2023 — net loss of $0.7 million) resulting from changes in exchange rates related to foreign currency denominated monetary assets and liabilities. Refer to “Financial Instruments — </w:t>
      </w:r>
      <w:r>
        <w:rPr>
          <w:rFonts w:ascii="Times New Roman" w:cs="Times New Roman" w:eastAsia="Times New Roman" w:hAnsi="Times New Roman"/>
          <w:sz w:val="17"/>
          <w:szCs w:val="17"/>
          <w:i w:val="1"/>
          <w:iCs w:val="1"/>
          <w:color w:val="auto"/>
        </w:rPr>
        <w:t>Foreign Exchange Risk Management</w:t>
      </w:r>
      <w:r>
        <w:rPr>
          <w:rFonts w:ascii="Times New Roman" w:cs="Times New Roman" w:eastAsia="Times New Roman" w:hAnsi="Times New Roman"/>
          <w:sz w:val="17"/>
          <w:szCs w:val="17"/>
          <w:color w:val="auto"/>
        </w:rPr>
        <w:t>” in Note 21 for additional information.</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w:t>
      </w:r>
    </w:p>
    <w:p>
      <w:pPr>
        <w:spacing w:after="0" w:line="25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 xml:space="preserve">Refer to Note 5 for a description of the material terms of the Company’s collaborative JRSAs. The accounting policy for the Company’s JRSAs is disclosed in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w:t>
      </w:r>
    </w:p>
    <w:p>
      <w:pPr>
        <w:spacing w:after="0" w:line="189"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 xml:space="preserve">Revenue attributable to transactions arising between the Company and its customers under JRSAs are recorded within Revenues – Technology Sales (for hybrid JRSAs) and Revenues – Technology Rentals (for traditional JRSAs). For the year ended December 31, 2025, such revenues totaled $81.3 million (2024 — $62.2 million; 2023 — $78.2 million). (Refer to “Revenue from Contracts with Customers — </w:t>
      </w:r>
      <w:r>
        <w:rPr>
          <w:rFonts w:ascii="Times New Roman" w:cs="Times New Roman" w:eastAsia="Times New Roman" w:hAnsi="Times New Roman"/>
          <w:sz w:val="18"/>
          <w:szCs w:val="18"/>
          <w:i w:val="1"/>
          <w:iCs w:val="1"/>
          <w:color w:val="auto"/>
        </w:rPr>
        <w:t>Disaggregated Information About Revenue</w:t>
      </w:r>
      <w:r>
        <w:rPr>
          <w:rFonts w:ascii="Times New Roman" w:cs="Times New Roman" w:eastAsia="Times New Roman" w:hAnsi="Times New Roman"/>
          <w:sz w:val="18"/>
          <w:szCs w:val="18"/>
          <w:color w:val="auto"/>
        </w:rPr>
        <w:t>” in Note 19 for a disaggregated presentation of the Company’s revenues.)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3"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 xml:space="preserve">In a typical IMAX Film Remastering and distribution arrangement, the Company receives a percentage of the box office from a movie studio in exchange for converting a commercial film into the IMAX format and distributing it through the IMAX network. The fee earned by the Company in a typical IMAX Film Remastering and distribution arrangement averages approximately 12.5% of box office on a gross basis before sales taxes except within Greater China, where the Company often receives a lower percentage of net box office due to an incremental importation fee paid by Hollywood studios. All of the Company’s box office results in this Form 10-K are inclusive of China booking fees to be consistent with market reporting of global box office. The accounting policy for the Company’s Film Remastering and distribution arrangements is disclosed in “Summary of Significant Accounting Policies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w:t>
      </w:r>
    </w:p>
    <w:p>
      <w:pPr>
        <w:spacing w:after="0" w:line="211"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 xml:space="preserve">Revenue attributable to transactions arising between the Company and its customers under the Company’s Film Remastering and distribution arrangements are included in Revenues – Image Enhancement and Maintenance Services. For the year ended December 31, 2025, such revenues totaled $142.3 million (2024 — $100.5 million; 2023 — $118.6 million). (Refer to “Revenue from Contracts with Customers — </w:t>
      </w:r>
      <w:r>
        <w:rPr>
          <w:rFonts w:ascii="Times New Roman" w:cs="Times New Roman" w:eastAsia="Times New Roman" w:hAnsi="Times New Roman"/>
          <w:sz w:val="18"/>
          <w:szCs w:val="18"/>
          <w:i w:val="1"/>
          <w:iCs w:val="1"/>
          <w:color w:val="auto"/>
        </w:rPr>
        <w:t>Disaggregated Information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in Note 19 for a disaggregated presentation of the Company’s revenues.)</w:t>
      </w:r>
    </w:p>
    <w:p>
      <w:pPr>
        <w:sectPr>
          <w:pgSz w:w="11900" w:h="16838" w:orient="portrait"/>
          <w:cols w:equalWidth="0" w:num="1">
            <w:col w:w="11240"/>
          </w:cols>
          <w:pgMar w:left="320" w:top="364"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203"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 xml:space="preserve">As of December 31, 2025, the Company was party to one co-produced film arrangement, which represents the VIE total assets balance of $1.7 million and liabilities balance of $0.4 million and four other co-produced film arrangements. The accounting policies relating to co-produced film arrangements are disclosed in “Summary of Significant Accounting Policies — </w:t>
      </w: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in Note 2.</w:t>
      </w:r>
    </w:p>
    <w:p>
      <w:pPr>
        <w:spacing w:after="0" w:line="203"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In 2025, an expense of $0.4 million (2024 — $3.3 million; 2023 — $0.6 million) attributable to transactions between the Company and other parties involved in the production of the films had been included in Costs and Expenses Applicable to Revenues – Image Enhancement and Maintenance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Consolidated Statements of Cash Flows Supplemental Information</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(35,192)</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Cash payments made on account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15,853</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17,812</w:t>
            </w:r>
          </w:p>
        </w:tc>
        <w:tc>
          <w:tcPr>
            <w:tcW w:w="0" w:type="dxa"/>
            <w:vAlign w:val="bottom"/>
          </w:tcPr>
          <w:p>
            <w:pPr>
              <w:spacing w:after="0"/>
              <w:rPr>
                <w:sz w:val="1"/>
                <w:szCs w:val="1"/>
                <w:color w:val="auto"/>
              </w:rPr>
            </w:pPr>
          </w:p>
        </w:tc>
      </w:tr>
      <w:tr>
        <w:trPr>
          <w:trHeight w:val="23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4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0" w:type="dxa"/>
            <w:vAlign w:val="bottom"/>
          </w:tcPr>
          <w:p>
            <w:pPr>
              <w:spacing w:after="0"/>
              <w:rPr>
                <w:sz w:val="1"/>
                <w:szCs w:val="1"/>
                <w:color w:val="auto"/>
              </w:rPr>
            </w:pPr>
          </w:p>
        </w:tc>
      </w:tr>
      <w:tr>
        <w:trPr>
          <w:trHeight w:val="26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0" w:type="dxa"/>
            <w:vAlign w:val="bottom"/>
          </w:tcPr>
          <w:p>
            <w:pPr>
              <w:spacing w:after="0"/>
              <w:rPr>
                <w:sz w:val="1"/>
                <w:szCs w:val="1"/>
                <w:color w:val="auto"/>
              </w:rPr>
            </w:pPr>
          </w:p>
        </w:tc>
      </w:tr>
      <w:tr>
        <w:trPr>
          <w:trHeight w:val="26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65,503</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40" w:right="20" w:hanging="314"/>
        <w:spacing w:after="0" w:line="260" w:lineRule="auto"/>
        <w:tabs>
          <w:tab w:leader="none" w:pos="332" w:val="left"/>
        </w:tabs>
        <w:numPr>
          <w:ilvl w:val="0"/>
          <w:numId w:val="6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laser projection systems, camera, and lens upgrades recorded in Research and development in the Statements of Operations of $0.4 million in the year ended December 31, 2025 (2024 — $0.6 million; 2023 — $0.5 million).</w:t>
      </w:r>
    </w:p>
    <w:p>
      <w:pPr>
        <w:ind w:left="340" w:right="20" w:hanging="314"/>
        <w:spacing w:after="0" w:line="261" w:lineRule="auto"/>
        <w:tabs>
          <w:tab w:leader="none" w:pos="332" w:val="left"/>
        </w:tabs>
        <w:numPr>
          <w:ilvl w:val="0"/>
          <w:numId w:val="6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licenses and intellectual property recorded in Research and development in the Consolidated Statements of Operations of $1.3 million in the year ended December 31, 2025 (2024 — $1.3 million; 2023 — $1.3 million).</w:t>
      </w:r>
    </w:p>
    <w:p>
      <w:pPr>
        <w:ind w:left="340" w:hanging="314"/>
        <w:spacing w:after="0"/>
        <w:tabs>
          <w:tab w:leader="none" w:pos="340" w:val="left"/>
        </w:tabs>
        <w:numPr>
          <w:ilvl w:val="0"/>
          <w:numId w:val="6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the amortization of lessee incentives provided by the Company to its customers under JRSAs.</w:t>
      </w: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 including goodwill and asset impairments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6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(3)</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Film assets</w:t>
            </w:r>
            <w:r>
              <w:rPr>
                <w:rFonts w:ascii="Times New Roman" w:cs="Times New Roman" w:eastAsia="Times New Roman" w:hAnsi="Times New Roman"/>
                <w:sz w:val="23"/>
                <w:szCs w:val="23"/>
                <w:color w:val="auto"/>
                <w:vertAlign w:val="superscript"/>
              </w:rPr>
              <w:t>(4)</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right="20" w:hanging="314"/>
        <w:spacing w:after="0" w:line="270" w:lineRule="auto"/>
        <w:tabs>
          <w:tab w:leader="none" w:pos="332"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2025, the Company recorded write-downs of $0.3 million (2024 — $0.4 million; 2023 — $0.5 million) in Costs and Expenses Applicable to Technology Sales to reduce the carrying value of inventories.</w:t>
      </w:r>
    </w:p>
    <w:p>
      <w:pPr>
        <w:jc w:val="both"/>
        <w:ind w:left="340" w:right="20" w:hanging="314"/>
        <w:spacing w:after="0" w:line="256" w:lineRule="auto"/>
        <w:tabs>
          <w:tab w:leader="none" w:pos="332"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2025, the Company recorded charges of $0.6 million (2024 — $3.4 million; 2023 — $0.8 million) in Costs and Expenses Applicable to Revenues - Technology Rentals mostly related to the write-down of systems under joint revenue sharing arrangements resulting from contract amendments, as well as the write-downs of leased xenon-based digital systems which were taken out of service in connection with customer upgrades to laser-based digital systems.</w:t>
      </w:r>
    </w:p>
    <w:p>
      <w:pPr>
        <w:spacing w:after="0" w:line="1" w:lineRule="exact"/>
        <w:rPr>
          <w:rFonts w:ascii="Times New Roman" w:cs="Times New Roman" w:eastAsia="Times New Roman" w:hAnsi="Times New Roman"/>
          <w:sz w:val="14"/>
          <w:szCs w:val="14"/>
          <w:i w:val="1"/>
          <w:iCs w:val="1"/>
          <w:color w:val="auto"/>
        </w:rPr>
      </w:pPr>
    </w:p>
    <w:p>
      <w:pPr>
        <w:ind w:left="340" w:right="20" w:hanging="314"/>
        <w:spacing w:after="0" w:line="257" w:lineRule="auto"/>
        <w:tabs>
          <w:tab w:leader="none" w:pos="332"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2025, the Company recorded goodwill impairment losses of $7.0 million (2024 — $nil; 2023 — $nil) related to the SSIMWAVE reporting unit, which is part of the Streaming and Consumer Technology operating segment.</w:t>
      </w:r>
    </w:p>
    <w:p>
      <w:pPr>
        <w:ind w:left="340" w:hanging="314"/>
        <w:spacing w:after="0"/>
        <w:tabs>
          <w:tab w:leader="none" w:pos="340" w:val="left"/>
        </w:tabs>
        <w:numPr>
          <w:ilvl w:val="0"/>
          <w:numId w:val="6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2025, the Company recorded impairment losses of $0.2 million (2024 — less than $0.1 million; 2023 — $0.4 million) related to the write-down of content-related film assets.</w:t>
      </w: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accruals related to:</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joint revenue sharing arrangements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69"/>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Refer to Note 5 for supplemental disclosure of non-cash leasing activities.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financing activities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the Company had accrued and not yet paid a $1.0 million liability on the Consolidated Balance Sheets within Accounts Payable related to debt issuance costs for the issuance of the 2030 Convertible Notes.</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In the fourth quarter of 2023, the Company recognized a $1.6 million liability on the Consolidated Balance Sheets within Accounts Payable related to repurchase of its common shares, which settled subsequent to December 31, 2023. No such amounts were recognized in the fourth quarter of 2024 and 2025.</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Revenue from Contracts with Customers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summarize the Company’s revenues by type and reportable segment for the years ended December 31, 2025, 2024, and 2023:</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6"/>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Years Ended December 31, 2025</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5"/>
                <w:szCs w:val="15"/>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1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9"/>
        </w:trPr>
        <w:tc>
          <w:tcPr>
            <w:tcW w:w="3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142,346</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0" w:type="dxa"/>
            <w:vAlign w:val="bottom"/>
          </w:tcPr>
          <w:p>
            <w:pPr>
              <w:spacing w:after="0"/>
              <w:rPr>
                <w:sz w:val="1"/>
                <w:szCs w:val="1"/>
                <w:color w:val="auto"/>
              </w:rPr>
            </w:pPr>
          </w:p>
        </w:tc>
      </w:tr>
      <w:tr>
        <w:trPr>
          <w:trHeight w:val="23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150,266</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81,226</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0" w:type="dxa"/>
            <w:vAlign w:val="bottom"/>
          </w:tcPr>
          <w:p>
            <w:pPr>
              <w:spacing w:after="0"/>
              <w:rPr>
                <w:sz w:val="1"/>
                <w:szCs w:val="1"/>
                <w:color w:val="auto"/>
              </w:rPr>
            </w:pPr>
          </w:p>
        </w:tc>
      </w:tr>
      <w:tr>
        <w:trPr>
          <w:trHeight w:val="23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81,226</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251,277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214,113</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82,218</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402,535</w:t>
            </w: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217,926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82,218</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410,212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7"/>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915"/>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6"/>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Years Ended December 31, 2024</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5"/>
                <w:szCs w:val="15"/>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180" w:type="dxa"/>
            <w:vAlign w:val="bottom"/>
          </w:tcPr>
          <w:p>
            <w:pPr>
              <w:spacing w:after="0"/>
              <w:rPr>
                <w:sz w:val="16"/>
                <w:szCs w:val="16"/>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9"/>
        </w:trPr>
        <w:tc>
          <w:tcPr>
            <w:tcW w:w="3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100,545</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0" w:type="dxa"/>
            <w:vAlign w:val="bottom"/>
          </w:tcPr>
          <w:p>
            <w:pPr>
              <w:spacing w:after="0"/>
              <w:rPr>
                <w:sz w:val="1"/>
                <w:szCs w:val="1"/>
                <w:color w:val="auto"/>
              </w:rPr>
            </w:pPr>
          </w:p>
        </w:tc>
      </w:tr>
      <w:tr>
        <w:trPr>
          <w:trHeight w:val="23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0" w:type="dxa"/>
            <w:vAlign w:val="bottom"/>
          </w:tcPr>
          <w:p>
            <w:pPr>
              <w:spacing w:after="0"/>
              <w:rPr>
                <w:sz w:val="1"/>
                <w:szCs w:val="1"/>
                <w:color w:val="auto"/>
              </w:rPr>
            </w:pPr>
          </w:p>
        </w:tc>
      </w:tr>
      <w:tr>
        <w:trPr>
          <w:trHeight w:val="23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61,565</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62,331</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186,074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62,553</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192,197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62,560</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6"/>
          </w:tcPr>
          <w:p>
            <w:pPr>
              <w:jc w:val="center"/>
              <w:ind w:left="915"/>
              <w:spacing w:after="0"/>
              <w:rPr>
                <w:sz w:val="20"/>
                <w:szCs w:val="20"/>
                <w:color w:val="auto"/>
              </w:rPr>
            </w:pPr>
            <w:r>
              <w:rPr>
                <w:rFonts w:ascii="Times New Roman" w:cs="Times New Roman" w:eastAsia="Times New Roman" w:hAnsi="Times New Roman"/>
                <w:sz w:val="14"/>
                <w:szCs w:val="14"/>
                <w:b w:val="1"/>
                <w:bCs w:val="1"/>
                <w:color w:val="auto"/>
              </w:rPr>
              <w:t>Years Ended December 31, 2023</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Image Enhancement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1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7"/>
                <w:szCs w:val="17"/>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9"/>
        </w:trPr>
        <w:tc>
          <w:tcPr>
            <w:tcW w:w="3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118,637</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0" w:type="dxa"/>
            <w:vAlign w:val="bottom"/>
          </w:tcPr>
          <w:p>
            <w:pPr>
              <w:spacing w:after="0"/>
              <w:rPr>
                <w:sz w:val="1"/>
                <w:szCs w:val="1"/>
                <w:color w:val="auto"/>
              </w:rPr>
            </w:pPr>
          </w:p>
        </w:tc>
      </w:tr>
      <w:tr>
        <w:trPr>
          <w:trHeight w:val="23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0" w:type="dxa"/>
            <w:vAlign w:val="bottom"/>
          </w:tcPr>
          <w:p>
            <w:pPr>
              <w:spacing w:after="0"/>
              <w:rPr>
                <w:sz w:val="1"/>
                <w:szCs w:val="1"/>
                <w:color w:val="auto"/>
              </w:rPr>
            </w:pPr>
          </w:p>
        </w:tc>
      </w:tr>
      <w:tr>
        <w:trPr>
          <w:trHeight w:val="24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0" w:type="dxa"/>
            <w:vAlign w:val="bottom"/>
          </w:tcPr>
          <w:p>
            <w:pPr>
              <w:spacing w:after="0"/>
              <w:rPr>
                <w:sz w:val="1"/>
                <w:szCs w:val="1"/>
                <w:color w:val="auto"/>
              </w:rPr>
            </w:pPr>
          </w:p>
        </w:tc>
      </w:tr>
      <w:tr>
        <w:trPr>
          <w:trHeight w:val="236"/>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183,435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361,001</w:t>
            </w: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December 31, 2025, $28.3 million of consideration had been deferred in relation to outstanding maintenance services to be provided on existing maintenance contracts (December 31, 2024 — $26.5 million and 2023 — $22.8 million).</w:t>
      </w:r>
    </w:p>
    <w:p>
      <w:pPr>
        <w:spacing w:after="0" w:line="211"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$39.0 million of revenue was recognized that was included in the $52.7 million balance of deferred revenue as of December 31, 2024. For the year ended December 31, 2024, $44.5 million of revenue was recognized that was included in the $67.1 million balance of deferred revenue as of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two reportable segments:</w:t>
      </w:r>
    </w:p>
    <w:p>
      <w:pPr>
        <w:spacing w:after="0" w:line="251" w:lineRule="exact"/>
        <w:rPr>
          <w:sz w:val="20"/>
          <w:szCs w:val="20"/>
          <w:color w:val="auto"/>
        </w:rPr>
      </w:pPr>
    </w:p>
    <w:p>
      <w:pPr>
        <w:jc w:val="both"/>
        <w:ind w:left="780" w:hanging="384"/>
        <w:spacing w:after="0" w:line="260" w:lineRule="auto"/>
        <w:tabs>
          <w:tab w:leader="none" w:pos="77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Solutions, consists of services provided to studios and other content creators,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pacing w:after="0" w:line="207" w:lineRule="exact"/>
        <w:rPr>
          <w:rFonts w:ascii="Times New Roman" w:cs="Times New Roman" w:eastAsia="Times New Roman" w:hAnsi="Times New Roman"/>
          <w:sz w:val="18"/>
          <w:szCs w:val="18"/>
          <w:color w:val="auto"/>
        </w:rPr>
      </w:pPr>
    </w:p>
    <w:p>
      <w:pPr>
        <w:jc w:val="both"/>
        <w:ind w:left="780" w:hanging="384"/>
        <w:spacing w:after="0" w:line="265" w:lineRule="auto"/>
        <w:tabs>
          <w:tab w:leader="none" w:pos="7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Products and Services, which includes results from the sale or lease of IMAX Systems, as well as from the maintenance of IMAX Systems to exhibition customers. To a lesser extent, the Technology Product and Services segment also earns revenue from certain ancillary theater business activities, including after-market sales of IMAX System parts and 3D glasses.</w:t>
      </w:r>
    </w:p>
    <w:p>
      <w:pPr>
        <w:spacing w:after="0" w:line="203"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During the fourth quarter of 2025, the Company reorganized its operating and reporting structure to align with the manner in which management evaluates performance for SSIMWAVE and IMAX Enhanced on a combined basis. As a result of this change, certain legacy operating segments were aggregated to form a new operating segment, “Streaming and Consumer Technology”. This operating segment is included in “All Other”, as it does not meet the quantitative criteria for being a reportable segment. Also included within “All Other” are other ancillary activities that do not meet the criteria to be considered a reportable segment.</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profit or loss is not included in the evaluation of performance and allocation of resources.</w:t>
      </w:r>
    </w:p>
    <w:p>
      <w:pPr>
        <w:spacing w:after="0" w:line="232"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CODM uses segment revenues and segment gross margin to allocate resources for each segment predominantly in the annual budget and forecasting process.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years ended December 31, 2025, 2024, and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84"/>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3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74,106</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251,277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234,303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129,946</w:t>
            </w: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402,535</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340,793</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361,001</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182,076</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204,052</w:t>
            </w:r>
          </w:p>
        </w:tc>
      </w:tr>
      <w:tr>
        <w:trPr>
          <w:trHeight w:val="23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w:t>
            </w:r>
          </w:p>
        </w:tc>
      </w:tr>
      <w:tr>
        <w:trPr>
          <w:trHeight w:val="27"/>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410,212</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374,839</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190,200</w:t>
            </w:r>
          </w:p>
        </w:tc>
        <w:tc>
          <w:tcPr>
            <w:tcW w:w="14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214,341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right="20" w:hanging="314"/>
        <w:spacing w:after="0" w:line="281" w:lineRule="auto"/>
        <w:tabs>
          <w:tab w:leader="none" w:pos="332" w:val="left"/>
        </w:tabs>
        <w:numPr>
          <w:ilvl w:val="0"/>
          <w:numId w:val="6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9% of total Revenues as of December 31, 2025 (2024 ― 11%; 2023 ― 10%). No single customer comprises more than 10% of the Company’s total Accounts Receivable as of December 31, 2025 and 2024.</w:t>
      </w:r>
    </w:p>
    <w:p>
      <w:pPr>
        <w:spacing w:after="0" w:line="3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Content Solutions segment that has been made available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CODM as part of the Company’s annual and quarterly financial reporting requirements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380" w:type="dxa"/>
            <w:vAlign w:val="bottom"/>
          </w:tcPr>
          <w:p>
            <w:pPr>
              <w:spacing w:after="0"/>
              <w:rPr>
                <w:sz w:val="20"/>
                <w:szCs w:val="20"/>
                <w:color w:val="auto"/>
              </w:rPr>
            </w:pPr>
          </w:p>
        </w:tc>
        <w:tc>
          <w:tcPr>
            <w:tcW w:w="338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3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126,698</w:t>
            </w:r>
          </w:p>
        </w:tc>
        <w:tc>
          <w:tcPr>
            <w:tcW w:w="0" w:type="dxa"/>
            <w:vAlign w:val="bottom"/>
          </w:tcPr>
          <w:p>
            <w:pPr>
              <w:spacing w:after="0"/>
              <w:rPr>
                <w:sz w:val="1"/>
                <w:szCs w:val="1"/>
                <w:color w:val="auto"/>
              </w:rPr>
            </w:pPr>
          </w:p>
        </w:tc>
      </w:tr>
      <w:tr>
        <w:trPr>
          <w:trHeight w:val="24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asset amortization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0" w:type="dxa"/>
            <w:vAlign w:val="bottom"/>
          </w:tcPr>
          <w:p>
            <w:pPr>
              <w:spacing w:after="0"/>
              <w:rPr>
                <w:sz w:val="1"/>
                <w:szCs w:val="1"/>
                <w:color w:val="auto"/>
              </w:rPr>
            </w:pPr>
          </w:p>
        </w:tc>
      </w:tr>
      <w:tr>
        <w:trPr>
          <w:trHeight w:val="24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Co-produced film participation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 of film assets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51,552</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58,208</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52,592</w:t>
            </w:r>
          </w:p>
        </w:tc>
        <w:tc>
          <w:tcPr>
            <w:tcW w:w="0" w:type="dxa"/>
            <w:vAlign w:val="bottom"/>
          </w:tcPr>
          <w:p>
            <w:pPr>
              <w:spacing w:after="0"/>
              <w:rPr>
                <w:sz w:val="1"/>
                <w:szCs w:val="1"/>
                <w:color w:val="auto"/>
              </w:rPr>
            </w:pPr>
          </w:p>
        </w:tc>
      </w:tr>
      <w:tr>
        <w:trPr>
          <w:trHeight w:val="26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74,106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14"/>
        <w:spacing w:after="0"/>
        <w:tabs>
          <w:tab w:leader="none" w:pos="340" w:val="left"/>
        </w:tabs>
        <w:numPr>
          <w:ilvl w:val="0"/>
          <w:numId w:val="6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film distribution, post production costs, production costs, and network connectivity fees.</w:t>
      </w:r>
    </w:p>
    <w:p>
      <w:pPr>
        <w:spacing w:after="0" w:line="371"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380" w:type="dxa"/>
            <w:vAlign w:val="bottom"/>
          </w:tcPr>
          <w:p>
            <w:pPr>
              <w:spacing w:after="0"/>
              <w:rPr>
                <w:sz w:val="20"/>
                <w:szCs w:val="20"/>
                <w:color w:val="auto"/>
              </w:rPr>
            </w:pPr>
          </w:p>
        </w:tc>
        <w:tc>
          <w:tcPr>
            <w:tcW w:w="338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3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216,062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234,303</w:t>
            </w:r>
          </w:p>
        </w:tc>
        <w:tc>
          <w:tcPr>
            <w:tcW w:w="0" w:type="dxa"/>
            <w:vAlign w:val="bottom"/>
          </w:tcPr>
          <w:p>
            <w:pPr>
              <w:spacing w:after="0"/>
              <w:rPr>
                <w:sz w:val="1"/>
                <w:szCs w:val="1"/>
                <w:color w:val="auto"/>
              </w:rPr>
            </w:pPr>
          </w:p>
        </w:tc>
      </w:tr>
      <w:tr>
        <w:trPr>
          <w:trHeight w:val="24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equipment supporting JRSAs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23,166</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43"/>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 of equipment supporting JRSAs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 of 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79,337</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71,619</w:t>
            </w:r>
          </w:p>
        </w:tc>
        <w:tc>
          <w:tcPr>
            <w:tcW w:w="1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78,149</w:t>
            </w: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108,055</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100,509</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104,357</w:t>
            </w:r>
          </w:p>
        </w:tc>
        <w:tc>
          <w:tcPr>
            <w:tcW w:w="0" w:type="dxa"/>
            <w:vAlign w:val="bottom"/>
          </w:tcPr>
          <w:p>
            <w:pPr>
              <w:spacing w:after="0"/>
              <w:rPr>
                <w:sz w:val="1"/>
                <w:szCs w:val="1"/>
                <w:color w:val="auto"/>
              </w:rPr>
            </w:pPr>
          </w:p>
        </w:tc>
      </w:tr>
      <w:tr>
        <w:trPr>
          <w:trHeight w:val="26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143,222</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115,553</w:t>
            </w:r>
          </w:p>
        </w:tc>
        <w:tc>
          <w:tcPr>
            <w:tcW w:w="14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40" w:right="20" w:hanging="314"/>
        <w:spacing w:after="0" w:line="281" w:lineRule="auto"/>
        <w:tabs>
          <w:tab w:leader="none" w:pos="332" w:val="left"/>
        </w:tabs>
        <w:numPr>
          <w:ilvl w:val="0"/>
          <w:numId w:val="6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the manufacturing and build of IMAX Systems recognized in the period, maintenance and warranty costs, and other product related costs. Also included is a recovery of $0.5 million for insurance proceeds received during the year ended December 31, 2025, associated with inventory costs that were previously written off. The total proceeds received were $0.7 million, and the incremental gain of $0.2 million was recognized in selling, general and administrative expenses.</w:t>
      </w:r>
    </w:p>
    <w:p>
      <w:pPr>
        <w:spacing w:after="0" w:line="316"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Company’s assets by category and reportable segment, reconciled to consolidated assets, as of December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554,866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544,444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659,469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non-segment specific assets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204,091</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158,763</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894,031</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830,398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years ended December 31, 2025, 2024, and 2023:</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144,854</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117,925</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102,343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China)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16,609</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17,881</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410,212</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352,208</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374,839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No single country in the Rest of the World, Western Europe, Latin America, and Asia (excluding Greater China) classifications comprises more than 10% of total revenue.</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breakdown of Property, Plant and Equipment by geography as of December 31, 2025 and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100,422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Financial Instruments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Company maintains cash with various major financial institutions. The Company’s cash is invested with highly rated financial institutions. The Company’s $151.2 million balance of cash and cash equivalents as of December 31, 2025 (December 31, 2024 — $100.6 million) included $137.4 million in cash held outside of Canada (December 31, 2024 — $85.4 million), of which $97.2 million was held in the PRC (December 31, 2024 — $47.5 million).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Variable Consideration, Accounts Payable, and Accrued and Other Liabilities due within one year approximate their fair values due to the short-term maturity of these instruments. Including these instruments, the Company’s financial instruments consist of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6"/>
                <w:szCs w:val="16"/>
                <w:color w:val="auto"/>
              </w:rPr>
            </w:pPr>
          </w:p>
        </w:tc>
        <w:tc>
          <w:tcPr>
            <w:tcW w:w="312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39"/>
        </w:trPr>
        <w:tc>
          <w:tcPr>
            <w:tcW w:w="4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7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620" w:type="dxa"/>
            <w:vAlign w:val="bottom"/>
            <w:gridSpan w:val="3"/>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40" w:type="dxa"/>
            <w:vAlign w:val="bottom"/>
          </w:tcPr>
          <w:p>
            <w:pPr>
              <w:spacing w:after="0"/>
              <w:rPr>
                <w:sz w:val="15"/>
                <w:szCs w:val="15"/>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39"/>
        </w:trPr>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6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Level 1</w:t>
            </w:r>
          </w:p>
        </w:tc>
        <w:tc>
          <w:tcPr>
            <w:tcW w:w="7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151,168</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151,168</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6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Level 2</w:t>
            </w:r>
          </w:p>
        </w:tc>
        <w:tc>
          <w:tcPr>
            <w:tcW w:w="7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(4)</w:t>
            </w:r>
          </w:p>
        </w:tc>
        <w:tc>
          <w:tcPr>
            <w:tcW w:w="76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81,876</w:t>
            </w:r>
          </w:p>
        </w:tc>
        <w:tc>
          <w:tcPr>
            <w:tcW w:w="0" w:type="dxa"/>
            <w:vAlign w:val="bottom"/>
          </w:tcPr>
          <w:p>
            <w:pPr>
              <w:spacing w:after="0"/>
              <w:rPr>
                <w:sz w:val="1"/>
                <w:szCs w:val="1"/>
                <w:color w:val="auto"/>
              </w:rPr>
            </w:pPr>
          </w:p>
        </w:tc>
      </w:tr>
      <w:tr>
        <w:trPr>
          <w:trHeight w:val="269"/>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(4)</w:t>
            </w:r>
          </w:p>
        </w:tc>
        <w:tc>
          <w:tcPr>
            <w:tcW w:w="7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26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(2)</w:t>
            </w:r>
          </w:p>
        </w:tc>
        <w:tc>
          <w:tcPr>
            <w:tcW w:w="7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69"/>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23"/>
                <w:szCs w:val="23"/>
                <w:color w:val="auto"/>
                <w:vertAlign w:val="superscript"/>
              </w:rPr>
              <w:t>(5)</w:t>
            </w:r>
          </w:p>
        </w:tc>
        <w:tc>
          <w:tcPr>
            <w:tcW w:w="7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6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 — designated forwards</w:t>
            </w:r>
            <w:r>
              <w:rPr>
                <w:rFonts w:ascii="Times New Roman" w:cs="Times New Roman" w:eastAsia="Times New Roman" w:hAnsi="Times New Roman"/>
                <w:sz w:val="23"/>
                <w:szCs w:val="23"/>
                <w:color w:val="auto"/>
                <w:vertAlign w:val="superscript"/>
              </w:rPr>
              <w:t>(3)</w:t>
            </w:r>
          </w:p>
        </w:tc>
        <w:tc>
          <w:tcPr>
            <w:tcW w:w="7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69"/>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69"/>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3"/>
                <w:szCs w:val="23"/>
                <w:color w:val="auto"/>
                <w:vertAlign w:val="superscript"/>
              </w:rPr>
              <w:t>(4)</w:t>
            </w:r>
          </w:p>
        </w:tc>
        <w:tc>
          <w:tcPr>
            <w:tcW w:w="7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69"/>
        </w:trPr>
        <w:tc>
          <w:tcPr>
            <w:tcW w:w="4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Convertible Notes</w:t>
            </w:r>
            <w:r>
              <w:rPr>
                <w:rFonts w:ascii="Times New Roman" w:cs="Times New Roman" w:eastAsia="Times New Roman" w:hAnsi="Times New Roman"/>
                <w:sz w:val="23"/>
                <w:szCs w:val="23"/>
                <w:color w:val="auto"/>
                <w:vertAlign w:val="superscript"/>
              </w:rPr>
              <w:t>(6)</w:t>
            </w:r>
          </w:p>
        </w:tc>
        <w:tc>
          <w:tcPr>
            <w:tcW w:w="7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(234,009)</w:t>
            </w:r>
          </w:p>
        </w:tc>
        <w:tc>
          <w:tcPr>
            <w:tcW w:w="0" w:type="dxa"/>
            <w:vAlign w:val="bottom"/>
          </w:tcPr>
          <w:p>
            <w:pPr>
              <w:spacing w:after="0"/>
              <w:rPr>
                <w:sz w:val="1"/>
                <w:szCs w:val="1"/>
                <w:color w:val="auto"/>
              </w:rPr>
            </w:pPr>
          </w:p>
        </w:tc>
      </w:tr>
      <w:tr>
        <w:trPr>
          <w:trHeight w:val="311"/>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2030 Convertible Notes</w:t>
            </w:r>
            <w:r>
              <w:rPr>
                <w:rFonts w:ascii="Times New Roman" w:cs="Times New Roman" w:eastAsia="Times New Roman" w:hAnsi="Times New Roman"/>
                <w:sz w:val="23"/>
                <w:szCs w:val="23"/>
                <w:color w:val="auto"/>
                <w:vertAlign w:val="superscript"/>
              </w:rPr>
              <w:t>(6)</w:t>
            </w:r>
          </w:p>
        </w:tc>
        <w:tc>
          <w:tcPr>
            <w:tcW w:w="7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(278,708)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hanging="314"/>
        <w:spacing w:after="0"/>
        <w:tabs>
          <w:tab w:leader="none" w:pos="340"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Recorded at cost, which approximates fair value.</w:t>
      </w:r>
    </w:p>
    <w:p>
      <w:pPr>
        <w:spacing w:after="0" w:line="1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Recorded at cost net of fair value adjustments and impairment charges.</w:t>
      </w:r>
    </w:p>
    <w:p>
      <w:pPr>
        <w:spacing w:after="0" w:line="8"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prices in active markets.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estimated based on discounting future cash flows at currently available interest rates with comparable terms.</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Measured at cash surrender value, which approximates fair value, for the company-owned life insurance (“COLI”)</w:t>
      </w:r>
    </w:p>
    <w:p>
      <w:pPr>
        <w:spacing w:after="0" w:line="14" w:lineRule="exact"/>
        <w:rPr>
          <w:rFonts w:ascii="Times New Roman" w:cs="Times New Roman" w:eastAsia="Times New Roman" w:hAnsi="Times New Roman"/>
          <w:sz w:val="14"/>
          <w:szCs w:val="14"/>
          <w:i w:val="1"/>
          <w:iCs w:val="1"/>
          <w:color w:val="auto"/>
        </w:rPr>
      </w:pPr>
    </w:p>
    <w:p>
      <w:pPr>
        <w:ind w:left="340" w:hanging="314"/>
        <w:spacing w:after="0"/>
        <w:tabs>
          <w:tab w:leader="none" w:pos="340" w:val="left"/>
        </w:tabs>
        <w:numPr>
          <w:ilvl w:val="0"/>
          <w:numId w:val="7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51"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in 91 different countries, unfavorable exchange rates between applicable local currencies and the U.S. Dollar could have an impact on box office receipts and the Company’s revenues and results of operations. The Company’s policy is to not use any financial instruments for trading or other speculative purposes.</w:t>
      </w:r>
    </w:p>
    <w:p>
      <w:pPr>
        <w:spacing w:after="0" w:line="211" w:lineRule="exact"/>
        <w:rPr>
          <w:sz w:val="20"/>
          <w:szCs w:val="20"/>
          <w:color w:val="auto"/>
        </w:rPr>
      </w:pPr>
    </w:p>
    <w:p>
      <w:pPr>
        <w:jc w:val="both"/>
        <w:ind w:firstLine="194"/>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December 31, 2025 (the “Foreign Currency Hedges”), with settlement dates throughout 2026 and 2027. Foreign currency derivatives are recognized and measured on the Consolidated Balance Sheets at fair value. Changes in the fair value (i.e., gains or losses) are recognized in the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(“AOCI”) and reclassified to the Consolidated Statements of Operations when the forecasted transaction occurs. Any ineffective portion is recognized immediately in the Consolidated Statements of Operations.</w:t>
      </w:r>
    </w:p>
    <w:p>
      <w:pPr>
        <w:spacing w:after="0" w:line="2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foreign exchange contracts: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955" cy="1708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p>
      <w:pPr>
        <w:spacing w:after="0" w:line="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Fair value of derivatives in foreign exchange contracts:</w:t>
      </w: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4200" w:val="left"/>
        </w:tabs>
        <w:rPr>
          <w:sz w:val="20"/>
          <w:szCs w:val="20"/>
          <w:color w:val="auto"/>
        </w:rPr>
      </w:pPr>
      <w:r>
        <w:rPr>
          <w:rFonts w:ascii="Times New Roman" w:cs="Times New Roman" w:eastAsia="Times New Roman" w:hAnsi="Times New Roman"/>
          <w:sz w:val="14"/>
          <w:szCs w:val="14"/>
          <w:i w:val="1"/>
          <w:iCs w:val="1"/>
          <w:color w:val="auto"/>
        </w:rPr>
        <w:t>(In thousands of U.S. Dollars)</w:t>
      </w:r>
      <w:r>
        <w:rPr>
          <w:sz w:val="20"/>
          <w:szCs w:val="20"/>
          <w:color w:val="auto"/>
        </w:rPr>
        <w:tab/>
      </w:r>
      <w:r>
        <w:rPr>
          <w:rFonts w:ascii="Times New Roman" w:cs="Times New Roman" w:eastAsia="Times New Roman" w:hAnsi="Times New Roman"/>
          <w:sz w:val="14"/>
          <w:szCs w:val="14"/>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955" cy="1708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p>
      <w:pPr>
        <w:spacing w:after="0" w:line="62" w:lineRule="exact"/>
        <w:rPr>
          <w:sz w:val="20"/>
          <w:szCs w:val="20"/>
          <w:color w:val="auto"/>
        </w:rPr>
      </w:pPr>
    </w:p>
    <w:p>
      <w:pPr>
        <w:ind w:left="140"/>
        <w:spacing w:after="0"/>
        <w:tabs>
          <w:tab w:leader="none" w:pos="4200" w:val="left"/>
        </w:tabs>
        <w:rPr>
          <w:sz w:val="20"/>
          <w:szCs w:val="20"/>
          <w:color w:val="auto"/>
        </w:rPr>
      </w:pPr>
      <w:r>
        <w:rPr>
          <w:rFonts w:ascii="Times New Roman" w:cs="Times New Roman" w:eastAsia="Times New Roman" w:hAnsi="Times New Roman"/>
          <w:sz w:val="18"/>
          <w:szCs w:val="18"/>
          <w:color w:val="auto"/>
        </w:rPr>
        <w:t>Foreign exchange contracts — Forwards</w:t>
      </w:r>
      <w:r>
        <w:rPr>
          <w:sz w:val="20"/>
          <w:szCs w:val="20"/>
          <w:color w:val="auto"/>
        </w:rPr>
        <w:tab/>
      </w: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955" cy="1708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4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Accrued and other liabilities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955" cy="4445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955" cy="444500"/>
                    </a:xfrm>
                    <a:prstGeom prst="rect">
                      <a:avLst/>
                    </a:prstGeom>
                    <a:noFill/>
                  </pic:spPr>
                </pic:pic>
              </a:graphicData>
            </a:graphic>
          </wp:anchor>
        </w:drawing>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Gain (Loss)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2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Recognized in AOCI</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(Effective Portion)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97"/>
        </w:trPr>
        <w:tc>
          <w:tcPr>
            <w:tcW w:w="302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20" w:type="dxa"/>
            <w:vAlign w:val="bottom"/>
            <w:vMerge w:val="continue"/>
          </w:tcPr>
          <w:p>
            <w:pPr>
              <w:spacing w:after="0"/>
              <w:rPr>
                <w:sz w:val="16"/>
                <w:szCs w:val="16"/>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955" cy="307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955" cy="307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41910</wp:posOffset>
            </wp:positionV>
            <wp:extent cx="20694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61" w:lineRule="exact"/>
        <w:rPr>
          <w:sz w:val="20"/>
          <w:szCs w:val="20"/>
          <w:color w:val="auto"/>
        </w:rPr>
      </w:pPr>
    </w:p>
    <w:p>
      <w:pPr>
        <w:ind w:left="1700"/>
        <w:spacing w:after="0"/>
        <w:tabs>
          <w:tab w:leader="none" w:pos="33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44" w:lineRule="exact"/>
        <w:rPr>
          <w:sz w:val="20"/>
          <w:szCs w:val="20"/>
          <w:color w:val="auto"/>
        </w:rPr>
      </w:pPr>
    </w:p>
    <w:p>
      <w:pPr>
        <w:jc w:val="both"/>
        <w:ind w:left="1080"/>
        <w:spacing w:after="0"/>
        <w:tabs>
          <w:tab w:leader="none" w:pos="2040" w:val="left"/>
          <w:tab w:leader="none" w:pos="2760" w:val="left"/>
          <w:tab w:leader="none" w:pos="3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48,357</w:t>
        <w:tab/>
        <w:t>$</w:t>
      </w:r>
      <w:r>
        <w:rPr>
          <w:sz w:val="20"/>
          <w:szCs w:val="20"/>
          <w:color w:val="auto"/>
        </w:rPr>
        <w:tab/>
      </w:r>
      <w:r>
        <w:rPr>
          <w:rFonts w:ascii="Times New Roman" w:cs="Times New Roman" w:eastAsia="Times New Roman" w:hAnsi="Times New Roman"/>
          <w:sz w:val="17"/>
          <w:szCs w:val="17"/>
          <w:color w:val="auto"/>
        </w:rPr>
        <w:t>48,376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34290</wp:posOffset>
            </wp:positionV>
            <wp:extent cx="2069465"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694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41910</wp:posOffset>
            </wp:positionV>
            <wp:extent cx="20694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spacing w:after="0" w:line="61"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492"/>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9"/>
        </w:trPr>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41910</wp:posOffset>
            </wp:positionV>
            <wp:extent cx="31470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47060" cy="8255"/>
                    </a:xfrm>
                    <a:prstGeom prst="rect">
                      <a:avLst/>
                    </a:prstGeom>
                    <a:noFill/>
                  </pic:spPr>
                </pic:pic>
              </a:graphicData>
            </a:graphic>
          </wp:anchor>
        </w:drawing>
      </w:r>
    </w:p>
    <w:p>
      <w:pPr>
        <w:spacing w:after="0" w:line="61" w:lineRule="exact"/>
        <w:rPr>
          <w:sz w:val="20"/>
          <w:szCs w:val="20"/>
          <w:color w:val="auto"/>
        </w:rPr>
      </w:pPr>
    </w:p>
    <w:p>
      <w:pPr>
        <w:spacing w:after="0"/>
        <w:tabs>
          <w:tab w:leader="none" w:pos="1680" w:val="left"/>
          <w:tab w:leader="none" w:pos="33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50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(3,455)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581"/>
        </w:trPr>
        <w:tc>
          <w:tcPr>
            <w:tcW w:w="94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66"/>
        </w:trPr>
        <w:tc>
          <w:tcPr>
            <w:tcW w:w="9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500" w:type="dxa"/>
            <w:vAlign w:val="bottom"/>
          </w:tcPr>
          <w:p>
            <w:pPr>
              <w:spacing w:after="0"/>
              <w:rPr>
                <w:sz w:val="24"/>
                <w:szCs w:val="24"/>
                <w:color w:val="auto"/>
              </w:rPr>
            </w:pPr>
          </w:p>
        </w:tc>
        <w:tc>
          <w:tcPr>
            <w:tcW w:w="128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24"/>
                <w:szCs w:val="24"/>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-334010</wp:posOffset>
            </wp:positionV>
            <wp:extent cx="31470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4706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6400" w:space="520"/>
            <w:col w:w="4320"/>
          </w:cols>
          <w:pgMar w:left="320" w:top="364" w:right="339" w:bottom="1440" w:gutter="0" w:footer="0" w:header="0"/>
        </w:sectPr>
      </w:pPr>
    </w:p>
    <w:tbl>
      <w:tblPr>
        <w:tblLayout w:type="fixed"/>
        <w:tblInd w:w="2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2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administrative expenses</w:t>
            </w: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bl>
    <w:p>
      <w:pPr>
        <w:spacing w:after="0" w:line="34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Company’s estimated net amount of the existing gain as of December 31, 2025 is $0.8 million (2024 — loss of $2.0 million), which is expected to be reclassified to earnings within the next twelve months.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As of December 31, 2025, the Company held investments in the preferred shares of enterprises which meet the criteria for classification as an equity security carried at historical cost, net of impairment charges. During the year ended December 31, 2025, the Company recorded an impairment charge of $1.0 million on the investment in equity securities as the carrying value exceeded the estimated fair value. The carrying value of these equity security investments was $nil as of December 31, 2025 (December 31, 2024 — $1.0 million) and is recorded in Other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Employers Pension and Postretirement Benefits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6 months after the termination of his employment, at which time Mr. Gelfond will be entitled to receive interest on the deferred amount credited at the applicable federal rate for short-term obligations. Pursuant to an amendment to his employment agreement dated July 17, 2025, the term of Mr. Gelfond’s employment was extended through December 31, 2028. Under the terms of his employment agreement, as amended, the total benefit payable to Mr. Gelfond under the SERP is fixed at $20.3 million.</w:t>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December 31, 2025 and 2024, the projected benefit obligation for SERP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17,515</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right="20" w:firstLine="194"/>
        <w:spacing w:after="0" w:line="277" w:lineRule="auto"/>
        <w:rPr>
          <w:sz w:val="20"/>
          <w:szCs w:val="20"/>
          <w:color w:val="auto"/>
        </w:rPr>
      </w:pPr>
      <w:r>
        <w:rPr>
          <w:rFonts w:ascii="Times New Roman" w:cs="Times New Roman" w:eastAsia="Times New Roman" w:hAnsi="Times New Roman"/>
          <w:sz w:val="18"/>
          <w:szCs w:val="18"/>
          <w:color w:val="auto"/>
        </w:rPr>
        <w:t>As of December 31, 2025, 2024, and 2023, the following amounts related to the SERP were recorded on the Company’s Consolidated Balance Sheets within Accumulated Other Comprehensive Loss and will be recognized as components of net periodic benefit cost in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actuarial gain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prior service cost</w:t>
            </w:r>
          </w:p>
        </w:tc>
        <w:tc>
          <w:tcPr>
            <w:tcW w:w="38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costs to be recognized in future periods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the years ended December 31, 2025, 2024, and 2023, the components of pension expense related to the SERP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assumptions were used to determine the SERP obligation and any related costs as of and for the years ended December 31, 2025, 2024, and 2023:</w:t>
      </w:r>
    </w:p>
    <w:p>
      <w:pPr>
        <w:spacing w:after="0" w:line="2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41910</wp:posOffset>
            </wp:positionV>
            <wp:extent cx="33267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ind w:left="6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Lump sum interest rate:</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9"/>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25 years</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20 years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9"/>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living adjustment on benefits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4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No contributions were made for the SERP during 2025. The Company expects interest costs of $0.7 million to be recognized as a component of pension cost for the year ended December 31, 2026.</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2025, the Company contributed and recorded an expense of $1.4 million (2024 — $1.5 million; 2023 — $1.2 million) for its Canadian plan and $0.8 million (2024 — $1.1 million; 2023 — $0.8 million) for its defined contribution employee plan under Section 401(k) of the U.S. Internal Revenue Code.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Co-CEO and Chairman of the Company’s Board of Directors (the “Executive Postretirement Benefit Plan”). The Executive Postretirement Benefit Plan provides that</w:t>
      </w:r>
    </w:p>
    <w:p>
      <w:pPr>
        <w:sectPr>
          <w:pgSz w:w="11900" w:h="16838" w:orient="portrait"/>
          <w:cols w:equalWidth="0" w:num="1">
            <w:col w:w="11240"/>
          </w:cols>
          <w:pgMar w:left="320" w:top="364"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spacing w:after="0" w:line="203"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and 2024, the Company’s Consolidated Balance Sheets included the following amounts within Accrued and Other Liabilities related to the Executive Postretirement Benefit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components of pension (income) expense related to the Executive Postretirement Benefit Plan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27</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24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80" w:type="dxa"/>
            <w:vAlign w:val="bottom"/>
          </w:tcPr>
          <w:p>
            <w:pPr>
              <w:spacing w:after="0"/>
              <w:rPr>
                <w:sz w:val="21"/>
                <w:szCs w:val="21"/>
                <w:color w:val="auto"/>
              </w:rPr>
            </w:pPr>
          </w:p>
        </w:tc>
        <w:tc>
          <w:tcPr>
            <w:tcW w:w="11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w w:val="99"/>
              </w:rPr>
              <w:t>(69)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w w:val="99"/>
              </w:rPr>
              <w:t>(44)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w w:val="99"/>
              </w:rPr>
              <w:t>(42)</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2024, and 2023, the following amounts related to the Executive Postretirement Benefit Plan were recorded on the Company’s Consolidated Balance Sheets within Accumulated Other Comprehensive Loss and will be recognized as components of net pension cost in future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actuarial gain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2024, and 2023, the weighted average assumptions used to determine the benefit obligation related to the Executive Postretirement Benefit Plan were as follows:</w:t>
      </w:r>
    </w:p>
    <w:p>
      <w:pPr>
        <w:spacing w:after="0" w:line="2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41910</wp:posOffset>
            </wp:positionV>
            <wp:extent cx="33267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6"/>
        </w:trPr>
        <w:tc>
          <w:tcPr>
            <w:tcW w:w="7040" w:type="dxa"/>
            <w:vAlign w:val="bottom"/>
            <w:gridSpan w:val="2"/>
            <w:shd w:val="clear" w:color="auto" w:fill="CCEEFF"/>
          </w:tcPr>
          <w:p>
            <w:pPr>
              <w:jc w:val="right"/>
              <w:ind w:right="6060"/>
              <w:spacing w:after="0"/>
              <w:rPr>
                <w:sz w:val="20"/>
                <w:szCs w:val="20"/>
                <w:color w:val="auto"/>
              </w:rPr>
            </w:pPr>
            <w:r>
              <w:rPr>
                <w:rFonts w:ascii="Times New Roman" w:cs="Times New Roman" w:eastAsia="Times New Roman" w:hAnsi="Times New Roman"/>
                <w:sz w:val="18"/>
                <w:szCs w:val="18"/>
                <w:color w:val="auto"/>
                <w:w w:val="99"/>
              </w:rPr>
              <w:t>Discount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r>
      <w:tr>
        <w:trPr>
          <w:trHeight w:val="27"/>
        </w:trPr>
        <w:tc>
          <w:tcPr>
            <w:tcW w:w="6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the weighted average assumptions used to determine the net postretirement benefit expense related to the Executive Postretirement Benefit Plan were as follows:</w:t>
      </w:r>
    </w:p>
    <w:p>
      <w:pPr>
        <w:spacing w:after="0" w:line="23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41910</wp:posOffset>
            </wp:positionV>
            <wp:extent cx="33267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6"/>
        </w:trPr>
        <w:tc>
          <w:tcPr>
            <w:tcW w:w="7040" w:type="dxa"/>
            <w:vAlign w:val="bottom"/>
            <w:gridSpan w:val="2"/>
            <w:shd w:val="clear" w:color="auto" w:fill="CCEEFF"/>
          </w:tcPr>
          <w:p>
            <w:pPr>
              <w:jc w:val="right"/>
              <w:ind w:right="6060"/>
              <w:spacing w:after="0"/>
              <w:rPr>
                <w:sz w:val="20"/>
                <w:szCs w:val="20"/>
                <w:color w:val="auto"/>
              </w:rPr>
            </w:pPr>
            <w:r>
              <w:rPr>
                <w:rFonts w:ascii="Times New Roman" w:cs="Times New Roman" w:eastAsia="Times New Roman" w:hAnsi="Times New Roman"/>
                <w:sz w:val="18"/>
                <w:szCs w:val="18"/>
                <w:color w:val="auto"/>
                <w:w w:val="99"/>
              </w:rPr>
              <w:t>Discount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7"/>
        </w:trPr>
        <w:tc>
          <w:tcPr>
            <w:tcW w:w="6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Executive Postretirement Benefit Plan in each of the next five years and thereafter following the December 31, 2025 balance sheet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9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9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7"/>
        </w:trPr>
        <w:tc>
          <w:tcPr>
            <w:tcW w:w="96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5"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“Canadian Postretirement Benefit Plan”). The Company will provide eligible participants, upon retirement, with health and welfare benefits.</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and 2024, the Company’s Consolidated Balance Sheets included the following amounts within Accrued and Other Liabilities related to the Canadian Postretirement Benefit Plan: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9"/>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9"/>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 beginning of year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7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loss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 end of year and unfunded status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components of pension expense related to the Canadian Postretirement Benefit Plan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42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380" w:type="dxa"/>
            <w:vAlign w:val="bottom"/>
          </w:tcPr>
          <w:p>
            <w:pPr>
              <w:spacing w:after="0"/>
              <w:rPr>
                <w:sz w:val="21"/>
                <w:szCs w:val="21"/>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5"/>
              </w:rPr>
              <w:t>(8)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95"/>
              <w:spacing w:after="0"/>
              <w:rPr>
                <w:sz w:val="20"/>
                <w:szCs w:val="20"/>
                <w:color w:val="auto"/>
              </w:rPr>
            </w:pPr>
            <w:r>
              <w:rPr>
                <w:rFonts w:ascii="Times New Roman" w:cs="Times New Roman" w:eastAsia="Times New Roman" w:hAnsi="Times New Roman"/>
                <w:sz w:val="18"/>
                <w:szCs w:val="18"/>
                <w:color w:val="auto"/>
                <w:w w:val="99"/>
              </w:rPr>
              <w:t>29</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expects interest costs of $0.1 million to be recognized as a component of benefit cost for the year ended December 31, 2026.</w:t>
      </w:r>
    </w:p>
    <w:p>
      <w:pPr>
        <w:spacing w:after="0" w:line="25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2024, and 2023, the following amounts related to the Canadian Postretirement Benefit Plan were recorded on the Company’s Consolidated Balance Sheets within Accumulated Other Comprehensive Loss and will be recognized as components of net pension cost in future periods: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actuarial gain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December 31, 2025, 2024, and 2023, the weighted average assumptions used to determine the benefit obligation related to the Canadian Postretirement Benefit Plan are as follows:</w:t>
      </w:r>
    </w:p>
    <w:p>
      <w:pPr>
        <w:spacing w:after="0" w:line="2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41910</wp:posOffset>
            </wp:positionV>
            <wp:extent cx="33267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6"/>
        </w:trPr>
        <w:tc>
          <w:tcPr>
            <w:tcW w:w="7040" w:type="dxa"/>
            <w:vAlign w:val="bottom"/>
            <w:gridSpan w:val="2"/>
            <w:shd w:val="clear" w:color="auto" w:fill="CCEEFF"/>
          </w:tcPr>
          <w:p>
            <w:pPr>
              <w:jc w:val="right"/>
              <w:ind w:right="6060"/>
              <w:spacing w:after="0"/>
              <w:rPr>
                <w:sz w:val="20"/>
                <w:szCs w:val="20"/>
                <w:color w:val="auto"/>
              </w:rPr>
            </w:pPr>
            <w:r>
              <w:rPr>
                <w:rFonts w:ascii="Times New Roman" w:cs="Times New Roman" w:eastAsia="Times New Roman" w:hAnsi="Times New Roman"/>
                <w:sz w:val="18"/>
                <w:szCs w:val="18"/>
                <w:color w:val="auto"/>
                <w:w w:val="99"/>
              </w:rPr>
              <w:t>Discount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r>
      <w:tr>
        <w:trPr>
          <w:trHeight w:val="27"/>
        </w:trPr>
        <w:tc>
          <w:tcPr>
            <w:tcW w:w="6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8"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2025, 2024, and 2023, the weighted average assumptions used to determine the net postretirement benefit expense related to the Canadian Postretirement Benefit Plan were as follows:</w:t>
      </w:r>
    </w:p>
    <w:p>
      <w:pPr>
        <w:spacing w:after="0" w:line="23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41910</wp:posOffset>
            </wp:positionV>
            <wp:extent cx="33267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2676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66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6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6"/>
        </w:trPr>
        <w:tc>
          <w:tcPr>
            <w:tcW w:w="7040" w:type="dxa"/>
            <w:vAlign w:val="bottom"/>
            <w:gridSpan w:val="2"/>
            <w:shd w:val="clear" w:color="auto" w:fill="CCEEFF"/>
          </w:tcPr>
          <w:p>
            <w:pPr>
              <w:jc w:val="right"/>
              <w:ind w:right="6060"/>
              <w:spacing w:after="0"/>
              <w:rPr>
                <w:sz w:val="20"/>
                <w:szCs w:val="20"/>
                <w:color w:val="auto"/>
              </w:rPr>
            </w:pPr>
            <w:r>
              <w:rPr>
                <w:rFonts w:ascii="Times New Roman" w:cs="Times New Roman" w:eastAsia="Times New Roman" w:hAnsi="Times New Roman"/>
                <w:sz w:val="18"/>
                <w:szCs w:val="18"/>
                <w:color w:val="auto"/>
                <w:w w:val="99"/>
              </w:rPr>
              <w:t>Discount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7"/>
        </w:trPr>
        <w:tc>
          <w:tcPr>
            <w:tcW w:w="6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benefit payments are expected to be made as per the current plan assumptions for the Canadian Postretirement Benefit Plan in each of the next five years and thereafter following the December 31, 2025 balance sheet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9"/>
        </w:trPr>
        <w:tc>
          <w:tcPr>
            <w:tcW w:w="9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9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9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96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207" w:lineRule="exact"/>
        <w:rPr>
          <w:sz w:val="20"/>
          <w:szCs w:val="20"/>
          <w:color w:val="auto"/>
        </w:rPr>
      </w:pPr>
    </w:p>
    <w:p>
      <w:pPr>
        <w:jc w:val="both"/>
        <w:ind w:right="20" w:firstLine="194"/>
        <w:spacing w:after="0" w:line="260" w:lineRule="auto"/>
        <w:rPr>
          <w:sz w:val="20"/>
          <w:szCs w:val="20"/>
          <w:color w:val="auto"/>
        </w:rPr>
      </w:pPr>
      <w:r>
        <w:rPr>
          <w:rFonts w:ascii="Times New Roman" w:cs="Times New Roman" w:eastAsia="Times New Roman" w:hAnsi="Times New Roman"/>
          <w:sz w:val="18"/>
          <w:szCs w:val="18"/>
          <w:color w:val="auto"/>
        </w:rPr>
        <w:t>As of December 31, 2025, the benefit obligation related to the Retirement Plan was $4.4 million (December 31, 2024 — $4.2 million) and was recorded on the Company’s Consolidated Balance Sheets within Accrued and Other Liabilities. As the Retirement Plan is fully vested, the benefit obligation is measured at the present value of the benefits expected to be paid in the future with the accretion of interest recognized in the Consolidated Statements of Operations within Retirement Benefits Non-Service Expense.</w:t>
      </w:r>
    </w:p>
    <w:p>
      <w:pPr>
        <w:spacing w:after="0" w:line="207"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Consolidated Balance Sheets within Prepaid Expenses. As of December 31, 2025, fair value of the COLI asset was $3.8 million (December 31, 2024 — $3.6 million). Gains and losses resulting from changes in the cash surrender value of the COLI asset are recognized in the Consolidated Statements of Operations within Realized and Unrealized Investment Gains.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Government Assistance</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Federal Economic Development Loan</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Note 13, “Borrowings.”</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China Grant</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IMAX China receives local district grants primarily related to taxes paid, including corporate income taxes, value-added taxes, and withholding taxes for dividends and/or cross-border activities. Government grants are recognized in the period the costs were incurred.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2025, $2.5 million (2024 — $2.8 million; 2023 — $5.4 million) was recognized primarily as a reduction in Costs and Expenses Applicable to Revenues and Income Tax Expense. The impact to net income attributable to common shareholders was $1.8 million (2024 — $1.6 million; 2023 — $3.4 million).</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Credit</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In 2025, the Company recognized $4.0 million in benefits received from the Internal Revenue Service under the Employee Retention Credit (“ERC”) program which provides for a refundable tax credit for eligible businesses that had employees and were affected during the COVID-19 pandemic. During the year ended December 31, 2025, the ERC was classified as a reduction to Selling, General and Administrative Expenses ($2.7 million) and Costs and Expenses Applicable to Revenues ($1.3 million). No such credits were received in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Non-Controlling Interests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5" w:lineRule="exact"/>
        <w:rPr>
          <w:sz w:val="20"/>
          <w:szCs w:val="20"/>
          <w:color w:val="auto"/>
        </w:rPr>
      </w:pPr>
    </w:p>
    <w:p>
      <w:pPr>
        <w:jc w:val="both"/>
        <w:ind w:firstLine="194"/>
        <w:spacing w:after="0" w:line="260" w:lineRule="auto"/>
        <w:rPr>
          <w:sz w:val="20"/>
          <w:szCs w:val="20"/>
          <w:color w:val="auto"/>
        </w:rPr>
      </w:pPr>
      <w:r>
        <w:rPr>
          <w:rFonts w:ascii="Times New Roman" w:cs="Times New Roman" w:eastAsia="Times New Roman" w:hAnsi="Times New Roman"/>
          <w:sz w:val="18"/>
          <w:szCs w:val="18"/>
          <w:color w:val="auto"/>
        </w:rPr>
        <w:t>As of December 31, 2025, the Company indirectly owned 71.57% of IMAX China, whose shares trade on the Hong Kong Stock Exchange (December 31, 2024 — 71.40%). IMAX China remains a consolidated subsidiary of the Company. The balance of non- controlling interest in IMAX China as of December 31, 2025 was $89.2 million (December 31, 2024 — $78.1 million). The net income attributable to non-controlling interest of IMAX China for the year ended December 31, 2025 was $10.7 million (2024 — $6.6 million; 2023 — $7.8 million).</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Non-Controlling Interests</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Through December 31, 2025,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 in Temporary Equity</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following summarizes the movement of the non-controlling interest in temporary equity, in the Original Film Fund for the years ended December 31, 2025,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2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680</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spacing w:after="0"/>
              <w:rPr>
                <w:sz w:val="21"/>
                <w:szCs w:val="21"/>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666</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Restructuring Charges and Other Impairments</w:t>
      </w:r>
    </w:p>
    <w:p>
      <w:pPr>
        <w:spacing w:after="0" w:line="255" w:lineRule="exact"/>
        <w:rPr>
          <w:sz w:val="20"/>
          <w:szCs w:val="20"/>
          <w:color w:val="auto"/>
        </w:rPr>
      </w:pPr>
    </w:p>
    <w:p>
      <w:pPr>
        <w:jc w:val="both"/>
        <w:ind w:firstLine="194"/>
        <w:spacing w:after="0" w:line="255" w:lineRule="auto"/>
        <w:rPr>
          <w:sz w:val="20"/>
          <w:szCs w:val="20"/>
          <w:color w:val="auto"/>
        </w:rPr>
      </w:pPr>
      <w:r>
        <w:rPr>
          <w:rFonts w:ascii="Times New Roman" w:cs="Times New Roman" w:eastAsia="Times New Roman" w:hAnsi="Times New Roman"/>
          <w:sz w:val="18"/>
          <w:szCs w:val="18"/>
          <w:color w:val="auto"/>
        </w:rPr>
        <w:t>In 2025, the Company recognized $2.5 million (2024 — $3.7 million; 2023 — $2.9 million) in Restructuring charges and other impairments in the Consolidated Statements of Operations. These charges primarily reflect the Company’s strategic initiatives to streamline operations, reduce costs, and enhance organizational efficiency. The Company incurred termination charges of $1.4 million (2024 — $2.4 million; 2023 — $1.3 million) in connection with its plan to optimize its organizational structure, including eliminating redundant roles, addressing spans and layers to capture efficiencies and centralizing certain operational roles, and $0.7 million in connection with the writedown of the SSIMWAVE customer relationship intangible asset. In addition, the Company’s recognized $0.4 million (2024 — $1.3 million; 2023 — $nil) of fees relating to the assessment of its corporate structure and the resulting 2024 internal asset sale.</w:t>
      </w:r>
    </w:p>
    <w:p>
      <w:pPr>
        <w:spacing w:after="0" w:line="211"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As of December 31, 2025, the Company’s liability was $1.4 million liability (December 31, 2024 — $1.4 million) on the Consolidated Balance Sheets within Accrued and other liabilities related to Restructuring charges and other impairments.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5" w:lineRule="exact"/>
        <w:rPr>
          <w:sz w:val="20"/>
          <w:szCs w:val="20"/>
          <w:color w:val="auto"/>
        </w:rPr>
      </w:pPr>
    </w:p>
    <w:p>
      <w:pPr>
        <w:jc w:val="both"/>
        <w:ind w:firstLine="194"/>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1"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Rules 13a-15(e) or 15d-15(e) under the Exchange Act) as of December 31, 2025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Management has used the Committee of Sponsoring Organizations of the Treadway Commission (“COSO”) framework in Internal Control-Integrated Framework (2013) to assess the effectiveness of the Company’s internal control over financial reporting.</w:t>
      </w:r>
    </w:p>
    <w:p>
      <w:pPr>
        <w:spacing w:after="0" w:line="203"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and has concluded that such internal control over financial reporting was effective as of December 31, 2025.</w:t>
      </w:r>
    </w:p>
    <w:p>
      <w:pPr>
        <w:spacing w:after="0" w:line="189"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ind w:right="20" w:firstLine="194"/>
        <w:spacing w:after="0" w:line="281"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Company’s internal control over financial reporting as of December 31, 2025, as stated in their report, which appears in Part II, Item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December 31, 2025, that have materially affected, or are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5" w:lineRule="exact"/>
        <w:rPr>
          <w:sz w:val="20"/>
          <w:szCs w:val="20"/>
          <w:color w:val="auto"/>
        </w:rPr>
      </w:pPr>
    </w:p>
    <w:p>
      <w:pPr>
        <w:ind w:left="520" w:hanging="318"/>
        <w:spacing w:after="0"/>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0" w:lineRule="exact"/>
        <w:rPr>
          <w:rFonts w:ascii="Times New Roman" w:cs="Times New Roman" w:eastAsia="Times New Roman" w:hAnsi="Times New Roman"/>
          <w:sz w:val="18"/>
          <w:szCs w:val="18"/>
          <w:color w:val="auto"/>
        </w:rPr>
      </w:pPr>
    </w:p>
    <w:p>
      <w:pPr>
        <w:jc w:val="both"/>
        <w:ind w:left="520" w:hanging="318"/>
        <w:spacing w:after="0" w:line="254"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2025, Richard Gelfond, the CEO, entered into a Rule 10b5-1 trading arrangement (as defined in Item 408 of Regulation S-K under the Exchange Act (“Item 408”) and such arrangement, the “Plan”) for the exercise of 486,284 of stock options granted in June 2016 (the “Options”) and sale of up to 486,284 common shares underlying the Options. The Options have a 10-year expiry and are due to expire on June 7, 2026. Sales under this Plan, which was previously disclosed in a Company subsidiary filing, may commence on March 10, 2026, after the completion of the required cooling off period under Rule 10b5-1. The Plan will terminate on June 5, 2026, or earlier if all shares underlying the Options have been sold. This trading arrangement is intended to satisfy the affirmative defense of Rule 10b5-1(c). No other Rule 10b5-1 or non-Rule 10b5-1 trading arrangements (as defined in Item 408) were adopted or terminated by any directors or officers of the Company during the quarter ended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5" w:lineRule="exact"/>
        <w:rPr>
          <w:sz w:val="20"/>
          <w:szCs w:val="20"/>
          <w:color w:val="auto"/>
        </w:rPr>
      </w:pPr>
    </w:p>
    <w:p>
      <w:pPr>
        <w:jc w:val="both"/>
        <w:ind w:firstLine="194"/>
        <w:spacing w:after="0" w:line="265" w:lineRule="auto"/>
        <w:rPr>
          <w:sz w:val="20"/>
          <w:szCs w:val="20"/>
          <w:color w:val="auto"/>
        </w:rPr>
      </w:pPr>
      <w:r>
        <w:rPr>
          <w:rFonts w:ascii="Times New Roman" w:cs="Times New Roman" w:eastAsia="Times New Roman" w:hAnsi="Times New Roman"/>
          <w:sz w:val="18"/>
          <w:szCs w:val="18"/>
          <w:color w:val="auto"/>
        </w:rPr>
        <w:t>The information required by Item 10 is incorporated by reference from the information under the following captions in the 2026 Proxy Statement: “Item No. 1 – Election of Directors;” “Executive Officers;” “Delinquent Section 16(a) Reports;” “Code of Business Conduct and Ethics and Insider Trading Policy;” and “Corporate Governance.”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55" w:lineRule="exact"/>
        <w:rPr>
          <w:sz w:val="20"/>
          <w:szCs w:val="20"/>
          <w:color w:val="auto"/>
        </w:rPr>
      </w:pPr>
    </w:p>
    <w:p>
      <w:pPr>
        <w:jc w:val="both"/>
        <w:ind w:firstLine="194"/>
        <w:spacing w:after="0" w:line="257"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from the information under the following captions in the 2026 Proxy Statement: “Compensation Discussion and Analysis;” “Compensation Committee Report;” “Summary Compensation Table;” “Grants of Plan-Based Awards;” “Outstanding Equity Awards at Fiscal Year-End;” “Option Exercise and Stock Vested;” “Pension Benefits;” “Pay Ratio Disclosure;” “Potential Payments upon Termination or Change-in-Control;” “Pay Versus Performance;” “Compensation of Directors;” and “Compensation Committee Interlocks and Insider Participation.”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information required by Item 12 is incorporated by reference from the information under the following captions in the 2026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Information;” “Principal Shareholders of Voting Shares;” and “Security Ownership of Directors and Management.”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information required by Item 13 is incorporated by reference from the information under the following caption in the 2026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Relationships and Related Transactions,” “Review, Approval or Ratification of Transactions with Related Persons,” and “Director Independence.”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from the information under the following captions in the 2026 Proxy Statement: “Audit Fees;” “Audit-Related Fees;” “Tax Fees;” “All Other Fees;” and “Audit Committee’s Pre-Approval Policies and Procedures.”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Schedules</w:t>
      </w:r>
    </w:p>
    <w:p>
      <w:pPr>
        <w:spacing w:after="0" w:line="255"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filed as part of this Report are included under Part II, Item 8. Financial Statement Schedules have been omitted since they either are not required, not applicable, or the information required is included in the financial statements or the accompanying notes thereto.</w:t>
      </w:r>
    </w:p>
    <w:p>
      <w:pPr>
        <w:spacing w:after="0" w:line="189" w:lineRule="exact"/>
        <w:rPr>
          <w:sz w:val="20"/>
          <w:szCs w:val="20"/>
          <w:color w:val="auto"/>
        </w:rPr>
      </w:pPr>
    </w:p>
    <w:p>
      <w:pPr>
        <w:jc w:val="both"/>
        <w:ind w:firstLine="194"/>
        <w:spacing w:after="0" w:line="281" w:lineRule="auto"/>
        <w:rPr>
          <w:sz w:val="20"/>
          <w:szCs w:val="20"/>
          <w:color w:val="auto"/>
        </w:rPr>
      </w:pPr>
      <w:r>
        <w:rPr>
          <w:rFonts w:ascii="Times New Roman" w:cs="Times New Roman" w:eastAsia="Times New Roman" w:hAnsi="Times New Roman"/>
          <w:sz w:val="18"/>
          <w:szCs w:val="18"/>
          <w:color w:val="auto"/>
        </w:rPr>
        <w:t>Report of Independent Registered Public Accounting Firm, which covers the financial statements, the accompanying notes to the financial statements is included under Part II, Item 8, and the Company’s internal control over financial reporting is included under Part II, Item 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r>
      <w:tr>
        <w:trPr>
          <w:trHeight w:val="18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40" w:type="dxa"/>
            <w:vAlign w:val="bottom"/>
            <w:gridSpan w:val="21"/>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6"/>
                <w:szCs w:val="16"/>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9"/>
        </w:trPr>
        <w:tc>
          <w:tcPr>
            <w:tcW w:w="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33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Articles of Amalgamation of IMAX Corporation, dated as of January 1, 2024.</w:t>
              </w:r>
            </w:hyperlink>
          </w:p>
        </w:tc>
        <w:tc>
          <w:tcPr>
            <w:tcW w:w="1000" w:type="dxa"/>
            <w:vAlign w:val="bottom"/>
            <w:gridSpan w:val="14"/>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10/23/25</w:t>
            </w: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CC"/>
            </w:tcBorders>
            <w:gridSpan w:val="32"/>
          </w:tcPr>
          <w:p>
            <w:pPr>
              <w:spacing w:after="0"/>
              <w:rPr>
                <w:rFonts w:ascii="Times New Roman" w:cs="Times New Roman" w:eastAsia="Times New Roman" w:hAnsi="Times New Roman"/>
                <w:sz w:val="18"/>
                <w:szCs w:val="18"/>
                <w:color w:val="0000CC"/>
                <w:w w:val="99"/>
              </w:rPr>
            </w:pPr>
            <w:hyperlink r:id="rId172">
              <w:r>
                <w:rPr>
                  <w:rFonts w:ascii="Times New Roman" w:cs="Times New Roman" w:eastAsia="Times New Roman" w:hAnsi="Times New Roman"/>
                  <w:sz w:val="18"/>
                  <w:szCs w:val="18"/>
                  <w:color w:val="0000CC"/>
                  <w:w w:val="99"/>
                </w:rPr>
                <w:t>Second Amended and Restated By-Law No. 1 of IMAX Corporation, enacted on February</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2/10/23</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0"/>
              <w:spacing w:after="0" w:line="195" w:lineRule="exact"/>
              <w:rPr>
                <w:rFonts w:ascii="Times New Roman" w:cs="Times New Roman" w:eastAsia="Times New Roman" w:hAnsi="Times New Roman"/>
                <w:sz w:val="18"/>
                <w:szCs w:val="18"/>
                <w:color w:val="0000CC"/>
                <w:w w:val="95"/>
              </w:rPr>
            </w:pPr>
            <w:hyperlink r:id="rId172">
              <w:r>
                <w:rPr>
                  <w:rFonts w:ascii="Times New Roman" w:cs="Times New Roman" w:eastAsia="Times New Roman" w:hAnsi="Times New Roman"/>
                  <w:sz w:val="18"/>
                  <w:szCs w:val="18"/>
                  <w:color w:val="0000CC"/>
                  <w:w w:val="95"/>
                </w:rPr>
                <w:t>7, 2023.</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C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80" w:type="dxa"/>
            <w:vAlign w:val="bottom"/>
            <w:tcBorders>
              <w:bottom w:val="single" w:sz="8" w:color="0000CC"/>
            </w:tcBorders>
            <w:gridSpan w:val="27"/>
          </w:tcPr>
          <w:p>
            <w:pPr>
              <w:spacing w:after="0"/>
              <w:rPr>
                <w:rFonts w:ascii="Times New Roman" w:cs="Times New Roman" w:eastAsia="Times New Roman" w:hAnsi="Times New Roman"/>
                <w:sz w:val="18"/>
                <w:szCs w:val="18"/>
                <w:color w:val="0000CC"/>
                <w:w w:val="99"/>
              </w:rPr>
            </w:pPr>
            <w:hyperlink r:id="rId173">
              <w:r>
                <w:rPr>
                  <w:rFonts w:ascii="Times New Roman" w:cs="Times New Roman" w:eastAsia="Times New Roman" w:hAnsi="Times New Roman"/>
                  <w:sz w:val="18"/>
                  <w:szCs w:val="18"/>
                  <w:color w:val="0000CC"/>
                  <w:w w:val="99"/>
                </w:rPr>
                <w:t>Description of IMAX Corporation’s Securities Registered Pursuant to Section 12 of the</w:t>
              </w:r>
            </w:hyperlink>
          </w:p>
        </w:tc>
        <w:tc>
          <w:tcPr>
            <w:tcW w:w="32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73">
              <w:r>
                <w:rPr>
                  <w:rFonts w:ascii="Times New Roman" w:cs="Times New Roman" w:eastAsia="Times New Roman" w:hAnsi="Times New Roman"/>
                  <w:sz w:val="18"/>
                  <w:szCs w:val="18"/>
                  <w:color w:val="0000CC"/>
                </w:rPr>
                <w:t>Securities Exchange Act of 1934.</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CC"/>
            </w:tcBorders>
            <w:gridSpan w:val="2"/>
            <w:shd w:val="clear" w:color="auto" w:fill="0000CC"/>
          </w:tcPr>
          <w:p>
            <w:pPr>
              <w:spacing w:after="0" w:line="20" w:lineRule="exact"/>
              <w:rPr>
                <w:sz w:val="1"/>
                <w:szCs w:val="1"/>
                <w:color w:val="auto"/>
              </w:rPr>
            </w:pPr>
          </w:p>
        </w:tc>
        <w:tc>
          <w:tcPr>
            <w:tcW w:w="100" w:type="dxa"/>
            <w:vAlign w:val="bottom"/>
            <w:tcBorders>
              <w:right w:val="single" w:sz="8" w:color="0000CC"/>
            </w:tcBorders>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18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120" w:type="dxa"/>
            <w:vAlign w:val="bottom"/>
            <w:shd w:val="clear" w:color="auto" w:fill="0000CC"/>
          </w:tcPr>
          <w:p>
            <w:pPr>
              <w:spacing w:after="0" w:line="20" w:lineRule="exact"/>
              <w:rPr>
                <w:sz w:val="1"/>
                <w:szCs w:val="1"/>
                <w:color w:val="auto"/>
              </w:rPr>
            </w:pPr>
          </w:p>
        </w:tc>
        <w:tc>
          <w:tcPr>
            <w:tcW w:w="580" w:type="dxa"/>
            <w:vAlign w:val="bottom"/>
            <w:shd w:val="clear" w:color="auto" w:fill="0000CC"/>
          </w:tcPr>
          <w:p>
            <w:pPr>
              <w:spacing w:after="0" w:line="20" w:lineRule="exact"/>
              <w:rPr>
                <w:sz w:val="1"/>
                <w:szCs w:val="1"/>
                <w:color w:val="auto"/>
              </w:rPr>
            </w:pPr>
          </w:p>
        </w:tc>
        <w:tc>
          <w:tcPr>
            <w:tcW w:w="140" w:type="dxa"/>
            <w:vAlign w:val="bottom"/>
            <w:shd w:val="clear" w:color="auto" w:fill="0000CC"/>
          </w:tcPr>
          <w:p>
            <w:pPr>
              <w:spacing w:after="0" w:line="20" w:lineRule="exact"/>
              <w:rPr>
                <w:sz w:val="1"/>
                <w:szCs w:val="1"/>
                <w:color w:val="auto"/>
              </w:rPr>
            </w:pPr>
          </w:p>
        </w:tc>
        <w:tc>
          <w:tcPr>
            <w:tcW w:w="80" w:type="dxa"/>
            <w:vAlign w:val="bottom"/>
            <w:shd w:val="clear" w:color="auto" w:fill="0000CC"/>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4"/>
          </w:tcPr>
          <w:p>
            <w:pPr>
              <w:spacing w:after="0"/>
              <w:rPr>
                <w:rFonts w:ascii="Times New Roman" w:cs="Times New Roman" w:eastAsia="Times New Roman" w:hAnsi="Times New Roman"/>
                <w:sz w:val="18"/>
                <w:szCs w:val="18"/>
                <w:color w:val="0000CC"/>
                <w:w w:val="99"/>
              </w:rPr>
            </w:pPr>
            <w:hyperlink r:id="rId174">
              <w:r>
                <w:rPr>
                  <w:rFonts w:ascii="Times New Roman" w:cs="Times New Roman" w:eastAsia="Times New Roman" w:hAnsi="Times New Roman"/>
                  <w:sz w:val="18"/>
                  <w:szCs w:val="18"/>
                  <w:color w:val="0000CC"/>
                  <w:w w:val="99"/>
                </w:rPr>
                <w:t xml:space="preserve">Indenture, dated as of </w:t>
              </w:r>
              <w:r>
                <w:rPr>
                  <w:rFonts w:ascii="Times New Roman" w:cs="Times New Roman" w:eastAsia="Times New Roman" w:hAnsi="Times New Roman"/>
                  <w:sz w:val="18"/>
                  <w:szCs w:val="18"/>
                  <w:color w:val="0000FF"/>
                  <w:w w:val="99"/>
                </w:rPr>
                <w:t>November 6, 2025</w:t>
              </w:r>
              <w:r>
                <w:rPr>
                  <w:rFonts w:ascii="Times New Roman" w:cs="Times New Roman" w:eastAsia="Times New Roman" w:hAnsi="Times New Roman"/>
                  <w:sz w:val="18"/>
                  <w:szCs w:val="18"/>
                  <w:color w:val="0000CC"/>
                  <w:w w:val="99"/>
                </w:rPr>
                <w:t xml:space="preserve">, between IMAX Corporation and U.S. Bank </w:t>
              </w:r>
              <w:r>
                <w:rPr>
                  <w:rFonts w:ascii="Times New Roman" w:cs="Times New Roman" w:eastAsia="Times New Roman" w:hAnsi="Times New Roman"/>
                  <w:sz w:val="18"/>
                  <w:szCs w:val="18"/>
                  <w:color w:val="0000FF"/>
                  <w:w w:val="99"/>
                </w:rPr>
                <w:t>Trust</w:t>
              </w:r>
            </w:hyperlink>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CC"/>
            </w:tcBorders>
            <w:gridSpan w:val="2"/>
            <w:shd w:val="clear" w:color="auto" w:fill="0000CC"/>
          </w:tcPr>
          <w:p>
            <w:pPr>
              <w:spacing w:after="0" w:line="20" w:lineRule="exact"/>
              <w:rPr>
                <w:sz w:val="1"/>
                <w:szCs w:val="1"/>
                <w:color w:val="auto"/>
              </w:rPr>
            </w:pPr>
          </w:p>
        </w:tc>
        <w:tc>
          <w:tcPr>
            <w:tcW w:w="100" w:type="dxa"/>
            <w:vAlign w:val="bottom"/>
            <w:tcBorders>
              <w:right w:val="single" w:sz="8" w:color="0000CC"/>
            </w:tcBorders>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18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700" w:type="dxa"/>
            <w:vAlign w:val="bottom"/>
            <w:gridSpan w:val="2"/>
            <w:shd w:val="clear" w:color="auto" w:fill="0000CC"/>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CC"/>
            </w:tcBorders>
            <w:shd w:val="clear" w:color="auto" w:fill="0000CC"/>
          </w:tcPr>
          <w:p>
            <w:pPr>
              <w:spacing w:after="0" w:line="20" w:lineRule="exact"/>
              <w:rPr>
                <w:sz w:val="1"/>
                <w:szCs w:val="1"/>
                <w:color w:val="auto"/>
              </w:rPr>
            </w:pPr>
          </w:p>
        </w:tc>
        <w:tc>
          <w:tcPr>
            <w:tcW w:w="260" w:type="dxa"/>
            <w:vAlign w:val="bottom"/>
            <w:shd w:val="clear" w:color="auto" w:fill="0000CC"/>
          </w:tcPr>
          <w:p>
            <w:pPr>
              <w:spacing w:after="0" w:line="20" w:lineRule="exact"/>
              <w:rPr>
                <w:sz w:val="1"/>
                <w:szCs w:val="1"/>
                <w:color w:val="auto"/>
              </w:rPr>
            </w:pPr>
          </w:p>
        </w:tc>
        <w:tc>
          <w:tcPr>
            <w:tcW w:w="1080" w:type="dxa"/>
            <w:vAlign w:val="bottom"/>
            <w:shd w:val="clear" w:color="auto" w:fill="0000CC"/>
          </w:tcPr>
          <w:p>
            <w:pPr>
              <w:spacing w:after="0" w:line="20" w:lineRule="exact"/>
              <w:rPr>
                <w:sz w:val="1"/>
                <w:szCs w:val="1"/>
                <w:color w:val="auto"/>
              </w:rPr>
            </w:pPr>
          </w:p>
        </w:tc>
        <w:tc>
          <w:tcPr>
            <w:tcW w:w="360" w:type="dxa"/>
            <w:vAlign w:val="bottom"/>
            <w:shd w:val="clear" w:color="auto" w:fill="0000CC"/>
          </w:tcPr>
          <w:p>
            <w:pPr>
              <w:spacing w:after="0" w:line="20" w:lineRule="exact"/>
              <w:rPr>
                <w:sz w:val="1"/>
                <w:szCs w:val="1"/>
                <w:color w:val="auto"/>
              </w:rPr>
            </w:pPr>
          </w:p>
        </w:tc>
        <w:tc>
          <w:tcPr>
            <w:tcW w:w="140" w:type="dxa"/>
            <w:vAlign w:val="bottom"/>
            <w:shd w:val="clear" w:color="auto" w:fill="0000CC"/>
          </w:tcPr>
          <w:p>
            <w:pPr>
              <w:spacing w:after="0" w:line="20" w:lineRule="exact"/>
              <w:rPr>
                <w:sz w:val="1"/>
                <w:szCs w:val="1"/>
                <w:color w:val="auto"/>
              </w:rPr>
            </w:pPr>
          </w:p>
        </w:tc>
        <w:tc>
          <w:tcPr>
            <w:tcW w:w="660" w:type="dxa"/>
            <w:vAlign w:val="bottom"/>
            <w:gridSpan w:val="2"/>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0" w:type="dxa"/>
            <w:vAlign w:val="bottom"/>
            <w:shd w:val="clear" w:color="auto" w:fill="0000CC"/>
          </w:tcPr>
          <w:p>
            <w:pPr>
              <w:spacing w:after="0" w:line="20" w:lineRule="exact"/>
              <w:rPr>
                <w:sz w:val="1"/>
                <w:szCs w:val="1"/>
                <w:color w:val="auto"/>
              </w:rPr>
            </w:pPr>
          </w:p>
        </w:tc>
        <w:tc>
          <w:tcPr>
            <w:tcW w:w="80" w:type="dxa"/>
            <w:vAlign w:val="bottom"/>
            <w:tcBorders>
              <w:right w:val="single" w:sz="8" w:color="0000CC"/>
            </w:tcBorders>
            <w:shd w:val="clear" w:color="auto" w:fill="0000CC"/>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 xml:space="preserve">Company, </w:t>
              </w:r>
              <w:r>
                <w:rPr>
                  <w:rFonts w:ascii="Times New Roman" w:cs="Times New Roman" w:eastAsia="Times New Roman" w:hAnsi="Times New Roman"/>
                  <w:sz w:val="18"/>
                  <w:szCs w:val="18"/>
                  <w:color w:val="0000CC"/>
                </w:rPr>
                <w:t>National Association.</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right w:val="single" w:sz="8" w:color="0000CC"/>
            </w:tcBorders>
            <w:gridSpan w:val="2"/>
            <w:shd w:val="clear" w:color="auto" w:fill="0000FF"/>
          </w:tcPr>
          <w:p>
            <w:pPr>
              <w:spacing w:after="0" w:line="20" w:lineRule="exact"/>
              <w:rPr>
                <w:sz w:val="1"/>
                <w:szCs w:val="1"/>
                <w:color w:val="auto"/>
              </w:rPr>
            </w:pPr>
          </w:p>
        </w:tc>
        <w:tc>
          <w:tcPr>
            <w:tcW w:w="100" w:type="dxa"/>
            <w:vAlign w:val="bottom"/>
            <w:tcBorders>
              <w:right w:val="single" w:sz="8" w:color="0000CC"/>
            </w:tcBorders>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18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700" w:type="dxa"/>
            <w:vAlign w:val="bottom"/>
            <w:gridSpan w:val="2"/>
            <w:shd w:val="clear" w:color="auto" w:fill="0000CC"/>
          </w:tcPr>
          <w:p>
            <w:pPr>
              <w:spacing w:after="0" w:line="20" w:lineRule="exact"/>
              <w:rPr>
                <w:sz w:val="1"/>
                <w:szCs w:val="1"/>
                <w:color w:val="auto"/>
              </w:rPr>
            </w:pPr>
          </w:p>
        </w:tc>
        <w:tc>
          <w:tcPr>
            <w:tcW w:w="140" w:type="dxa"/>
            <w:vAlign w:val="bottom"/>
            <w:shd w:val="clear" w:color="auto" w:fill="0000CC"/>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4"/>
          </w:tcPr>
          <w:p>
            <w:pPr>
              <w:spacing w:after="0"/>
              <w:rPr>
                <w:rFonts w:ascii="Times New Roman" w:cs="Times New Roman" w:eastAsia="Times New Roman" w:hAnsi="Times New Roman"/>
                <w:sz w:val="18"/>
                <w:szCs w:val="18"/>
                <w:color w:val="0000CC"/>
              </w:rPr>
            </w:pPr>
            <w:hyperlink r:id="rId174">
              <w:r>
                <w:rPr>
                  <w:rFonts w:ascii="Times New Roman" w:cs="Times New Roman" w:eastAsia="Times New Roman" w:hAnsi="Times New Roman"/>
                  <w:sz w:val="18"/>
                  <w:szCs w:val="18"/>
                  <w:color w:val="0000CC"/>
                </w:rPr>
                <w:t>Form of 0.</w:t>
              </w: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color w:val="0000CC"/>
                </w:rPr>
                <w:t xml:space="preserve">50% Convertible Senior Notes due </w:t>
              </w:r>
              <w:r>
                <w:rPr>
                  <w:rFonts w:ascii="Times New Roman" w:cs="Times New Roman" w:eastAsia="Times New Roman" w:hAnsi="Times New Roman"/>
                  <w:sz w:val="18"/>
                  <w:szCs w:val="18"/>
                  <w:color w:val="0000FF"/>
                </w:rPr>
                <w:t>November 15, 2030</w:t>
              </w:r>
              <w:r>
                <w:rPr>
                  <w:rFonts w:ascii="Times New Roman" w:cs="Times New Roman" w:eastAsia="Times New Roman" w:hAnsi="Times New Roman"/>
                  <w:sz w:val="18"/>
                  <w:szCs w:val="18"/>
                  <w:color w:val="0000CC"/>
                </w:rPr>
                <w:t xml:space="preserve"> (included as Exhibit A</w:t>
              </w:r>
            </w:hyperlink>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CC"/>
          </w:tcPr>
          <w:p>
            <w:pPr>
              <w:spacing w:after="0" w:line="20" w:lineRule="exact"/>
              <w:rPr>
                <w:sz w:val="1"/>
                <w:szCs w:val="1"/>
                <w:color w:val="auto"/>
              </w:rPr>
            </w:pPr>
          </w:p>
        </w:tc>
        <w:tc>
          <w:tcPr>
            <w:tcW w:w="200" w:type="dxa"/>
            <w:vAlign w:val="bottom"/>
            <w:tcBorders>
              <w:right w:val="single" w:sz="8" w:color="0000CC"/>
            </w:tcBorders>
            <w:shd w:val="clear" w:color="auto" w:fill="0000CC"/>
          </w:tcPr>
          <w:p>
            <w:pPr>
              <w:spacing w:after="0" w:line="20" w:lineRule="exact"/>
              <w:rPr>
                <w:sz w:val="1"/>
                <w:szCs w:val="1"/>
                <w:color w:val="auto"/>
              </w:rPr>
            </w:pPr>
          </w:p>
        </w:tc>
        <w:tc>
          <w:tcPr>
            <w:tcW w:w="100" w:type="dxa"/>
            <w:vAlign w:val="bottom"/>
            <w:tcBorders>
              <w:right w:val="single" w:sz="8" w:color="0000CC"/>
            </w:tcBorders>
            <w:shd w:val="clear" w:color="auto" w:fill="0000FF"/>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18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120" w:type="dxa"/>
            <w:vAlign w:val="bottom"/>
            <w:shd w:val="clear" w:color="auto" w:fill="0000CC"/>
          </w:tcPr>
          <w:p>
            <w:pPr>
              <w:spacing w:after="0" w:line="20" w:lineRule="exact"/>
              <w:rPr>
                <w:sz w:val="1"/>
                <w:szCs w:val="1"/>
                <w:color w:val="auto"/>
              </w:rPr>
            </w:pPr>
          </w:p>
        </w:tc>
        <w:tc>
          <w:tcPr>
            <w:tcW w:w="580" w:type="dxa"/>
            <w:vAlign w:val="bottom"/>
            <w:shd w:val="clear" w:color="auto" w:fill="0000CC"/>
          </w:tcPr>
          <w:p>
            <w:pPr>
              <w:spacing w:after="0" w:line="20" w:lineRule="exact"/>
              <w:rPr>
                <w:sz w:val="1"/>
                <w:szCs w:val="1"/>
                <w:color w:val="auto"/>
              </w:rPr>
            </w:pPr>
          </w:p>
        </w:tc>
        <w:tc>
          <w:tcPr>
            <w:tcW w:w="140" w:type="dxa"/>
            <w:vAlign w:val="bottom"/>
            <w:shd w:val="clear" w:color="auto" w:fill="0000CC"/>
          </w:tcPr>
          <w:p>
            <w:pPr>
              <w:spacing w:after="0" w:line="20" w:lineRule="exact"/>
              <w:rPr>
                <w:sz w:val="1"/>
                <w:szCs w:val="1"/>
                <w:color w:val="auto"/>
              </w:rPr>
            </w:pPr>
          </w:p>
        </w:tc>
        <w:tc>
          <w:tcPr>
            <w:tcW w:w="80" w:type="dxa"/>
            <w:vAlign w:val="bottom"/>
            <w:shd w:val="clear" w:color="auto" w:fill="0000CC"/>
          </w:tcPr>
          <w:p>
            <w:pPr>
              <w:spacing w:after="0" w:line="20" w:lineRule="exact"/>
              <w:rPr>
                <w:sz w:val="1"/>
                <w:szCs w:val="1"/>
                <w:color w:val="auto"/>
              </w:rPr>
            </w:pPr>
          </w:p>
        </w:tc>
        <w:tc>
          <w:tcPr>
            <w:tcW w:w="260" w:type="dxa"/>
            <w:vAlign w:val="bottom"/>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240" w:type="dxa"/>
            <w:vAlign w:val="bottom"/>
            <w:tcBorders>
              <w:right w:val="single" w:sz="8" w:color="0000CC"/>
            </w:tcBorders>
            <w:shd w:val="clear" w:color="auto" w:fill="0000CC"/>
          </w:tcPr>
          <w:p>
            <w:pPr>
              <w:spacing w:after="0" w:line="20" w:lineRule="exact"/>
              <w:rPr>
                <w:sz w:val="1"/>
                <w:szCs w:val="1"/>
                <w:color w:val="auto"/>
              </w:rPr>
            </w:pPr>
          </w:p>
        </w:tc>
        <w:tc>
          <w:tcPr>
            <w:tcW w:w="260" w:type="dxa"/>
            <w:vAlign w:val="bottom"/>
            <w:shd w:val="clear" w:color="auto" w:fill="0000CC"/>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CC"/>
          </w:tcPr>
          <w:p>
            <w:pPr>
              <w:spacing w:after="0" w:line="20" w:lineRule="exact"/>
              <w:rPr>
                <w:sz w:val="1"/>
                <w:szCs w:val="1"/>
                <w:color w:val="auto"/>
              </w:rPr>
            </w:pPr>
          </w:p>
        </w:tc>
        <w:tc>
          <w:tcPr>
            <w:tcW w:w="580" w:type="dxa"/>
            <w:vAlign w:val="bottom"/>
            <w:shd w:val="clear" w:color="auto" w:fill="0000CC"/>
          </w:tcPr>
          <w:p>
            <w:pPr>
              <w:spacing w:after="0" w:line="20" w:lineRule="exact"/>
              <w:rPr>
                <w:sz w:val="1"/>
                <w:szCs w:val="1"/>
                <w:color w:val="auto"/>
              </w:rPr>
            </w:pPr>
          </w:p>
        </w:tc>
        <w:tc>
          <w:tcPr>
            <w:tcW w:w="80" w:type="dxa"/>
            <w:vAlign w:val="bottom"/>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0" w:type="dxa"/>
            <w:vAlign w:val="bottom"/>
            <w:shd w:val="clear" w:color="auto" w:fill="0000CC"/>
          </w:tcPr>
          <w:p>
            <w:pPr>
              <w:spacing w:after="0" w:line="20" w:lineRule="exact"/>
              <w:rPr>
                <w:sz w:val="1"/>
                <w:szCs w:val="1"/>
                <w:color w:val="auto"/>
              </w:rPr>
            </w:pPr>
          </w:p>
        </w:tc>
        <w:tc>
          <w:tcPr>
            <w:tcW w:w="80" w:type="dxa"/>
            <w:vAlign w:val="bottom"/>
            <w:tcBorders>
              <w:right w:val="single" w:sz="8" w:color="0000CC"/>
            </w:tcBorders>
            <w:shd w:val="clear" w:color="auto" w:fill="0000CC"/>
          </w:tcPr>
          <w:p>
            <w:pPr>
              <w:spacing w:after="0" w:line="20" w:lineRule="exact"/>
              <w:rPr>
                <w:sz w:val="1"/>
                <w:szCs w:val="1"/>
                <w:color w:val="auto"/>
              </w:rPr>
            </w:pPr>
          </w:p>
        </w:tc>
        <w:tc>
          <w:tcPr>
            <w:tcW w:w="8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20" w:type="dxa"/>
            <w:vAlign w:val="bottom"/>
            <w:shd w:val="clear" w:color="auto" w:fill="0000CC"/>
          </w:tcPr>
          <w:p>
            <w:pPr>
              <w:spacing w:after="0" w:line="20" w:lineRule="exact"/>
              <w:rPr>
                <w:sz w:val="1"/>
                <w:szCs w:val="1"/>
                <w:color w:val="auto"/>
              </w:rPr>
            </w:pPr>
          </w:p>
        </w:tc>
        <w:tc>
          <w:tcPr>
            <w:tcW w:w="20" w:type="dxa"/>
            <w:vAlign w:val="bottom"/>
            <w:shd w:val="clear" w:color="auto" w:fill="0000CC"/>
          </w:tcPr>
          <w:p>
            <w:pPr>
              <w:spacing w:after="0" w:line="20" w:lineRule="exact"/>
              <w:rPr>
                <w:sz w:val="1"/>
                <w:szCs w:val="1"/>
                <w:color w:val="auto"/>
              </w:rPr>
            </w:pPr>
          </w:p>
        </w:tc>
        <w:tc>
          <w:tcPr>
            <w:tcW w:w="80" w:type="dxa"/>
            <w:vAlign w:val="bottom"/>
            <w:shd w:val="clear" w:color="auto" w:fill="0000C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74">
              <w:r>
                <w:rPr>
                  <w:rFonts w:ascii="Times New Roman" w:cs="Times New Roman" w:eastAsia="Times New Roman" w:hAnsi="Times New Roman"/>
                  <w:sz w:val="18"/>
                  <w:szCs w:val="18"/>
                  <w:color w:val="0000CC"/>
                </w:rPr>
                <w:t>to Exhibit 4.</w:t>
              </w:r>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CC"/>
                </w:rPr>
                <w:t>)</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CC"/>
            </w:tcBorders>
            <w:gridSpan w:val="3"/>
            <w:shd w:val="clear" w:color="auto" w:fill="0000CC"/>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CC"/>
            </w:tcBorders>
            <w:gridSpan w:val="17"/>
          </w:tcPr>
          <w:p>
            <w:pPr>
              <w:spacing w:after="0"/>
              <w:rPr>
                <w:rFonts w:ascii="Times New Roman" w:cs="Times New Roman" w:eastAsia="Times New Roman" w:hAnsi="Times New Roman"/>
                <w:sz w:val="18"/>
                <w:szCs w:val="18"/>
                <w:color w:val="0000CC"/>
                <w:w w:val="99"/>
              </w:rPr>
            </w:pPr>
            <w:hyperlink r:id="rId175">
              <w:r>
                <w:rPr>
                  <w:rFonts w:ascii="Times New Roman" w:cs="Times New Roman" w:eastAsia="Times New Roman" w:hAnsi="Times New Roman"/>
                  <w:sz w:val="18"/>
                  <w:szCs w:val="18"/>
                  <w:color w:val="0000CC"/>
                  <w:w w:val="99"/>
                </w:rPr>
                <w:t>Stock Option Plan of IMAX Corporation, dated June 18, 2008.</w:t>
              </w:r>
            </w:hyperlink>
          </w:p>
        </w:tc>
        <w:tc>
          <w:tcPr>
            <w:tcW w:w="2080" w:type="dxa"/>
            <w:vAlign w:val="bottom"/>
            <w:gridSpan w:val="17"/>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2/24/16</w:t>
            </w: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CC"/>
            </w:tcBorders>
            <w:gridSpan w:val="19"/>
          </w:tcPr>
          <w:p>
            <w:pPr>
              <w:spacing w:after="0"/>
              <w:rPr>
                <w:rFonts w:ascii="Times New Roman" w:cs="Times New Roman" w:eastAsia="Times New Roman" w:hAnsi="Times New Roman"/>
                <w:sz w:val="18"/>
                <w:szCs w:val="18"/>
                <w:color w:val="0000CC"/>
                <w:w w:val="99"/>
              </w:rPr>
            </w:pPr>
            <w:hyperlink r:id="rId176">
              <w:r>
                <w:rPr>
                  <w:rFonts w:ascii="Times New Roman" w:cs="Times New Roman" w:eastAsia="Times New Roman" w:hAnsi="Times New Roman"/>
                  <w:sz w:val="18"/>
                  <w:szCs w:val="18"/>
                  <w:color w:val="0000CC"/>
                  <w:w w:val="99"/>
                </w:rPr>
                <w:t>IMAX Corporation Form of Restricted Stock Unit Award Agreement.</w:t>
              </w:r>
            </w:hyperlink>
          </w:p>
        </w:tc>
        <w:tc>
          <w:tcPr>
            <w:tcW w:w="1580" w:type="dxa"/>
            <w:vAlign w:val="bottom"/>
            <w:gridSpan w:val="15"/>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w:t>
            </w: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80" w:type="dxa"/>
            <w:vAlign w:val="bottom"/>
            <w:tcBorders>
              <w:bottom w:val="single" w:sz="8" w:color="0000CC"/>
            </w:tcBorders>
            <w:gridSpan w:val="31"/>
          </w:tcPr>
          <w:p>
            <w:pPr>
              <w:spacing w:after="0"/>
              <w:rPr>
                <w:rFonts w:ascii="Times New Roman" w:cs="Times New Roman" w:eastAsia="Times New Roman" w:hAnsi="Times New Roman"/>
                <w:sz w:val="18"/>
                <w:szCs w:val="18"/>
                <w:color w:val="0000CC"/>
                <w:w w:val="99"/>
              </w:rPr>
            </w:pPr>
            <w:hyperlink r:id="rId177">
              <w:r>
                <w:rPr>
                  <w:rFonts w:ascii="Times New Roman" w:cs="Times New Roman" w:eastAsia="Times New Roman" w:hAnsi="Times New Roman"/>
                  <w:sz w:val="18"/>
                  <w:szCs w:val="18"/>
                  <w:color w:val="0000CC"/>
                  <w:w w:val="99"/>
                </w:rPr>
                <w:t>IMAX Corporation Second Amended and Restated Long-Term Incentive Plan, dated June</w:t>
              </w:r>
            </w:hyperlink>
          </w:p>
        </w:tc>
        <w:tc>
          <w:tcPr>
            <w:tcW w:w="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6/5/20</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0"/>
              <w:spacing w:after="0" w:line="195" w:lineRule="exact"/>
              <w:rPr>
                <w:rFonts w:ascii="Times New Roman" w:cs="Times New Roman" w:eastAsia="Times New Roman" w:hAnsi="Times New Roman"/>
                <w:sz w:val="18"/>
                <w:szCs w:val="18"/>
                <w:color w:val="0000CC"/>
                <w:w w:val="95"/>
              </w:rPr>
            </w:pPr>
            <w:hyperlink r:id="rId177">
              <w:r>
                <w:rPr>
                  <w:rFonts w:ascii="Times New Roman" w:cs="Times New Roman" w:eastAsia="Times New Roman" w:hAnsi="Times New Roman"/>
                  <w:sz w:val="18"/>
                  <w:szCs w:val="18"/>
                  <w:color w:val="0000CC"/>
                  <w:w w:val="95"/>
                </w:rPr>
                <w:t>3, 2020.</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CC"/>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No.1 to Second Amended and Restated Long-Term Incentive Plan</w:t>
              </w:r>
            </w:hyperlink>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CC"/>
            </w:tcBorders>
            <w:gridSpan w:val="26"/>
          </w:tcPr>
          <w:p>
            <w:pPr>
              <w:spacing w:after="0"/>
              <w:rPr>
                <w:rFonts w:ascii="Times New Roman" w:cs="Times New Roman" w:eastAsia="Times New Roman" w:hAnsi="Times New Roman"/>
                <w:sz w:val="18"/>
                <w:szCs w:val="18"/>
                <w:color w:val="0000CC"/>
                <w:w w:val="99"/>
              </w:rPr>
            </w:pPr>
            <w:hyperlink r:id="rId179">
              <w:r>
                <w:rPr>
                  <w:rFonts w:ascii="Times New Roman" w:cs="Times New Roman" w:eastAsia="Times New Roman" w:hAnsi="Times New Roman"/>
                  <w:sz w:val="18"/>
                  <w:szCs w:val="18"/>
                  <w:color w:val="0000CC"/>
                  <w:w w:val="99"/>
                </w:rPr>
                <w:t>Form of IMAX Corporation Second Amended and Restated Long-Term Incentive Plan</w:t>
              </w:r>
            </w:hyperlink>
          </w:p>
        </w:tc>
        <w:tc>
          <w:tcPr>
            <w:tcW w:w="3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79">
              <w:r>
                <w:rPr>
                  <w:rFonts w:ascii="Times New Roman" w:cs="Times New Roman" w:eastAsia="Times New Roman" w:hAnsi="Times New Roman"/>
                  <w:sz w:val="18"/>
                  <w:szCs w:val="18"/>
                  <w:color w:val="0000CC"/>
                </w:rPr>
                <w:t>Restricted Stock Unit Award Agreement.</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18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700" w:type="dxa"/>
            <w:vAlign w:val="bottom"/>
            <w:gridSpan w:val="2"/>
            <w:shd w:val="clear" w:color="auto" w:fill="0000CC"/>
          </w:tcPr>
          <w:p>
            <w:pPr>
              <w:spacing w:after="0" w:line="20" w:lineRule="exact"/>
              <w:rPr>
                <w:sz w:val="1"/>
                <w:szCs w:val="1"/>
                <w:color w:val="auto"/>
              </w:rPr>
            </w:pPr>
          </w:p>
        </w:tc>
        <w:tc>
          <w:tcPr>
            <w:tcW w:w="480" w:type="dxa"/>
            <w:vAlign w:val="bottom"/>
            <w:gridSpan w:val="3"/>
            <w:shd w:val="clear" w:color="auto" w:fill="0000CC"/>
          </w:tcPr>
          <w:p>
            <w:pPr>
              <w:spacing w:after="0" w:line="20" w:lineRule="exact"/>
              <w:rPr>
                <w:sz w:val="1"/>
                <w:szCs w:val="1"/>
                <w:color w:val="auto"/>
              </w:rPr>
            </w:pPr>
          </w:p>
        </w:tc>
        <w:tc>
          <w:tcPr>
            <w:tcW w:w="280" w:type="dxa"/>
            <w:vAlign w:val="bottom"/>
            <w:shd w:val="clear" w:color="auto" w:fill="0000CC"/>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4"/>
          </w:tcPr>
          <w:p>
            <w:pPr>
              <w:spacing w:after="0"/>
              <w:rPr>
                <w:rFonts w:ascii="Times New Roman" w:cs="Times New Roman" w:eastAsia="Times New Roman" w:hAnsi="Times New Roman"/>
                <w:sz w:val="18"/>
                <w:szCs w:val="18"/>
                <w:color w:val="0000CC"/>
              </w:rPr>
            </w:pPr>
            <w:hyperlink r:id="rId180">
              <w:r>
                <w:rPr>
                  <w:rFonts w:ascii="Times New Roman" w:cs="Times New Roman" w:eastAsia="Times New Roman" w:hAnsi="Times New Roman"/>
                  <w:sz w:val="18"/>
                  <w:szCs w:val="18"/>
                  <w:color w:val="0000CC"/>
                </w:rPr>
                <w:t>Form of IMAX Second Amended and Restated Long-Term Incentive Plan Performance</w:t>
              </w:r>
            </w:hyperlink>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4/29/21</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top w:val="single" w:sz="8" w:color="0000CC"/>
              <w:bottom w:val="single" w:sz="8" w:color="0000CC"/>
            </w:tcBorders>
            <w:gridSpan w:val="10"/>
          </w:tcPr>
          <w:p>
            <w:pPr>
              <w:spacing w:after="0" w:line="195" w:lineRule="exact"/>
              <w:rPr>
                <w:rFonts w:ascii="Times New Roman" w:cs="Times New Roman" w:eastAsia="Times New Roman" w:hAnsi="Times New Roman"/>
                <w:sz w:val="18"/>
                <w:szCs w:val="18"/>
                <w:color w:val="0000CC"/>
                <w:w w:val="98"/>
              </w:rPr>
            </w:pPr>
            <w:hyperlink r:id="rId180">
              <w:r>
                <w:rPr>
                  <w:rFonts w:ascii="Times New Roman" w:cs="Times New Roman" w:eastAsia="Times New Roman" w:hAnsi="Times New Roman"/>
                  <w:sz w:val="18"/>
                  <w:szCs w:val="18"/>
                  <w:color w:val="0000CC"/>
                  <w:w w:val="98"/>
                </w:rPr>
                <w:t>Stock Unit Award Agreement.</w:t>
              </w:r>
            </w:hyperlink>
          </w:p>
        </w:tc>
        <w:tc>
          <w:tcPr>
            <w:tcW w:w="4100" w:type="dxa"/>
            <w:vAlign w:val="bottom"/>
            <w:tcBorders>
              <w:top w:val="single" w:sz="8" w:color="0000CC"/>
            </w:tcBorders>
            <w:gridSpan w:val="17"/>
          </w:tcPr>
          <w:p>
            <w:pPr>
              <w:spacing w:after="0"/>
              <w:rPr>
                <w:sz w:val="17"/>
                <w:szCs w:val="17"/>
                <w:color w:val="auto"/>
              </w:rPr>
            </w:pPr>
          </w:p>
        </w:tc>
        <w:tc>
          <w:tcPr>
            <w:tcW w:w="3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Borders>
              <w:bottom w:val="single" w:sz="8" w:color="0000CC"/>
            </w:tcBorders>
            <w:gridSpan w:val="26"/>
          </w:tcPr>
          <w:p>
            <w:pPr>
              <w:spacing w:after="0"/>
              <w:rPr>
                <w:rFonts w:ascii="Times New Roman" w:cs="Times New Roman" w:eastAsia="Times New Roman" w:hAnsi="Times New Roman"/>
                <w:sz w:val="18"/>
                <w:szCs w:val="18"/>
                <w:color w:val="0000CC"/>
                <w:w w:val="99"/>
              </w:rPr>
            </w:pPr>
            <w:hyperlink r:id="rId181">
              <w:r>
                <w:rPr>
                  <w:rFonts w:ascii="Times New Roman" w:cs="Times New Roman" w:eastAsia="Times New Roman" w:hAnsi="Times New Roman"/>
                  <w:sz w:val="18"/>
                  <w:szCs w:val="18"/>
                  <w:color w:val="0000CC"/>
                  <w:w w:val="99"/>
                </w:rPr>
                <w:t>Form of IMAX Corporation Second Amended and Restated Long-Term Incentive Plan</w:t>
              </w:r>
            </w:hyperlink>
          </w:p>
        </w:tc>
        <w:tc>
          <w:tcPr>
            <w:tcW w:w="360" w:type="dxa"/>
            <w:vAlign w:val="bottom"/>
            <w:gridSpan w:val="8"/>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7/27/21</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81">
              <w:r>
                <w:rPr>
                  <w:rFonts w:ascii="Times New Roman" w:cs="Times New Roman" w:eastAsia="Times New Roman" w:hAnsi="Times New Roman"/>
                  <w:sz w:val="18"/>
                  <w:szCs w:val="18"/>
                  <w:color w:val="0000CC"/>
                </w:rPr>
                <w:t>Restricted Stock Unit Award Agreement for Non-employee Directors.</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180" w:type="dxa"/>
            <w:vAlign w:val="bottom"/>
            <w:shd w:val="clear" w:color="auto" w:fill="0000CC"/>
          </w:tcPr>
          <w:p>
            <w:pPr>
              <w:spacing w:after="0" w:line="20" w:lineRule="exact"/>
              <w:rPr>
                <w:sz w:val="1"/>
                <w:szCs w:val="1"/>
                <w:color w:val="auto"/>
              </w:rPr>
            </w:pPr>
          </w:p>
        </w:tc>
        <w:tc>
          <w:tcPr>
            <w:tcW w:w="60" w:type="dxa"/>
            <w:vAlign w:val="bottom"/>
            <w:shd w:val="clear" w:color="auto" w:fill="0000CC"/>
          </w:tcPr>
          <w:p>
            <w:pPr>
              <w:spacing w:after="0" w:line="20" w:lineRule="exact"/>
              <w:rPr>
                <w:sz w:val="1"/>
                <w:szCs w:val="1"/>
                <w:color w:val="auto"/>
              </w:rPr>
            </w:pPr>
          </w:p>
        </w:tc>
        <w:tc>
          <w:tcPr>
            <w:tcW w:w="40" w:type="dxa"/>
            <w:vAlign w:val="bottom"/>
            <w:shd w:val="clear" w:color="auto" w:fill="0000CC"/>
          </w:tcPr>
          <w:p>
            <w:pPr>
              <w:spacing w:after="0" w:line="20" w:lineRule="exact"/>
              <w:rPr>
                <w:sz w:val="1"/>
                <w:szCs w:val="1"/>
                <w:color w:val="auto"/>
              </w:rPr>
            </w:pPr>
          </w:p>
        </w:tc>
        <w:tc>
          <w:tcPr>
            <w:tcW w:w="1180" w:type="dxa"/>
            <w:vAlign w:val="bottom"/>
            <w:gridSpan w:val="5"/>
            <w:shd w:val="clear" w:color="auto" w:fill="0000CC"/>
          </w:tcPr>
          <w:p>
            <w:pPr>
              <w:spacing w:after="0" w:line="20" w:lineRule="exact"/>
              <w:rPr>
                <w:sz w:val="1"/>
                <w:szCs w:val="1"/>
                <w:color w:val="auto"/>
              </w:rPr>
            </w:pPr>
          </w:p>
        </w:tc>
        <w:tc>
          <w:tcPr>
            <w:tcW w:w="520" w:type="dxa"/>
            <w:vAlign w:val="bottom"/>
            <w:tcBorders>
              <w:right w:val="single" w:sz="8" w:color="0000CC"/>
            </w:tcBorders>
            <w:gridSpan w:val="2"/>
            <w:shd w:val="clear" w:color="auto" w:fill="0000CC"/>
          </w:tcPr>
          <w:p>
            <w:pPr>
              <w:spacing w:after="0" w:line="20" w:lineRule="exact"/>
              <w:rPr>
                <w:sz w:val="1"/>
                <w:szCs w:val="1"/>
                <w:color w:val="auto"/>
              </w:rPr>
            </w:pPr>
          </w:p>
        </w:tc>
        <w:tc>
          <w:tcPr>
            <w:tcW w:w="1840" w:type="dxa"/>
            <w:vAlign w:val="bottom"/>
            <w:gridSpan w:val="4"/>
            <w:shd w:val="clear" w:color="auto" w:fill="0000CC"/>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4"/>
          </w:tcPr>
          <w:p>
            <w:pPr>
              <w:spacing w:after="0"/>
              <w:rPr>
                <w:rFonts w:ascii="Times New Roman" w:cs="Times New Roman" w:eastAsia="Times New Roman" w:hAnsi="Times New Roman"/>
                <w:sz w:val="18"/>
                <w:szCs w:val="18"/>
                <w:color w:val="0000CC"/>
              </w:rPr>
            </w:pPr>
            <w:hyperlink r:id="rId182">
              <w:r>
                <w:rPr>
                  <w:rFonts w:ascii="Times New Roman" w:cs="Times New Roman" w:eastAsia="Times New Roman" w:hAnsi="Times New Roman"/>
                  <w:sz w:val="18"/>
                  <w:szCs w:val="18"/>
                  <w:color w:val="0000CC"/>
                </w:rPr>
                <w:t>IMAX Corporation Supplemental Executive Retirement Plan, as amended and restated as</w:t>
              </w:r>
            </w:hyperlink>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2/21/13</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CC"/>
              <w:bottom w:val="single" w:sz="8" w:color="0000CC"/>
            </w:tcBorders>
            <w:gridSpan w:val="6"/>
          </w:tcPr>
          <w:p>
            <w:pPr>
              <w:spacing w:after="0" w:line="195" w:lineRule="exact"/>
              <w:rPr>
                <w:rFonts w:ascii="Times New Roman" w:cs="Times New Roman" w:eastAsia="Times New Roman" w:hAnsi="Times New Roman"/>
                <w:sz w:val="18"/>
                <w:szCs w:val="18"/>
                <w:color w:val="0000CC"/>
                <w:w w:val="98"/>
              </w:rPr>
            </w:pPr>
            <w:hyperlink r:id="rId182">
              <w:r>
                <w:rPr>
                  <w:rFonts w:ascii="Times New Roman" w:cs="Times New Roman" w:eastAsia="Times New Roman" w:hAnsi="Times New Roman"/>
                  <w:sz w:val="18"/>
                  <w:szCs w:val="18"/>
                  <w:color w:val="0000CC"/>
                  <w:w w:val="98"/>
                </w:rPr>
                <w:t>of January 1, 2006.</w:t>
              </w:r>
            </w:hyperlink>
          </w:p>
        </w:tc>
        <w:tc>
          <w:tcPr>
            <w:tcW w:w="5040" w:type="dxa"/>
            <w:vAlign w:val="bottom"/>
            <w:tcBorders>
              <w:top w:val="single" w:sz="8" w:color="0000CC"/>
            </w:tcBorders>
            <w:gridSpan w:val="23"/>
          </w:tcPr>
          <w:p>
            <w:pPr>
              <w:spacing w:after="0"/>
              <w:rPr>
                <w:sz w:val="17"/>
                <w:szCs w:val="17"/>
                <w:color w:val="auto"/>
              </w:rPr>
            </w:pPr>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80" w:type="dxa"/>
            <w:vAlign w:val="bottom"/>
            <w:tcBorders>
              <w:bottom w:val="single" w:sz="8" w:color="0000CC"/>
            </w:tcBorders>
            <w:gridSpan w:val="24"/>
          </w:tcPr>
          <w:p>
            <w:pPr>
              <w:spacing w:after="0"/>
              <w:rPr>
                <w:rFonts w:ascii="Times New Roman" w:cs="Times New Roman" w:eastAsia="Times New Roman" w:hAnsi="Times New Roman"/>
                <w:sz w:val="18"/>
                <w:szCs w:val="18"/>
                <w:color w:val="0000CC"/>
                <w:w w:val="99"/>
              </w:rPr>
            </w:pPr>
            <w:hyperlink r:id="rId183">
              <w:r>
                <w:rPr>
                  <w:rFonts w:ascii="Times New Roman" w:cs="Times New Roman" w:eastAsia="Times New Roman" w:hAnsi="Times New Roman"/>
                  <w:sz w:val="18"/>
                  <w:szCs w:val="18"/>
                  <w:color w:val="0000CC"/>
                  <w:w w:val="99"/>
                </w:rPr>
                <w:t>Employment Agreement, dated November 8, 2016, between IMAX Corporation and</w:t>
              </w:r>
            </w:hyperlink>
          </w:p>
        </w:tc>
        <w:tc>
          <w:tcPr>
            <w:tcW w:w="520" w:type="dxa"/>
            <w:vAlign w:val="bottom"/>
            <w:gridSpan w:val="10"/>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2/23/17</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83">
              <w:r>
                <w:rPr>
                  <w:rFonts w:ascii="Times New Roman" w:cs="Times New Roman" w:eastAsia="Times New Roman" w:hAnsi="Times New Roman"/>
                  <w:sz w:val="18"/>
                  <w:szCs w:val="18"/>
                  <w:color w:val="0000CC"/>
                </w:rPr>
                <w:t>Richard L. Gelfond.</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240" w:type="dxa"/>
            <w:vAlign w:val="bottom"/>
            <w:gridSpan w:val="2"/>
            <w:shd w:val="clear" w:color="auto" w:fill="0000C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tcBorders>
              <w:bottom w:val="single" w:sz="8" w:color="0000CC"/>
            </w:tcBorders>
            <w:gridSpan w:val="22"/>
          </w:tcPr>
          <w:p>
            <w:pPr>
              <w:spacing w:after="0"/>
              <w:rPr>
                <w:rFonts w:ascii="Times New Roman" w:cs="Times New Roman" w:eastAsia="Times New Roman" w:hAnsi="Times New Roman"/>
                <w:sz w:val="18"/>
                <w:szCs w:val="18"/>
                <w:color w:val="0000CC"/>
                <w:w w:val="99"/>
              </w:rPr>
            </w:pPr>
            <w:hyperlink r:id="rId184">
              <w:r>
                <w:rPr>
                  <w:rFonts w:ascii="Times New Roman" w:cs="Times New Roman" w:eastAsia="Times New Roman" w:hAnsi="Times New Roman"/>
                  <w:sz w:val="18"/>
                  <w:szCs w:val="18"/>
                  <w:color w:val="0000CC"/>
                  <w:w w:val="99"/>
                </w:rPr>
                <w:t>Amendment to Employment Agreement, dated November 1, 2019, between IMAX</w:t>
              </w:r>
            </w:hyperlink>
          </w:p>
        </w:tc>
        <w:tc>
          <w:tcPr>
            <w:tcW w:w="640" w:type="dxa"/>
            <w:vAlign w:val="bottom"/>
            <w:gridSpan w:val="12"/>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2/19/20</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CC"/>
            </w:tcBorders>
            <w:gridSpan w:val="13"/>
          </w:tcPr>
          <w:p>
            <w:pPr>
              <w:spacing w:after="0" w:line="195" w:lineRule="exact"/>
              <w:rPr>
                <w:rFonts w:ascii="Times New Roman" w:cs="Times New Roman" w:eastAsia="Times New Roman" w:hAnsi="Times New Roman"/>
                <w:sz w:val="18"/>
                <w:szCs w:val="18"/>
                <w:color w:val="0000CC"/>
                <w:w w:val="98"/>
              </w:rPr>
            </w:pPr>
            <w:hyperlink r:id="rId184">
              <w:r>
                <w:rPr>
                  <w:rFonts w:ascii="Times New Roman" w:cs="Times New Roman" w:eastAsia="Times New Roman" w:hAnsi="Times New Roman"/>
                  <w:sz w:val="18"/>
                  <w:szCs w:val="18"/>
                  <w:color w:val="0000CC"/>
                  <w:w w:val="98"/>
                </w:rPr>
                <w:t>Corporation and Richard L. Gelfond.</w:t>
              </w:r>
            </w:hyperlink>
          </w:p>
        </w:tc>
        <w:tc>
          <w:tcPr>
            <w:tcW w:w="394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tcBorders>
              <w:bottom w:val="single" w:sz="8" w:color="0000CC"/>
            </w:tcBorders>
            <w:gridSpan w:val="32"/>
          </w:tcPr>
          <w:p>
            <w:pPr>
              <w:spacing w:after="0"/>
              <w:rPr>
                <w:rFonts w:ascii="Times New Roman" w:cs="Times New Roman" w:eastAsia="Times New Roman" w:hAnsi="Times New Roman"/>
                <w:sz w:val="18"/>
                <w:szCs w:val="18"/>
                <w:color w:val="0000CC"/>
                <w:w w:val="99"/>
              </w:rPr>
            </w:pPr>
            <w:hyperlink r:id="rId185">
              <w:r>
                <w:rPr>
                  <w:rFonts w:ascii="Times New Roman" w:cs="Times New Roman" w:eastAsia="Times New Roman" w:hAnsi="Times New Roman"/>
                  <w:sz w:val="18"/>
                  <w:szCs w:val="18"/>
                  <w:color w:val="0000CC"/>
                  <w:w w:val="99"/>
                </w:rPr>
                <w:t>Second Amendment to Employment Agreement, dated as of September 19, 2022, between</w:t>
              </w:r>
            </w:hyperlink>
          </w:p>
        </w:tc>
        <w:tc>
          <w:tcPr>
            <w:tcW w:w="1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10/31/22</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85">
              <w:r>
                <w:rPr>
                  <w:rFonts w:ascii="Times New Roman" w:cs="Times New Roman" w:eastAsia="Times New Roman" w:hAnsi="Times New Roman"/>
                  <w:sz w:val="18"/>
                  <w:szCs w:val="18"/>
                  <w:color w:val="0000CC"/>
                </w:rPr>
                <w:t>IMAX Corporation and Richard L. Gelfond.</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280" w:type="dxa"/>
            <w:vAlign w:val="bottom"/>
            <w:gridSpan w:val="3"/>
            <w:shd w:val="clear" w:color="auto" w:fill="0000CC"/>
          </w:tcPr>
          <w:p>
            <w:pPr>
              <w:spacing w:after="0" w:line="20" w:lineRule="exact"/>
              <w:rPr>
                <w:sz w:val="1"/>
                <w:szCs w:val="1"/>
                <w:color w:val="auto"/>
              </w:rPr>
            </w:pPr>
          </w:p>
        </w:tc>
        <w:tc>
          <w:tcPr>
            <w:tcW w:w="1700" w:type="dxa"/>
            <w:vAlign w:val="bottom"/>
            <w:tcBorders>
              <w:right w:val="single" w:sz="8" w:color="0000CC"/>
            </w:tcBorders>
            <w:gridSpan w:val="7"/>
            <w:shd w:val="clear" w:color="auto" w:fill="0000CC"/>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Third Amendment to Employment Agreement, dated as of July 17, 2025, by and between</w:t>
              </w:r>
            </w:hyperlink>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10/23/25</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top w:val="single" w:sz="8" w:color="0000FF"/>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IMAX Corporation and Richard L. Gelfond</w:t>
              </w:r>
            </w:hyperlink>
          </w:p>
        </w:tc>
        <w:tc>
          <w:tcPr>
            <w:tcW w:w="3240" w:type="dxa"/>
            <w:vAlign w:val="bottom"/>
            <w:tcBorders>
              <w:top w:val="single" w:sz="8" w:color="0000FF"/>
            </w:tcBorders>
            <w:gridSpan w:val="14"/>
          </w:tcPr>
          <w:p>
            <w:pPr>
              <w:spacing w:after="0"/>
              <w:rPr>
                <w:sz w:val="17"/>
                <w:szCs w:val="17"/>
                <w:color w:val="auto"/>
              </w:rPr>
            </w:pPr>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9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4"/>
          </w:tcPr>
          <w:p>
            <w:pPr>
              <w:spacing w:after="0"/>
              <w:rPr>
                <w:rFonts w:ascii="Times New Roman" w:cs="Times New Roman" w:eastAsia="Times New Roman" w:hAnsi="Times New Roman"/>
                <w:sz w:val="18"/>
                <w:szCs w:val="18"/>
                <w:color w:val="0000CC"/>
              </w:rPr>
            </w:pPr>
            <w:hyperlink r:id="rId187">
              <w:r>
                <w:rPr>
                  <w:rFonts w:ascii="Times New Roman" w:cs="Times New Roman" w:eastAsia="Times New Roman" w:hAnsi="Times New Roman"/>
                  <w:sz w:val="18"/>
                  <w:szCs w:val="18"/>
                  <w:color w:val="0000CC"/>
                </w:rPr>
                <w:t>Employment Agreement, dated December 18, 2017, between IMAX Corporation and</w:t>
              </w:r>
            </w:hyperlink>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2/27/18</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top w:val="single" w:sz="8" w:color="0000CC"/>
            </w:tcBorders>
            <w:gridSpan w:val="25"/>
          </w:tcPr>
          <w:p>
            <w:pPr>
              <w:spacing w:after="0" w:line="195" w:lineRule="exact"/>
              <w:rPr>
                <w:rFonts w:ascii="Times New Roman" w:cs="Times New Roman" w:eastAsia="Times New Roman" w:hAnsi="Times New Roman"/>
                <w:sz w:val="18"/>
                <w:szCs w:val="18"/>
                <w:color w:val="0000CC"/>
              </w:rPr>
            </w:pPr>
            <w:hyperlink r:id="rId187">
              <w:r>
                <w:rPr>
                  <w:rFonts w:ascii="Times New Roman" w:cs="Times New Roman" w:eastAsia="Times New Roman" w:hAnsi="Times New Roman"/>
                  <w:sz w:val="18"/>
                  <w:szCs w:val="18"/>
                  <w:color w:val="0000CC"/>
                </w:rPr>
                <w:t>Robert D. Lister.</w:t>
              </w:r>
            </w:hyperlink>
          </w:p>
        </w:tc>
        <w:tc>
          <w:tcPr>
            <w:tcW w:w="44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580" w:type="dxa"/>
            <w:vAlign w:val="bottom"/>
            <w:gridSpan w:val="15"/>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60" w:type="dxa"/>
            <w:vAlign w:val="bottom"/>
            <w:tcBorders>
              <w:bottom w:val="single" w:sz="8" w:color="0000CC"/>
            </w:tcBorders>
            <w:gridSpan w:val="23"/>
          </w:tcPr>
          <w:p>
            <w:pPr>
              <w:spacing w:after="0"/>
              <w:rPr>
                <w:rFonts w:ascii="Times New Roman" w:cs="Times New Roman" w:eastAsia="Times New Roman" w:hAnsi="Times New Roman"/>
                <w:sz w:val="18"/>
                <w:szCs w:val="18"/>
                <w:color w:val="0000CC"/>
                <w:w w:val="99"/>
              </w:rPr>
            </w:pPr>
            <w:hyperlink r:id="rId188">
              <w:r>
                <w:rPr>
                  <w:rFonts w:ascii="Times New Roman" w:cs="Times New Roman" w:eastAsia="Times New Roman" w:hAnsi="Times New Roman"/>
                  <w:sz w:val="18"/>
                  <w:szCs w:val="18"/>
                  <w:color w:val="0000CC"/>
                  <w:w w:val="99"/>
                </w:rPr>
                <w:t>First Amending Agreement, dated March 11, 2020, between IMAX Corporation and</w:t>
              </w:r>
            </w:hyperlink>
          </w:p>
        </w:tc>
        <w:tc>
          <w:tcPr>
            <w:tcW w:w="540" w:type="dxa"/>
            <w:vAlign w:val="bottom"/>
            <w:gridSpan w:val="11"/>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4/30/20</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88">
              <w:r>
                <w:rPr>
                  <w:rFonts w:ascii="Times New Roman" w:cs="Times New Roman" w:eastAsia="Times New Roman" w:hAnsi="Times New Roman"/>
                  <w:sz w:val="18"/>
                  <w:szCs w:val="18"/>
                  <w:color w:val="0000CC"/>
                </w:rPr>
                <w:t>Robert D. Lister.</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900" w:type="dxa"/>
            <w:vAlign w:val="bottom"/>
            <w:gridSpan w:val="2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Second Amending Agreement, dated as of October 20, 2023, between IMAX Corporation</w:t>
              </w:r>
            </w:hyperlink>
          </w:p>
        </w:tc>
        <w:tc>
          <w:tcPr>
            <w:tcW w:w="14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8"/>
              </w:rPr>
            </w:pPr>
            <w:hyperlink r:id="rId189">
              <w:r>
                <w:rPr>
                  <w:rFonts w:ascii="Times New Roman" w:cs="Times New Roman" w:eastAsia="Times New Roman" w:hAnsi="Times New Roman"/>
                  <w:sz w:val="18"/>
                  <w:szCs w:val="18"/>
                  <w:color w:val="0000FF"/>
                  <w:w w:val="98"/>
                </w:rPr>
                <w:t>and Robert D. Lister</w:t>
              </w:r>
            </w:hyperlink>
          </w:p>
        </w:tc>
        <w:tc>
          <w:tcPr>
            <w:tcW w:w="5120" w:type="dxa"/>
            <w:vAlign w:val="bottom"/>
            <w:gridSpan w:val="26"/>
          </w:tcPr>
          <w:p>
            <w:pPr>
              <w:spacing w:after="0"/>
              <w:rPr>
                <w:sz w:val="17"/>
                <w:szCs w:val="17"/>
                <w:color w:val="auto"/>
              </w:rPr>
            </w:pPr>
          </w:p>
        </w:tc>
        <w:tc>
          <w:tcPr>
            <w:tcW w:w="740" w:type="dxa"/>
            <w:vAlign w:val="bottom"/>
            <w:gridSpan w:val="3"/>
          </w:tcPr>
          <w:p>
            <w:pPr>
              <w:ind w:left="60"/>
              <w:spacing w:after="0" w:line="195" w:lineRule="exact"/>
              <w:rPr>
                <w:sz w:val="20"/>
                <w:szCs w:val="20"/>
                <w:color w:val="auto"/>
              </w:rPr>
            </w:pPr>
            <w:r>
              <w:rPr>
                <w:rFonts w:ascii="Times New Roman" w:cs="Times New Roman" w:eastAsia="Times New Roman" w:hAnsi="Times New Roman"/>
                <w:sz w:val="18"/>
                <w:szCs w:val="18"/>
                <w:color w:val="auto"/>
              </w:rPr>
              <w:t>10-K</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7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80" w:type="dxa"/>
            <w:vAlign w:val="bottom"/>
            <w:tcBorders>
              <w:bottom w:val="single" w:sz="8" w:color="0000CC"/>
            </w:tcBorders>
            <w:gridSpan w:val="28"/>
          </w:tcPr>
          <w:p>
            <w:pPr>
              <w:spacing w:after="0"/>
              <w:rPr>
                <w:rFonts w:ascii="Times New Roman" w:cs="Times New Roman" w:eastAsia="Times New Roman" w:hAnsi="Times New Roman"/>
                <w:sz w:val="18"/>
                <w:szCs w:val="18"/>
                <w:color w:val="0000CC"/>
                <w:w w:val="99"/>
              </w:rPr>
            </w:pPr>
            <w:hyperlink r:id="rId190">
              <w:r>
                <w:rPr>
                  <w:rFonts w:ascii="Times New Roman" w:cs="Times New Roman" w:eastAsia="Times New Roman" w:hAnsi="Times New Roman"/>
                  <w:sz w:val="18"/>
                  <w:szCs w:val="18"/>
                  <w:color w:val="0000CC"/>
                  <w:w w:val="99"/>
                </w:rPr>
                <w:t>Employment Memorandum, dated September 18, 2020, between IMAX Corporation and</w:t>
              </w:r>
            </w:hyperlink>
          </w:p>
        </w:tc>
        <w:tc>
          <w:tcPr>
            <w:tcW w:w="2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001-35066</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10/29/20</w:t>
            </w:r>
          </w:p>
        </w:tc>
      </w:tr>
      <w:tr>
        <w:trPr>
          <w:trHeight w:val="195"/>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0" w:type="dxa"/>
            <w:vAlign w:val="bottom"/>
            <w:gridSpan w:val="34"/>
          </w:tcPr>
          <w:p>
            <w:pPr>
              <w:spacing w:after="0" w:line="195" w:lineRule="exact"/>
              <w:rPr>
                <w:rFonts w:ascii="Times New Roman" w:cs="Times New Roman" w:eastAsia="Times New Roman" w:hAnsi="Times New Roman"/>
                <w:sz w:val="18"/>
                <w:szCs w:val="18"/>
                <w:color w:val="0000CC"/>
              </w:rPr>
            </w:pPr>
            <w:hyperlink r:id="rId190">
              <w:r>
                <w:rPr>
                  <w:rFonts w:ascii="Times New Roman" w:cs="Times New Roman" w:eastAsia="Times New Roman" w:hAnsi="Times New Roman"/>
                  <w:sz w:val="18"/>
                  <w:szCs w:val="18"/>
                  <w:color w:val="0000CC"/>
                </w:rPr>
                <w:t>Mark Welton.</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CC"/>
          </w:tcPr>
          <w:p>
            <w:pPr>
              <w:spacing w:after="0" w:line="20" w:lineRule="exact"/>
              <w:rPr>
                <w:sz w:val="1"/>
                <w:szCs w:val="1"/>
                <w:color w:val="auto"/>
              </w:rPr>
            </w:pPr>
          </w:p>
        </w:tc>
        <w:tc>
          <w:tcPr>
            <w:tcW w:w="200" w:type="dxa"/>
            <w:vAlign w:val="bottom"/>
            <w:tcBorders>
              <w:right w:val="single" w:sz="8" w:color="0000CC"/>
            </w:tcBorders>
            <w:shd w:val="clear" w:color="auto" w:fill="0000CC"/>
          </w:tcPr>
          <w:p>
            <w:pPr>
              <w:spacing w:after="0" w:line="20" w:lineRule="exact"/>
              <w:rPr>
                <w:sz w:val="1"/>
                <w:szCs w:val="1"/>
                <w:color w:val="auto"/>
              </w:rPr>
            </w:pPr>
          </w:p>
        </w:tc>
        <w:tc>
          <w:tcPr>
            <w:tcW w:w="100" w:type="dxa"/>
            <w:vAlign w:val="bottom"/>
            <w:tcBorders>
              <w:right w:val="single" w:sz="8" w:color="0000CC"/>
            </w:tcBorders>
            <w:shd w:val="clear" w:color="auto" w:fill="0000CC"/>
          </w:tcPr>
          <w:p>
            <w:pPr>
              <w:spacing w:after="0" w:line="20" w:lineRule="exact"/>
              <w:rPr>
                <w:sz w:val="1"/>
                <w:szCs w:val="1"/>
                <w:color w:val="auto"/>
              </w:rPr>
            </w:pPr>
          </w:p>
        </w:tc>
        <w:tc>
          <w:tcPr>
            <w:tcW w:w="100" w:type="dxa"/>
            <w:vAlign w:val="bottom"/>
            <w:shd w:val="clear" w:color="auto" w:fill="0000C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3" w:right="3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78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5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6100" w:type="dxa"/>
            <w:vAlign w:val="bottom"/>
            <w:tcBorders>
              <w:bottom w:val="single" w:sz="8" w:color="0000CC"/>
            </w:tcBorders>
            <w:gridSpan w:val="20"/>
          </w:tcPr>
          <w:p>
            <w:pPr>
              <w:spacing w:after="0"/>
              <w:rPr>
                <w:rFonts w:ascii="Times New Roman" w:cs="Times New Roman" w:eastAsia="Times New Roman" w:hAnsi="Times New Roman"/>
                <w:sz w:val="18"/>
                <w:szCs w:val="18"/>
                <w:color w:val="0000CC"/>
                <w:w w:val="99"/>
              </w:rPr>
            </w:pPr>
            <w:hyperlink r:id="rId192">
              <w:r>
                <w:rPr>
                  <w:rFonts w:ascii="Times New Roman" w:cs="Times New Roman" w:eastAsia="Times New Roman" w:hAnsi="Times New Roman"/>
                  <w:sz w:val="18"/>
                  <w:szCs w:val="18"/>
                  <w:color w:val="0000CC"/>
                  <w:w w:val="99"/>
                </w:rPr>
                <w:t>Amendment to Employment Memorandum, dated October 13, 2021, between IMAX</w:t>
              </w:r>
            </w:hyperlink>
          </w:p>
        </w:tc>
        <w:tc>
          <w:tcPr>
            <w:tcW w:w="600" w:type="dxa"/>
            <w:vAlign w:val="bottom"/>
            <w:gridSpan w:val="8"/>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2/24/22</w:t>
            </w:r>
          </w:p>
        </w:tc>
      </w:tr>
      <w:tr>
        <w:trPr>
          <w:trHeight w:val="195"/>
        </w:trPr>
        <w:tc>
          <w:tcPr>
            <w:tcW w:w="1100" w:type="dxa"/>
            <w:vAlign w:val="bottom"/>
          </w:tcPr>
          <w:p>
            <w:pPr>
              <w:spacing w:after="0"/>
              <w:rPr>
                <w:sz w:val="17"/>
                <w:szCs w:val="17"/>
                <w:color w:val="auto"/>
              </w:rPr>
            </w:pPr>
          </w:p>
        </w:tc>
        <w:tc>
          <w:tcPr>
            <w:tcW w:w="2220" w:type="dxa"/>
            <w:vAlign w:val="bottom"/>
            <w:tcBorders>
              <w:bottom w:val="single" w:sz="8" w:color="0000CC"/>
            </w:tcBorders>
            <w:gridSpan w:val="10"/>
          </w:tcPr>
          <w:p>
            <w:pPr>
              <w:spacing w:after="0" w:line="195" w:lineRule="exact"/>
              <w:rPr>
                <w:rFonts w:ascii="Times New Roman" w:cs="Times New Roman" w:eastAsia="Times New Roman" w:hAnsi="Times New Roman"/>
                <w:sz w:val="18"/>
                <w:szCs w:val="18"/>
                <w:color w:val="0000CC"/>
                <w:w w:val="98"/>
              </w:rPr>
            </w:pPr>
            <w:hyperlink r:id="rId192">
              <w:r>
                <w:rPr>
                  <w:rFonts w:ascii="Times New Roman" w:cs="Times New Roman" w:eastAsia="Times New Roman" w:hAnsi="Times New Roman"/>
                  <w:sz w:val="18"/>
                  <w:szCs w:val="18"/>
                  <w:color w:val="0000CC"/>
                  <w:w w:val="98"/>
                </w:rPr>
                <w:t>Corporation and Mark Welton.</w:t>
              </w:r>
            </w:hyperlink>
          </w:p>
        </w:tc>
        <w:tc>
          <w:tcPr>
            <w:tcW w:w="4480" w:type="dxa"/>
            <w:vAlign w:val="bottom"/>
            <w:gridSpan w:val="18"/>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66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Amendment to Employment Terms, dated as of May 20, 2025, between IMAX Corporation</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7/24/25</w:t>
            </w:r>
          </w:p>
        </w:tc>
      </w:tr>
      <w:tr>
        <w:trPr>
          <w:trHeight w:val="195"/>
        </w:trPr>
        <w:tc>
          <w:tcPr>
            <w:tcW w:w="1100" w:type="dxa"/>
            <w:vAlign w:val="bottom"/>
          </w:tcPr>
          <w:p>
            <w:pPr>
              <w:spacing w:after="0"/>
              <w:rPr>
                <w:sz w:val="17"/>
                <w:szCs w:val="17"/>
                <w:color w:val="auto"/>
              </w:rPr>
            </w:pPr>
          </w:p>
        </w:tc>
        <w:tc>
          <w:tcPr>
            <w:tcW w:w="130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7"/>
              </w:rPr>
            </w:pPr>
            <w:hyperlink r:id="rId193">
              <w:r>
                <w:rPr>
                  <w:rFonts w:ascii="Times New Roman" w:cs="Times New Roman" w:eastAsia="Times New Roman" w:hAnsi="Times New Roman"/>
                  <w:sz w:val="18"/>
                  <w:szCs w:val="18"/>
                  <w:color w:val="0000FF"/>
                  <w:w w:val="97"/>
                </w:rPr>
                <w:t>and Mark Welton.</w:t>
              </w:r>
            </w:hyperlink>
          </w:p>
        </w:tc>
        <w:tc>
          <w:tcPr>
            <w:tcW w:w="5400" w:type="dxa"/>
            <w:vAlign w:val="bottom"/>
            <w:gridSpan w:val="21"/>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6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Employment Agreement, dated as of January 9, 2023, between IMAX China (Hong Kong)</w:t>
              </w:r>
            </w:hyperlink>
          </w:p>
        </w:tc>
        <w:tc>
          <w:tcPr>
            <w:tcW w:w="10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r>
      <w:tr>
        <w:trPr>
          <w:trHeight w:val="195"/>
        </w:trPr>
        <w:tc>
          <w:tcPr>
            <w:tcW w:w="1100" w:type="dxa"/>
            <w:vAlign w:val="bottom"/>
          </w:tcPr>
          <w:p>
            <w:pPr>
              <w:spacing w:after="0"/>
              <w:rPr>
                <w:sz w:val="17"/>
                <w:szCs w:val="17"/>
                <w:color w:val="auto"/>
              </w:rPr>
            </w:pPr>
          </w:p>
        </w:tc>
        <w:tc>
          <w:tcPr>
            <w:tcW w:w="232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Limited and Daniel Manwaring.</w:t>
              </w:r>
            </w:hyperlink>
          </w:p>
        </w:tc>
        <w:tc>
          <w:tcPr>
            <w:tcW w:w="4380" w:type="dxa"/>
            <w:vAlign w:val="bottom"/>
            <w:gridSpan w:val="17"/>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6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Amendment Agreement to Employment Agreement, dated as of March 7, 2024, between</w:t>
              </w:r>
            </w:hyperlink>
          </w:p>
        </w:tc>
        <w:tc>
          <w:tcPr>
            <w:tcW w:w="10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7/25/24</w:t>
            </w:r>
          </w:p>
        </w:tc>
      </w:tr>
      <w:tr>
        <w:trPr>
          <w:trHeight w:val="195"/>
        </w:trPr>
        <w:tc>
          <w:tcPr>
            <w:tcW w:w="1100" w:type="dxa"/>
            <w:vAlign w:val="bottom"/>
          </w:tcPr>
          <w:p>
            <w:pPr>
              <w:spacing w:after="0"/>
              <w:rPr>
                <w:sz w:val="17"/>
                <w:szCs w:val="17"/>
                <w:color w:val="auto"/>
              </w:rPr>
            </w:pPr>
          </w:p>
        </w:tc>
        <w:tc>
          <w:tcPr>
            <w:tcW w:w="6700" w:type="dxa"/>
            <w:vAlign w:val="bottom"/>
            <w:gridSpan w:val="28"/>
          </w:tcPr>
          <w:p>
            <w:pPr>
              <w:spacing w:after="0" w:line="195"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IMAX China (Hong Kong) Limited and Daniel Manwaring.</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62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Amendment Agreement to Employment Agreement, dated as of March 7, 2025, by and</w:t>
              </w:r>
            </w:hyperlink>
          </w:p>
        </w:tc>
        <w:tc>
          <w:tcPr>
            <w:tcW w:w="420" w:type="dxa"/>
            <w:vAlign w:val="bottom"/>
            <w:gridSpan w:val="6"/>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4/23/25</w:t>
            </w:r>
          </w:p>
        </w:tc>
      </w:tr>
      <w:tr>
        <w:trPr>
          <w:trHeight w:val="195"/>
        </w:trPr>
        <w:tc>
          <w:tcPr>
            <w:tcW w:w="1100" w:type="dxa"/>
            <w:vAlign w:val="bottom"/>
          </w:tcPr>
          <w:p>
            <w:pPr>
              <w:spacing w:after="0"/>
              <w:rPr>
                <w:sz w:val="17"/>
                <w:szCs w:val="17"/>
                <w:color w:val="auto"/>
              </w:rPr>
            </w:pPr>
          </w:p>
        </w:tc>
        <w:tc>
          <w:tcPr>
            <w:tcW w:w="6700" w:type="dxa"/>
            <w:vAlign w:val="bottom"/>
            <w:gridSpan w:val="28"/>
          </w:tcPr>
          <w:p>
            <w:pPr>
              <w:spacing w:after="0" w:line="195"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between IMAX China (Hong Kong) Limited and Daniel Wade Manwaring</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6400" w:type="dxa"/>
            <w:vAlign w:val="bottom"/>
            <w:tcBorders>
              <w:bottom w:val="single" w:sz="8" w:color="0000CC"/>
            </w:tcBorders>
            <w:gridSpan w:val="24"/>
          </w:tcPr>
          <w:p>
            <w:pPr>
              <w:spacing w:after="0"/>
              <w:rPr>
                <w:rFonts w:ascii="Times New Roman" w:cs="Times New Roman" w:eastAsia="Times New Roman" w:hAnsi="Times New Roman"/>
                <w:sz w:val="18"/>
                <w:szCs w:val="18"/>
                <w:color w:val="0000CC"/>
                <w:w w:val="99"/>
              </w:rPr>
            </w:pPr>
            <w:hyperlink r:id="rId197">
              <w:r>
                <w:rPr>
                  <w:rFonts w:ascii="Times New Roman" w:cs="Times New Roman" w:eastAsia="Times New Roman" w:hAnsi="Times New Roman"/>
                  <w:sz w:val="18"/>
                  <w:szCs w:val="18"/>
                  <w:color w:val="0000CC"/>
                  <w:w w:val="99"/>
                </w:rPr>
                <w:t>Employment Agreement, dated April 25, 2022, between IMAX Corporation and Natasha</w:t>
              </w:r>
            </w:hyperlink>
          </w:p>
        </w:tc>
        <w:tc>
          <w:tcPr>
            <w:tcW w:w="300" w:type="dxa"/>
            <w:vAlign w:val="bottom"/>
            <w:gridSpan w:val="4"/>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7/29/22</w:t>
            </w:r>
          </w:p>
        </w:tc>
      </w:tr>
      <w:tr>
        <w:trPr>
          <w:trHeight w:val="195"/>
        </w:trPr>
        <w:tc>
          <w:tcPr>
            <w:tcW w:w="1100" w:type="dxa"/>
            <w:vAlign w:val="bottom"/>
          </w:tcPr>
          <w:p>
            <w:pPr>
              <w:spacing w:after="0"/>
              <w:rPr>
                <w:sz w:val="17"/>
                <w:szCs w:val="17"/>
                <w:color w:val="auto"/>
              </w:rPr>
            </w:pPr>
          </w:p>
        </w:tc>
        <w:tc>
          <w:tcPr>
            <w:tcW w:w="6700" w:type="dxa"/>
            <w:vAlign w:val="bottom"/>
            <w:gridSpan w:val="28"/>
          </w:tcPr>
          <w:p>
            <w:pPr>
              <w:spacing w:after="0" w:line="195" w:lineRule="exact"/>
              <w:rPr>
                <w:rFonts w:ascii="Times New Roman" w:cs="Times New Roman" w:eastAsia="Times New Roman" w:hAnsi="Times New Roman"/>
                <w:sz w:val="18"/>
                <w:szCs w:val="18"/>
                <w:color w:val="0000CC"/>
              </w:rPr>
            </w:pPr>
            <w:hyperlink r:id="rId197">
              <w:r>
                <w:rPr>
                  <w:rFonts w:ascii="Times New Roman" w:cs="Times New Roman" w:eastAsia="Times New Roman" w:hAnsi="Times New Roman"/>
                  <w:sz w:val="18"/>
                  <w:szCs w:val="18"/>
                  <w:color w:val="0000CC"/>
                </w:rPr>
                <w:t>Fernandes.</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80" w:type="dxa"/>
            <w:vAlign w:val="bottom"/>
            <w:gridSpan w:val="2"/>
            <w:shd w:val="clear" w:color="auto" w:fill="0000C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100" w:type="dxa"/>
            <w:vAlign w:val="bottom"/>
          </w:tcPr>
          <w:p>
            <w:pPr>
              <w:spacing w:after="0"/>
              <w:rPr>
                <w:sz w:val="24"/>
                <w:szCs w:val="24"/>
                <w:color w:val="auto"/>
              </w:rPr>
            </w:pPr>
          </w:p>
        </w:tc>
        <w:tc>
          <w:tcPr>
            <w:tcW w:w="66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Amendment to Employment Terms, dated as of May 20, 2025, between IMAX Corporation</w:t>
              </w:r>
            </w:hyperlink>
          </w:p>
        </w:tc>
        <w:tc>
          <w:tcPr>
            <w:tcW w:w="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7/24/25</w:t>
            </w:r>
          </w:p>
        </w:tc>
      </w:tr>
      <w:tr>
        <w:trPr>
          <w:trHeight w:val="195"/>
        </w:trPr>
        <w:tc>
          <w:tcPr>
            <w:tcW w:w="11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+10.23</w:t>
            </w:r>
          </w:p>
        </w:tc>
        <w:tc>
          <w:tcPr>
            <w:tcW w:w="6700" w:type="dxa"/>
            <w:vAlign w:val="bottom"/>
            <w:gridSpan w:val="28"/>
          </w:tcPr>
          <w:p>
            <w:pPr>
              <w:spacing w:after="0" w:line="195"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and Natasha Fernandes</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62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Employment Agreement, dated as of March 13, 2025, between IMAX Corporation and</w:t>
              </w:r>
            </w:hyperlink>
          </w:p>
        </w:tc>
        <w:tc>
          <w:tcPr>
            <w:tcW w:w="440" w:type="dxa"/>
            <w:vAlign w:val="bottom"/>
            <w:gridSpan w:val="7"/>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7/24/25</w:t>
            </w:r>
          </w:p>
        </w:tc>
      </w:tr>
      <w:tr>
        <w:trPr>
          <w:trHeight w:val="195"/>
        </w:trPr>
        <w:tc>
          <w:tcPr>
            <w:tcW w:w="1100" w:type="dxa"/>
            <w:vAlign w:val="bottom"/>
          </w:tcPr>
          <w:p>
            <w:pPr>
              <w:spacing w:after="0"/>
              <w:rPr>
                <w:sz w:val="17"/>
                <w:szCs w:val="17"/>
                <w:color w:val="auto"/>
              </w:rPr>
            </w:pPr>
          </w:p>
        </w:tc>
        <w:tc>
          <w:tcPr>
            <w:tcW w:w="6700" w:type="dxa"/>
            <w:vAlign w:val="bottom"/>
            <w:gridSpan w:val="28"/>
          </w:tcPr>
          <w:p>
            <w:pPr>
              <w:spacing w:after="0" w:line="195"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Jose Zlatar.</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6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Amendment to Employment Terms, dated as of May 20, 2025, between IMAX Corporation</w:t>
              </w:r>
            </w:hyperlink>
          </w:p>
        </w:tc>
        <w:tc>
          <w:tcPr>
            <w:tcW w:w="10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7/24/25</w:t>
            </w:r>
          </w:p>
        </w:tc>
      </w:tr>
      <w:tr>
        <w:trPr>
          <w:trHeight w:val="195"/>
        </w:trPr>
        <w:tc>
          <w:tcPr>
            <w:tcW w:w="1100" w:type="dxa"/>
            <w:vAlign w:val="bottom"/>
          </w:tcPr>
          <w:p>
            <w:pPr>
              <w:spacing w:after="0"/>
              <w:rPr>
                <w:sz w:val="17"/>
                <w:szCs w:val="17"/>
                <w:color w:val="auto"/>
              </w:rPr>
            </w:pPr>
          </w:p>
        </w:tc>
        <w:tc>
          <w:tcPr>
            <w:tcW w:w="6700" w:type="dxa"/>
            <w:vAlign w:val="bottom"/>
            <w:gridSpan w:val="28"/>
          </w:tcPr>
          <w:p>
            <w:pPr>
              <w:spacing w:after="0" w:line="195"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and Jose Zlatar.</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6700" w:type="dxa"/>
            <w:vAlign w:val="bottom"/>
            <w:gridSpan w:val="28"/>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Employment Agreement, dated as of January 12, 2024, between IMAX Corporation and</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7/24/25</w:t>
            </w:r>
          </w:p>
        </w:tc>
      </w:tr>
      <w:tr>
        <w:trPr>
          <w:trHeight w:val="195"/>
        </w:trPr>
        <w:tc>
          <w:tcPr>
            <w:tcW w:w="1100" w:type="dxa"/>
            <w:vAlign w:val="bottom"/>
          </w:tcPr>
          <w:p>
            <w:pPr>
              <w:spacing w:after="0"/>
              <w:rPr>
                <w:sz w:val="17"/>
                <w:szCs w:val="17"/>
                <w:color w:val="auto"/>
              </w:rPr>
            </w:pPr>
          </w:p>
        </w:tc>
        <w:tc>
          <w:tcPr>
            <w:tcW w:w="6340" w:type="dxa"/>
            <w:vAlign w:val="bottom"/>
            <w:tcBorders>
              <w:top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Anne Globe.</w:t>
              </w:r>
            </w:hyperlink>
          </w:p>
        </w:tc>
        <w:tc>
          <w:tcPr>
            <w:tcW w:w="36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6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Amendment to Employment Terms, dated as of May 20, 2025, between IMAX Corporation</w:t>
              </w:r>
            </w:hyperlink>
          </w:p>
        </w:tc>
        <w:tc>
          <w:tcPr>
            <w:tcW w:w="120" w:type="dxa"/>
            <w:vAlign w:val="bottom"/>
            <w:gridSpan w:val="3"/>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7/24/25</w:t>
            </w:r>
          </w:p>
        </w:tc>
      </w:tr>
      <w:tr>
        <w:trPr>
          <w:trHeight w:val="195"/>
        </w:trPr>
        <w:tc>
          <w:tcPr>
            <w:tcW w:w="1100" w:type="dxa"/>
            <w:vAlign w:val="bottom"/>
          </w:tcPr>
          <w:p>
            <w:pPr>
              <w:spacing w:after="0"/>
              <w:rPr>
                <w:sz w:val="17"/>
                <w:szCs w:val="17"/>
                <w:color w:val="auto"/>
              </w:rPr>
            </w:pPr>
          </w:p>
        </w:tc>
        <w:tc>
          <w:tcPr>
            <w:tcW w:w="6700" w:type="dxa"/>
            <w:vAlign w:val="bottom"/>
            <w:gridSpan w:val="28"/>
          </w:tcPr>
          <w:p>
            <w:pPr>
              <w:spacing w:after="0" w:line="195"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and Anne Globe.</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4220" w:type="dxa"/>
            <w:vAlign w:val="bottom"/>
            <w:tcBorders>
              <w:bottom w:val="single" w:sz="8" w:color="0000CC"/>
            </w:tcBorders>
            <w:gridSpan w:val="16"/>
          </w:tcPr>
          <w:p>
            <w:pPr>
              <w:spacing w:after="0"/>
              <w:rPr>
                <w:rFonts w:ascii="Times New Roman" w:cs="Times New Roman" w:eastAsia="Times New Roman" w:hAnsi="Times New Roman"/>
                <w:sz w:val="18"/>
                <w:szCs w:val="18"/>
                <w:color w:val="0000CC"/>
                <w:w w:val="99"/>
              </w:rPr>
            </w:pPr>
            <w:hyperlink r:id="rId203">
              <w:r>
                <w:rPr>
                  <w:rFonts w:ascii="Times New Roman" w:cs="Times New Roman" w:eastAsia="Times New Roman" w:hAnsi="Times New Roman"/>
                  <w:sz w:val="18"/>
                  <w:szCs w:val="18"/>
                  <w:color w:val="0000CC"/>
                  <w:w w:val="99"/>
                </w:rPr>
                <w:t>Statement of Directors’ Compensation as of January 2023.</w:t>
              </w:r>
            </w:hyperlink>
          </w:p>
        </w:tc>
        <w:tc>
          <w:tcPr>
            <w:tcW w:w="2480" w:type="dxa"/>
            <w:vAlign w:val="bottom"/>
            <w:gridSpan w:val="1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2/22/22</w:t>
            </w: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6700" w:type="dxa"/>
            <w:vAlign w:val="bottom"/>
            <w:gridSpan w:val="28"/>
          </w:tcPr>
          <w:p>
            <w:pPr>
              <w:spacing w:after="0"/>
              <w:rPr>
                <w:rFonts w:ascii="Times New Roman" w:cs="Times New Roman" w:eastAsia="Times New Roman" w:hAnsi="Times New Roman"/>
                <w:sz w:val="18"/>
                <w:szCs w:val="18"/>
                <w:color w:val="0000CC"/>
              </w:rPr>
            </w:pPr>
            <w:hyperlink r:id="rId204">
              <w:r>
                <w:rPr>
                  <w:rFonts w:ascii="Times New Roman" w:cs="Times New Roman" w:eastAsia="Times New Roman" w:hAnsi="Times New Roman"/>
                  <w:sz w:val="18"/>
                  <w:szCs w:val="18"/>
                  <w:color w:val="0000CC"/>
                </w:rPr>
                <w:t>Form of Director Indemnification Agreement.</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7/25/18</w:t>
            </w:r>
          </w:p>
        </w:tc>
      </w:tr>
      <w:tr>
        <w:trPr>
          <w:trHeight w:val="20"/>
        </w:trPr>
        <w:tc>
          <w:tcPr>
            <w:tcW w:w="1100" w:type="dxa"/>
            <w:vAlign w:val="bottom"/>
          </w:tcPr>
          <w:p>
            <w:pPr>
              <w:spacing w:after="0" w:line="20" w:lineRule="exact"/>
              <w:rPr>
                <w:sz w:val="1"/>
                <w:szCs w:val="1"/>
                <w:color w:val="auto"/>
              </w:rPr>
            </w:pPr>
          </w:p>
        </w:tc>
        <w:tc>
          <w:tcPr>
            <w:tcW w:w="1100" w:type="dxa"/>
            <w:vAlign w:val="bottom"/>
            <w:gridSpan w:val="5"/>
            <w:shd w:val="clear" w:color="auto" w:fill="0000CC"/>
          </w:tcPr>
          <w:p>
            <w:pPr>
              <w:spacing w:after="0" w:line="20" w:lineRule="exact"/>
              <w:rPr>
                <w:sz w:val="1"/>
                <w:szCs w:val="1"/>
                <w:color w:val="auto"/>
              </w:rPr>
            </w:pPr>
          </w:p>
        </w:tc>
        <w:tc>
          <w:tcPr>
            <w:tcW w:w="1060" w:type="dxa"/>
            <w:vAlign w:val="bottom"/>
            <w:tcBorders>
              <w:left w:val="single" w:sz="8" w:color="0000CC"/>
            </w:tcBorders>
            <w:gridSpan w:val="4"/>
            <w:shd w:val="clear" w:color="auto" w:fill="0000CC"/>
          </w:tcPr>
          <w:p>
            <w:pPr>
              <w:spacing w:after="0" w:line="20" w:lineRule="exact"/>
              <w:rPr>
                <w:sz w:val="1"/>
                <w:szCs w:val="1"/>
                <w:color w:val="auto"/>
              </w:rPr>
            </w:pPr>
          </w:p>
        </w:tc>
        <w:tc>
          <w:tcPr>
            <w:tcW w:w="400" w:type="dxa"/>
            <w:vAlign w:val="bottom"/>
            <w:gridSpan w:val="3"/>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220" w:type="dxa"/>
            <w:vAlign w:val="bottom"/>
            <w:shd w:val="clear" w:color="auto" w:fill="0000CC"/>
          </w:tcPr>
          <w:p>
            <w:pPr>
              <w:spacing w:after="0" w:line="20" w:lineRule="exact"/>
              <w:rPr>
                <w:sz w:val="1"/>
                <w:szCs w:val="1"/>
                <w:color w:val="auto"/>
              </w:rPr>
            </w:pPr>
          </w:p>
        </w:tc>
        <w:tc>
          <w:tcPr>
            <w:tcW w:w="300" w:type="dxa"/>
            <w:vAlign w:val="bottom"/>
            <w:shd w:val="clear" w:color="auto" w:fill="0000CC"/>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6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Seventh Amended and Restated Credit Agreement, dated July 14, 2025, by and between</w:t>
              </w:r>
            </w:hyperlink>
          </w:p>
        </w:tc>
        <w:tc>
          <w:tcPr>
            <w:tcW w:w="10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10/23/25</w:t>
            </w:r>
          </w:p>
        </w:tc>
      </w:tr>
      <w:tr>
        <w:trPr>
          <w:trHeight w:val="195"/>
        </w:trPr>
        <w:tc>
          <w:tcPr>
            <w:tcW w:w="1100" w:type="dxa"/>
            <w:vAlign w:val="bottom"/>
          </w:tcPr>
          <w:p>
            <w:pPr>
              <w:spacing w:after="0"/>
              <w:rPr>
                <w:sz w:val="17"/>
                <w:szCs w:val="17"/>
                <w:color w:val="auto"/>
              </w:rPr>
            </w:pPr>
          </w:p>
        </w:tc>
        <w:tc>
          <w:tcPr>
            <w:tcW w:w="468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IMAX Corporation and Wells Fargo Bank, National Association.</w:t>
              </w:r>
            </w:hyperlink>
          </w:p>
        </w:tc>
        <w:tc>
          <w:tcPr>
            <w:tcW w:w="202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6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Call Option Confirmation between IMAX Corporation and each of Option</w:t>
              </w:r>
            </w:hyperlink>
          </w:p>
        </w:tc>
        <w:tc>
          <w:tcPr>
            <w:tcW w:w="10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11/06/25</w:t>
            </w:r>
          </w:p>
        </w:tc>
      </w:tr>
      <w:tr>
        <w:trPr>
          <w:trHeight w:val="195"/>
        </w:trPr>
        <w:tc>
          <w:tcPr>
            <w:tcW w:w="1100" w:type="dxa"/>
            <w:vAlign w:val="bottom"/>
          </w:tcPr>
          <w:p>
            <w:pPr>
              <w:spacing w:after="0"/>
              <w:rPr>
                <w:sz w:val="17"/>
                <w:szCs w:val="17"/>
                <w:color w:val="auto"/>
              </w:rPr>
            </w:pPr>
          </w:p>
        </w:tc>
        <w:tc>
          <w:tcPr>
            <w:tcW w:w="6700" w:type="dxa"/>
            <w:vAlign w:val="bottom"/>
            <w:gridSpan w:val="28"/>
          </w:tcPr>
          <w:p>
            <w:pPr>
              <w:spacing w:after="0" w:line="195"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Counterparties.</w:t>
              </w:r>
            </w:hyperlink>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6700" w:type="dxa"/>
            <w:vAlign w:val="bottom"/>
            <w:gridSpan w:val="2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IMAX Insider Trading Policy.</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001-35066</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2/19/25</w:t>
            </w:r>
          </w:p>
        </w:tc>
      </w:tr>
      <w:tr>
        <w:trPr>
          <w:trHeight w:val="20"/>
        </w:trPr>
        <w:tc>
          <w:tcPr>
            <w:tcW w:w="1100" w:type="dxa"/>
            <w:vAlign w:val="bottom"/>
          </w:tcPr>
          <w:p>
            <w:pPr>
              <w:spacing w:after="0" w:line="20" w:lineRule="exact"/>
              <w:rPr>
                <w:sz w:val="1"/>
                <w:szCs w:val="1"/>
                <w:color w:val="auto"/>
              </w:rPr>
            </w:pPr>
          </w:p>
        </w:tc>
        <w:tc>
          <w:tcPr>
            <w:tcW w:w="2160" w:type="dxa"/>
            <w:vAlign w:val="bottom"/>
            <w:gridSpan w:val="9"/>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1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Subsidiaries of IMAX Corporation.</w:t>
            </w:r>
          </w:p>
        </w:tc>
        <w:tc>
          <w:tcPr>
            <w:tcW w:w="414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8"/>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67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0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Power of Attorney of certain directors.</w:t>
            </w:r>
          </w:p>
        </w:tc>
        <w:tc>
          <w:tcPr>
            <w:tcW w:w="370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780" w:type="dxa"/>
            <w:vAlign w:val="bottom"/>
            <w:gridSpan w:val="13"/>
            <w:shd w:val="clear" w:color="auto" w:fill="0000FF"/>
          </w:tcPr>
          <w:p>
            <w:pPr>
              <w:spacing w:after="0" w:line="20" w:lineRule="exact"/>
              <w:rPr>
                <w:sz w:val="1"/>
                <w:szCs w:val="1"/>
                <w:color w:val="auto"/>
              </w:rPr>
            </w:pPr>
          </w:p>
        </w:tc>
        <w:tc>
          <w:tcPr>
            <w:tcW w:w="6000" w:type="dxa"/>
            <w:vAlign w:val="bottom"/>
            <w:gridSpan w:val="1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1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February 25, 2026, by Richard L. Gelfond.</w:t>
            </w:r>
          </w:p>
        </w:tc>
        <w:tc>
          <w:tcPr>
            <w:tcW w:w="980" w:type="dxa"/>
            <w:vAlign w:val="bottom"/>
          </w:tcPr>
          <w:p>
            <w:pPr>
              <w:spacing w:after="0"/>
              <w:rPr>
                <w:sz w:val="24"/>
                <w:szCs w:val="24"/>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820" w:type="dxa"/>
            <w:vAlign w:val="bottom"/>
            <w:tcBorders>
              <w:top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February 25, 2026, by Natasha Fernandes.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8780" w:type="dxa"/>
            <w:vAlign w:val="bottom"/>
            <w:gridSpan w:val="31"/>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1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February 25, 2026, by Richard L. Gelfond.</w:t>
            </w:r>
          </w:p>
        </w:tc>
        <w:tc>
          <w:tcPr>
            <w:tcW w:w="980" w:type="dxa"/>
            <w:vAlign w:val="bottom"/>
          </w:tcPr>
          <w:p>
            <w:pPr>
              <w:spacing w:after="0"/>
              <w:rPr>
                <w:sz w:val="24"/>
                <w:szCs w:val="24"/>
                <w:color w:val="auto"/>
              </w:rPr>
            </w:pPr>
          </w:p>
        </w:tc>
      </w:tr>
      <w:tr>
        <w:trPr>
          <w:trHeight w:val="909"/>
        </w:trPr>
        <w:tc>
          <w:tcPr>
            <w:tcW w:w="1100" w:type="dxa"/>
            <w:vAlign w:val="bottom"/>
          </w:tcPr>
          <w:p>
            <w:pPr>
              <w:spacing w:after="0"/>
              <w:rPr>
                <w:sz w:val="24"/>
                <w:szCs w:val="24"/>
                <w:color w:val="auto"/>
              </w:rPr>
            </w:pPr>
          </w:p>
        </w:tc>
        <w:tc>
          <w:tcPr>
            <w:tcW w:w="4680" w:type="dxa"/>
            <w:vAlign w:val="bottom"/>
            <w:tcBorders>
              <w:top w:val="single" w:sz="8" w:color="0000FF"/>
            </w:tcBorders>
            <w:gridSpan w:val="18"/>
          </w:tcPr>
          <w:p>
            <w:pPr>
              <w:ind w:left="4380"/>
              <w:spacing w:after="0"/>
              <w:rPr>
                <w:sz w:val="20"/>
                <w:szCs w:val="20"/>
                <w:color w:val="auto"/>
              </w:rPr>
            </w:pPr>
            <w:r>
              <w:rPr>
                <w:rFonts w:ascii="Times New Roman" w:cs="Times New Roman" w:eastAsia="Times New Roman" w:hAnsi="Times New Roman"/>
                <w:sz w:val="18"/>
                <w:szCs w:val="18"/>
                <w:color w:val="auto"/>
              </w:rPr>
              <w:t>134</w:t>
            </w:r>
          </w:p>
        </w:tc>
        <w:tc>
          <w:tcPr>
            <w:tcW w:w="6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February 25, 2026, by Natasha Fernandes.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2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Clawback Policy.</w:t>
              </w:r>
            </w:hyperlink>
          </w:p>
        </w:tc>
        <w:tc>
          <w:tcPr>
            <w:tcW w:w="5380" w:type="dxa"/>
            <w:vAlign w:val="bottom"/>
          </w:tcPr>
          <w:p>
            <w:pPr>
              <w:spacing w:after="0"/>
              <w:rPr>
                <w:sz w:val="24"/>
                <w:szCs w:val="24"/>
                <w:color w:val="auto"/>
              </w:rPr>
            </w:pPr>
          </w:p>
        </w:tc>
        <w:tc>
          <w:tcPr>
            <w:tcW w:w="1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10-K  </w:t>
            </w:r>
            <w:r>
              <w:rPr>
                <w:rFonts w:ascii="Times New Roman" w:cs="Times New Roman" w:eastAsia="Times New Roman" w:hAnsi="Times New Roman"/>
                <w:sz w:val="18"/>
                <w:szCs w:val="18"/>
                <w:color w:val="0000CC"/>
              </w:rPr>
              <w:t>001-35066</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2/27/24</w:t>
            </w:r>
          </w:p>
        </w:tc>
      </w:tr>
      <w:tr>
        <w:trPr>
          <w:trHeight w:val="39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9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Management contract or compensatory plan, contract or arrangement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350"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5" w:lineRule="exact"/>
        <w:rPr>
          <w:sz w:val="20"/>
          <w:szCs w:val="20"/>
          <w:color w:val="auto"/>
        </w:rPr>
      </w:pPr>
    </w:p>
    <w:p>
      <w:pPr>
        <w:ind w:right="140" w:firstLine="19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78" w:lineRule="exact"/>
        <w:rPr>
          <w:sz w:val="20"/>
          <w:szCs w:val="20"/>
          <w:color w:val="auto"/>
        </w:rPr>
      </w:pPr>
    </w:p>
    <w:p>
      <w:pPr>
        <w:ind w:left="640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4272280</wp:posOffset>
            </wp:positionH>
            <wp:positionV relativeFrom="paragraph">
              <wp:posOffset>34290</wp:posOffset>
            </wp:positionV>
            <wp:extent cx="28651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56"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6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 &amp;</w:t>
      </w:r>
    </w:p>
    <w:p>
      <w:pPr>
        <w:spacing w:after="0" w:line="2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Executive Vice-President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51" w:lineRule="exact"/>
        <w:rPr>
          <w:sz w:val="20"/>
          <w:szCs w:val="20"/>
          <w:color w:val="auto"/>
        </w:rPr>
      </w:pPr>
    </w:p>
    <w:p>
      <w:pPr>
        <w:ind w:right="620" w:firstLine="197"/>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25,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 RICHARD L. GELFOND</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NATASHA FERNANDES</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JOSE ZLATAR</w:t>
            </w:r>
          </w:p>
        </w:tc>
      </w:tr>
      <w:tr>
        <w:trPr>
          <w:trHeight w:val="27"/>
        </w:trPr>
        <w:tc>
          <w:tcPr>
            <w:tcW w:w="3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8"/>
        </w:trPr>
        <w:tc>
          <w:tcPr>
            <w:tcW w:w="3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Richard L. Gelfond</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Natasha Fernandes</w:t>
            </w: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5"/>
        </w:trPr>
        <w:tc>
          <w:tcPr>
            <w:tcW w:w="3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Chief Executive Officer &amp;</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&amp;</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 Zlatar</w:t>
            </w:r>
          </w:p>
        </w:tc>
      </w:tr>
      <w:tr>
        <w:trPr>
          <w:trHeight w:val="215"/>
        </w:trPr>
        <w:tc>
          <w:tcPr>
            <w:tcW w:w="3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Vice-President</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Vice-President, Finance &amp; Controller</w:t>
            </w:r>
          </w:p>
        </w:tc>
      </w:tr>
      <w:tr>
        <w:trPr>
          <w:trHeight w:val="234"/>
        </w:trPr>
        <w:tc>
          <w:tcPr>
            <w:tcW w:w="3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7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8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37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8"/>
        </w:trPr>
        <w:tc>
          <w:tcPr>
            <w:tcW w:w="3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Darren D. Throop</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Gail Berman</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Eric A. Demirian</w:t>
            </w:r>
          </w:p>
        </w:tc>
      </w:tr>
      <w:tr>
        <w:trPr>
          <w:trHeight w:val="234"/>
        </w:trPr>
        <w:tc>
          <w:tcPr>
            <w:tcW w:w="3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Chairman of the Board &amp; Director</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5"/>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8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37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8"/>
        </w:trPr>
        <w:tc>
          <w:tcPr>
            <w:tcW w:w="3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Kevin Douglas</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David W. Leebron</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MacMillan</w:t>
            </w:r>
          </w:p>
        </w:tc>
      </w:tr>
      <w:tr>
        <w:trPr>
          <w:trHeight w:val="234"/>
        </w:trPr>
        <w:tc>
          <w:tcPr>
            <w:tcW w:w="3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85"/>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80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372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3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18"/>
        </w:trPr>
        <w:tc>
          <w:tcPr>
            <w:tcW w:w="3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Steve Pamon</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Dana Settle</w:t>
            </w:r>
          </w:p>
        </w:tc>
        <w:tc>
          <w:tcPr>
            <w:tcW w:w="3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Jennifer Wong</w:t>
            </w:r>
          </w:p>
        </w:tc>
      </w:tr>
      <w:tr>
        <w:trPr>
          <w:trHeight w:val="234"/>
        </w:trPr>
        <w:tc>
          <w:tcPr>
            <w:tcW w:w="3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Director</w:t>
            </w: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862"/>
        </w:trPr>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w w:val="98"/>
              </w:rPr>
              <w:t>* /s/ NATASHA FERNANDES</w:t>
            </w:r>
          </w:p>
        </w:tc>
      </w:tr>
      <w:tr>
        <w:trPr>
          <w:trHeight w:val="27"/>
        </w:trPr>
        <w:tc>
          <w:tcPr>
            <w:tcW w:w="3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36"/>
        </w:trPr>
        <w:tc>
          <w:tcPr>
            <w:tcW w:w="3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Natasha Fernandes</w:t>
            </w:r>
          </w:p>
        </w:tc>
      </w:tr>
      <w:tr>
        <w:trPr>
          <w:trHeight w:val="269"/>
        </w:trPr>
        <w:tc>
          <w:tcPr>
            <w:tcW w:w="3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6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rPr>
              <w:t>(as attorney-in-fact)</w:t>
            </w:r>
          </w:p>
        </w:tc>
      </w:tr>
      <w:tr>
        <w:trPr>
          <w:trHeight w:val="768"/>
        </w:trPr>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136</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20" w:type="dxa"/>
            <w:vAlign w:val="bottom"/>
            <w:gridSpan w:val="2"/>
          </w:tcPr>
          <w:p>
            <w:pPr>
              <w:jc w:val="center"/>
              <w:ind w:right="4079"/>
              <w:spacing w:after="0"/>
              <w:rPr>
                <w:sz w:val="20"/>
                <w:szCs w:val="20"/>
                <w:color w:val="auto"/>
              </w:rPr>
            </w:pPr>
            <w:r>
              <w:rPr>
                <w:rFonts w:ascii="Times New Roman" w:cs="Times New Roman" w:eastAsia="Times New Roman" w:hAnsi="Times New Roman"/>
                <w:sz w:val="22"/>
                <w:szCs w:val="22"/>
                <w:b w:val="1"/>
                <w:bCs w:val="1"/>
                <w:color w:val="auto"/>
                <w:w w:val="97"/>
              </w:rPr>
              <w:t>IMAX CORPORATION</w:t>
            </w:r>
          </w:p>
        </w:tc>
      </w:tr>
      <w:tr>
        <w:trPr>
          <w:trHeight w:val="461"/>
        </w:trPr>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120" w:type="dxa"/>
            <w:vAlign w:val="bottom"/>
            <w:gridSpan w:val="2"/>
          </w:tcPr>
          <w:p>
            <w:pPr>
              <w:jc w:val="center"/>
              <w:ind w:right="4079"/>
              <w:spacing w:after="0"/>
              <w:rPr>
                <w:sz w:val="20"/>
                <w:szCs w:val="20"/>
                <w:color w:val="auto"/>
              </w:rPr>
            </w:pPr>
            <w:r>
              <w:rPr>
                <w:rFonts w:ascii="Times New Roman" w:cs="Times New Roman" w:eastAsia="Times New Roman" w:hAnsi="Times New Roman"/>
                <w:sz w:val="22"/>
                <w:szCs w:val="22"/>
                <w:b w:val="1"/>
                <w:bCs w:val="1"/>
                <w:color w:val="auto"/>
                <w:w w:val="98"/>
              </w:rPr>
              <w:t>Exhibit 21.1</w:t>
            </w:r>
          </w:p>
        </w:tc>
      </w:tr>
      <w:tr>
        <w:trPr>
          <w:trHeight w:val="262"/>
        </w:trPr>
        <w:tc>
          <w:tcPr>
            <w:tcW w:w="680" w:type="dxa"/>
            <w:vAlign w:val="bottom"/>
          </w:tcPr>
          <w:p>
            <w:pPr>
              <w:spacing w:after="0"/>
              <w:rPr>
                <w:sz w:val="22"/>
                <w:szCs w:val="22"/>
                <w:color w:val="auto"/>
              </w:rPr>
            </w:pPr>
          </w:p>
        </w:tc>
        <w:tc>
          <w:tcPr>
            <w:tcW w:w="10580" w:type="dxa"/>
            <w:vAlign w:val="bottom"/>
            <w:gridSpan w:val="3"/>
          </w:tcPr>
          <w:p>
            <w:pPr>
              <w:jc w:val="center"/>
              <w:ind w:right="619"/>
              <w:spacing w:after="0"/>
              <w:rPr>
                <w:sz w:val="20"/>
                <w:szCs w:val="20"/>
                <w:color w:val="auto"/>
              </w:rPr>
            </w:pPr>
            <w:r>
              <w:rPr>
                <w:rFonts w:ascii="Times New Roman" w:cs="Times New Roman" w:eastAsia="Times New Roman" w:hAnsi="Times New Roman"/>
                <w:sz w:val="20"/>
                <w:szCs w:val="20"/>
                <w:b w:val="1"/>
                <w:bCs w:val="1"/>
                <w:color w:val="auto"/>
                <w:w w:val="98"/>
              </w:rPr>
              <w:t>SUBSIDIARIES OF IMAX CORPORATION</w:t>
            </w:r>
          </w:p>
        </w:tc>
      </w:tr>
      <w:tr>
        <w:trPr>
          <w:trHeight w:val="34"/>
        </w:trPr>
        <w:tc>
          <w:tcPr>
            <w:tcW w:w="414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193"/>
        </w:trPr>
        <w:tc>
          <w:tcPr>
            <w:tcW w:w="414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Company Name</w:t>
            </w:r>
          </w:p>
        </w:tc>
        <w:tc>
          <w:tcPr>
            <w:tcW w:w="2340" w:type="dxa"/>
            <w:vAlign w:val="bottom"/>
            <w:tcBorders>
              <w:right w:val="single" w:sz="8" w:color="auto"/>
            </w:tcBorders>
          </w:tcPr>
          <w:p>
            <w:pPr>
              <w:spacing w:after="0"/>
              <w:rPr>
                <w:sz w:val="16"/>
                <w:szCs w:val="16"/>
                <w:color w:val="auto"/>
              </w:rPr>
            </w:pPr>
          </w:p>
        </w:tc>
        <w:tc>
          <w:tcPr>
            <w:tcW w:w="4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12"/>
        </w:trPr>
        <w:tc>
          <w:tcPr>
            <w:tcW w:w="680" w:type="dxa"/>
            <w:vAlign w:val="bottom"/>
            <w:tcBorders>
              <w:lef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4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33"/>
        </w:trPr>
        <w:tc>
          <w:tcPr>
            <w:tcW w:w="4140" w:type="dxa"/>
            <w:vAlign w:val="bottom"/>
            <w:tcBorders>
              <w:left w:val="single" w:sz="8" w:color="auto"/>
              <w:bottom w:val="single" w:sz="8" w:color="auto"/>
            </w:tcBorders>
            <w:gridSpan w:val="2"/>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780" w:type="dxa"/>
            <w:vAlign w:val="bottom"/>
            <w:tcBorders>
              <w:bottom w:val="single" w:sz="8" w:color="auto"/>
              <w:right w:val="single" w:sz="8" w:color="auto"/>
            </w:tcBorders>
          </w:tcPr>
          <w:p>
            <w:pPr>
              <w:spacing w:after="0"/>
              <w:rPr>
                <w:sz w:val="2"/>
                <w:szCs w:val="2"/>
                <w:color w:val="auto"/>
              </w:rPr>
            </w:pPr>
          </w:p>
        </w:tc>
      </w:tr>
      <w:tr>
        <w:trPr>
          <w:trHeight w:val="206"/>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12582 Productions Inc.</w:t>
            </w:r>
          </w:p>
        </w:tc>
        <w:tc>
          <w:tcPr>
            <w:tcW w:w="2340" w:type="dxa"/>
            <w:vAlign w:val="bottom"/>
            <w:tcBorders>
              <w:bottom w:val="single" w:sz="8" w:color="auto"/>
              <w:right w:val="single" w:sz="8" w:color="auto"/>
            </w:tcBorders>
          </w:tcPr>
          <w:p>
            <w:pPr>
              <w:spacing w:after="0"/>
              <w:rPr>
                <w:sz w:val="17"/>
                <w:szCs w:val="17"/>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1329507</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Ontario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2328764</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Ontario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3183 Films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4507592</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6822967</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7096267</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 (formerly 3D Sea II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7103077</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7109857</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7214316</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7550391</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7550405</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7742266</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7742274</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9733248</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Canada Ltd (f/ka IMAX Space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Animal Orphans 3D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Arizona Big Frame Theatres,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Arizona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Baseball Tour,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ILW Productions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(Barbados) Holding,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Barbados</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(Hong Kong) Holding, Limited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(Rochester)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(Shanghai) Commerce and Trade Co.,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(Shanghai) Digital Media Co.,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(Shanghai) Multimedia Technology Co.,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(Shanghai) Theatre Technology Services Co., Ltd.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People’s Republic of China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(Titanic) Inc. (50 % owned by IMAX Corp.)</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3D TV Ventures,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AI Limited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Chicago Theatre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Chicago Theatre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China (Hong Kong), Limited</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China Holding,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Documentary Films Capital,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Film Holding Co.</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GWG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II U.S.A.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Indianapolis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Indiana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International Sales Corporation</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Investment Management, LLC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Japan Inc.</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Japan</w:t>
            </w:r>
          </w:p>
        </w:tc>
      </w:tr>
      <w:tr>
        <w:trPr>
          <w:trHeight w:val="209"/>
        </w:trPr>
        <w:tc>
          <w:tcPr>
            <w:tcW w:w="4140" w:type="dxa"/>
            <w:vAlign w:val="bottom"/>
            <w:tcBorders>
              <w:left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IMAX Minnesota Holding Co.</w:t>
            </w:r>
          </w:p>
        </w:tc>
        <w:tc>
          <w:tcPr>
            <w:tcW w:w="2340" w:type="dxa"/>
            <w:vAlign w:val="bottom"/>
            <w:tcBorders>
              <w:bottom w:val="single" w:sz="8" w:color="auto"/>
              <w:right w:val="single" w:sz="8" w:color="auto"/>
            </w:tcBorders>
          </w:tcPr>
          <w:p>
            <w:pPr>
              <w:spacing w:after="0"/>
              <w:rPr>
                <w:sz w:val="18"/>
                <w:szCs w:val="18"/>
                <w:color w:val="auto"/>
              </w:rPr>
            </w:pP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60"/>
          </w:cols>
          <w:pgMar w:left="320" w:top="1415" w:right="319" w:bottom="1440" w:gutter="0" w:footer="0" w:header="0"/>
        </w:sectPr>
      </w:pPr>
    </w:p>
    <w:bookmarkStart w:id="138" w:name="page139"/>
    <w:bookmarkEnd w:id="1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64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Music Ltd.</w:t>
            </w:r>
          </w:p>
        </w:tc>
        <w:tc>
          <w:tcPr>
            <w:tcW w:w="47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Post/DKP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Providence General Partner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Providence Limited Partner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PV Development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Rhode Island Limited Partnership</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Rhode Island</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Rhode Island Limited Partnership</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Rhode Island</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Scribe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Space Productions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Spaceworks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(California 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(California II)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(Nyack 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(Nyack II)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 Co.</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Holdings (OEI),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 Services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Ontario</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Theatres International Limited (f/k/a IMAX EMEA Limited)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U.S.A.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Virtual Reality Content Fund,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Virtual Reality Content Fund,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 VR,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IMAXSHIFT, LLC (f/k/a IMAX Fit,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Line Drive Films Inc. (f/k/a IMAX Theatre Management Company)</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Madagascar Doc 3D Ltd. (f/k/a Madagascar 3D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Night Fog Productions Ltd. (formerly 7550324 Canada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Nyack Theatre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New York</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Nyack Theatre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New York</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Plymouth 135-139,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Raining Arrows Productions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Ridefilm Corporation</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Ruth Quentin Films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Sacramento Theatre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Sacramento Theatre LLC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Sonics Associates,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Alabama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Starboard Theatres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Strategic Sponsorship Corporation</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Taurus-Littrow Productions Inc.</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Delaware</w:t>
            </w:r>
          </w:p>
        </w:tc>
      </w:tr>
      <w:tr>
        <w:trPr>
          <w:trHeight w:val="209"/>
        </w:trPr>
        <w:tc>
          <w:tcPr>
            <w:tcW w:w="64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Walking Bones Pictures Ltd.</w:t>
            </w:r>
          </w:p>
        </w:tc>
        <w:tc>
          <w:tcPr>
            <w:tcW w:w="4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Canada</w:t>
            </w:r>
          </w:p>
        </w:tc>
      </w:tr>
    </w:tbl>
    <w:p>
      <w:pPr>
        <w:sectPr>
          <w:pgSz w:w="11900" w:h="16838" w:orient="portrait"/>
          <w:cols w:equalWidth="0" w:num="1">
            <w:col w:w="11260"/>
          </w:cols>
          <w:pgMar w:left="320" w:top="1439" w:right="31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333-189274; No. 333-211888; No. 333-238934; and No. 333-274898) of IMAX Corporation of our report dated February 25,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/s/PricewaterhouseCoopers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Chartered Professional Accountants, Licensed Public Accountants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ectPr>
          <w:pgSz w:w="11900" w:h="16838" w:orient="portrait"/>
          <w:cols w:equalWidth="0" w:num="1">
            <w:col w:w="11240"/>
          </w:cols>
          <w:pgMar w:left="320" w:top="1414"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IMAX CORPORATION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5" w:lineRule="exact"/>
        <w:rPr>
          <w:sz w:val="20"/>
          <w:szCs w:val="20"/>
          <w:color w:val="auto"/>
        </w:rPr>
      </w:pPr>
    </w:p>
    <w:p>
      <w:pPr>
        <w:jc w:val="both"/>
        <w:ind w:firstLine="194"/>
        <w:spacing w:after="0" w:line="251" w:lineRule="auto"/>
        <w:rPr>
          <w:sz w:val="20"/>
          <w:szCs w:val="20"/>
          <w:color w:val="auto"/>
        </w:rPr>
      </w:pPr>
      <w:r>
        <w:rPr>
          <w:rFonts w:ascii="Times New Roman" w:cs="Times New Roman" w:eastAsia="Times New Roman" w:hAnsi="Times New Roman"/>
          <w:sz w:val="20"/>
          <w:szCs w:val="20"/>
          <w:color w:val="auto"/>
        </w:rPr>
        <w:t>Each of the persons whose signature appears below hereby constitutes and appoints Natasha Fernandes and Robert D. Lister, and each of them severally, as his true and lawful attorney or attorneys with power of substitution and re-substitution to sign in his name, place and stead in any and all such capacities the Form 10-K, including the French language version thereof, and any and all amendments thereto and documents in connection therewith, and to file the same with the United States Securities Exchange Commission and such other regulatory authorities as may be required, each of said attorneys to have power to act with and without the other, and to have full power and authority to do and perform, in the name and on behalf of each of the directors of the Corporation, every act whatsoever which such attorneys, or either of them, may deem necessary or desirable to be done in connection therewith as fully and to all intents and purposes as such directors of the Corporation might or could do in person.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this </w:t>
      </w:r>
      <w:r>
        <w:rPr>
          <w:rFonts w:ascii="Times New Roman" w:cs="Times New Roman" w:eastAsia="Times New Roman" w:hAnsi="Times New Roman"/>
          <w:sz w:val="17"/>
          <w:szCs w:val="17"/>
          <w:color w:val="auto"/>
        </w:rPr>
        <w:t>25th</w:t>
      </w:r>
      <w:r>
        <w:rPr>
          <w:rFonts w:ascii="Times New Roman" w:cs="Times New Roman" w:eastAsia="Times New Roman" w:hAnsi="Times New Roman"/>
          <w:sz w:val="20"/>
          <w:szCs w:val="20"/>
          <w:color w:val="auto"/>
        </w:rPr>
        <w:t xml:space="preserve"> day of February, 2026.</w:t>
      </w:r>
    </w:p>
    <w:p>
      <w:pPr>
        <w:spacing w:after="0" w:line="278" w:lineRule="exact"/>
        <w:rPr>
          <w:sz w:val="20"/>
          <w:szCs w:val="20"/>
          <w:color w:val="auto"/>
        </w:rPr>
      </w:pPr>
    </w:p>
    <w:tbl>
      <w:tblPr>
        <w:tblLayout w:type="fixed"/>
        <w:tblInd w:w="460" w:type="dxa"/>
        <w:tblCellMar>
          <w:top w:w="0" w:type="dxa"/>
          <w:left w:w="0" w:type="dxa"/>
          <w:bottom w:w="0" w:type="dxa"/>
          <w:right w:w="0" w:type="dxa"/>
        </w:tblCellMar>
      </w:tblPr>
      <w:tr>
        <w:trPr>
          <w:trHeight w:val="250"/>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Signature</w:t>
            </w:r>
          </w:p>
        </w:tc>
        <w:tc>
          <w:tcPr>
            <w:tcW w:w="600" w:type="dxa"/>
            <w:vAlign w:val="bottom"/>
          </w:tcPr>
          <w:p>
            <w:pPr>
              <w:spacing w:after="0"/>
              <w:rPr>
                <w:sz w:val="21"/>
                <w:szCs w:val="21"/>
                <w:color w:val="auto"/>
              </w:rPr>
            </w:pPr>
          </w:p>
        </w:tc>
        <w:tc>
          <w:tcPr>
            <w:tcW w:w="58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9"/>
                <w:szCs w:val="19"/>
                <w:color w:val="auto"/>
              </w:rPr>
              <w:t>Title</w:t>
            </w:r>
          </w:p>
        </w:tc>
      </w:tr>
      <w:tr>
        <w:trPr>
          <w:trHeight w:val="371"/>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Darren D. Throop</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Chairman of the Board &amp; 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Darren D. Throop</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8"/>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Richard Gelfond</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Chief Executive Officer &amp; Director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Richard Gelfond</w:t>
            </w:r>
          </w:p>
        </w:tc>
        <w:tc>
          <w:tcPr>
            <w:tcW w:w="6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Gail Berman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Gail Berman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Eric Demirian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Eric Demirian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Kevin Douglas</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Kevin Douglas</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David Leebron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David Leebron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Michael MacMillan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rPr>
              <w:t>Michael MacMillan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Steve Pamon</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Steve Pamon</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/s/ Dana Settle</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8"/>
              </w:rPr>
              <w:t>Dana Settle</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9"/>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/s/ Jennifer Wong</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Director</w:t>
            </w:r>
          </w:p>
        </w:tc>
      </w:tr>
      <w:tr>
        <w:trPr>
          <w:trHeight w:val="247"/>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6"/>
              </w:rPr>
              <w:t>Jennifer Wong</w:t>
            </w:r>
          </w:p>
        </w:tc>
        <w:tc>
          <w:tcPr>
            <w:tcW w:w="600" w:type="dxa"/>
            <w:vAlign w:val="bottom"/>
          </w:tcPr>
          <w:p>
            <w:pPr>
              <w:spacing w:after="0"/>
              <w:rPr>
                <w:sz w:val="21"/>
                <w:szCs w:val="21"/>
                <w:color w:val="auto"/>
              </w:rPr>
            </w:pPr>
          </w:p>
        </w:tc>
        <w:tc>
          <w:tcPr>
            <w:tcW w:w="5800" w:type="dxa"/>
            <w:vAlign w:val="bottom"/>
          </w:tcPr>
          <w:p>
            <w:pPr>
              <w:spacing w:after="0"/>
              <w:rPr>
                <w:sz w:val="21"/>
                <w:szCs w:val="21"/>
                <w:color w:val="auto"/>
              </w:rPr>
            </w:pPr>
          </w:p>
        </w:tc>
      </w:tr>
      <w:tr>
        <w:trPr>
          <w:trHeight w:val="378"/>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Natasha Fernandes</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9"/>
              </w:rPr>
              <w:t>Natasha Fernandes</w:t>
            </w:r>
          </w:p>
        </w:tc>
        <w:tc>
          <w:tcPr>
            <w:tcW w:w="6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(Principal Financial Officer)</w:t>
            </w:r>
          </w:p>
        </w:tc>
      </w:tr>
      <w:tr>
        <w:trPr>
          <w:trHeight w:val="378"/>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/s/ Jose Zlatar</w:t>
            </w:r>
          </w:p>
        </w:tc>
        <w:tc>
          <w:tcPr>
            <w:tcW w:w="600" w:type="dxa"/>
            <w:vAlign w:val="bottom"/>
          </w:tcPr>
          <w:p>
            <w:pPr>
              <w:spacing w:after="0"/>
              <w:rPr>
                <w:sz w:val="24"/>
                <w:szCs w:val="24"/>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Senior Vice President, Finance</w:t>
            </w:r>
          </w:p>
        </w:tc>
      </w:tr>
      <w:tr>
        <w:trPr>
          <w:trHeight w:val="248"/>
        </w:trPr>
        <w:tc>
          <w:tcPr>
            <w:tcW w:w="4360" w:type="dxa"/>
            <w:vAlign w:val="bottom"/>
          </w:tcPr>
          <w:p>
            <w:pPr>
              <w:jc w:val="center"/>
              <w:spacing w:after="0"/>
              <w:rPr>
                <w:sz w:val="20"/>
                <w:szCs w:val="20"/>
                <w:color w:val="auto"/>
              </w:rPr>
            </w:pPr>
            <w:r>
              <w:rPr>
                <w:rFonts w:ascii="Times New Roman" w:cs="Times New Roman" w:eastAsia="Times New Roman" w:hAnsi="Times New Roman"/>
                <w:sz w:val="19"/>
                <w:szCs w:val="19"/>
                <w:i w:val="1"/>
                <w:iCs w:val="1"/>
                <w:color w:val="auto"/>
                <w:w w:val="97"/>
              </w:rPr>
              <w:t>Jose Zlatar</w:t>
            </w:r>
          </w:p>
        </w:tc>
        <w:tc>
          <w:tcPr>
            <w:tcW w:w="6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(Principal Accounting Officer)</w:t>
            </w:r>
          </w:p>
        </w:tc>
      </w:tr>
    </w:tbl>
    <w:p>
      <w:pPr>
        <w:sectPr>
          <w:pgSz w:w="11900" w:h="16838" w:orient="portrait"/>
          <w:cols w:equalWidth="0" w:num="1">
            <w:col w:w="11240"/>
          </w:cols>
          <w:pgMar w:left="320" w:top="961"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51" w:lineRule="exact"/>
        <w:rPr>
          <w:sz w:val="20"/>
          <w:szCs w:val="20"/>
          <w:color w:val="auto"/>
        </w:rPr>
      </w:pPr>
    </w:p>
    <w:p>
      <w:pPr>
        <w:ind w:left="380" w:hanging="372"/>
        <w:spacing w:after="0"/>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the registrant, IMAX Corporation;</w:t>
      </w:r>
    </w:p>
    <w:p>
      <w:pPr>
        <w:spacing w:after="0" w:line="250"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380" w:hanging="372"/>
        <w:spacing w:after="0" w:line="281" w:lineRule="auto"/>
        <w:tabs>
          <w:tab w:leader="none" w:pos="3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040" w:hanging="333"/>
        <w:spacing w:after="0" w:line="265" w:lineRule="auto"/>
        <w:tabs>
          <w:tab w:leader="none" w:pos="103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040" w:hanging="333"/>
        <w:spacing w:after="0" w:line="265" w:lineRule="auto"/>
        <w:tabs>
          <w:tab w:leader="none" w:pos="103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040" w:hanging="333"/>
        <w:spacing w:after="0" w:line="281" w:lineRule="auto"/>
        <w:tabs>
          <w:tab w:leader="none" w:pos="103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40" w:hanging="333"/>
        <w:spacing w:after="0" w:line="265" w:lineRule="auto"/>
        <w:tabs>
          <w:tab w:leader="none" w:pos="103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80" w:hanging="372"/>
        <w:spacing w:after="0" w:line="281" w:lineRule="auto"/>
        <w:tabs>
          <w:tab w:leader="none" w:pos="36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20" w:hanging="314"/>
        <w:spacing w:after="0" w:line="281" w:lineRule="auto"/>
        <w:tabs>
          <w:tab w:leader="none" w:pos="119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20" w:right="20" w:hanging="314"/>
        <w:spacing w:after="0" w:line="281" w:lineRule="auto"/>
        <w:tabs>
          <w:tab w:leader="none" w:pos="114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25, 2026</w:t>
            </w:r>
          </w:p>
        </w:tc>
        <w:tc>
          <w:tcPr>
            <w:tcW w:w="33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8"/>
        </w:trPr>
        <w:tc>
          <w:tcPr>
            <w:tcW w:w="7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7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59"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51"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the registrant, IMAX Corporation;</w:t>
      </w:r>
    </w:p>
    <w:p>
      <w:pPr>
        <w:spacing w:after="0" w:line="250"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380" w:hanging="372"/>
        <w:spacing w:after="0" w:line="281" w:lineRule="auto"/>
        <w:tabs>
          <w:tab w:leader="none" w:pos="3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80" w:hanging="372"/>
        <w:spacing w:after="0" w:line="265" w:lineRule="auto"/>
        <w:tabs>
          <w:tab w:leader="none" w:pos="3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040" w:hanging="333"/>
        <w:spacing w:after="0" w:line="265" w:lineRule="auto"/>
        <w:tabs>
          <w:tab w:leader="none" w:pos="103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040" w:hanging="333"/>
        <w:spacing w:after="0" w:line="265" w:lineRule="auto"/>
        <w:tabs>
          <w:tab w:leader="none" w:pos="103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040" w:hanging="333"/>
        <w:spacing w:after="0" w:line="281" w:lineRule="auto"/>
        <w:tabs>
          <w:tab w:leader="none" w:pos="103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40" w:hanging="333"/>
        <w:spacing w:after="0" w:line="265" w:lineRule="auto"/>
        <w:tabs>
          <w:tab w:leader="none" w:pos="103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380" w:hanging="372"/>
        <w:spacing w:after="0" w:line="281" w:lineRule="auto"/>
        <w:tabs>
          <w:tab w:leader="none" w:pos="3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040" w:right="20" w:hanging="333"/>
        <w:spacing w:after="0" w:line="281" w:lineRule="auto"/>
        <w:tabs>
          <w:tab w:leader="none" w:pos="103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40" w:hanging="333"/>
        <w:spacing w:after="0" w:line="281" w:lineRule="auto"/>
        <w:tabs>
          <w:tab w:leader="none" w:pos="103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59" w:right="339" w:bottom="1440" w:gutter="0" w:footer="0" w:header="0"/>
        </w:sectPr>
      </w:pPr>
    </w:p>
    <w:bookmarkStart w:id="143" w:name="page144"/>
    <w:bookmarkEnd w:id="143"/>
    <w:p>
      <w:pPr>
        <w:spacing w:after="0"/>
        <w:tabs>
          <w:tab w:leader="none" w:pos="740" w:val="left"/>
          <w:tab w:leader="none" w:pos="5820" w:val="left"/>
          <w:tab w:leader="none" w:pos="6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Natasha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4258310</wp:posOffset>
            </wp:positionH>
            <wp:positionV relativeFrom="paragraph">
              <wp:posOffset>17145</wp:posOffset>
            </wp:positionV>
            <wp:extent cx="262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262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17145</wp:posOffset>
            </wp:positionV>
            <wp:extent cx="17189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1718945" cy="8255"/>
                    </a:xfrm>
                    <a:prstGeom prst="rect">
                      <a:avLst/>
                    </a:prstGeom>
                    <a:noFill/>
                  </pic:spPr>
                </pic:pic>
              </a:graphicData>
            </a:graphic>
          </wp:anchor>
        </w:drawing>
      </w:r>
    </w:p>
    <w:p>
      <w:pPr>
        <w:spacing w:after="0" w:line="1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Natasha Fernandes</w:t>
      </w:r>
    </w:p>
    <w:p>
      <w:pPr>
        <w:spacing w:after="0" w:line="1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Chief Financial Officer &amp; Executive</w:t>
      </w:r>
    </w:p>
    <w:p>
      <w:pPr>
        <w:ind w:left="6720"/>
        <w:spacing w:after="0"/>
        <w:rPr>
          <w:sz w:val="20"/>
          <w:szCs w:val="20"/>
          <w:color w:val="auto"/>
        </w:rPr>
      </w:pPr>
      <w:r>
        <w:rPr>
          <w:rFonts w:ascii="Times New Roman" w:cs="Times New Roman" w:eastAsia="Times New Roman" w:hAnsi="Times New Roman"/>
          <w:sz w:val="18"/>
          <w:szCs w:val="18"/>
          <w:color w:val="auto"/>
        </w:rPr>
        <w:t>Vice-President</w:t>
      </w:r>
    </w:p>
    <w:p>
      <w:pPr>
        <w:sectPr>
          <w:pgSz w:w="11900" w:h="16838" w:orient="portrait"/>
          <w:cols w:equalWidth="0" w:num="1">
            <w:col w:w="9739"/>
          </w:cols>
          <w:pgMar w:left="720" w:top="1199" w:right="144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30" w:lineRule="exact"/>
        <w:rPr>
          <w:sz w:val="20"/>
          <w:szCs w:val="20"/>
          <w:color w:val="auto"/>
        </w:rPr>
      </w:pPr>
    </w:p>
    <w:p>
      <w:pPr>
        <w:jc w:val="both"/>
        <w:ind w:firstLine="440"/>
        <w:spacing w:after="0" w:line="281"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of IMAX Corporation, a Canadian corporation (the “Company”), hereby certify, to my knowledge, that:</w:t>
      </w:r>
    </w:p>
    <w:p>
      <w:pPr>
        <w:spacing w:after="0" w:line="189"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2025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25, 2026</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0"/>
        </w:trPr>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218"/>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14"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b w:val="1"/>
          <w:bCs w:val="1"/>
          <w:color w:val="auto"/>
        </w:rPr>
        <w:t>IMAX CORPORATION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30" w:lineRule="exact"/>
        <w:rPr>
          <w:sz w:val="20"/>
          <w:szCs w:val="20"/>
          <w:color w:val="auto"/>
        </w:rPr>
      </w:pPr>
    </w:p>
    <w:p>
      <w:pPr>
        <w:jc w:val="both"/>
        <w:ind w:firstLine="440"/>
        <w:spacing w:after="0" w:line="281"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440"/>
        <w:spacing w:after="0" w:line="265" w:lineRule="auto"/>
        <w:rPr>
          <w:sz w:val="20"/>
          <w:szCs w:val="20"/>
          <w:color w:val="auto"/>
        </w:rPr>
      </w:pPr>
      <w:r>
        <w:rPr>
          <w:rFonts w:ascii="Times New Roman" w:cs="Times New Roman" w:eastAsia="Times New Roman" w:hAnsi="Times New Roman"/>
          <w:sz w:val="18"/>
          <w:szCs w:val="18"/>
          <w:color w:val="auto"/>
        </w:rPr>
        <w:t>The Annual Report on Form 10-K for the year ended December 31, 2025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February 25, 2026</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0"/>
        </w:trPr>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r>
      <w:tr>
        <w:trPr>
          <w:trHeight w:val="218"/>
        </w:trPr>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89"/>
        </w:trPr>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5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 &amp; Executive</w:t>
            </w:r>
          </w:p>
        </w:tc>
      </w:tr>
      <w:tr>
        <w:trPr>
          <w:trHeight w:val="234"/>
        </w:trPr>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Vice-President</w:t>
            </w:r>
          </w:p>
        </w:tc>
      </w:tr>
    </w:tbl>
    <w:p>
      <w:pPr>
        <w:spacing w:after="0" w:line="1" w:lineRule="exact"/>
        <w:rPr>
          <w:sz w:val="20"/>
          <w:szCs w:val="20"/>
          <w:color w:val="auto"/>
        </w:rPr>
      </w:pP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3"/>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lowerRoman"/>
      <w:start w:val="4"/>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emdash "/>
      <w:numFmt w:val="bullet"/>
      <w:start w:val="1"/>
    </w:lvl>
  </w:abstractNum>
  <w:abstractNum w:abstractNumId="41">
    <w:nsid w:val="180115BE"/>
    <w:multiLevelType w:val="hybridMultilevel"/>
    <w:lvl w:ilvl="0">
      <w:lvlJc w:val="left"/>
      <w:lvlText w:val="(%1)"/>
      <w:numFmt w:val="lowerRoman"/>
      <w:start w:val="6"/>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endash "/>
      <w:numFmt w:val="bullet"/>
      <w:start w:val="1"/>
    </w:lvl>
  </w:abstractNum>
  <w:abstractNum w:abstractNumId="45">
    <w:nsid w:val="15B5AF5C"/>
    <w:multiLevelType w:val="hybridMultilevel"/>
    <w:lvl w:ilvl="0">
      <w:lvlJc w:val="left"/>
      <w:lvlText w:val="%1."/>
      <w:numFmt w:val="decimal"/>
      <w:start w:val="3"/>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5"/>
    </w:lvl>
  </w:abstractNum>
  <w:abstractNum w:abstractNumId="48">
    <w:nsid w:val="10233C99"/>
    <w:multiLevelType w:val="hybridMultilevel"/>
    <w:lvl w:ilvl="0">
      <w:lvlJc w:val="left"/>
      <w:lvlText w:val="%1"/>
      <w:numFmt w:val="decimal"/>
      <w:start w:val="1"/>
    </w:lvl>
    <w:lvl w:ilvl="1">
      <w:lvlJc w:val="left"/>
      <w:lvlText w:val="(%2)"/>
      <w:numFmt w:val="decimal"/>
      <w:start w:val="1"/>
    </w:lvl>
  </w:abstractNum>
  <w:abstractNum w:abstractNumId="49">
    <w:nsid w:val="3F6AB60F"/>
    <w:multiLevelType w:val="hybridMultilevel"/>
    <w:lvl w:ilvl="0">
      <w:lvlJc w:val="left"/>
      <w:lvlText w:val="%1."/>
      <w:numFmt w:val="decimal"/>
      <w:start w:val="8"/>
    </w:lvl>
    <w:lvl w:ilvl="1">
      <w:lvlJc w:val="left"/>
      <w:lvlText w:val="%2"/>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lowerRoman"/>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91"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171" Type="http://schemas.openxmlformats.org/officeDocument/2006/relationships/hyperlink" Target="https://www.sec.gov/Archives/edgar/data/921582/000162828025045982/exhibit31articlesofamalgam.htm" TargetMode="External"/><Relationship Id="rId172" Type="http://schemas.openxmlformats.org/officeDocument/2006/relationships/hyperlink" Target="https://www.sec.gov/Archives/edgar/data/921582/000119312523032615/d392349dex31.htm" TargetMode="External"/><Relationship Id="rId173" Type="http://schemas.openxmlformats.org/officeDocument/2006/relationships/hyperlink" Target="https://www.sec.gov/Archives/edgar/data/0000921582/000156459020005319/imax-ex44_95.htm" TargetMode="External"/><Relationship Id="rId174" Type="http://schemas.openxmlformats.org/officeDocument/2006/relationships/hyperlink" Target="https://www.sec.gov/Archives/edgar/data/0000921582/000119312521087676/d154856dex41.htm" TargetMode="External"/><Relationship Id="rId175" Type="http://schemas.openxmlformats.org/officeDocument/2006/relationships/hyperlink" Target="https://www.sec.gov/Archives/edgar/data/921582/000119312516475999/d147602dex101.htm" TargetMode="External"/><Relationship Id="rId176" Type="http://schemas.openxmlformats.org/officeDocument/2006/relationships/hyperlink" Target="https://www.sec.gov/Archives/edgar/data/0000921582/000156459020005319/imax-ex104_93.htm" TargetMode="External"/><Relationship Id="rId177" Type="http://schemas.openxmlformats.org/officeDocument/2006/relationships/hyperlink" Target="https://www.sec.gov/Archives/edgar/data/0000921582/000119312520162205/d938821dex101.htm" TargetMode="External"/><Relationship Id="rId178" Type="http://schemas.openxmlformats.org/officeDocument/2006/relationships/hyperlink" Target="https://www.sec.gov/Archives/edgar/data/921582/000119312523166895/d522271dex101.htm" TargetMode="External"/><Relationship Id="rId179" Type="http://schemas.openxmlformats.org/officeDocument/2006/relationships/hyperlink" Target="https://www.sec.gov/Archives/edgar/data/0000921582/000156459021021848/imax-ex1011_104.htm" TargetMode="External"/><Relationship Id="rId180" Type="http://schemas.openxmlformats.org/officeDocument/2006/relationships/hyperlink" Target="https://www.sec.gov/Archives/edgar/data/0000921582/000156459021021848/imax-ex1012_105.htm" TargetMode="External"/><Relationship Id="rId181" Type="http://schemas.openxmlformats.org/officeDocument/2006/relationships/hyperlink" Target="https://www.sec.gov/Archives/edgar/data/0000921582/000156459021038333/imax-ex102_104.htm" TargetMode="External"/><Relationship Id="rId182" Type="http://schemas.openxmlformats.org/officeDocument/2006/relationships/hyperlink" Target="https://www.sec.gov/Archives/edgar/data/921582/000119312513069594/d489869dex102.htm" TargetMode="External"/><Relationship Id="rId183" Type="http://schemas.openxmlformats.org/officeDocument/2006/relationships/hyperlink" Target="https://www.sec.gov/Archives/edgar/data/921582/000119312517054210/d339843dex1024.htm" TargetMode="External"/><Relationship Id="rId184" Type="http://schemas.openxmlformats.org/officeDocument/2006/relationships/hyperlink" Target="https://www.sec.gov/Archives/edgar/data/0000921582/000156459020005319/imax-ex1026_97.htm" TargetMode="External"/><Relationship Id="rId185" Type="http://schemas.openxmlformats.org/officeDocument/2006/relationships/hyperlink" Target="https://www.sec.gov/Archives/edgar/data/921582/000095017022020630/imax-ex10_1.htm" TargetMode="External"/><Relationship Id="rId186" Type="http://schemas.openxmlformats.org/officeDocument/2006/relationships/hyperlink" Target="https://www.sec.gov/Archives/edgar/data/921582/000162828025045982/exhibit102amendmenttoemplo.htm" TargetMode="External"/><Relationship Id="rId187" Type="http://schemas.openxmlformats.org/officeDocument/2006/relationships/hyperlink" Target="https://www.sec.gov/Archives/edgar/data/921582/000119312518061184/d544249dex1030.htm" TargetMode="External"/><Relationship Id="rId188" Type="http://schemas.openxmlformats.org/officeDocument/2006/relationships/hyperlink" Target="https://www.sec.gov/Archives/edgar/data/0000921582/000156459020020056/imax-ex1047_99.htm" TargetMode="External"/><Relationship Id="rId189" Type="http://schemas.openxmlformats.org/officeDocument/2006/relationships/hyperlink" Target="https://www.sec.gov/Archives/edgar/data/921582/000095017024021327/imax-ex10_24.htm" TargetMode="External"/><Relationship Id="rId190" Type="http://schemas.openxmlformats.org/officeDocument/2006/relationships/hyperlink" Target="https://www.sec.gov/Archives/edgar/data/0000921582/000156459020048749/imax-ex1052_48.htm" TargetMode="External"/><Relationship Id="rId192" Type="http://schemas.openxmlformats.org/officeDocument/2006/relationships/hyperlink" Target="https://www.sec.gov/Archives/edgar/data/921582/000156459022006399/imax-ex1038_13.htm" TargetMode="External"/><Relationship Id="rId193" Type="http://schemas.openxmlformats.org/officeDocument/2006/relationships/hyperlink" Target="https://www.sec.gov/Archives/edgar/data/921582/000092158225000067/a105amendmenttoemploymentt.htm" TargetMode="External"/><Relationship Id="rId194" Type="http://schemas.openxmlformats.org/officeDocument/2006/relationships/hyperlink" Target="https://www.sec.gov/Archives/edgar/data/921582/000092158224000010/exhibit101-employmentagree.htm" TargetMode="External"/><Relationship Id="rId195" Type="http://schemas.openxmlformats.org/officeDocument/2006/relationships/hyperlink" Target="https://www.sec.gov/Archives/edgar/data/921582/000092158224000010/exhibit102-amendmentagreem.htm" TargetMode="External"/><Relationship Id="rId196" Type="http://schemas.openxmlformats.org/officeDocument/2006/relationships/hyperlink" Target="https://www.sec.gov/Archives/edgar/data/921582/000092158225000025/exhibit101secondamendmenta.htm" TargetMode="External"/><Relationship Id="rId197" Type="http://schemas.openxmlformats.org/officeDocument/2006/relationships/hyperlink" Target="https://www.sec.gov/Archives/edgar/data/921582/000095017022013417/imax-ex10_1.htm" TargetMode="External"/><Relationship Id="rId198" Type="http://schemas.openxmlformats.org/officeDocument/2006/relationships/hyperlink" Target="https://www.sec.gov/Archives/edgar/data/921582/000092158225000067/a106amendmenttoemploymentt.htm" TargetMode="External"/><Relationship Id="rId199" Type="http://schemas.openxmlformats.org/officeDocument/2006/relationships/hyperlink" Target="https://www.sec.gov/Archives/edgar/data/921582/000092158225000067/a101employmentagreementdat.htm" TargetMode="External"/><Relationship Id="rId200" Type="http://schemas.openxmlformats.org/officeDocument/2006/relationships/hyperlink" Target="https://www.sec.gov/Archives/edgar/data/921582/000092158225000067/a103amendmenttoemploymentt.htm" TargetMode="External"/><Relationship Id="rId201" Type="http://schemas.openxmlformats.org/officeDocument/2006/relationships/hyperlink" Target="https://www.sec.gov/Archives/edgar/data/921582/000092158225000067/a102employmentagreementdat.htm" TargetMode="External"/><Relationship Id="rId202" Type="http://schemas.openxmlformats.org/officeDocument/2006/relationships/hyperlink" Target="https://www.sec.gov/Archives/edgar/data/921582/000092158225000067/a104amendmenttoemploymentt.htm" TargetMode="External"/><Relationship Id="rId203" Type="http://schemas.openxmlformats.org/officeDocument/2006/relationships/hyperlink" Target="https://www.sec.gov/Archives/edgar/data/921582/000095017023003801/imax-ex10_37.htm" TargetMode="External"/><Relationship Id="rId204" Type="http://schemas.openxmlformats.org/officeDocument/2006/relationships/hyperlink" Target="https://www.sec.gov/Archives/edgar/data/921582/000119312518226023/d503863dex1039.htm" TargetMode="External"/><Relationship Id="rId205" Type="http://schemas.openxmlformats.org/officeDocument/2006/relationships/hyperlink" Target="https://www.sec.gov/Archives/edgar/data/921582/000162828025045982/exhibit101seventhamendedan.htm" TargetMode="External"/><Relationship Id="rId206" Type="http://schemas.openxmlformats.org/officeDocument/2006/relationships/hyperlink" Target="https://www.sec.gov/Archives/edgar/data/921582/000119312525270049/d788025dex101.htm" TargetMode="External"/><Relationship Id="rId207" Type="http://schemas.openxmlformats.org/officeDocument/2006/relationships/hyperlink" Target="https://www.sec.gov/Archives/edgar/data/921582/000092158225000008/exhibit191insidertradingpo.htm" TargetMode="External"/><Relationship Id="rId210" Type="http://schemas.openxmlformats.org/officeDocument/2006/relationships/hyperlink" Target="https://www.sec.gov/Archives/edgar/data/921582/000095017024021327/ima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2026-02-25T16:30:51Z</dcterms:created>
  <dcterms:modified xsi:type="dcterms:W3CDTF">2026-02-25T16:30:51Z</dcterms:modified>
</cp:coreProperties>
</file>