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7" w:lineRule="exact"/>
        <w:rPr>
          <w:sz w:val="24"/>
          <w:szCs w:val="24"/>
          <w:color w:val="auto"/>
        </w:rPr>
      </w:pPr>
    </w:p>
    <w:p>
      <w:pPr>
        <w:ind w:left="3680" w:right="1760" w:hanging="3673"/>
        <w:spacing w:after="0" w:line="286" w:lineRule="auto"/>
        <w:tabs>
          <w:tab w:leader="none" w:pos="52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47"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340"/>
          </w:cols>
          <w:pgMar w:left="320" w:top="437" w:right="239" w:bottom="1440" w:gutter="0" w:footer="0" w:header="0"/>
        </w:sectPr>
      </w:pPr>
    </w:p>
    <w:p>
      <w:pPr>
        <w:spacing w:after="0" w:line="55"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82" w:lineRule="exact"/>
        <w:rPr>
          <w:sz w:val="24"/>
          <w:szCs w:val="24"/>
          <w:color w:val="auto"/>
        </w:rPr>
      </w:pPr>
    </w:p>
    <w:p>
      <w:pPr>
        <w:sectPr>
          <w:pgSz w:w="11900" w:h="16838" w:orient="portrait"/>
          <w:cols w:equalWidth="0" w:num="2">
            <w:col w:w="6380" w:space="640"/>
            <w:col w:w="4320"/>
          </w:cols>
          <w:pgMar w:left="320" w:top="437" w:right="2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Commission File Number 001-35066</w:t>
      </w:r>
    </w:p>
    <w:p>
      <w:pPr>
        <w:sectPr>
          <w:pgSz w:w="11900" w:h="16838" w:orient="portrait"/>
          <w:cols w:equalWidth="0" w:num="1">
            <w:col w:w="11340"/>
          </w:cols>
          <w:pgMar w:left="320" w:top="437" w:right="239" w:bottom="1440" w:gutter="0" w:footer="0" w:header="0"/>
          <w:type w:val="continuous"/>
        </w:sectPr>
      </w:pPr>
    </w:p>
    <w:p>
      <w:pPr>
        <w:spacing w:after="0" w:line="85"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IMAX Corporation</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213"/>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2"/>
              </w:rPr>
              <w:t>Canada</w:t>
            </w:r>
          </w:p>
        </w:tc>
        <w:tc>
          <w:tcPr>
            <w:tcW w:w="3960" w:type="dxa"/>
            <w:vAlign w:val="bottom"/>
          </w:tcPr>
          <w:p>
            <w:pPr>
              <w:jc w:val="right"/>
              <w:ind w:right="757"/>
              <w:spacing w:after="0"/>
              <w:rPr>
                <w:sz w:val="20"/>
                <w:szCs w:val="20"/>
                <w:color w:val="auto"/>
              </w:rPr>
            </w:pPr>
            <w:r>
              <w:rPr>
                <w:rFonts w:ascii="Arial" w:cs="Arial" w:eastAsia="Arial" w:hAnsi="Arial"/>
                <w:sz w:val="18"/>
                <w:szCs w:val="18"/>
                <w:b w:val="1"/>
                <w:bCs w:val="1"/>
                <w:color w:val="auto"/>
              </w:rPr>
              <w:t>98-0140269</w:t>
            </w:r>
          </w:p>
        </w:tc>
      </w:tr>
      <w:tr>
        <w:trPr>
          <w:trHeight w:val="147"/>
        </w:trPr>
        <w:tc>
          <w:tcPr>
            <w:tcW w:w="4420" w:type="dxa"/>
            <w:vAlign w:val="bottom"/>
          </w:tcPr>
          <w:p>
            <w:pPr>
              <w:jc w:val="center"/>
              <w:ind w:right="1337"/>
              <w:spacing w:after="0" w:line="147" w:lineRule="exact"/>
              <w:rPr>
                <w:sz w:val="20"/>
                <w:szCs w:val="20"/>
                <w:color w:val="auto"/>
              </w:rPr>
            </w:pPr>
            <w:r>
              <w:rPr>
                <w:rFonts w:ascii="Arial" w:cs="Arial" w:eastAsia="Arial" w:hAnsi="Arial"/>
                <w:sz w:val="14"/>
                <w:szCs w:val="14"/>
                <w:i w:val="1"/>
                <w:iCs w:val="1"/>
                <w:color w:val="auto"/>
                <w:w w:val="95"/>
              </w:rPr>
              <w:t>(State or other jurisdiction of</w:t>
            </w:r>
          </w:p>
        </w:tc>
        <w:tc>
          <w:tcPr>
            <w:tcW w:w="3960" w:type="dxa"/>
            <w:vAlign w:val="bottom"/>
          </w:tcPr>
          <w:p>
            <w:pPr>
              <w:jc w:val="center"/>
              <w:ind w:left="1357"/>
              <w:spacing w:after="0" w:line="147" w:lineRule="exact"/>
              <w:rPr>
                <w:sz w:val="20"/>
                <w:szCs w:val="20"/>
                <w:color w:val="auto"/>
              </w:rPr>
            </w:pPr>
            <w:r>
              <w:rPr>
                <w:rFonts w:ascii="Arial" w:cs="Arial" w:eastAsia="Arial" w:hAnsi="Arial"/>
                <w:sz w:val="14"/>
                <w:szCs w:val="14"/>
                <w:i w:val="1"/>
                <w:iCs w:val="1"/>
                <w:color w:val="auto"/>
                <w:w w:val="93"/>
              </w:rPr>
              <w:t>(I.R.S. Employer</w:t>
            </w:r>
          </w:p>
        </w:tc>
      </w:tr>
      <w:tr>
        <w:trPr>
          <w:trHeight w:val="181"/>
        </w:trPr>
        <w:tc>
          <w:tcPr>
            <w:tcW w:w="4420" w:type="dxa"/>
            <w:vAlign w:val="bottom"/>
          </w:tcPr>
          <w:p>
            <w:pPr>
              <w:jc w:val="center"/>
              <w:ind w:right="1337"/>
              <w:spacing w:after="0"/>
              <w:rPr>
                <w:sz w:val="20"/>
                <w:szCs w:val="20"/>
                <w:color w:val="auto"/>
              </w:rPr>
            </w:pPr>
            <w:r>
              <w:rPr>
                <w:rFonts w:ascii="Arial" w:cs="Arial" w:eastAsia="Arial" w:hAnsi="Arial"/>
                <w:sz w:val="14"/>
                <w:szCs w:val="14"/>
                <w:i w:val="1"/>
                <w:iCs w:val="1"/>
                <w:color w:val="auto"/>
                <w:w w:val="96"/>
              </w:rPr>
              <w:t>incorporation or organization)</w:t>
            </w:r>
          </w:p>
        </w:tc>
        <w:tc>
          <w:tcPr>
            <w:tcW w:w="3960" w:type="dxa"/>
            <w:vAlign w:val="bottom"/>
          </w:tcPr>
          <w:p>
            <w:pPr>
              <w:jc w:val="center"/>
              <w:ind w:left="1357"/>
              <w:spacing w:after="0"/>
              <w:rPr>
                <w:sz w:val="20"/>
                <w:szCs w:val="20"/>
                <w:color w:val="auto"/>
              </w:rPr>
            </w:pPr>
            <w:r>
              <w:rPr>
                <w:rFonts w:ascii="Arial" w:cs="Arial" w:eastAsia="Arial" w:hAnsi="Arial"/>
                <w:sz w:val="14"/>
                <w:szCs w:val="14"/>
                <w:i w:val="1"/>
                <w:iCs w:val="1"/>
                <w:color w:val="auto"/>
                <w:w w:val="96"/>
              </w:rPr>
              <w:t>Identification Number)</w:t>
            </w:r>
          </w:p>
        </w:tc>
      </w:tr>
      <w:tr>
        <w:trPr>
          <w:trHeight w:val="27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2525 Speakman Drive,</w:t>
            </w:r>
          </w:p>
        </w:tc>
        <w:tc>
          <w:tcPr>
            <w:tcW w:w="3960" w:type="dxa"/>
            <w:vAlign w:val="bottom"/>
          </w:tcPr>
          <w:p>
            <w:pPr>
              <w:jc w:val="center"/>
              <w:ind w:left="1357"/>
              <w:spacing w:after="0"/>
              <w:rPr>
                <w:sz w:val="20"/>
                <w:szCs w:val="20"/>
                <w:color w:val="auto"/>
              </w:rPr>
            </w:pPr>
            <w:r>
              <w:rPr>
                <w:rFonts w:ascii="Arial" w:cs="Arial" w:eastAsia="Arial" w:hAnsi="Arial"/>
                <w:sz w:val="18"/>
                <w:szCs w:val="18"/>
                <w:b w:val="1"/>
                <w:bCs w:val="1"/>
                <w:color w:val="auto"/>
                <w:w w:val="89"/>
              </w:rPr>
              <w:t>902 Broadway, Floor 20</w:t>
            </w:r>
          </w:p>
        </w:tc>
      </w:tr>
      <w:tr>
        <w:trPr>
          <w:trHeight w:val="21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Mississauga, Ontario, Canada L5K 1B1</w:t>
            </w:r>
          </w:p>
        </w:tc>
        <w:tc>
          <w:tcPr>
            <w:tcW w:w="3960" w:type="dxa"/>
            <w:vAlign w:val="bottom"/>
          </w:tcPr>
          <w:p>
            <w:pPr>
              <w:jc w:val="center"/>
              <w:ind w:left="1337"/>
              <w:spacing w:after="0"/>
              <w:rPr>
                <w:sz w:val="20"/>
                <w:szCs w:val="20"/>
                <w:color w:val="auto"/>
              </w:rPr>
            </w:pPr>
            <w:r>
              <w:rPr>
                <w:rFonts w:ascii="Arial" w:cs="Arial" w:eastAsia="Arial" w:hAnsi="Arial"/>
                <w:sz w:val="18"/>
                <w:szCs w:val="18"/>
                <w:b w:val="1"/>
                <w:bCs w:val="1"/>
                <w:color w:val="auto"/>
                <w:w w:val="91"/>
              </w:rPr>
              <w:t>New York, New York, USA 10010</w:t>
            </w:r>
          </w:p>
        </w:tc>
      </w:tr>
      <w:tr>
        <w:trPr>
          <w:trHeight w:val="231"/>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(905) 403-6500</w:t>
            </w:r>
          </w:p>
        </w:tc>
        <w:tc>
          <w:tcPr>
            <w:tcW w:w="3960" w:type="dxa"/>
            <w:vAlign w:val="bottom"/>
          </w:tcPr>
          <w:p>
            <w:pPr>
              <w:jc w:val="right"/>
              <w:ind w:right="617"/>
              <w:spacing w:after="0"/>
              <w:rPr>
                <w:sz w:val="20"/>
                <w:szCs w:val="20"/>
                <w:color w:val="auto"/>
              </w:rPr>
            </w:pPr>
            <w:r>
              <w:rPr>
                <w:rFonts w:ascii="Arial" w:cs="Arial" w:eastAsia="Arial" w:hAnsi="Arial"/>
                <w:sz w:val="18"/>
                <w:szCs w:val="18"/>
                <w:b w:val="1"/>
                <w:bCs w:val="1"/>
                <w:color w:val="auto"/>
              </w:rPr>
              <w:t>(212) 821-0100</w:t>
            </w:r>
          </w:p>
        </w:tc>
      </w:tr>
    </w:tbl>
    <w:p>
      <w:pPr>
        <w:spacing w:after="0" w:line="67"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7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280" w:type="dxa"/>
            <w:vAlign w:val="bottom"/>
            <w:gridSpan w:val="2"/>
          </w:tcPr>
          <w:p>
            <w:pPr>
              <w:ind w:left="900"/>
              <w:spacing w:after="0"/>
              <w:rPr>
                <w:sz w:val="20"/>
                <w:szCs w:val="20"/>
                <w:color w:val="auto"/>
              </w:rPr>
            </w:pPr>
            <w:r>
              <w:rPr>
                <w:rFonts w:ascii="Arial" w:cs="Arial" w:eastAsia="Arial" w:hAnsi="Arial"/>
                <w:sz w:val="14"/>
                <w:szCs w:val="14"/>
                <w:b w:val="1"/>
                <w:bCs w:val="1"/>
                <w:color w:val="auto"/>
              </w:rPr>
              <w:t>Trading Symbol(s)</w:t>
            </w:r>
          </w:p>
        </w:tc>
        <w:tc>
          <w:tcPr>
            <w:tcW w:w="3840" w:type="dxa"/>
            <w:vAlign w:val="bottom"/>
          </w:tcPr>
          <w:p>
            <w:pPr>
              <w:jc w:val="center"/>
              <w:ind w:left="4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Shares, no par value</w:t>
            </w:r>
          </w:p>
        </w:tc>
        <w:tc>
          <w:tcPr>
            <w:tcW w:w="180" w:type="dxa"/>
            <w:vAlign w:val="bottom"/>
          </w:tcPr>
          <w:p>
            <w:pPr>
              <w:spacing w:after="0"/>
              <w:rPr>
                <w:sz w:val="19"/>
                <w:szCs w:val="19"/>
                <w:color w:val="auto"/>
              </w:rPr>
            </w:pPr>
          </w:p>
        </w:tc>
        <w:tc>
          <w:tcPr>
            <w:tcW w:w="314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40" w:type="dxa"/>
            <w:vAlign w:val="bottom"/>
            <w:tcBorders>
              <w:top w:val="single" w:sz="8" w:color="auto"/>
            </w:tcBorders>
          </w:tcPr>
          <w:p>
            <w:pPr>
              <w:jc w:val="center"/>
              <w:ind w:left="40"/>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263" w:lineRule="exact"/>
        <w:rPr>
          <w:sz w:val="24"/>
          <w:szCs w:val="24"/>
          <w:color w:val="auto"/>
        </w:rPr>
      </w:pPr>
    </w:p>
    <w:p>
      <w:pPr>
        <w:jc w:val="both"/>
        <w:ind w:right="10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12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firstLine="22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40"/>
        <w:spacing w:after="0" w:line="196" w:lineRule="exact"/>
        <w:tabs>
          <w:tab w:leader="none" w:pos="90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as of September 30, 2021</w:t>
            </w:r>
          </w:p>
        </w:tc>
      </w:tr>
      <w:tr>
        <w:trPr>
          <w:trHeight w:val="22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40" w:type="dxa"/>
            <w:vAlign w:val="bottom"/>
          </w:tcPr>
          <w:p>
            <w:pPr>
              <w:spacing w:after="0"/>
              <w:rPr>
                <w:sz w:val="19"/>
                <w:szCs w:val="19"/>
                <w:color w:val="auto"/>
              </w:rPr>
            </w:pPr>
          </w:p>
        </w:tc>
        <w:tc>
          <w:tcPr>
            <w:tcW w:w="5480" w:type="dxa"/>
            <w:vAlign w:val="bottom"/>
            <w:tcBorders>
              <w:top w:val="single" w:sz="8" w:color="auto"/>
            </w:tcBorders>
          </w:tcPr>
          <w:p>
            <w:pPr>
              <w:jc w:val="right"/>
              <w:ind w:right="2260"/>
              <w:spacing w:after="0"/>
              <w:rPr>
                <w:sz w:val="20"/>
                <w:szCs w:val="20"/>
                <w:color w:val="auto"/>
              </w:rPr>
            </w:pPr>
            <w:r>
              <w:rPr>
                <w:rFonts w:ascii="Arial" w:cs="Arial" w:eastAsia="Arial" w:hAnsi="Arial"/>
                <w:sz w:val="18"/>
                <w:szCs w:val="18"/>
                <w:color w:val="auto"/>
              </w:rPr>
              <w:t>59,081,999</w:t>
            </w:r>
          </w:p>
        </w:tc>
      </w:tr>
      <w:tr>
        <w:trPr>
          <w:trHeight w:val="228"/>
        </w:trPr>
        <w:tc>
          <w:tcPr>
            <w:tcW w:w="5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7"/>
        </w:trPr>
        <w:tc>
          <w:tcPr>
            <w:tcW w:w="5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spacing w:after="0"/>
              <w:rPr>
                <w:sz w:val="14"/>
                <w:szCs w:val="14"/>
                <w:color w:val="auto"/>
              </w:rPr>
            </w:pPr>
          </w:p>
        </w:tc>
        <w:tc>
          <w:tcPr>
            <w:tcW w:w="6200" w:type="dxa"/>
            <w:vAlign w:val="bottom"/>
            <w:gridSpan w:val="7"/>
            <w:vMerge w:val="restart"/>
          </w:tcPr>
          <w:p>
            <w:pPr>
              <w:jc w:val="center"/>
              <w:ind w:right="31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6200" w:type="dxa"/>
            <w:vAlign w:val="bottom"/>
            <w:gridSpan w:val="7"/>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720" w:type="dxa"/>
            <w:vAlign w:val="bottom"/>
            <w:gridSpan w:val="2"/>
          </w:tcPr>
          <w:p>
            <w:pPr>
              <w:spacing w:after="0"/>
              <w:rPr>
                <w:sz w:val="24"/>
                <w:szCs w:val="24"/>
                <w:color w:val="auto"/>
              </w:rPr>
            </w:pPr>
          </w:p>
        </w:tc>
        <w:tc>
          <w:tcPr>
            <w:tcW w:w="3040" w:type="dxa"/>
            <w:vAlign w:val="bottom"/>
            <w:tcBorders>
              <w:top w:val="single" w:sz="8" w:color="0000EE"/>
            </w:tcBorders>
            <w:gridSpan w:val="5"/>
          </w:tcPr>
          <w:p>
            <w:pPr>
              <w:spacing w:after="0"/>
              <w:rPr>
                <w:sz w:val="24"/>
                <w:szCs w:val="24"/>
                <w:color w:val="auto"/>
              </w:rPr>
            </w:pPr>
          </w:p>
        </w:tc>
        <w:tc>
          <w:tcPr>
            <w:tcW w:w="31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2"/>
          </w:tcPr>
          <w:p>
            <w:pPr>
              <w:spacing w:after="0" w:line="194"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EE"/>
            </w:tcBorders>
            <w:gridSpan w:val="8"/>
          </w:tcPr>
          <w:p>
            <w:pPr>
              <w:spacing w:after="0" w:line="194"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Quantitative and Qualitative Disclosures about Market Risk</w:t>
              </w:r>
            </w:hyperlink>
          </w:p>
        </w:tc>
        <w:tc>
          <w:tcPr>
            <w:tcW w:w="5140" w:type="dxa"/>
            <w:vAlign w:val="bottom"/>
            <w:gridSpan w:val="5"/>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line="194"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6200" w:type="dxa"/>
            <w:vAlign w:val="bottom"/>
            <w:gridSpan w:val="7"/>
          </w:tcPr>
          <w:p>
            <w:pPr>
              <w:jc w:val="center"/>
              <w:ind w:right="314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80" w:type="dxa"/>
            <w:vAlign w:val="bottom"/>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Legal Proceedings</w:t>
              </w:r>
            </w:hyperlink>
          </w:p>
        </w:tc>
        <w:tc>
          <w:tcPr>
            <w:tcW w:w="2740" w:type="dxa"/>
            <w:vAlign w:val="bottom"/>
            <w:tcBorders>
              <w:top w:val="single" w:sz="8" w:color="0000EE"/>
            </w:tcBorders>
            <w:gridSpan w:val="3"/>
          </w:tcPr>
          <w:p>
            <w:pPr>
              <w:spacing w:after="0"/>
              <w:rPr>
                <w:sz w:val="24"/>
                <w:szCs w:val="24"/>
                <w:color w:val="auto"/>
              </w:rPr>
            </w:pPr>
          </w:p>
        </w:tc>
        <w:tc>
          <w:tcPr>
            <w:tcW w:w="33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3"/>
          </w:tcPr>
          <w:p>
            <w:pPr>
              <w:spacing w:after="0" w:line="194" w:lineRule="exact"/>
              <w:rPr>
                <w:rFonts w:ascii="Arial" w:cs="Arial" w:eastAsia="Arial" w:hAnsi="Arial"/>
                <w:sz w:val="18"/>
                <w:szCs w:val="18"/>
                <w:color w:val="0000EE"/>
              </w:rPr>
            </w:pPr>
            <w:hyperlink w:anchor="page85">
              <w:r>
                <w:rPr>
                  <w:rFonts w:ascii="Arial" w:cs="Arial" w:eastAsia="Arial" w:hAnsi="Arial"/>
                  <w:sz w:val="18"/>
                  <w:szCs w:val="18"/>
                  <w:color w:val="0000EE"/>
                </w:rPr>
                <w:t>Risk Factors</w:t>
              </w:r>
            </w:hyperlink>
          </w:p>
        </w:tc>
        <w:tc>
          <w:tcPr>
            <w:tcW w:w="8100" w:type="dxa"/>
            <w:vAlign w:val="bottom"/>
            <w:gridSpan w:val="10"/>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line="194" w:lineRule="exact"/>
              <w:rPr>
                <w:rFonts w:ascii="Arial" w:cs="Arial" w:eastAsia="Arial" w:hAnsi="Arial"/>
                <w:sz w:val="18"/>
                <w:szCs w:val="18"/>
                <w:color w:val="0000EE"/>
              </w:rPr>
            </w:pPr>
            <w:hyperlink w:anchor="page88">
              <w:r>
                <w:rPr>
                  <w:rFonts w:ascii="Arial" w:cs="Arial" w:eastAsia="Arial" w:hAnsi="Arial"/>
                  <w:sz w:val="18"/>
                  <w:szCs w:val="18"/>
                  <w:color w:val="0000EE"/>
                </w:rPr>
                <w:t>Unregistered Sales of Equity Securities and Use of Proceeds</w:t>
              </w:r>
            </w:hyperlink>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6.</w:t>
            </w:r>
          </w:p>
        </w:tc>
        <w:tc>
          <w:tcPr>
            <w:tcW w:w="43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w:anchor="page89">
              <w:r>
                <w:rPr>
                  <w:rFonts w:ascii="Arial" w:cs="Arial" w:eastAsia="Arial" w:hAnsi="Arial"/>
                  <w:sz w:val="18"/>
                  <w:szCs w:val="18"/>
                  <w:color w:val="0000EE"/>
                </w:rPr>
                <w:t>Exhibits</w:t>
              </w:r>
            </w:hyperlink>
          </w:p>
        </w:tc>
        <w:tc>
          <w:tcPr>
            <w:tcW w:w="5120" w:type="dxa"/>
            <w:vAlign w:val="bottom"/>
            <w:gridSpan w:val="4"/>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60"/>
        </w:trPr>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gridSpan w:val="10"/>
          </w:tcPr>
          <w:p>
            <w:pPr>
              <w:jc w:val="center"/>
              <w:ind w:left="3271"/>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80" w:type="dxa"/>
            <w:vAlign w:val="bottom"/>
            <w:gridSpan w:val="7"/>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580" w:type="dxa"/>
            <w:vAlign w:val="bottom"/>
            <w:gridSpan w:val="7"/>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as of September 30, 2021 and December 31, 2020</w:t>
              </w:r>
            </w:hyperlink>
          </w:p>
        </w:tc>
        <w:tc>
          <w:tcPr>
            <w:tcW w:w="406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10580" w:type="dxa"/>
            <w:vAlign w:val="bottom"/>
            <w:gridSpan w:val="7"/>
          </w:tcPr>
          <w:p>
            <w:pPr>
              <w:spacing w:after="0" w:line="194"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2021 and 2020</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6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80" w:type="dxa"/>
            <w:vAlign w:val="bottom"/>
            <w:gridSpan w:val="7"/>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 for the three and nine months ended September 30, 2021 and 2020</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4"/>
        </w:trPr>
        <w:tc>
          <w:tcPr>
            <w:tcW w:w="912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2021 and 2020</w:t>
              </w:r>
            </w:hyperlink>
          </w:p>
        </w:tc>
        <w:tc>
          <w:tcPr>
            <w:tcW w:w="1460" w:type="dxa"/>
            <w:vAlign w:val="bottom"/>
            <w:gridSpan w:val="2"/>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140" w:type="dxa"/>
            <w:vAlign w:val="bottom"/>
            <w:tcBorders>
              <w:bottom w:val="single" w:sz="8" w:color="0000EE"/>
            </w:tcBorders>
            <w:gridSpan w:val="6"/>
          </w:tcPr>
          <w:p>
            <w:pPr>
              <w:spacing w:after="0" w:line="194"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Shareholders’ Equity for the three and nine months ended September 30, 2021 and 2020</w:t>
              </w:r>
            </w:hyperlink>
          </w:p>
        </w:tc>
        <w:tc>
          <w:tcPr>
            <w:tcW w:w="144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0000EE"/>
            </w:tcBorders>
          </w:tcPr>
          <w:p>
            <w:pPr>
              <w:spacing w:after="0" w:line="194"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6620" w:type="dxa"/>
            <w:vAlign w:val="bottom"/>
            <w:gridSpan w:val="6"/>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60"/>
        </w:trPr>
        <w:tc>
          <w:tcPr>
            <w:tcW w:w="6520" w:type="dxa"/>
            <w:vAlign w:val="bottom"/>
            <w:gridSpan w:val="2"/>
          </w:tcPr>
          <w:p>
            <w:pPr>
              <w:ind w:left="558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75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193,008</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82,728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Financing receivables,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135,202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receivables,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Film assets,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871,161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98,272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borrowings,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223,265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450,691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(see Note 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59,082,275 issued and 59,081,999 outstanding (December 31, 2020 — 58,921,731 issued and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58,921,008 outstanding)</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Less: Treasury stock, 276 shares at cost (December 31, 2020 — 723)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equity</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Statutory surplus reserve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(241,440)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(202,849)</w:t>
            </w: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336,906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385,489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419,710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464,008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871,161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51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0"/>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Technology sales</w:t>
            </w:r>
          </w:p>
        </w:tc>
        <w:tc>
          <w:tcPr>
            <w:tcW w:w="8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13,160</w:t>
            </w:r>
          </w:p>
        </w:tc>
        <w:tc>
          <w:tcPr>
            <w:tcW w:w="140" w:type="dxa"/>
            <w:vAlign w:val="bottom"/>
          </w:tcPr>
          <w:p>
            <w:pPr>
              <w:spacing w:after="0"/>
              <w:rPr>
                <w:sz w:val="19"/>
                <w:szCs w:val="19"/>
                <w:color w:val="auto"/>
              </w:rPr>
            </w:pP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15,753</w:t>
            </w:r>
          </w:p>
        </w:tc>
        <w:tc>
          <w:tcPr>
            <w:tcW w:w="24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34,508</w:t>
            </w:r>
          </w:p>
        </w:tc>
        <w:tc>
          <w:tcPr>
            <w:tcW w:w="2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24,102</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39,109</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Technology rentals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Finance income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7,495</w:t>
            </w:r>
          </w:p>
        </w:tc>
        <w:tc>
          <w:tcPr>
            <w:tcW w:w="120" w:type="dxa"/>
            <w:vAlign w:val="bottom"/>
            <w:shd w:val="clear" w:color="auto" w:fill="CFF0FC"/>
          </w:tcPr>
          <w:p>
            <w:pPr>
              <w:spacing w:after="0"/>
              <w:rPr>
                <w:sz w:val="19"/>
                <w:szCs w:val="19"/>
                <w:color w:val="auto"/>
              </w:rPr>
            </w:pPr>
          </w:p>
        </w:tc>
      </w:tr>
      <w:tr>
        <w:trPr>
          <w:trHeight w:val="221"/>
        </w:trPr>
        <w:tc>
          <w:tcPr>
            <w:tcW w:w="51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56,602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37,256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146,311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81,013</w:t>
            </w:r>
          </w:p>
        </w:tc>
        <w:tc>
          <w:tcPr>
            <w:tcW w:w="120" w:type="dxa"/>
            <w:vAlign w:val="bottom"/>
            <w:tcBorders>
              <w:bottom w:val="single" w:sz="8" w:color="CFF0FC"/>
            </w:tcBorders>
          </w:tcPr>
          <w:p>
            <w:pPr>
              <w:spacing w:after="0"/>
              <w:rPr>
                <w:sz w:val="19"/>
                <w:szCs w:val="19"/>
                <w:color w:val="auto"/>
              </w:rPr>
            </w:pPr>
          </w:p>
        </w:tc>
      </w:tr>
      <w:tr>
        <w:trPr>
          <w:trHeight w:val="220"/>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 applicable to 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Technology sales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42,049</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Technology rentals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w:t>
            </w:r>
          </w:p>
        </w:tc>
        <w:tc>
          <w:tcPr>
            <w:tcW w:w="120" w:type="dxa"/>
            <w:vAlign w:val="bottom"/>
            <w:tcBorders>
              <w:bottom w:val="single" w:sz="8" w:color="CFF0FC"/>
            </w:tcBorders>
          </w:tcPr>
          <w:p>
            <w:pPr>
              <w:spacing w:after="0"/>
              <w:rPr>
                <w:sz w:val="19"/>
                <w:szCs w:val="19"/>
                <w:color w:val="auto"/>
              </w:rPr>
            </w:pPr>
          </w:p>
        </w:tc>
      </w:tr>
      <w:tr>
        <w:trPr>
          <w:trHeight w:val="221"/>
        </w:trPr>
        <w:tc>
          <w:tcPr>
            <w:tcW w:w="5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29,115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33,427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75,940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79,786</w:t>
            </w:r>
          </w:p>
        </w:tc>
        <w:tc>
          <w:tcPr>
            <w:tcW w:w="120" w:type="dxa"/>
            <w:vAlign w:val="bottom"/>
            <w:shd w:val="clear" w:color="auto" w:fill="CFF0FC"/>
          </w:tcPr>
          <w:p>
            <w:pPr>
              <w:spacing w:after="0"/>
              <w:rPr>
                <w:sz w:val="19"/>
                <w:szCs w:val="19"/>
                <w:color w:val="auto"/>
              </w:rPr>
            </w:pPr>
          </w:p>
        </w:tc>
      </w:tr>
      <w:tr>
        <w:trPr>
          <w:trHeight w:val="220"/>
        </w:trPr>
        <w:tc>
          <w:tcPr>
            <w:tcW w:w="512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27,487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70,371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1,227</w:t>
            </w:r>
          </w:p>
        </w:tc>
        <w:tc>
          <w:tcPr>
            <w:tcW w:w="12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83,247</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4,562</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Credit loss (reversal) expense,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15,582</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Legal judgment and arbitration awards (see Note 8)</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(27,390)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(14,650)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(107,329)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Realized and unrealized investment gains (losses)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Retirement benefits non-service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w:t>
            </w: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19"/>
                <w:szCs w:val="19"/>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(4,620)</w:t>
            </w:r>
          </w:p>
        </w:tc>
      </w:tr>
      <w:tr>
        <w:trPr>
          <w:trHeight w:val="220"/>
        </w:trPr>
        <w:tc>
          <w:tcPr>
            <w:tcW w:w="512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(111,478)</w:t>
            </w:r>
          </w:p>
        </w:tc>
        <w:tc>
          <w:tcPr>
            <w:tcW w:w="120" w:type="dxa"/>
            <w:vAlign w:val="bottom"/>
          </w:tcPr>
          <w:p>
            <w:pPr>
              <w:spacing w:after="0"/>
              <w:rPr>
                <w:sz w:val="19"/>
                <w:szCs w:val="19"/>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(24,606)</w:t>
            </w: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Equity in losses of investees, net of tax</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(1,858)</w:t>
            </w:r>
          </w:p>
        </w:tc>
      </w:tr>
      <w:tr>
        <w:trPr>
          <w:trHeight w:val="221"/>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(48,484)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(22,956)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(137,942)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(9,473)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15,412</w:t>
            </w:r>
          </w:p>
        </w:tc>
        <w:tc>
          <w:tcPr>
            <w:tcW w:w="120" w:type="dxa"/>
            <w:vAlign w:val="bottom"/>
          </w:tcPr>
          <w:p>
            <w:pPr>
              <w:spacing w:after="0"/>
              <w:rPr>
                <w:sz w:val="19"/>
                <w:szCs w:val="19"/>
                <w:color w:val="auto"/>
              </w:rPr>
            </w:pPr>
          </w:p>
        </w:tc>
      </w:tr>
      <w:tr>
        <w:trPr>
          <w:trHeight w:val="221"/>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(47,209)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(32,429)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w w:val="91"/>
              </w:rPr>
              <w:t>Net loss per share attributable to common shareholders - basic and diluted: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(0.55)</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(2.06)</w:t>
            </w: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5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0"/>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(6,344)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(48,484)</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(22,956)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51"/>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(137,942)</w:t>
            </w:r>
          </w:p>
        </w:tc>
        <w:tc>
          <w:tcPr>
            <w:tcW w:w="10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b w:val="1"/>
                <w:bCs w:val="1"/>
                <w:color w:val="auto"/>
              </w:rPr>
              <w:t>Other comprehensive (loss) income, before tax</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(loss) gain from cash flow hedging instruments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(759)</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(935)</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Realized net (gain) loss from cash flow hedging instruments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(1,367)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r>
      <w:tr>
        <w:trPr>
          <w:trHeight w:val="213"/>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Reclassification of unrealized gain from ineffective cash flow hedging</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instruments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5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r>
      <w:tr>
        <w:trPr>
          <w:trHeight w:val="227"/>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and postretirement benefit plans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0"/>
        </w:trPr>
        <w:tc>
          <w:tcPr>
            <w:tcW w:w="5560" w:type="dxa"/>
            <w:vAlign w:val="bottom"/>
          </w:tcPr>
          <w:p>
            <w:pPr>
              <w:ind w:left="380"/>
              <w:spacing w:after="0"/>
              <w:rPr>
                <w:sz w:val="20"/>
                <w:szCs w:val="20"/>
                <w:color w:val="auto"/>
              </w:rPr>
            </w:pPr>
            <w:r>
              <w:rPr>
                <w:rFonts w:ascii="Arial" w:cs="Arial" w:eastAsia="Arial" w:hAnsi="Arial"/>
                <w:sz w:val="18"/>
                <w:szCs w:val="18"/>
                <w:b w:val="1"/>
                <w:bCs w:val="1"/>
                <w:color w:val="auto"/>
              </w:rPr>
              <w:t>Total other comprehensive (loss) income, before tax</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(2,373)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1,678</w:t>
            </w:r>
          </w:p>
        </w:tc>
        <w:tc>
          <w:tcPr>
            <w:tcW w:w="100" w:type="dxa"/>
            <w:vAlign w:val="bottom"/>
          </w:tcPr>
          <w:p>
            <w:pPr>
              <w:spacing w:after="0"/>
              <w:rPr>
                <w:sz w:val="19"/>
                <w:szCs w:val="19"/>
                <w:color w:val="auto"/>
              </w:rPr>
            </w:pPr>
          </w:p>
        </w:tc>
      </w:tr>
      <w:tr>
        <w:trPr>
          <w:trHeight w:val="22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w w:val="92"/>
              </w:rPr>
              <w:t>Income tax benefit (expense) related to other comprehensive (loss) income</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r>
      <w:tr>
        <w:trPr>
          <w:trHeight w:val="22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FF0FC"/>
            </w:tcBorders>
          </w:tcPr>
          <w:p>
            <w:pPr>
              <w:spacing w:after="0"/>
              <w:rPr>
                <w:sz w:val="19"/>
                <w:szCs w:val="19"/>
                <w:color w:val="auto"/>
              </w:rPr>
            </w:pPr>
          </w:p>
        </w:tc>
      </w:tr>
      <w:tr>
        <w:trPr>
          <w:trHeight w:val="221"/>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(8,441)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(45,566)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(24,741)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(136,200)</w:t>
            </w:r>
          </w:p>
        </w:tc>
        <w:tc>
          <w:tcPr>
            <w:tcW w:w="100" w:type="dxa"/>
            <w:vAlign w:val="bottom"/>
            <w:shd w:val="clear" w:color="auto" w:fill="CFF0FC"/>
          </w:tcPr>
          <w:p>
            <w:pPr>
              <w:spacing w:after="0"/>
              <w:rPr>
                <w:sz w:val="19"/>
                <w:szCs w:val="19"/>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(1,636)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(9,313)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14,876</w:t>
            </w:r>
          </w:p>
        </w:tc>
        <w:tc>
          <w:tcPr>
            <w:tcW w:w="100" w:type="dxa"/>
            <w:vAlign w:val="bottom"/>
          </w:tcPr>
          <w:p>
            <w:pPr>
              <w:spacing w:after="0"/>
              <w:rPr>
                <w:sz w:val="19"/>
                <w:szCs w:val="19"/>
                <w:color w:val="auto"/>
              </w:rPr>
            </w:pPr>
          </w:p>
        </w:tc>
      </w:tr>
      <w:tr>
        <w:trPr>
          <w:trHeight w:val="221"/>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(121,324)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6"/>
                <w:szCs w:val="16"/>
                <w:color w:val="auto"/>
              </w:rPr>
            </w:pPr>
          </w:p>
        </w:tc>
      </w:tr>
      <w:tr>
        <w:trPr>
          <w:trHeight w:val="212"/>
        </w:trPr>
        <w:tc>
          <w:tcPr>
            <w:tcW w:w="6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8"/>
                <w:szCs w:val="18"/>
                <w:color w:val="auto"/>
              </w:rPr>
            </w:pPr>
          </w:p>
        </w:tc>
      </w:tr>
      <w:tr>
        <w:trPr>
          <w:trHeight w:val="220"/>
        </w:trPr>
        <w:tc>
          <w:tcPr>
            <w:tcW w:w="636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691"/>
              <w:spacing w:after="0"/>
              <w:rPr>
                <w:sz w:val="20"/>
                <w:szCs w:val="20"/>
                <w:color w:val="auto"/>
              </w:rPr>
            </w:pPr>
            <w:r>
              <w:rPr>
                <w:rFonts w:ascii="Arial" w:cs="Arial" w:eastAsia="Arial" w:hAnsi="Arial"/>
                <w:sz w:val="14"/>
                <w:szCs w:val="14"/>
                <w:b w:val="1"/>
                <w:bCs w:val="1"/>
                <w:color w:val="auto"/>
              </w:rPr>
              <w:t>2020</w:t>
            </w:r>
          </w:p>
        </w:tc>
      </w:tr>
      <w:tr>
        <w:trPr>
          <w:trHeight w:val="220"/>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5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(22,956)</w:t>
            </w:r>
          </w:p>
        </w:tc>
        <w:tc>
          <w:tcPr>
            <w:tcW w:w="7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(137,942)</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40,570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40,699</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1,749</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595</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Credit loss (reversal) expense, net</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15,582</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Write-downs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13,339</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Deferred income tax (benefit) expense</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23,142</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and other non-cash compensation</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18,558</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16,345</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Unrealized foreign currency exchange loss (gain)</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investment (gains) losses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939</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Equity in losses of investees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1,858</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(24,336)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30,350</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r>
      <w:tr>
        <w:trPr>
          <w:trHeight w:val="227"/>
        </w:trPr>
        <w:tc>
          <w:tcPr>
            <w:tcW w:w="6360" w:type="dxa"/>
            <w:vAlign w:val="bottom"/>
          </w:tcPr>
          <w:p>
            <w:pPr>
              <w:ind w:left="260"/>
              <w:spacing w:after="0"/>
              <w:rPr>
                <w:sz w:val="20"/>
                <w:szCs w:val="20"/>
                <w:color w:val="auto"/>
              </w:rPr>
            </w:pPr>
            <w:r>
              <w:rPr>
                <w:rFonts w:ascii="Arial" w:cs="Arial" w:eastAsia="Arial" w:hAnsi="Arial"/>
                <w:sz w:val="18"/>
                <w:szCs w:val="18"/>
                <w:color w:val="auto"/>
              </w:rPr>
              <w:t>Film assets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(10,035)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(6,177)</w:t>
            </w:r>
          </w:p>
        </w:tc>
      </w:tr>
      <w:tr>
        <w:trPr>
          <w:trHeight w:val="227"/>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5,233</w:t>
            </w:r>
          </w:p>
        </w:tc>
      </w:tr>
      <w:tr>
        <w:trPr>
          <w:trHeight w:val="227"/>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(11,902)</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(24,109)</w:t>
            </w:r>
          </w:p>
        </w:tc>
      </w:tr>
      <w:tr>
        <w:trPr>
          <w:trHeight w:val="221"/>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(19,582)</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(30,818)</w:t>
            </w:r>
          </w:p>
        </w:tc>
      </w:tr>
      <w:tr>
        <w:trPr>
          <w:trHeight w:val="219"/>
        </w:trPr>
        <w:tc>
          <w:tcPr>
            <w:tcW w:w="6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Investment in equipment for joint revenue sharing arrangements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other intangible assets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r>
      <w:tr>
        <w:trPr>
          <w:trHeight w:val="22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sale of equity investment</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17,769</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21"/>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6,656</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(7,608)</w:t>
            </w:r>
          </w:p>
        </w:tc>
      </w:tr>
      <w:tr>
        <w:trPr>
          <w:trHeight w:val="219"/>
        </w:trPr>
        <w:tc>
          <w:tcPr>
            <w:tcW w:w="6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notes, net</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223,675</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Debt issuance costs related to convertible notes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Purchase of capped calls related to convertible notes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Revolving credit facility borrowings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280,244</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credit facility borrowings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(300,243)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Credit facility amendment fees paid</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shares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(36,624)</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Repurchase of common shares, IMAX China</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purchased for future settlement of restricted share units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Taxes withheld and paid on employee stock awards vested</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8"/>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Common shares issued - stock options exercised</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Dividends paid to non-controlling interests</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r>
      <w:tr>
        <w:trPr>
          <w:trHeight w:val="221"/>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(110,487)</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233,509</w:t>
            </w:r>
          </w:p>
        </w:tc>
      </w:tr>
      <w:tr>
        <w:trPr>
          <w:trHeight w:val="22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Effects of exchange rate changes on cash</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630</w:t>
            </w:r>
          </w:p>
        </w:tc>
      </w:tr>
      <w:tr>
        <w:trPr>
          <w:trHeight w:val="221"/>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(Decrease) increase in cash and cash equivalents during period</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(124,371)</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195,713</w:t>
            </w:r>
          </w:p>
        </w:tc>
      </w:tr>
      <w:tr>
        <w:trPr>
          <w:trHeight w:val="22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317,379</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109,484</w:t>
            </w:r>
          </w:p>
        </w:tc>
      </w:tr>
      <w:tr>
        <w:trPr>
          <w:trHeight w:val="22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5"/>
              </w:rPr>
              <w:t>193,008</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305,197</w:t>
            </w:r>
          </w:p>
        </w:tc>
      </w:tr>
      <w:tr>
        <w:trPr>
          <w:trHeight w:val="20"/>
        </w:trPr>
        <w:tc>
          <w:tcPr>
            <w:tcW w:w="6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6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9"/>
                <w:szCs w:val="19"/>
                <w:color w:val="auto"/>
              </w:rPr>
            </w:pPr>
          </w:p>
        </w:tc>
      </w:tr>
      <w:tr>
        <w:trPr>
          <w:trHeight w:val="220"/>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capital stock:</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415,849</w:t>
            </w:r>
          </w:p>
        </w:tc>
        <w:tc>
          <w:tcPr>
            <w:tcW w:w="2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405,254</w:t>
            </w:r>
          </w:p>
        </w:tc>
        <w:tc>
          <w:tcPr>
            <w:tcW w:w="220" w:type="dxa"/>
            <w:vAlign w:val="bottom"/>
          </w:tcPr>
          <w:p>
            <w:pPr>
              <w:spacing w:after="0"/>
              <w:rPr>
                <w:sz w:val="19"/>
                <w:szCs w:val="19"/>
                <w:color w:val="auto"/>
              </w:rPr>
            </w:pP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407,020</w:t>
            </w:r>
          </w:p>
        </w:tc>
        <w:tc>
          <w:tcPr>
            <w:tcW w:w="220" w:type="dxa"/>
            <w:vAlign w:val="bottom"/>
          </w:tcPr>
          <w:p>
            <w:pPr>
              <w:spacing w:after="0"/>
              <w:rPr>
                <w:sz w:val="19"/>
                <w:szCs w:val="19"/>
                <w:color w:val="auto"/>
              </w:rPr>
            </w:pP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419,348</w:t>
            </w:r>
          </w:p>
        </w:tc>
        <w:tc>
          <w:tcPr>
            <w:tcW w:w="80" w:type="dxa"/>
            <w:vAlign w:val="bottom"/>
          </w:tcPr>
          <w:p>
            <w:pPr>
              <w:spacing w:after="0"/>
              <w:rPr>
                <w:sz w:val="19"/>
                <w:szCs w:val="19"/>
                <w:color w:val="auto"/>
              </w:rPr>
            </w:pP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shares held in treasury</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Employee stock options exercised</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date fair value of stock options exercised</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Average carrying value of repurchased and retired common shares</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(2,380)</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(2,380)</w:t>
            </w: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(17,803)</w:t>
            </w:r>
          </w:p>
        </w:tc>
      </w:tr>
      <w:tr>
        <w:trPr>
          <w:trHeight w:val="213"/>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share units vested, net of shares withheld for employee tax</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413,527</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405,312</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413,527</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405,312</w:t>
            </w:r>
          </w:p>
        </w:tc>
        <w:tc>
          <w:tcPr>
            <w:tcW w:w="80" w:type="dxa"/>
            <w:vAlign w:val="bottom"/>
            <w:tcBorders>
              <w:bottom w:val="single" w:sz="8" w:color="CFF0FC"/>
            </w:tcBorders>
          </w:tcPr>
          <w:p>
            <w:pPr>
              <w:spacing w:after="0"/>
              <w:rPr>
                <w:sz w:val="19"/>
                <w:szCs w:val="19"/>
                <w:color w:val="auto"/>
              </w:rPr>
            </w:pPr>
          </w:p>
        </w:tc>
      </w:tr>
      <w:tr>
        <w:trPr>
          <w:trHeight w:val="221"/>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other equity:</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160,658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172,690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180,330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171,789</w:t>
            </w:r>
          </w:p>
        </w:tc>
        <w:tc>
          <w:tcPr>
            <w:tcW w:w="80" w:type="dxa"/>
            <w:vAlign w:val="bottom"/>
          </w:tcPr>
          <w:p>
            <w:pPr>
              <w:spacing w:after="0"/>
              <w:rPr>
                <w:sz w:val="19"/>
                <w:szCs w:val="19"/>
                <w:color w:val="auto"/>
              </w:rPr>
            </w:pP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share-based payment expense - stock options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Amortization of share-based payment expense - restricted share units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11,099</w:t>
            </w:r>
          </w:p>
        </w:tc>
        <w:tc>
          <w:tcPr>
            <w:tcW w:w="80" w:type="dxa"/>
            <w:vAlign w:val="bottom"/>
          </w:tcPr>
          <w:p>
            <w:pPr>
              <w:spacing w:after="0"/>
              <w:rPr>
                <w:sz w:val="19"/>
                <w:szCs w:val="19"/>
                <w:color w:val="auto"/>
              </w:rPr>
            </w:pP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share-based payment expense - performance stock units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Restricted share units vested</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(12,249)</w:t>
            </w: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(7,688)</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date fair value of stock options exercised</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Common shares repurchased, IMAX China</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(5,016)</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(5,016)</w:t>
            </w: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(1,534)</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capped calls related to convertible notes</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(19,067)</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161,524</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177,110</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161,524</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w:t>
            </w:r>
          </w:p>
        </w:tc>
        <w:tc>
          <w:tcPr>
            <w:tcW w:w="80" w:type="dxa"/>
            <w:vAlign w:val="bottom"/>
            <w:tcBorders>
              <w:bottom w:val="single" w:sz="8" w:color="CFF0FC"/>
            </w:tcBorders>
          </w:tcPr>
          <w:p>
            <w:pPr>
              <w:spacing w:after="0"/>
              <w:rPr>
                <w:sz w:val="19"/>
                <w:szCs w:val="19"/>
                <w:color w:val="auto"/>
              </w:rPr>
            </w:pPr>
          </w:p>
        </w:tc>
      </w:tr>
      <w:tr>
        <w:trPr>
          <w:trHeight w:val="221"/>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statutory surplus reserve: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Establishment of statutory surplus reserve, IMAX China</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1"/>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accumulated deficit: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(226,900)</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(134,395)</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(202,849)</w:t>
            </w: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(40,253)</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attributable to common shareholders</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(8,378)</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(47,209)</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(32,429)</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(122,530)</w:t>
            </w: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Statutory surplus reserve deducted from retained earnings, IMAX China</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(3,932)</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(3,932)</w:t>
            </w: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repurchased and retired</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(2,230)</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(2,230)</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(18,821)</w:t>
            </w:r>
          </w:p>
        </w:tc>
      </w:tr>
      <w:tr>
        <w:trPr>
          <w:trHeight w:val="22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(241,440)</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(181,604)</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(241,440)</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(181,604)</w:t>
            </w:r>
          </w:p>
        </w:tc>
        <w:tc>
          <w:tcPr>
            <w:tcW w:w="80" w:type="dxa"/>
            <w:vAlign w:val="bottom"/>
            <w:tcBorders>
              <w:bottom w:val="single" w:sz="8" w:color="CFF0FC"/>
            </w:tcBorders>
          </w:tcPr>
          <w:p>
            <w:pPr>
              <w:spacing w:after="0"/>
              <w:rPr>
                <w:sz w:val="19"/>
                <w:szCs w:val="19"/>
                <w:color w:val="auto"/>
              </w:rPr>
            </w:pPr>
          </w:p>
        </w:tc>
      </w:tr>
      <w:tr>
        <w:trPr>
          <w:trHeight w:val="221"/>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accumulated other comprehensive (loss) income: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(4,180)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(3,190)</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(1,699)</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(1,625)</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80" w:type="dxa"/>
            <w:vAlign w:val="bottom"/>
            <w:shd w:val="clear" w:color="auto" w:fill="CFF0FC"/>
          </w:tcPr>
          <w:p>
            <w:pPr>
              <w:spacing w:after="0"/>
              <w:rPr>
                <w:sz w:val="19"/>
                <w:szCs w:val="19"/>
                <w:color w:val="auto"/>
              </w:rPr>
            </w:pPr>
          </w:p>
        </w:tc>
      </w:tr>
      <w:tr>
        <w:trPr>
          <w:trHeight w:val="22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Borders>
              <w:bottom w:val="single" w:sz="8" w:color="CFF0FC"/>
            </w:tcBorders>
          </w:tcPr>
          <w:p>
            <w:pPr>
              <w:spacing w:after="0"/>
              <w:rPr>
                <w:sz w:val="19"/>
                <w:szCs w:val="19"/>
                <w:color w:val="auto"/>
              </w:rPr>
            </w:pPr>
          </w:p>
        </w:tc>
      </w:tr>
      <w:tr>
        <w:trPr>
          <w:trHeight w:val="221"/>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non-controlling interests: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78,519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89,493</w:t>
            </w:r>
          </w:p>
        </w:tc>
        <w:tc>
          <w:tcPr>
            <w:tcW w:w="80" w:type="dxa"/>
            <w:vAlign w:val="bottom"/>
          </w:tcPr>
          <w:p>
            <w:pPr>
              <w:spacing w:after="0"/>
              <w:rPr>
                <w:sz w:val="19"/>
                <w:szCs w:val="19"/>
                <w:color w:val="auto"/>
              </w:rPr>
            </w:pP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(10,280)</w:t>
            </w: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Establishment of statutory surplus reserve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Pr>
          <w:p>
            <w:pPr>
              <w:ind w:left="260"/>
              <w:spacing w:after="0"/>
              <w:rPr>
                <w:sz w:val="20"/>
                <w:szCs w:val="20"/>
                <w:color w:val="auto"/>
              </w:rPr>
            </w:pPr>
            <w:r>
              <w:rPr>
                <w:rFonts w:ascii="Arial" w:cs="Arial" w:eastAsia="Arial" w:hAnsi="Arial"/>
                <w:sz w:val="18"/>
                <w:szCs w:val="18"/>
                <w:color w:val="auto"/>
              </w:rPr>
              <w:t>Statutory surplus reserve deducted from retained earnings</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(1,699)</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(1,699)</w:t>
            </w: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 to non-controlling shareholders</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(2,928)</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(5,027)</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(4,214)</w:t>
            </w:r>
          </w:p>
        </w:tc>
      </w:tr>
      <w:tr>
        <w:trPr>
          <w:trHeight w:val="22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82,804</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75,535</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82,804</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75,535</w:t>
            </w:r>
          </w:p>
        </w:tc>
        <w:tc>
          <w:tcPr>
            <w:tcW w:w="80" w:type="dxa"/>
            <w:vAlign w:val="bottom"/>
            <w:tcBorders>
              <w:bottom w:val="single" w:sz="8" w:color="CFF0FC"/>
            </w:tcBorders>
          </w:tcPr>
          <w:p>
            <w:pPr>
              <w:spacing w:after="0"/>
              <w:rPr>
                <w:sz w:val="19"/>
                <w:szCs w:val="19"/>
                <w:color w:val="auto"/>
              </w:rPr>
            </w:pPr>
          </w:p>
        </w:tc>
      </w:tr>
      <w:tr>
        <w:trPr>
          <w:trHeight w:val="221"/>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419,710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474,369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419,710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474,369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3620" w:right="2480" w:hanging="905"/>
        <w:spacing w:after="0" w:line="278" w:lineRule="auto"/>
        <w:rPr>
          <w:sz w:val="20"/>
          <w:szCs w:val="20"/>
          <w:color w:val="auto"/>
        </w:rPr>
      </w:pPr>
      <w:r>
        <w:rPr>
          <w:rFonts w:ascii="Arial" w:cs="Arial" w:eastAsia="Arial" w:hAnsi="Arial"/>
          <w:sz w:val="16"/>
          <w:szCs w:val="16"/>
          <w:b w:val="1"/>
          <w:bCs w:val="1"/>
          <w:color w:val="auto"/>
        </w:rPr>
        <w:t xml:space="preserve">NOTES TO CONDENSED CONSOLIDATED FINANCIAL STATEMENTS </w:t>
      </w:r>
      <w:r>
        <w:rPr>
          <w:rFonts w:ascii="Arial" w:cs="Arial" w:eastAsia="Arial" w:hAnsi="Arial"/>
          <w:sz w:val="16"/>
          <w:szCs w:val="16"/>
          <w:i w:val="1"/>
          <w:iCs w:val="1"/>
          <w:color w:val="auto"/>
        </w:rPr>
        <w:t>(Tabular amounts in thousands of U.S. Dollars,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spacing w:after="0" w:line="7" w:lineRule="exact"/>
        <w:rPr>
          <w:sz w:val="20"/>
          <w:szCs w:val="20"/>
          <w:color w:val="auto"/>
        </w:rPr>
      </w:pPr>
    </w:p>
    <w:p>
      <w:pPr>
        <w:jc w:val="both"/>
        <w:ind w:left="240" w:right="9420" w:hanging="233"/>
        <w:spacing w:after="0" w:line="577" w:lineRule="auto"/>
        <w:tabs>
          <w:tab w:leader="none" w:pos="238"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Presentation </w:t>
      </w:r>
      <w:r>
        <w:rPr>
          <w:rFonts w:ascii="Arial" w:cs="Arial" w:eastAsia="Arial" w:hAnsi="Arial"/>
          <w:sz w:val="14"/>
          <w:szCs w:val="14"/>
          <w:i w:val="1"/>
          <w:iCs w:val="1"/>
          <w:color w:val="auto"/>
        </w:rPr>
        <w:t>Accounting Principles</w:t>
      </w:r>
    </w:p>
    <w:p>
      <w:pPr>
        <w:spacing w:after="0" w:line="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interim results presented in the Company’s Condensed Consolidated Statements of Operations are not necessarily indicative of results for a full year, particularly in this interim period due to the impacts of the COVID-19 global pandemic (see Note 2).</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included in the Company’s 2020 Annual Report on Form 10-K (the “2020 Form 10-K”), which should be consulted for a summary of the significant accounting policies utilized by the Company. The Condensed Consolidated Financial Statements are prepared following the same accounting policies disclosed in the 2020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 and liabilities of the Company’s consolidated VIEs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1,543</w:t>
            </w:r>
          </w:p>
        </w:tc>
      </w:tr>
      <w:tr>
        <w:trPr>
          <w:trHeight w:val="227"/>
        </w:trPr>
        <w:tc>
          <w:tcPr>
            <w:tcW w:w="77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230</w:t>
            </w:r>
          </w:p>
        </w:tc>
      </w:tr>
    </w:tbl>
    <w:p>
      <w:pPr>
        <w:spacing w:after="0" w:line="200"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8"/>
          <w:szCs w:val="18"/>
          <w:color w:val="auto"/>
        </w:rPr>
        <w:t>In October 2021, the Company and Maximus Technologies Limited dissolved its previously announced joint venture, IMAX AI, and the intellectual property assets contributed to the joint venture were returned to each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94"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In preparing the Company’s Condensed Consolidated Financial Statements, management makes judgments in applying various accounting policies. The areas of policy judgment are consistent with those reported in Note 3(b) in the 2020 Form 10-K.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Theater System arrangement to distinct performance obligations; (ii) estimates of variable consideration related to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estimates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lease liabilities; (xi) pension plan assumptions; (xii) estimates related to the fair value and projected vesting of share-based payment awards; (xiii) the valuation of deferred income tax assets; and (xiv) reserves related to uncertain tax positions.</w:t>
      </w:r>
    </w:p>
    <w:p>
      <w:pPr>
        <w:spacing w:after="0" w:line="148"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The Company’s operations have been significantly impacted by the COVID-19 global pandemic, as described in Note 2. The impact of the COVID-19 global pandemic on the Company’s business and financial results will continue to depend on numerous evolving factors that cannot be accurately predicted and that will vary by jurisdiction and market, including the duration and scope of the pandemic, the emergence of variants of the virus, the progress made on administering vaccines, the continuing impact of the pandemic on global economic conditions and ongoing government responses to the pandemic, which could lead to further theater closures, theater capacity restrictions and/or delays in the release of films. However, management is encouraged by the broad reopening of the IMAX theater network, the continued progress towards the resumption of normal theater operations, and recent box office results. Accordingly, during the three and nine months ended September 30, 2021, the Company reversed $3.3 million and $4.9 million, respectively, of its allowance for current expected credit losses, reflecting the improving outlook for theater operators as the theatrical exhibition industry continues to recover from the COVID-19 global pandemic. Despite the improving environment, there continues to be a degree of risk and uncertainty relating to future credit losses on receivables, inventory write downs, impairments of film assets, impairments of long-lived assets (including the theater system equipment supporting the Company’s joint revenue sharing arrangements), impairments of goodwill, a further valuation allowance against deferred tax assets, and the reversal of variable consideration receivables that are based on estimates of future box office performance. In the current environment, assumptions about box office results, IMAX Theater System installations, and customer creditworthiness have greater variability than normal, which could in the future significantly impact management’s estimates and judgments relating to the recoverability of the Company’s financial and non-financial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and capacity restrictions have been lifted in almost all key markets and, beginning in the third quarter of 2020, movie theaters throughout the IMAX network gradually reopened. As of September 30, 2021, 93% of the theaters in the global IMAX commercial multiplex network were open at various capacities, spanning 70 countries. This included 100% of Domestic theaters (i.e., in the United States and Canada), 93% of the theaters in Greater China and 87% of the theaters in Rest of World markets.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0" w:name="page11"/>
    <w:bookmarkEnd w:id="10"/>
    <w:p>
      <w:pPr>
        <w:jc w:val="both"/>
        <w:ind w:firstLine="225"/>
        <w:spacing w:after="0" w:line="265"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for the Company during 2020 and, to a lesser extent, during the nine months ended September 30, 2021, when compared to periods prior to the onset of the pandemic, as gross box office (“GBO”) results from the Company’s theater customers declined, the installation of certain theater systems was delayed, and maintenance services were generally suspended for theaters that were closed. In response to uncertainties associated with the pandemic, the Company took significant steps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 In addition, as a result of the financial difficulties faced by certain of the Company’s exhibition customers arising out of pandemic-related closures, although improving,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62"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 xml:space="preserve">For the three and nine months ended September 30, 2021, GBO receipts generated by IMAX DMR films totaled $141.9 million and $360.7 million, respectively, surpassing the totals for the same periods in 2020 by $71.7 million (102%) and $192.6 million (115%), respectively. Moreover, GBO receipts for September 2021 approximated the levels achieved prior to the onset of the COVID-19 global pandemic. Management is encouraged by these box office results, the return of the prevalence of exclusive theatrical windows beginning with the release of </w:t>
      </w:r>
      <w:r>
        <w:rPr>
          <w:rFonts w:ascii="Arial" w:cs="Arial" w:eastAsia="Arial" w:hAnsi="Arial"/>
          <w:sz w:val="16"/>
          <w:szCs w:val="16"/>
          <w:i w:val="1"/>
          <w:iCs w:val="1"/>
          <w:color w:val="auto"/>
        </w:rPr>
        <w:t>Shang-Chi and the Legend of the Ten Rings</w:t>
      </w:r>
      <w:r>
        <w:rPr>
          <w:rFonts w:ascii="Arial" w:cs="Arial" w:eastAsia="Arial" w:hAnsi="Arial"/>
          <w:sz w:val="16"/>
          <w:szCs w:val="16"/>
          <w:color w:val="auto"/>
        </w:rPr>
        <w:t xml:space="preserve"> in September 2021, and the strong pipeline of Hollywood movies scheduled to be released for theatrical exhibition during the remainder of 2021 and in 2022. However, the impact of the COVID-19 global pandemic on the Company’s business and financial results will continue to depend on numerous evolving factors that cannot be accurately predicted and that will vary by jurisdiction and market, including the duration and scope of the pandemic, the emergence of variants of the virus, the progress made on administering vaccines, the continuing impact of the pandemic on global economic conditions and ongoing government responses to the pandemic, which could lead to further theater closures, theater capacity restrictions and/or delays in the release of films.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Standards</w:t>
      </w:r>
    </w:p>
    <w:p>
      <w:pPr>
        <w:spacing w:after="0" w:line="18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The amendments are effective for all entities from the beginning of an interim period that includes the issuance date of the ASU. An entity may elect to apply the amendments prospectively through December 31, 2022. The only contract held by the Company that references the London Interbank Offered Rate (LIBOR) is the Credit Agreement (as defined in Note 7), which utilizes USD LIBOR to determine the interest rate applicable to borrowings. The Credit Agreement matures on June 28, 2023, prior to the date that USD LIBOR rates will cease publication on June 30, 2023. Accordingly, the Company does not expect ASU 2020-04 to have a material effect on its Condensed Consolidated Financial Statements.</w:t>
      </w:r>
    </w:p>
    <w:p>
      <w:pPr>
        <w:spacing w:after="0" w:line="143"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July 2021, the FASB issued ASU No. 2021-05, “Leases (Topic 842): Lessors - Certain Leases with Variable Lease Payments” (“ASU 2021-05”), which requires sales-type or direct financing leases that have variable payments (that do not depend on a rate or an index) and result in a day-one loss to be classified as operating leases. When a lease is classified as operating, the lessor does not recognize a net investment in the lease, does not derecognize the underlying asset, and, therefore, does not recognize a selling profit or loss. The amendments are effective for annual periods beginning after December 15, 2021 including interim periods within those periods. Early adoption is permitted. The Company has not yet adopted ASU 2021-05, but has determined that the impact of adopting this guidance will not have a material impact on its Condensed Consolidated Financial Statements.</w:t>
      </w:r>
    </w:p>
    <w:p>
      <w:pPr>
        <w:spacing w:after="0" w:line="127" w:lineRule="exact"/>
        <w:rPr>
          <w:sz w:val="20"/>
          <w:szCs w:val="20"/>
          <w:color w:val="auto"/>
        </w:rPr>
      </w:pPr>
    </w:p>
    <w:p>
      <w:pPr>
        <w:jc w:val="both"/>
        <w:ind w:right="20" w:firstLine="225"/>
        <w:spacing w:after="0" w:line="334" w:lineRule="auto"/>
        <w:rPr>
          <w:sz w:val="20"/>
          <w:szCs w:val="20"/>
          <w:color w:val="auto"/>
        </w:rPr>
      </w:pPr>
      <w:r>
        <w:rPr>
          <w:rFonts w:ascii="Arial" w:cs="Arial" w:eastAsia="Arial" w:hAnsi="Arial"/>
          <w:sz w:val="16"/>
          <w:szCs w:val="16"/>
          <w:color w:val="auto"/>
        </w:rPr>
        <w:t>The Company considers the applicability and impact of all recently issued FASB ASUs. ASUs that are not noted above were assessed and determined to be not applicable or not significant to the Company’s Condensed Consolidated Financial Statements for the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Current Expected Credit Losses</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accounts receivable, financing receivables and variable consideration receivables are measured on the amortized cost basis and presented at the net amount expected to be collected.</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to the Company from movie studios and other content creators for digitally remastering films into IMAX formats, as well as for film distribution and post-production services.</w:t>
      </w:r>
    </w:p>
    <w:p>
      <w:pPr>
        <w:spacing w:after="0" w:line="1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284" w:lineRule="exact"/>
        <w:rPr>
          <w:sz w:val="20"/>
          <w:szCs w:val="20"/>
          <w:color w:val="auto"/>
        </w:rPr>
      </w:pPr>
    </w:p>
    <w:p>
      <w:pPr>
        <w:ind w:left="960" w:hanging="36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 Standing — The theater operator continues to be in good standing as payments and reporting are up to date.</w:t>
      </w:r>
    </w:p>
    <w:p>
      <w:pPr>
        <w:spacing w:after="0" w:line="180" w:lineRule="exact"/>
        <w:rPr>
          <w:rFonts w:ascii="Arial" w:cs="Arial" w:eastAsia="Arial" w:hAnsi="Arial"/>
          <w:sz w:val="18"/>
          <w:szCs w:val="18"/>
          <w:color w:val="auto"/>
        </w:rPr>
      </w:pPr>
    </w:p>
    <w:p>
      <w:pPr>
        <w:jc w:val="both"/>
        <w:ind w:left="960" w:hanging="365"/>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51" w:lineRule="exact"/>
        <w:rPr>
          <w:rFonts w:ascii="Arial" w:cs="Arial" w:eastAsia="Arial" w:hAnsi="Arial"/>
          <w:sz w:val="18"/>
          <w:szCs w:val="18"/>
          <w:color w:val="auto"/>
        </w:rPr>
      </w:pPr>
    </w:p>
    <w:p>
      <w:pPr>
        <w:jc w:val="both"/>
        <w:ind w:left="960" w:hanging="365"/>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36" w:lineRule="exact"/>
        <w:rPr>
          <w:rFonts w:ascii="Arial" w:cs="Arial" w:eastAsia="Arial" w:hAnsi="Arial"/>
          <w:sz w:val="17"/>
          <w:szCs w:val="17"/>
          <w:color w:val="auto"/>
        </w:rPr>
      </w:pPr>
    </w:p>
    <w:p>
      <w:pPr>
        <w:jc w:val="both"/>
        <w:ind w:left="960" w:hanging="365"/>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or other customers, may experience financial difficulties, such as those caused by the COVID-19 global pandemic, that could result in their being unable to fulfill their payment obligations to the Company.</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 The write-off of any billed receivable balance requires the approval of management.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12" w:name="page13"/>
    <w:bookmarkEnd w:id="12"/>
    <w:p>
      <w:pPr>
        <w:ind w:left="240"/>
        <w:spacing w:after="0"/>
        <w:rPr>
          <w:sz w:val="20"/>
          <w:szCs w:val="20"/>
          <w:color w:val="auto"/>
        </w:rPr>
      </w:pPr>
      <w:r>
        <w:rPr>
          <w:rFonts w:ascii="Arial" w:cs="Arial" w:eastAsia="Arial" w:hAnsi="Arial"/>
          <w:sz w:val="16"/>
          <w:szCs w:val="16"/>
          <w:color w:val="auto"/>
        </w:rPr>
        <w:t>The following tables summarize the activity in the Allowance for Credit Losses related to Accounts Receivable for the three and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1"/>
          </w:tcPr>
          <w:p>
            <w:pPr>
              <w:jc w:val="right"/>
              <w:ind w:right="8"/>
              <w:spacing w:after="0"/>
              <w:rPr>
                <w:sz w:val="20"/>
                <w:szCs w:val="20"/>
                <w:color w:val="auto"/>
              </w:rPr>
            </w:pPr>
            <w:r>
              <w:rPr>
                <w:rFonts w:ascii="Arial" w:cs="Arial" w:eastAsia="Arial" w:hAnsi="Arial"/>
                <w:sz w:val="14"/>
                <w:szCs w:val="14"/>
                <w:b w:val="1"/>
                <w:bCs w:val="1"/>
                <w:color w:val="auto"/>
              </w:rPr>
              <w:t>Three Months Ended September 30, 2021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Theater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Studios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4"/>
              </w:rPr>
              <w:t>Theater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Studios</w:t>
            </w:r>
          </w:p>
        </w:tc>
        <w:tc>
          <w:tcPr>
            <w:tcW w:w="1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Operators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Operators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Current period reversal, net</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right"/>
              <w:ind w:right="8"/>
              <w:spacing w:after="0"/>
              <w:rPr>
                <w:sz w:val="20"/>
                <w:szCs w:val="20"/>
                <w:color w:val="auto"/>
              </w:rPr>
            </w:pPr>
            <w:r>
              <w:rPr>
                <w:rFonts w:ascii="Arial" w:cs="Arial" w:eastAsia="Arial" w:hAnsi="Arial"/>
                <w:sz w:val="14"/>
                <w:szCs w:val="14"/>
                <w:b w:val="1"/>
                <w:bCs w:val="1"/>
                <w:color w:val="auto"/>
              </w:rPr>
              <w:t>Three Months Ended September 30, 2020</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Nine Months Ended September 30, 2020</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Theater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Studios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4"/>
              </w:rPr>
              <w:t>Theater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Studios</w:t>
            </w:r>
          </w:p>
        </w:tc>
        <w:tc>
          <w:tcPr>
            <w:tcW w:w="1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Operators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Operators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(reversal), net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and nine months ended September 30, 2021, the Company’s allowance for current expected credit losses related to Accounts Receivable decreased by $1.2 million and $3.2 million, respectively. These decreases are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global pandemic, as well as better than anticipated collection experience with respect to foreign studio receivable balances.</w:t>
      </w:r>
    </w:p>
    <w:p>
      <w:pPr>
        <w:spacing w:after="0" w:line="151"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and nine months ended September 30, 2020, the Company’s allowance for current expected credit losses related to Accounts Receivable increased by $1.5 million and $9.0 million, respectively, principally reflecting a reduction in the credit quality of and heightened collection risk associated with theater and foreign movie studio accounts receivable primarily due to the COVID-19 global pandemic.</w:t>
      </w:r>
    </w:p>
    <w:p>
      <w:pPr>
        <w:spacing w:after="0" w:line="14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September 30, 2021 allowance for current expected credit losses related to Accounts Receivable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38" w:lineRule="exact"/>
        <w:rPr>
          <w:sz w:val="20"/>
          <w:szCs w:val="20"/>
          <w:color w:val="auto"/>
        </w:rPr>
      </w:pPr>
    </w:p>
    <w:p>
      <w:pPr>
        <w:jc w:val="both"/>
        <w:ind w:right="20" w:firstLine="225"/>
        <w:spacing w:after="0" w:line="306" w:lineRule="auto"/>
        <w:rPr>
          <w:sz w:val="20"/>
          <w:szCs w:val="20"/>
          <w:color w:val="auto"/>
        </w:rPr>
      </w:pPr>
      <w:r>
        <w:rPr>
          <w:rFonts w:ascii="Arial" w:cs="Arial" w:eastAsia="Arial" w:hAnsi="Arial"/>
          <w:sz w:val="16"/>
          <w:szCs w:val="16"/>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such as those caused by the COVID-19 global pandemic, that could result in their being unable to fulfill their payment obligations to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2021 and December 31, 2020, financing receivables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r>
      <w:tr>
        <w:trPr>
          <w:trHeight w:val="22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Gross minimum payments due under sales-type leases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23,284</w:t>
            </w:r>
          </w:p>
        </w:tc>
        <w:tc>
          <w:tcPr>
            <w:tcW w:w="120" w:type="dxa"/>
            <w:vAlign w:val="bottom"/>
          </w:tcPr>
          <w:p>
            <w:pPr>
              <w:spacing w:after="0"/>
              <w:rPr>
                <w:sz w:val="19"/>
                <w:szCs w:val="19"/>
                <w:color w:val="auto"/>
              </w:rPr>
            </w:pP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(859)</w:t>
            </w: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Present value of minimum payments due under sales-type leases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(557)</w:t>
            </w:r>
          </w:p>
        </w:tc>
      </w:tr>
      <w:tr>
        <w:trPr>
          <w:trHeight w:val="22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investment in leases</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19,414</w:t>
            </w:r>
          </w:p>
        </w:tc>
        <w:tc>
          <w:tcPr>
            <w:tcW w:w="100" w:type="dxa"/>
            <w:vAlign w:val="bottom"/>
            <w:tcBorders>
              <w:bottom w:val="single" w:sz="8" w:color="CFF0FC"/>
            </w:tcBorders>
          </w:tcPr>
          <w:p>
            <w:pPr>
              <w:spacing w:after="0"/>
              <w:rPr>
                <w:sz w:val="19"/>
                <w:szCs w:val="19"/>
                <w:color w:val="auto"/>
              </w:rPr>
            </w:pPr>
          </w:p>
        </w:tc>
      </w:tr>
      <w:tr>
        <w:trPr>
          <w:trHeight w:val="221"/>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Gross minimum payments due under financed sales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150,917</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(32,199)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(31,247)</w:t>
            </w: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Present value of minimum payments due under financed sales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(5,565)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(7,274)</w:t>
            </w:r>
          </w:p>
        </w:tc>
      </w:tr>
      <w:tr>
        <w:trPr>
          <w:trHeight w:val="22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113,200</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100" w:type="dxa"/>
            <w:vAlign w:val="bottom"/>
            <w:tcBorders>
              <w:bottom w:val="single" w:sz="8" w:color="CFF0FC"/>
            </w:tcBorders>
          </w:tcPr>
          <w:p>
            <w:pPr>
              <w:spacing w:after="0"/>
              <w:rPr>
                <w:sz w:val="19"/>
                <w:szCs w:val="19"/>
                <w:color w:val="auto"/>
              </w:rPr>
            </w:pPr>
          </w:p>
        </w:tc>
      </w:tr>
      <w:tr>
        <w:trPr>
          <w:trHeight w:val="22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financing receivables</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135,202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760" w:type="dxa"/>
            <w:vAlign w:val="bottom"/>
          </w:tcPr>
          <w:p>
            <w:pPr>
              <w:spacing w:after="0"/>
              <w:rPr>
                <w:sz w:val="20"/>
                <w:szCs w:val="20"/>
                <w:color w:val="auto"/>
              </w:rPr>
            </w:pPr>
            <w:r>
              <w:rPr>
                <w:rFonts w:ascii="Arial" w:cs="Arial" w:eastAsia="Arial" w:hAnsi="Arial"/>
                <w:sz w:val="18"/>
                <w:szCs w:val="18"/>
                <w:color w:val="auto"/>
              </w:rPr>
              <w:t>Net financed sales receivables due within one year</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32,154</w:t>
            </w:r>
          </w:p>
        </w:tc>
        <w:tc>
          <w:tcPr>
            <w:tcW w:w="120" w:type="dxa"/>
            <w:vAlign w:val="bottom"/>
          </w:tcPr>
          <w:p>
            <w:pPr>
              <w:spacing w:after="0"/>
              <w:rPr>
                <w:sz w:val="24"/>
                <w:szCs w:val="24"/>
                <w:color w:val="auto"/>
              </w:rPr>
            </w:pP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34,937</w:t>
            </w:r>
          </w:p>
        </w:tc>
        <w:tc>
          <w:tcPr>
            <w:tcW w:w="100" w:type="dxa"/>
            <w:vAlign w:val="bottom"/>
          </w:tcPr>
          <w:p>
            <w:pPr>
              <w:spacing w:after="0"/>
              <w:rPr>
                <w:sz w:val="24"/>
                <w:szCs w:val="24"/>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financed sales receivables due after one year</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81,046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77,459</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Total financed sales receivables</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113,200</w:t>
            </w: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2021 and December 31, 2020, the weighted-average remaining lease term and weighted-average interest rate associated with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500" w:type="dxa"/>
            <w:vAlign w:val="bottom"/>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r>
      <w:tr>
        <w:trPr>
          <w:trHeight w:val="198"/>
        </w:trPr>
        <w:tc>
          <w:tcPr>
            <w:tcW w:w="768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r>
      <w:tr>
        <w:trPr>
          <w:trHeight w:val="22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768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r>
      <w:tr>
        <w:trPr>
          <w:trHeight w:val="228"/>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interest rate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768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Financed sales receivables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jc w:val="both"/>
        <w:ind w:firstLine="225"/>
        <w:spacing w:after="0" w:line="259" w:lineRule="auto"/>
        <w:rPr>
          <w:sz w:val="20"/>
          <w:szCs w:val="20"/>
          <w:color w:val="auto"/>
        </w:rPr>
      </w:pPr>
      <w:r>
        <w:rPr>
          <w:rFonts w:ascii="Arial" w:cs="Arial" w:eastAsia="Arial" w:hAnsi="Arial"/>
          <w:sz w:val="18"/>
          <w:szCs w:val="18"/>
          <w:color w:val="auto"/>
        </w:rPr>
        <w:t>The tables below provide information on the Company’s net investment in leases by credit quality indicator as of September 30, 2021 and December 31, 2020. The amounts disclosed for each credit quality classification are determined on a customer-by-customer basis and include both billed and unbilled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2021</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In good standing</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1,190</w:t>
            </w: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Credit Watch</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Pre-approved transactions</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Transactions suspended</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FF0FC"/>
          </w:tcPr>
          <w:p>
            <w:pPr>
              <w:spacing w:after="0"/>
              <w:rPr>
                <w:sz w:val="19"/>
                <w:szCs w:val="19"/>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tables below provide information on the Company’s financed sale receivables by credit quality indicator as of September 30, 2021 and December 31, 2020. The amounts disclosed for each credit quality classification are determined on a customer-by-customer basis and include both billed and unbilled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2021</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65,384</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78,160</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5" w:name="page16"/>
    <w:bookmarkEnd w:id="15"/>
    <w:p>
      <w:pPr>
        <w:ind w:left="240"/>
        <w:spacing w:after="0"/>
        <w:rPr>
          <w:sz w:val="20"/>
          <w:szCs w:val="20"/>
          <w:color w:val="auto"/>
        </w:rPr>
      </w:pPr>
      <w:r>
        <w:rPr>
          <w:rFonts w:ascii="Arial" w:cs="Arial" w:eastAsia="Arial" w:hAnsi="Arial"/>
          <w:sz w:val="16"/>
          <w:szCs w:val="16"/>
          <w:color w:val="auto"/>
        </w:rPr>
        <w:t>The following tables provide an aging analysis for the Company’s net investment in leases and financed sale receivables as of September 30, 2021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1"/>
              </w:rPr>
              <w:t>As of September 30,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22,496</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(5,565)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(6,059</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135,202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3"/>
              </w:rPr>
              <w:t>As of 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(7,274)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131,810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considers Financing Receivables with an aging between 60-89 days as indications of theaters with potential collection concerns. At this point,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potential impacts of the COVID-19 global pandemic on the Company’s customers, management has enhanced its monitoring procedures with respect to overdue receivables.</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following table provides information about the Company’s net investment in leases and financed sale receivables with billed amounts past due for which it continues to accrue finance income as of September 30, 2021 and December 31, 2020. The amounts disclosed for each credit quality classification are determined on a customer-by-customer basis and include both billed and unbilled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2021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30-89 Days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Billed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8,286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(2,870)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30-89 Days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Billed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gridSpan w:val="2"/>
          </w:tcPr>
          <w:p>
            <w:pPr>
              <w:jc w:val="right"/>
              <w:ind w:right="11"/>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6" w:name="page17"/>
    <w:bookmarkEnd w:id="16"/>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ind w:left="458"/>
              <w:spacing w:after="0"/>
              <w:rPr>
                <w:sz w:val="20"/>
                <w:szCs w:val="20"/>
                <w:color w:val="auto"/>
              </w:rPr>
            </w:pPr>
            <w:r>
              <w:rPr>
                <w:rFonts w:ascii="Arial" w:cs="Arial" w:eastAsia="Arial" w:hAnsi="Arial"/>
                <w:sz w:val="14"/>
                <w:szCs w:val="14"/>
                <w:b w:val="1"/>
                <w:bCs w:val="1"/>
                <w:color w:val="auto"/>
                <w:w w:val="89"/>
              </w:rPr>
              <w:t>As of September 30, 2021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w w:val="90"/>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9"/>
              </w:rPr>
              <w:t>Allowance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20"/>
              <w:spacing w:after="0" w:line="131" w:lineRule="exact"/>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8"/>
              </w:rPr>
              <w:t>for Credit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tcPr>
          <w:p>
            <w:pPr>
              <w:spacing w:after="0"/>
              <w:rPr>
                <w:sz w:val="20"/>
                <w:szCs w:val="20"/>
                <w:color w:val="auto"/>
              </w:rPr>
            </w:pPr>
            <w:r>
              <w:rPr>
                <w:rFonts w:ascii="Arial" w:cs="Arial" w:eastAsia="Arial" w:hAnsi="Arial"/>
                <w:sz w:val="18"/>
                <w:szCs w:val="18"/>
                <w:color w:val="auto"/>
              </w:rPr>
              <w:t>Net financed sales receivables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 theater operator that is classified within the “All Transactions Suspended” category is placed on nonaccrual status and all revenue recognitions related to the theater are stopped. In certain cases, a theater operator classified within the “Pre-Approved Transactions” category may also be placed on nonaccrual status.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and nine months ended September 30, 2021, the Company recognized less than $0.1 million and $0.1 million, respectively, (2020 — $nil and $0.1 million, respectively) in Finance Income related to the net investment in leases with billed amounts past due. For the three and nine months ended September 30, 2021, the Company recognized $1.3 million and $3.6 million, respectively, (2020 — $1.4 million and $4.2 million, respectively) in Finance Income related to the financed sale receivables with billed amounts past due.</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tables summarize the activity in the allowance for credit losses related to the Company’s net investment in leases and financed sale receivables for the three and nine months ended September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 September 30, 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 2021</w:t>
            </w:r>
          </w:p>
        </w:tc>
        <w:tc>
          <w:tcPr>
            <w:tcW w:w="100" w:type="dxa"/>
            <w:vAlign w:val="bottom"/>
          </w:tcPr>
          <w:p>
            <w:pPr>
              <w:spacing w:after="0"/>
              <w:rPr>
                <w:sz w:val="14"/>
                <w:szCs w:val="1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Financed</w:t>
            </w:r>
          </w:p>
        </w:tc>
      </w:tr>
      <w:tr>
        <w:trPr>
          <w:trHeight w:val="212"/>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Current period reversal, net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(1,741)</w:t>
            </w: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0"/>
        </w:trPr>
        <w:tc>
          <w:tcPr>
            <w:tcW w:w="47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5"/>
              </w:rPr>
              <w:t>Three Months Ended September 30, 2020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 2020</w:t>
            </w:r>
          </w:p>
        </w:tc>
        <w:tc>
          <w:tcPr>
            <w:tcW w:w="100" w:type="dxa"/>
            <w:vAlign w:val="bottom"/>
          </w:tcPr>
          <w:p>
            <w:pPr>
              <w:spacing w:after="0"/>
              <w:rPr>
                <w:sz w:val="24"/>
                <w:szCs w:val="2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Net 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Financed</w:t>
            </w:r>
          </w:p>
        </w:tc>
      </w:tr>
      <w:tr>
        <w:trPr>
          <w:trHeight w:val="212"/>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w:t>
            </w:r>
          </w:p>
        </w:tc>
      </w:tr>
      <w:tr>
        <w:trPr>
          <w:trHeight w:val="227"/>
        </w:trPr>
        <w:tc>
          <w:tcPr>
            <w:tcW w:w="47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r>
      <w:tr>
        <w:trPr>
          <w:trHeight w:val="22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For the three and nine months ended September 30, 2021, the Company’s allowance for current expected credit losses related to its net investment in leases and financed sale receivables decreased by $1.6 million and $1.8 million, respectively. These decreases are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global pandemic.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7" w:name="page18"/>
    <w:bookmarkEnd w:id="17"/>
    <w:p>
      <w:pPr>
        <w:jc w:val="both"/>
        <w:ind w:firstLine="225"/>
        <w:spacing w:after="0" w:line="259" w:lineRule="auto"/>
        <w:rPr>
          <w:sz w:val="20"/>
          <w:szCs w:val="20"/>
          <w:color w:val="auto"/>
        </w:rPr>
      </w:pPr>
      <w:r>
        <w:rPr>
          <w:rFonts w:ascii="Arial" w:cs="Arial" w:eastAsia="Arial" w:hAnsi="Arial"/>
          <w:sz w:val="18"/>
          <w:szCs w:val="18"/>
          <w:color w:val="auto"/>
        </w:rPr>
        <w:t>For the three and nine months ended September 30, 2020, the Company’s allowance for current expected credit losses related to its investment in leases and financed sale receivables increased by $1.0 million and $4.1 million, respectively, principally reflecting a reduction in the credit quality of and heightened collection risk associated with these receivables primarily due to the COVID-19 global pandemic.</w:t>
      </w:r>
    </w:p>
    <w:p>
      <w:pPr>
        <w:spacing w:after="0" w:line="158"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September 30, 2021 allowance for current expected credit losses related to Financing Receivables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6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such as those caused by the COVID-19 global pandemic, that could result in their being unable to fulfill their payment obligations to the Company.</w:t>
      </w:r>
    </w:p>
    <w:p>
      <w:pPr>
        <w:spacing w:after="0" w:line="11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utilizing historical loss rates for financed sale receivables which are then adjusted for specific receivables that are judged to have a higher-than-normal risk profile after taking into account management’s internal credit quality classifications, as well as macro-economic and industry risk factors.</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Variable Consideration Receivables for the three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220"/>
        </w:trPr>
        <w:tc>
          <w:tcPr>
            <w:tcW w:w="5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9"/>
                <w:szCs w:val="19"/>
                <w:color w:val="auto"/>
              </w:rPr>
            </w:pPr>
          </w:p>
        </w:tc>
      </w:tr>
      <w:tr>
        <w:trPr>
          <w:trHeight w:val="131"/>
        </w:trPr>
        <w:tc>
          <w:tcPr>
            <w:tcW w:w="5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0"/>
              <w:spacing w:after="0" w:line="131"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79"/>
              <w:spacing w:after="0" w:line="131"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20"/>
              <w:spacing w:after="0" w:line="131"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r>
      <w:tr>
        <w:trPr>
          <w:trHeight w:val="170"/>
        </w:trPr>
        <w:tc>
          <w:tcPr>
            <w:tcW w:w="558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Operators</w:t>
            </w:r>
          </w:p>
        </w:tc>
        <w:tc>
          <w:tcPr>
            <w:tcW w:w="16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Operators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Operators</w:t>
            </w: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Operators</w:t>
            </w:r>
          </w:p>
        </w:tc>
      </w:tr>
      <w:tr>
        <w:trPr>
          <w:trHeight w:val="22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58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20"/>
        </w:trPr>
        <w:tc>
          <w:tcPr>
            <w:tcW w:w="558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and nine months ended September 30, 2021, the Company’s allowance for current expected credit losses related to Variable Consideration Receivables decreased by $0.9 million and $0.8 million, respectively. These decreases are principally due to the reversal of previously recorded credit loss expense as a result of an improving outlook for theater operators following the reopening of theaters and the resumption of normal film release schedules as the theatrical exhibition industry begins to recover from the COVID-19 global pandemic.</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and nine months ended September 30, 2020, the Company’s allowance for current expected credit losses related to Variable Consideration Receivables increased by $0.8 million and $1.7 million, respectively, principally reflecting a reduction in the credit quality of and heightened collection risk associated with Variable Consideration Receivables primarily due to the COVID-19 global pandemic.</w:t>
      </w:r>
    </w:p>
    <w:p>
      <w:pPr>
        <w:spacing w:after="0" w:line="158"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September 30, 2021 allowance for current expected credit losses related to Variable Consideration Receivables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5. Lease Arrangements</w:t>
      </w:r>
    </w:p>
    <w:p>
      <w:pPr>
        <w:spacing w:after="0" w:line="33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IMAX Corporation as a Lessee</w:t>
      </w:r>
    </w:p>
    <w:p>
      <w:pPr>
        <w:spacing w:after="0" w:line="180"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liability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3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the three and nine months ended September 30, 2021 and 2020, the components of lease expense recorded within Selling, General and Administrative expenses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207"/>
        </w:trPr>
        <w:tc>
          <w:tcPr>
            <w:tcW w:w="54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r>
      <w:tr>
        <w:trPr>
          <w:trHeight w:val="227"/>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of lease assets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r>
      <w:tr>
        <w:trPr>
          <w:trHeight w:val="228"/>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9"/>
                <w:szCs w:val="19"/>
                <w:color w:val="auto"/>
              </w:rPr>
            </w:pPr>
          </w:p>
        </w:tc>
      </w:tr>
      <w:tr>
        <w:trPr>
          <w:trHeight w:val="220"/>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59" w:lineRule="exact"/>
        <w:rPr>
          <w:sz w:val="20"/>
          <w:szCs w:val="20"/>
          <w:color w:val="auto"/>
        </w:rPr>
      </w:pPr>
    </w:p>
    <w:p>
      <w:pPr>
        <w:ind w:left="240" w:right="600" w:hanging="233"/>
        <w:spacing w:after="0" w:line="560" w:lineRule="auto"/>
        <w:tabs>
          <w:tab w:leader="none" w:pos="38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not significant for the three and nine months ended September 30, 2021 and 2020. For the nine months ended September 30, 2021 and 2020, supplemental cash and non-cash information related to leases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760" w:type="dxa"/>
            <w:vAlign w:val="bottom"/>
            <w:tcBorders>
              <w:bottom w:val="single" w:sz="8" w:color="CFF0FC"/>
            </w:tcBorders>
            <w:vMerge w:val="continue"/>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1"/>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9"/>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9440" w:type="dxa"/>
            <w:vAlign w:val="bottom"/>
            <w:gridSpan w:val="8"/>
          </w:tcPr>
          <w:p>
            <w:pPr>
              <w:ind w:left="240"/>
              <w:spacing w:after="0"/>
              <w:rPr>
                <w:sz w:val="20"/>
                <w:szCs w:val="20"/>
                <w:color w:val="auto"/>
              </w:rPr>
            </w:pPr>
            <w:r>
              <w:rPr>
                <w:rFonts w:ascii="Arial" w:cs="Arial" w:eastAsia="Arial" w:hAnsi="Arial"/>
                <w:sz w:val="18"/>
                <w:szCs w:val="18"/>
                <w:color w:val="auto"/>
                <w:w w:val="93"/>
              </w:rPr>
              <w:t>As of September 30, 2021 and December 31, 2020, supplemental balance sheet information related to leases is as follows: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2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9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96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20"/>
                <w:szCs w:val="20"/>
                <w:color w:val="auto"/>
              </w:rPr>
            </w:pPr>
            <w:r>
              <w:rPr>
                <w:rFonts w:ascii="Arial" w:cs="Arial" w:eastAsia="Arial" w:hAnsi="Arial"/>
                <w:sz w:val="18"/>
                <w:szCs w:val="18"/>
                <w:color w:val="auto"/>
              </w:rPr>
              <w:t>Right-of-Use Assets</w:t>
            </w:r>
          </w:p>
        </w:tc>
        <w:tc>
          <w:tcPr>
            <w:tcW w:w="3960" w:type="dxa"/>
            <w:vAlign w:val="bottom"/>
          </w:tcPr>
          <w:p>
            <w:pPr>
              <w:ind w:left="1040"/>
              <w:spacing w:after="0"/>
              <w:rPr>
                <w:sz w:val="20"/>
                <w:szCs w:val="20"/>
                <w:color w:val="auto"/>
              </w:rPr>
            </w:pPr>
            <w:r>
              <w:rPr>
                <w:rFonts w:ascii="Arial" w:cs="Arial" w:eastAsia="Arial" w:hAnsi="Arial"/>
                <w:sz w:val="18"/>
                <w:szCs w:val="18"/>
                <w:color w:val="auto"/>
              </w:rPr>
              <w:t>Property, plant and equipment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12,833</w:t>
            </w:r>
          </w:p>
        </w:tc>
        <w:tc>
          <w:tcPr>
            <w:tcW w:w="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96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20"/>
                <w:szCs w:val="20"/>
                <w:color w:val="auto"/>
              </w:rPr>
            </w:pPr>
            <w:r>
              <w:rPr>
                <w:rFonts w:ascii="Arial" w:cs="Arial" w:eastAsia="Arial" w:hAnsi="Arial"/>
                <w:sz w:val="18"/>
                <w:szCs w:val="18"/>
                <w:color w:val="auto"/>
              </w:rPr>
              <w:t>Operating Leases</w:t>
            </w:r>
          </w:p>
        </w:tc>
        <w:tc>
          <w:tcPr>
            <w:tcW w:w="3960" w:type="dxa"/>
            <w:vAlign w:val="bottom"/>
          </w:tcPr>
          <w:p>
            <w:pPr>
              <w:ind w:left="1040"/>
              <w:spacing w:after="0"/>
              <w:rPr>
                <w:sz w:val="20"/>
                <w:szCs w:val="20"/>
                <w:color w:val="auto"/>
              </w:rPr>
            </w:pPr>
            <w:r>
              <w:rPr>
                <w:rFonts w:ascii="Arial" w:cs="Arial" w:eastAsia="Arial" w:hAnsi="Arial"/>
                <w:sz w:val="18"/>
                <w:szCs w:val="18"/>
                <w:color w:val="auto"/>
              </w:rPr>
              <w:t>Accrued and other liabilities</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ind w:left="240"/>
        <w:spacing w:after="0"/>
        <w:rPr>
          <w:sz w:val="20"/>
          <w:szCs w:val="20"/>
          <w:color w:val="auto"/>
        </w:rPr>
      </w:pPr>
      <w:r>
        <w:rPr>
          <w:rFonts w:ascii="Arial" w:cs="Arial" w:eastAsia="Arial" w:hAnsi="Arial"/>
          <w:sz w:val="16"/>
          <w:szCs w:val="16"/>
          <w:color w:val="auto"/>
        </w:rPr>
        <w:t>As of September 30, 2021 and December 31, 2020, the weighted-average remaining lease term and weighted-average interest rate associated with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8820" w:type="dxa"/>
            <w:vAlign w:val="bottom"/>
            <w:gridSpan w:val="2"/>
          </w:tcPr>
          <w:p>
            <w:pPr>
              <w:ind w:left="824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r>
      <w:tr>
        <w:trPr>
          <w:trHeight w:val="22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1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r>
      <w:tr>
        <w:trPr>
          <w:trHeight w:val="227"/>
        </w:trPr>
        <w:tc>
          <w:tcPr>
            <w:tcW w:w="88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5.96  %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5.91  %</w:t>
            </w:r>
          </w:p>
        </w:tc>
      </w:tr>
      <w:tr>
        <w:trPr>
          <w:trHeight w:val="426"/>
        </w:trPr>
        <w:tc>
          <w:tcPr>
            <w:tcW w:w="8820" w:type="dxa"/>
            <w:vAlign w:val="bottom"/>
            <w:gridSpan w:val="2"/>
          </w:tcPr>
          <w:p>
            <w:pPr>
              <w:ind w:left="240"/>
              <w:spacing w:after="0"/>
              <w:rPr>
                <w:sz w:val="20"/>
                <w:szCs w:val="20"/>
                <w:color w:val="auto"/>
              </w:rPr>
            </w:pPr>
            <w:r>
              <w:rPr>
                <w:rFonts w:ascii="Arial" w:cs="Arial" w:eastAsia="Arial" w:hAnsi="Arial"/>
                <w:sz w:val="18"/>
                <w:szCs w:val="18"/>
                <w:color w:val="auto"/>
              </w:rPr>
              <w:t>As of September 30, 2021, the maturities of the Company’s operating lease liabilities are as follows: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9"/>
        </w:trPr>
        <w:tc>
          <w:tcPr>
            <w:tcW w:w="88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8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(three months remaining)</w:t>
            </w: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924</w:t>
            </w: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2022</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3,360</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2,454</w:t>
            </w: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2,230</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2,078</w:t>
            </w:r>
          </w:p>
        </w:tc>
      </w:tr>
      <w:tr>
        <w:trPr>
          <w:trHeight w:val="227"/>
        </w:trPr>
        <w:tc>
          <w:tcPr>
            <w:tcW w:w="8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8,026</w:t>
            </w:r>
          </w:p>
        </w:tc>
      </w:tr>
      <w:tr>
        <w:trPr>
          <w:trHeight w:val="221"/>
        </w:trPr>
        <w:tc>
          <w:tcPr>
            <w:tcW w:w="8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19,072</w:t>
            </w:r>
          </w:p>
        </w:tc>
      </w:tr>
      <w:tr>
        <w:trPr>
          <w:trHeight w:val="227"/>
        </w:trPr>
        <w:tc>
          <w:tcPr>
            <w:tcW w:w="8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interest expense</w:t>
            </w:r>
          </w:p>
        </w:tc>
        <w:tc>
          <w:tcPr>
            <w:tcW w:w="4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(3,684)</w:t>
            </w:r>
          </w:p>
        </w:tc>
      </w:tr>
      <w:tr>
        <w:trPr>
          <w:trHeight w:val="220"/>
        </w:trPr>
        <w:tc>
          <w:tcPr>
            <w:tcW w:w="8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15,388</w:t>
            </w:r>
          </w:p>
        </w:tc>
      </w:tr>
      <w:tr>
        <w:trPr>
          <w:trHeight w:val="20"/>
        </w:trPr>
        <w:tc>
          <w:tcPr>
            <w:tcW w:w="7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IMAX Corporation as a Lessor</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3(n) in the Company’s 2020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55"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4 for information related to the net investment in leases related to the Company’s sales-type lease arrangements.)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220" w:hanging="213"/>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84"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2021 and December 31, 2020, Inventories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27,172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30,096</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9"/>
                <w:szCs w:val="19"/>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1,964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3,014</w:t>
            </w: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9,109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6,470</w:t>
            </w:r>
          </w:p>
        </w:tc>
      </w:tr>
      <w:tr>
        <w:trPr>
          <w:trHeight w:val="220"/>
        </w:trPr>
        <w:tc>
          <w:tcPr>
            <w:tcW w:w="77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38,245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39,580</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At September 30, 2021, Inventories include finished goods of $2.2 million (December 31, 2020 — $2.1 million) for which title had passed to the customer, but the criteria for revenue recognition were not met as of the balance sheet date.</w:t>
      </w:r>
    </w:p>
    <w:p>
      <w:pPr>
        <w:spacing w:after="0" w:line="149"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During the three and nine months ended September 30, 2021, the Company recognized write-downs of $0.3 million and $0.5 million, respectively, (2020 — $0.6 million and $0.7 million, respectively) for excess and damaged inventory.</w:t>
      </w:r>
    </w:p>
    <w:p>
      <w:pPr>
        <w:spacing w:after="0" w:line="131" w:lineRule="exact"/>
        <w:rPr>
          <w:sz w:val="20"/>
          <w:szCs w:val="20"/>
          <w:color w:val="auto"/>
        </w:rPr>
      </w:pPr>
    </w:p>
    <w:p>
      <w:pPr>
        <w:ind w:left="220" w:hanging="213"/>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Revolving Credit Facility Borrowings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2021 and December 31, 2020, Revolving Credit Facility Borrowings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borrowings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9"/>
                <w:szCs w:val="19"/>
                <w:color w:val="auto"/>
              </w:rPr>
            </w:pPr>
          </w:p>
        </w:tc>
      </w:tr>
      <w:tr>
        <w:trPr>
          <w:trHeight w:val="227"/>
        </w:trPr>
        <w:tc>
          <w:tcPr>
            <w:tcW w:w="7740" w:type="dxa"/>
            <w:vAlign w:val="bottom"/>
          </w:tcPr>
          <w:p>
            <w:pPr>
              <w:spacing w:after="0"/>
              <w:rPr>
                <w:sz w:val="20"/>
                <w:szCs w:val="20"/>
                <w:color w:val="auto"/>
              </w:rPr>
            </w:pPr>
            <w:r>
              <w:rPr>
                <w:rFonts w:ascii="Arial" w:cs="Arial" w:eastAsia="Arial" w:hAnsi="Arial"/>
                <w:sz w:val="18"/>
                <w:szCs w:val="18"/>
                <w:color w:val="auto"/>
              </w:rPr>
              <w:t>Working Capital Facility borrowings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r>
      <w:tr>
        <w:trPr>
          <w:trHeight w:val="22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(1,488)</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(1,967)</w:t>
            </w:r>
          </w:p>
        </w:tc>
      </w:tr>
      <w:tr>
        <w:trPr>
          <w:trHeight w:val="220"/>
        </w:trPr>
        <w:tc>
          <w:tcPr>
            <w:tcW w:w="7740" w:type="dxa"/>
            <w:vAlign w:val="bottom"/>
          </w:tcPr>
          <w:p>
            <w:pPr>
              <w:ind w:left="140"/>
              <w:spacing w:after="0"/>
              <w:rPr>
                <w:sz w:val="20"/>
                <w:szCs w:val="20"/>
                <w:color w:val="auto"/>
              </w:rPr>
            </w:pPr>
            <w:r>
              <w:rPr>
                <w:rFonts w:ascii="Arial" w:cs="Arial" w:eastAsia="Arial" w:hAnsi="Arial"/>
                <w:sz w:val="18"/>
                <w:szCs w:val="18"/>
                <w:color w:val="auto"/>
              </w:rPr>
              <w:t>Revolving Credit Facility Borrowings, net</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305,676</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Agreement</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which remained outstanding as of December 31, 2020. During the first half of 2021, the Company completely repaid the $300.0 million of Credit Facility borrowings, using cash on hand following the issuance of the Convertible Notes (as discussed below). Accordingly, as of September 30, 2021, there were no outstanding borrowings under the Credit Facility. As of September 30, 2021 and December 31, 2020, the Company did not have any letters of credit or advance payment guarantees outstanding under the Credit Facility.</w:t>
      </w:r>
    </w:p>
    <w:p>
      <w:pPr>
        <w:spacing w:after="0" w:line="137"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ind w:firstLine="225"/>
        <w:spacing w:after="0" w:line="280" w:lineRule="auto"/>
        <w:rPr>
          <w:sz w:val="20"/>
          <w:szCs w:val="20"/>
          <w:color w:val="auto"/>
        </w:rPr>
      </w:pPr>
      <w:r>
        <w:rPr>
          <w:rFonts w:ascii="Arial" w:cs="Arial" w:eastAsia="Arial" w:hAnsi="Arial"/>
          <w:sz w:val="16"/>
          <w:szCs w:val="16"/>
          <w:color w:val="auto"/>
        </w:rPr>
        <w:t>On March 15, 2021, the Company entered into the Second Amendment to the Credit Agreement (as previously amended by the First Amendment to the Credit Agreement, dated as of June 10, 2020) (collectively, the “First and Secondment Amendments”). On July 28, 2021, the Company entered into the Third Amendment to the Credit Agreement (as previously amended by the First and Second Amendments)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w:t>
      </w:r>
    </w:p>
    <w:p>
      <w:pPr>
        <w:spacing w:after="0" w:line="6" w:lineRule="exact"/>
        <w:rPr>
          <w:sz w:val="20"/>
          <w:szCs w:val="20"/>
          <w:color w:val="auto"/>
        </w:rPr>
      </w:pPr>
    </w:p>
    <w:p>
      <w:pPr>
        <w:jc w:val="both"/>
        <w:ind w:firstLine="7"/>
        <w:spacing w:after="0" w:line="248"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the issuance of the Convertible Notes (as discussed below) and related transactions, including the capped call transactions, or other unsecured debt, in an amount not to exceed $290.0 million, (vi) allow $30.0 million in permitted repurchases of the Company’s common shares, subject to a $300.0 million pro forma minimum liquidity covenant and (vii) increase permitted repurchases of the common shares of IMAX China Holding, Inc. from $5.0 million to $20.0 million, subject to pro forma compliance with the existing financial covenants set forth in the Credit Agreement. The modifications to the negative covenants, the minimum liquidity covenant, permitted share repurchases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September 30, 2021, the Company was in compliance with all of its requirements under the Credit Agreement, as amended.</w:t>
      </w:r>
    </w:p>
    <w:p>
      <w:pPr>
        <w:spacing w:after="0" w:line="17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nine months ended September 30, 2021 was nil and 2.64%, respectively (2020 — 2.70% and 2.24%, respectively).</w:t>
      </w:r>
    </w:p>
    <w:p>
      <w:pPr>
        <w:spacing w:after="0" w:line="137"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under the Credit Facility following the end of the Designated Period, the standby fee will be 0.50% per annum.</w:t>
      </w:r>
    </w:p>
    <w:p>
      <w:pPr>
        <w:spacing w:after="0" w:line="11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$1.6 million in connection with the Amendments, which are being amortized on a straight-line basis to Interest Expense over the relevant amendment periods.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Facility</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July 1, 2021, IMAX (Shanghai) Multimedia Technology Co., Ltd. (“IMAX Shanghai”), one of the Company’s majority-owned subsidiaries in China, renewed its unsecured revolving facility for up to 200.0 million Chinese Renminbi (“RMB”) (approximately $30.8 million) to fund ongoing working capital requirements (the “Working Capital Facility”). The Working Capital Facility expires in July 2022.</w:t>
      </w:r>
    </w:p>
    <w:p>
      <w:pPr>
        <w:spacing w:after="0" w:line="145"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As of September 30, 2021, outstanding Working Capital Facility borrowings were RMB 71.2 million ($11.0 million) and outstanding letters of guarantee were RMB 0.3 million (less than $0.1 million). As of December 31, 2020, outstanding Working Capital Facility borrowings were RMB 49.9 million ($7.6 million) and no letters of guarantee were issued. As of September 30, 2021, the amount available for future borrowings under the Working Capital Facility was RMB 118.8 million ($18.3 million) and the amount available for letters of guarantee was RMB 9.7 million ($1.5 million). The amount available for future borrowings under the Working Capital Facility is not subject to a standby fee. The effective interest rate for borrowings under the Working Capital Facility for the three and nine months ended September 30, 2021 was 4.29% and 4.32%, respectively (2020 ― 4.35%, respectively).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Wells Fargo Foreign Exchange Facility</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Within the Credit Facility, the Company is able to enter into foreign currency forward contracts and/or other swap arrangements. As of September 30, 2021, the net unrealized loss on the Company’s outstanding foreign currency forward contracts was $(0.3) million, representing the amount by which the notional value of these forward contracts exceeded their fair value (December 31, 2020 — $2.0 million). As of September 30, 2021, the notional value of the Company’s outstanding foreign currency forward contracts was $25.8 million (December 31, 2020 — $31.9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i w:val="1"/>
          <w:iCs w:val="1"/>
          <w:color w:val="auto"/>
        </w:rPr>
        <w:t>NBC Facility</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NBC Facility is renewed on an annual basis. It was renewed on October 15, 2021 for a one-year term on the same terms and conditions. The Company did not have any letters of credit or advance payment guarantees outstanding as of September 30, 2021 and December 31, 2020 under the NBC Facility.</w:t>
      </w:r>
    </w:p>
    <w:p>
      <w:pPr>
        <w:spacing w:after="0" w:line="13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Convertible Notes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2021 and December 31, 2020, Convertible Notes (as defined below)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r>
      <w:tr>
        <w:trPr>
          <w:trHeight w:val="212"/>
        </w:trPr>
        <w:tc>
          <w:tcPr>
            <w:tcW w:w="55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7"/>
        </w:trPr>
        <w:tc>
          <w:tcPr>
            <w:tcW w:w="5540" w:type="dxa"/>
            <w:vAlign w:val="bottom"/>
          </w:tcPr>
          <w:p>
            <w:pPr>
              <w:spacing w:after="0"/>
              <w:rPr>
                <w:sz w:val="20"/>
                <w:szCs w:val="20"/>
                <w:color w:val="auto"/>
              </w:rPr>
            </w:pPr>
            <w:r>
              <w:rPr>
                <w:rFonts w:ascii="Arial" w:cs="Arial" w:eastAsia="Arial" w:hAnsi="Arial"/>
                <w:sz w:val="18"/>
                <w:szCs w:val="18"/>
                <w:color w:val="auto"/>
              </w:rPr>
              <w:t>Unamortized discounts and debt issuance costs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(6,735)</w:t>
            </w:r>
          </w:p>
        </w:tc>
        <w:tc>
          <w:tcPr>
            <w:tcW w:w="2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r>
      <w:tr>
        <w:trPr>
          <w:trHeight w:val="220"/>
        </w:trPr>
        <w:tc>
          <w:tcPr>
            <w:tcW w:w="5540" w:type="dxa"/>
            <w:vAlign w:val="bottom"/>
            <w:tcBorders>
              <w:top w:val="single" w:sz="8" w:color="CFF0FC"/>
              <w:bottom w:val="single" w:sz="8" w:color="CFF0FC"/>
            </w:tcBorders>
            <w:shd w:val="clear" w:color="auto" w:fill="CFF0FC"/>
          </w:tcPr>
          <w:p>
            <w:pPr>
              <w:spacing w:after="0"/>
              <w:rPr>
                <w:sz w:val="19"/>
                <w:szCs w:val="19"/>
                <w:color w:val="auto"/>
              </w:rPr>
            </w:pP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223,265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outstanding Credit Facility borrowings (as discussed above), and is using the remainder for working capital or other general corporate purposes.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thereof, payable semi-annually in arrears on April 1 and October 1 of each year, beginning on October 1, 2021. The Convertible Notes will mature on April 1, 2026, unless they are redeemed or repurchased by the Company or converted on an earlier date.</w:t>
      </w:r>
    </w:p>
    <w:p>
      <w:pPr>
        <w:spacing w:after="0" w:line="145"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2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6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jc w:val="both"/>
        <w:ind w:firstLine="225"/>
        <w:spacing w:after="0" w:line="266"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5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40"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The Capped Call Transactions are separate transactions, and are not part of the terms of the Convertible Notes and will not affect any holder’s rights under the Convertible Notes. Holders of the Convertible Notes will not have any rights with respect to the Capped Call Transactions.</w:t>
      </w:r>
    </w:p>
    <w:p>
      <w:pPr>
        <w:spacing w:after="0" w:line="11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58" w:lineRule="exact"/>
        <w:rPr>
          <w:sz w:val="20"/>
          <w:szCs w:val="20"/>
          <w:color w:val="auto"/>
        </w:rPr>
      </w:pPr>
    </w:p>
    <w:p>
      <w:pPr>
        <w:ind w:left="220" w:hanging="213"/>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w:t>
      </w:r>
    </w:p>
    <w:p>
      <w:pPr>
        <w:spacing w:after="0" w:line="18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4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Contingencies and guarantees</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ind w:firstLine="231"/>
        <w:spacing w:after="0" w:line="283" w:lineRule="auto"/>
        <w:tabs>
          <w:tab w:leader="none" w:pos="10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judgment and dismissed E-City’s petition. On March 29, 2017, the Company filed an Execution Application in the Bombay High Court seeking to enforce the ICC award against E-City and several related parties, which award the Company calculates to be $24.2 million, inclusive of interest, as of September 30, 2021.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41" w:lineRule="exact"/>
        <w:rPr>
          <w:rFonts w:ascii="Arial" w:cs="Arial" w:eastAsia="Arial" w:hAnsi="Arial"/>
          <w:sz w:val="16"/>
          <w:szCs w:val="16"/>
          <w:color w:val="auto"/>
        </w:rPr>
      </w:pPr>
    </w:p>
    <w:p>
      <w:pPr>
        <w:jc w:val="both"/>
        <w:ind w:firstLine="231"/>
        <w:spacing w:after="0" w:line="282" w:lineRule="auto"/>
        <w:tabs>
          <w:tab w:leader="none" w:pos="10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On February 7, 2017, the panel issued a Partial Final Award and on July 21, 2017, the panel issued a Final Award (collectively, the “Award”), which held that the parties had reached a binding settlement, and therefore the panel did not reach a decision regarding the merits of the dispute. On December 3, 2020, the District Judge entered a final judgment (the “Final Judgment”) against the Company in the total amount of $11.3 million as damages under the Award. As of December 31, 2020, the Company’s Consolidated Balance Sheets includes a liability within Accrued and Other Liabilities of $11.3 million related to the Final Judgment, consisting of $7.2 million related to amounts previously collected from or owed to Giencourt principally in respect of theater systems that were not delivered and $4.1 million recorded within Legal Judgment and Arbitration Awards in the Company’s Consolidated Statements of Operations during the year ended December 31, 2020 in respect of the remaining amounts owed under the Final Judgment. On June 23, 2021, the Company entered into a final settlement agreement with Giencourt to fully resolve all disputes between the parties in the United States and Ontario (the “Settlement Agreement”). In the second quarter of 2021, the Company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Condensed Consolidated Statements of Operations within Legal Judgment and Arbitration Awards.</w:t>
      </w:r>
    </w:p>
    <w:p>
      <w:pPr>
        <w:spacing w:after="0" w:line="136" w:lineRule="exact"/>
        <w:rPr>
          <w:rFonts w:ascii="Arial" w:cs="Arial" w:eastAsia="Arial" w:hAnsi="Arial"/>
          <w:sz w:val="16"/>
          <w:szCs w:val="16"/>
          <w:color w:val="auto"/>
        </w:rPr>
      </w:pPr>
    </w:p>
    <w:p>
      <w:pPr>
        <w:jc w:val="both"/>
        <w:ind w:firstLine="231"/>
        <w:spacing w:after="0" w:line="259" w:lineRule="auto"/>
        <w:tabs>
          <w:tab w:leader="none" w:pos="11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84" w:lineRule="exact"/>
        <w:rPr>
          <w:rFonts w:ascii="Arial" w:cs="Arial" w:eastAsia="Arial" w:hAnsi="Arial"/>
          <w:sz w:val="18"/>
          <w:szCs w:val="18"/>
          <w:color w:val="auto"/>
        </w:rPr>
      </w:pPr>
    </w:p>
    <w:p>
      <w:pPr>
        <w:jc w:val="both"/>
        <w:ind w:firstLine="230"/>
        <w:spacing w:after="0" w:line="271" w:lineRule="auto"/>
        <w:tabs>
          <w:tab w:leader="none" w:pos="112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3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Financial Guarantees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subsidiaries of the Company have provided significant financial guarantees to third parties under the Credit Agreement.</w:t>
      </w:r>
    </w:p>
    <w:p>
      <w:pPr>
        <w:spacing w:after="0" w:line="194"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Product Warranties</w:t>
      </w:r>
    </w:p>
    <w:p>
      <w:pPr>
        <w:spacing w:after="0" w:line="180"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Condensed Consolidated Balance Sheets, was $nil and less than $0.1 million as of September 30, 2021 and December 31, 2020,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Director/Officer Indemnifications</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against expenses (including legal fees), judgments, fines and any amounts actually and reasonably incurred by them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September 30, 2021 and December 31, 2020, with respect to this indemnity.</w:t>
      </w:r>
    </w:p>
    <w:p>
      <w:pPr>
        <w:spacing w:after="0" w:line="143" w:lineRule="exact"/>
        <w:rPr>
          <w:sz w:val="20"/>
          <w:szCs w:val="20"/>
          <w:color w:val="auto"/>
        </w:rPr>
      </w:pPr>
    </w:p>
    <w:p>
      <w:pPr>
        <w:ind w:left="600" w:hanging="379"/>
        <w:spacing w:after="0"/>
        <w:tabs>
          <w:tab w:leader="none" w:pos="6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Indemnification Agreements</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In the normal course of the Company’s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38" w:lineRule="exact"/>
        <w:rPr>
          <w:sz w:val="20"/>
          <w:szCs w:val="20"/>
          <w:color w:val="auto"/>
        </w:rPr>
      </w:pPr>
    </w:p>
    <w:p>
      <w:pPr>
        <w:ind w:left="220" w:hanging="213"/>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Operations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Expenses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Sales commissions and other selling expenses paid prior to the recognition of the related revenue are deferred and recognized in the Condensed Consolidated Statements of Operations upon the recognition of the related theater system revenue. For the three and nine months ended September 30, 2021, the sales commission costs recognized within Costs and Expenses Applicable to Revenues – Technology Sales are $0.2 million and $0.6 million, respectively (2020 — $0.3 million and $0.4 million, respectively). Direct advertising and marketing costs for each theater are expensed as incurred. For the three and nine months ended September 30, 2021, the total of all such costs recognized within Costs and Expenses Applicable to Revenues – Technology Sales was $0.1 million and $0.3 million, respectively (2020 — $0.3 million and $0.6 million, respectively).</w:t>
      </w:r>
    </w:p>
    <w:p>
      <w:pPr>
        <w:spacing w:after="0" w:line="15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Sales commissions related to joint revenue sharing arrangements accounted for operating leases are recognized as Costs and Expenses Applicable to Revenues – Technology Rentals in the month they are earned by the salesperson, which is typically the month in which the theater system is installed. For the three and nine months ended September 30, 2021, sales commissions related to such joint revenue sharing arrangements totaled $0.1 million and $0.4 million, respectively (2020 — $0.3 million and $0.5 million, respectively). Direct advertising and marketing costs for each theater are expensed as incurred. For the three and nine months ended September 30, 2021, the total of such costs recognized within Costs and Expenses Applicable to Revenues – Technology Rentals was $0.7 million and $1.5 million, respectively (2020 — $0.4 million and $0.8 million, respectively).</w:t>
      </w:r>
    </w:p>
    <w:p>
      <w:pPr>
        <w:spacing w:after="0" w:line="12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Film exploitation costs, including advertising and marketing expense, totaled $3.2 million and $5.9 million, respectively, for the three and nine months ended September 30, 2021 (2020 — $0.5 million and $3.1 million, respectively), and are expensed as incurred within Costs and Expenses Applicable to Revenues – Image Enhancement and Maintenance Services.</w:t>
      </w:r>
    </w:p>
    <w:p>
      <w:pPr>
        <w:spacing w:after="0" w:line="145"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Foreign Exchange</w:t>
      </w:r>
    </w:p>
    <w:p>
      <w:pPr>
        <w:spacing w:after="0" w:line="20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Included in Selling, General and Administrative Expenses for the three and nine months ended September 30, 2021 is a net loss of $(0.6) million and a net gain of $1.1 million, respectively (2020 — net gain of $0.2 million and net loss of $(0.8) million, respectively) resulting from changes in exchange rates related to foreign currency denominated monetary assets and liabilities. See Note 16(c) for additional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ind w:left="200"/>
        <w:spacing w:after="0"/>
        <w:tabs>
          <w:tab w:leader="none" w:pos="5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Collaborative Arrangements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9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September 30, 2021, the Company has signed traditional and hybrid joint revenue sharing agreements with 42 exhibitors (2020 — 41) for a total of 1,228 IMAX Theater Systems (2020 — 1,233), of which 904 theaters (2020 — 881) were operational and included in the network as of that date. The terms of these arrangements are similar in nature, rights and obligations. The accounting policy for the Company’s joint revenue sharing arrangements is disclosed in Note 3(n) of the Company’s 2020 Form 10-K.</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Revenue attributable to transactions arising between the Company and its customers under joint revenue sharing arrangements are recorded within Revenues — Technology Sales and Revenues — Technology Rentals. For the three and nine months ended September 30, 2021, such revenues totaled $10.9 million and $29.9 million, respectively (2020 — $4.5 million and $11.5 million, respectively). (See Note 13(a) for a disaggregated presentation of the Company’s revenues.)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49"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For the three and nine months ended September 30, 2021, the majority of IMAX DMR revenue was earned from the exhibition of 24 films (21 new and 3 carryovers) and 53 films (47 new and 6 carryovers), respectively, and the re-release of classic titles throughout the IMAX theater network, as compared to six new films and 20 films (16 new and 4 carryovers), respectively, and the re-release of classic titles in the three and nine months ended September 30, 2020. The accounting policy for the Company’s IMAX DMR arrangements is disclosed in Note 3(n) of the Company’s 2020 Form 10-K.</w:t>
      </w:r>
    </w:p>
    <w:p>
      <w:pPr>
        <w:spacing w:after="0" w:line="131"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Revenue attributable to transactions arising between the Company and its customers under IMAX DMR arrangements are included in Revenues – Image Enhancement and Maintenance Services. For the three and nine months ended September 30, 2021, such revenues totaled $15.7 million and $39.4 million, respectively (2020 — $6.9 million and $18.1 million, respectively). (See Note 13(a) for a disaggregated presentation of the Company’s revenues.)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of September 30, 2021, the Company has one co-produced film arrangement, which represents the VIE total assets balance of $1.6 million and liabilities balance of $0.3 million and three other co-produced film arrangements, the terms of which are similar. The accounting policies relating to co-produced film arrangements are disclosed in Notes 3(a) and 3(n) of the Company’s 2020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jc w:val="both"/>
        <w:ind w:firstLine="225"/>
        <w:spacing w:after="0" w:line="259" w:lineRule="auto"/>
        <w:rPr>
          <w:sz w:val="20"/>
          <w:szCs w:val="20"/>
          <w:color w:val="auto"/>
        </w:rPr>
      </w:pPr>
      <w:r>
        <w:rPr>
          <w:rFonts w:ascii="Arial" w:cs="Arial" w:eastAsia="Arial" w:hAnsi="Arial"/>
          <w:sz w:val="18"/>
          <w:szCs w:val="18"/>
          <w:color w:val="auto"/>
        </w:rPr>
        <w:t>For the three and nine months ended September 30, 2021, an expense of $0.2 million and $0.3 million, respectively (2020 — $0.5 million and $1.9 million, respectively) attributable to transactions between the Company and other parties involved in the production of the films have been included in Costs and Expenses Applicable to Revenues – Image Enhancement and Maintenance Services.</w:t>
      </w:r>
    </w:p>
    <w:p>
      <w:pPr>
        <w:spacing w:after="0" w:line="154" w:lineRule="exact"/>
        <w:rPr>
          <w:sz w:val="20"/>
          <w:szCs w:val="20"/>
          <w:color w:val="auto"/>
        </w:rPr>
      </w:pPr>
    </w:p>
    <w:p>
      <w:pPr>
        <w:ind w:left="320" w:hanging="313"/>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89"/>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4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Financing receivables</w:t>
            </w:r>
          </w:p>
        </w:tc>
        <w:tc>
          <w:tcPr>
            <w:tcW w:w="292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620" w:type="dxa"/>
            <w:vAlign w:val="bottom"/>
          </w:tcPr>
          <w:p>
            <w:pPr>
              <w:jc w:val="right"/>
              <w:ind w:right="419"/>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(3,212)</w:t>
            </w:r>
          </w:p>
        </w:tc>
      </w:tr>
      <w:tr>
        <w:trPr>
          <w:trHeight w:val="227"/>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(2,767)</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(1,332)</w:t>
            </w:r>
          </w:p>
        </w:tc>
      </w:tr>
      <w:tr>
        <w:trPr>
          <w:trHeight w:val="227"/>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Variable consideration receivables</w:t>
            </w: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(1,243)</w:t>
            </w: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(1,007)</w:t>
            </w:r>
          </w:p>
        </w:tc>
      </w:tr>
      <w:tr>
        <w:trPr>
          <w:trHeight w:val="227"/>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(3,712)</w:t>
            </w:r>
          </w:p>
        </w:tc>
      </w:tr>
      <w:tr>
        <w:trPr>
          <w:trHeight w:val="227"/>
        </w:trPr>
        <w:tc>
          <w:tcPr>
            <w:tcW w:w="5020" w:type="dxa"/>
            <w:vAlign w:val="bottom"/>
            <w:gridSpan w:val="2"/>
          </w:tcPr>
          <w:p>
            <w:pPr>
              <w:spacing w:after="0"/>
              <w:rPr>
                <w:sz w:val="20"/>
                <w:szCs w:val="20"/>
                <w:color w:val="auto"/>
              </w:rPr>
            </w:pPr>
            <w:r>
              <w:rPr>
                <w:rFonts w:ascii="Arial" w:cs="Arial" w:eastAsia="Arial" w:hAnsi="Arial"/>
                <w:sz w:val="18"/>
                <w:szCs w:val="18"/>
                <w:color w:val="auto"/>
              </w:rPr>
              <w:t>Decrease in:</w:t>
            </w: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(5,135)</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(8,320)</w:t>
            </w:r>
          </w:p>
        </w:tc>
      </w:tr>
      <w:tr>
        <w:trPr>
          <w:trHeight w:val="227"/>
        </w:trPr>
        <w:tc>
          <w:tcPr>
            <w:tcW w:w="5020" w:type="dxa"/>
            <w:vAlign w:val="bottom"/>
            <w:gridSpan w:val="2"/>
          </w:tcPr>
          <w:p>
            <w:pPr>
              <w:ind w:left="120"/>
              <w:spacing w:after="0"/>
              <w:rPr>
                <w:sz w:val="20"/>
                <w:szCs w:val="20"/>
                <w:color w:val="auto"/>
              </w:rPr>
            </w:pPr>
            <w:r>
              <w:rPr>
                <w:rFonts w:ascii="Arial" w:cs="Arial" w:eastAsia="Arial" w:hAnsi="Arial"/>
                <w:sz w:val="18"/>
                <w:szCs w:val="18"/>
                <w:color w:val="auto"/>
              </w:rPr>
              <w:t>Accrued and other liabilities</w:t>
            </w:r>
            <w:r>
              <w:rPr>
                <w:rFonts w:ascii="Arial" w:cs="Arial" w:eastAsia="Arial" w:hAnsi="Arial"/>
                <w:sz w:val="15"/>
                <w:szCs w:val="15"/>
                <w:color w:val="auto"/>
              </w:rPr>
              <w:t>(1)</w:t>
            </w: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(1,728)</w:t>
            </w: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(6,526)</w:t>
            </w:r>
          </w:p>
        </w:tc>
      </w:tr>
      <w:tr>
        <w:trPr>
          <w:trHeight w:val="220"/>
        </w:trPr>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59" w:lineRule="exact"/>
        <w:rPr>
          <w:sz w:val="20"/>
          <w:szCs w:val="20"/>
          <w:color w:val="auto"/>
        </w:rPr>
      </w:pPr>
    </w:p>
    <w:p>
      <w:pPr>
        <w:ind w:left="380" w:right="20" w:hanging="373"/>
        <w:spacing w:after="0" w:line="27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 $9.5 million payment made in the second quarter of 2021 in connection with the settlement of the Giencourt matter, as discussed in Note 8(b) (ii).</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Depreciation and amortization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6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880" w:type="dxa"/>
            <w:vAlign w:val="bottom"/>
            <w:tcBorders>
              <w:bottom w:val="single" w:sz="8" w:color="CFF0FC"/>
            </w:tcBorders>
            <w:gridSpan w:val="2"/>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4"/>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assets</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Other property, plant and equipment</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r>
              <w:rPr>
                <w:rFonts w:ascii="Arial" w:cs="Arial" w:eastAsia="Arial" w:hAnsi="Arial"/>
                <w:sz w:val="15"/>
                <w:szCs w:val="15"/>
                <w:color w:val="auto"/>
              </w:rPr>
              <w:t>(1)</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(2)</w:t>
            </w:r>
          </w:p>
        </w:tc>
        <w:tc>
          <w:tcPr>
            <w:tcW w:w="16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shd w:val="clear" w:color="auto" w:fill="CFF0FC"/>
          </w:tcPr>
          <w:p>
            <w:pPr>
              <w:spacing w:after="0"/>
              <w:rPr>
                <w:sz w:val="19"/>
                <w:szCs w:val="19"/>
                <w:color w:val="auto"/>
              </w:rPr>
            </w:pPr>
          </w:p>
        </w:tc>
        <w:tc>
          <w:tcPr>
            <w:tcW w:w="43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40,570</w:t>
            </w:r>
          </w:p>
        </w:tc>
        <w:tc>
          <w:tcPr>
            <w:tcW w:w="2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80" w:right="20" w:hanging="373"/>
        <w:spacing w:after="0" w:line="27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amortization of licenses and intellectual property recorded in Research and Development on the Condensed Consolidated Statement of Operations of $1.0 million in the nine months ended September 30, 2021 (2020 — $1.0 million).</w:t>
      </w:r>
    </w:p>
    <w:p>
      <w:pPr>
        <w:spacing w:after="0" w:line="148" w:lineRule="exact"/>
        <w:rPr>
          <w:rFonts w:ascii="Arial" w:cs="Arial" w:eastAsia="Arial" w:hAnsi="Arial"/>
          <w:sz w:val="18"/>
          <w:szCs w:val="18"/>
          <w:color w:val="auto"/>
        </w:rPr>
      </w:pPr>
    </w:p>
    <w:p>
      <w:pPr>
        <w:ind w:left="380" w:hanging="37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amortization of lessee incentives provided by the Company to its customers under joint revenue sharing arrangements.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Write-downs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center"/>
              <w:ind w:left="836"/>
              <w:spacing w:after="0"/>
              <w:rPr>
                <w:sz w:val="20"/>
                <w:szCs w:val="20"/>
                <w:color w:val="auto"/>
              </w:rPr>
            </w:pPr>
            <w:r>
              <w:rPr>
                <w:rFonts w:ascii="Arial" w:cs="Arial" w:eastAsia="Arial" w:hAnsi="Arial"/>
                <w:sz w:val="14"/>
                <w:szCs w:val="14"/>
                <w:b w:val="1"/>
                <w:bCs w:val="1"/>
                <w:color w:val="auto"/>
                <w:w w:val="93"/>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center"/>
              <w:ind w:left="836"/>
              <w:spacing w:after="0"/>
              <w:rPr>
                <w:sz w:val="20"/>
                <w:szCs w:val="20"/>
                <w:color w:val="auto"/>
              </w:rPr>
            </w:pPr>
            <w:r>
              <w:rPr>
                <w:rFonts w:ascii="Arial" w:cs="Arial" w:eastAsia="Arial" w:hAnsi="Arial"/>
                <w:sz w:val="14"/>
                <w:szCs w:val="14"/>
                <w:b w:val="1"/>
                <w:bCs w:val="1"/>
                <w:color w:val="auto"/>
                <w:w w:val="89"/>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960" w:type="dxa"/>
            <w:vAlign w:val="bottom"/>
            <w:tcBorders>
              <w:bottom w:val="single" w:sz="8" w:color="CFF0FC"/>
            </w:tcBorders>
            <w:gridSpan w:val="2"/>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6"/>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3"/>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r>
              <w:rPr>
                <w:rFonts w:ascii="Arial" w:cs="Arial" w:eastAsia="Arial" w:hAnsi="Arial"/>
                <w:sz w:val="15"/>
                <w:szCs w:val="15"/>
                <w:color w:val="auto"/>
              </w:rPr>
              <w:t>(1)</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r>
              <w:rPr>
                <w:rFonts w:ascii="Arial" w:cs="Arial" w:eastAsia="Arial" w:hAnsi="Arial"/>
                <w:sz w:val="15"/>
                <w:szCs w:val="15"/>
                <w:color w:val="auto"/>
              </w:rPr>
              <w:t>(2)</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Other property, plant and equipment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Film assets</w:t>
            </w:r>
            <w:r>
              <w:rPr>
                <w:rFonts w:ascii="Arial" w:cs="Arial" w:eastAsia="Arial" w:hAnsi="Arial"/>
                <w:sz w:val="15"/>
                <w:szCs w:val="15"/>
                <w:color w:val="auto"/>
              </w:rPr>
              <w:t>(3)</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(4)</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line="27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nine months ended September 30, 2021, the Company recorded write-downs of $0.5 million (2020 — $0.7 million) in Costs and Expenses Applicable to Technology Sales related to excess and damaged inventory.</w:t>
      </w:r>
    </w:p>
    <w:p>
      <w:pPr>
        <w:spacing w:after="0" w:line="135"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nine months ended September 30, 2021, the Company recorded charges of $0.3 million (2020 — $1.1 million) in Costs and Expenses Applicable to Technology Rentals mostly related to the write-down of leased xenon-based digital systems which were taken out of service in connection with customer upgrades to laser-based digital systems.</w:t>
      </w:r>
    </w:p>
    <w:p>
      <w:pPr>
        <w:spacing w:after="0" w:line="144" w:lineRule="exact"/>
        <w:rPr>
          <w:rFonts w:ascii="Arial" w:cs="Arial" w:eastAsia="Arial" w:hAnsi="Arial"/>
          <w:sz w:val="18"/>
          <w:szCs w:val="18"/>
          <w:color w:val="auto"/>
        </w:rPr>
      </w:pPr>
    </w:p>
    <w:p>
      <w:pPr>
        <w:jc w:val="both"/>
        <w:ind w:left="380" w:hanging="373"/>
        <w:spacing w:after="0" w:line="255"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nine months ended September 30, 2020, the Company recorded impairment losses of $10.2 million in Costs and Expenses Applicable to Image Enhancement and Maintenance Services principally to write-down the carrying value of certain documentary and alternative film content due to a decrease in projected box office totals and related revenues based on management’s regular quarterly recoverability assessments. To a much lesser extent, the impairment losses also relate to the write-down of DMR related film assets.</w:t>
      </w:r>
    </w:p>
    <w:p>
      <w:pPr>
        <w:spacing w:after="0" w:line="148"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nine months ended September 30, 2020, the Company recorded a write-down of $1.2 million in Asset Impairments related to content-related assets which became impaired in the period.</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1"/>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non-cash investing activities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0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400" w:type="dxa"/>
            <w:vAlign w:val="bottom"/>
            <w:tcBorders>
              <w:bottom w:val="single" w:sz="8" w:color="CFF0FC"/>
            </w:tcBorders>
            <w:vMerge w:val="continue"/>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9"/>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5"/>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accruals related to:</w:t>
            </w:r>
          </w:p>
        </w:tc>
        <w:tc>
          <w:tcPr>
            <w:tcW w:w="2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Arial" w:cs="Arial" w:eastAsia="Arial" w:hAnsi="Arial"/>
                <w:sz w:val="18"/>
                <w:szCs w:val="18"/>
                <w:color w:val="auto"/>
                <w:w w:val="91"/>
              </w:rPr>
              <w:t>Investment in equipment supporting joint revenue sharing arrangements</w:t>
            </w:r>
          </w:p>
        </w:tc>
        <w:tc>
          <w:tcPr>
            <w:tcW w:w="252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9"/>
                <w:szCs w:val="19"/>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27"/>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other intangible assets</w:t>
            </w:r>
          </w:p>
        </w:tc>
        <w:tc>
          <w:tcPr>
            <w:tcW w:w="2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(863)</w:t>
            </w: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2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80" w:type="dxa"/>
            <w:vAlign w:val="bottom"/>
            <w:vMerge w:val="restart"/>
          </w:tcPr>
          <w:p>
            <w:pPr>
              <w:jc w:val="right"/>
              <w:ind w:right="1671"/>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4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11. Income Taxes</w:t>
      </w:r>
    </w:p>
    <w:p>
      <w:pPr>
        <w:spacing w:after="0" w:line="224"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Income Tax Expense</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September 30, 2021, the Company recorded income tax expense of $4.4 million (2020 — income tax expense of $19.3 million). For the three months ended September 30, 2021, the Company’s effective tax rate of (226.6)% varies from the Canadian statutory tax rate of 26.2% that was in effect during the period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6"/>
                <w:szCs w:val="16"/>
                <w:color w:val="auto"/>
              </w:rPr>
            </w:pPr>
          </w:p>
        </w:tc>
        <w:tc>
          <w:tcPr>
            <w:tcW w:w="176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8"/>
        </w:trPr>
        <w:tc>
          <w:tcPr>
            <w:tcW w:w="71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 except rates)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c>
          <w:tcPr>
            <w:tcW w:w="176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4"/>
        </w:trPr>
        <w:tc>
          <w:tcPr>
            <w:tcW w:w="7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22"/>
              <w:spacing w:after="0" w:line="154" w:lineRule="exact"/>
              <w:rPr>
                <w:sz w:val="20"/>
                <w:szCs w:val="20"/>
                <w:color w:val="auto"/>
              </w:rPr>
            </w:pPr>
            <w:r>
              <w:rPr>
                <w:rFonts w:ascii="Arial" w:cs="Arial" w:eastAsia="Arial" w:hAnsi="Arial"/>
                <w:sz w:val="14"/>
                <w:szCs w:val="14"/>
                <w:b w:val="1"/>
                <w:bCs w:val="1"/>
                <w:color w:val="auto"/>
                <w:w w:val="90"/>
              </w:rPr>
              <w:t>Amount</w:t>
            </w:r>
          </w:p>
        </w:tc>
        <w:tc>
          <w:tcPr>
            <w:tcW w:w="720" w:type="dxa"/>
            <w:vAlign w:val="bottom"/>
            <w:tcBorders>
              <w:top w:val="single" w:sz="8" w:color="auto"/>
            </w:tcBorders>
          </w:tcPr>
          <w:p>
            <w:pPr>
              <w:jc w:val="right"/>
              <w:ind w:right="133"/>
              <w:spacing w:after="0" w:line="154" w:lineRule="exact"/>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22"/>
              <w:spacing w:after="0" w:line="154" w:lineRule="exact"/>
              <w:rPr>
                <w:sz w:val="20"/>
                <w:szCs w:val="20"/>
                <w:color w:val="auto"/>
              </w:rPr>
            </w:pPr>
            <w:r>
              <w:rPr>
                <w:rFonts w:ascii="Arial" w:cs="Arial" w:eastAsia="Arial" w:hAnsi="Arial"/>
                <w:sz w:val="14"/>
                <w:szCs w:val="14"/>
                <w:b w:val="1"/>
                <w:bCs w:val="1"/>
                <w:color w:val="auto"/>
                <w:w w:val="94"/>
              </w:rPr>
              <w:t>Amount</w:t>
            </w:r>
          </w:p>
        </w:tc>
        <w:tc>
          <w:tcPr>
            <w:tcW w:w="840" w:type="dxa"/>
            <w:vAlign w:val="bottom"/>
            <w:tcBorders>
              <w:top w:val="single" w:sz="8" w:color="auto"/>
            </w:tcBorders>
          </w:tcPr>
          <w:p>
            <w:pPr>
              <w:jc w:val="right"/>
              <w:ind w:right="193"/>
              <w:spacing w:after="0" w:line="154"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at combined statutory rates</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7,279</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7"/>
        </w:trPr>
        <w:tc>
          <w:tcPr>
            <w:tcW w:w="7160" w:type="dxa"/>
            <w:vAlign w:val="bottom"/>
          </w:tcPr>
          <w:p>
            <w:pPr>
              <w:spacing w:after="0"/>
              <w:rPr>
                <w:sz w:val="20"/>
                <w:szCs w:val="20"/>
                <w:color w:val="auto"/>
              </w:rPr>
            </w:pPr>
            <w:r>
              <w:rPr>
                <w:rFonts w:ascii="Arial" w:cs="Arial" w:eastAsia="Arial" w:hAnsi="Arial"/>
                <w:sz w:val="18"/>
                <w:szCs w:val="18"/>
                <w:color w:val="auto"/>
              </w:rPr>
              <w:t>Adjustments resulting from:</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investment gains not taxable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Increase of valuation allowance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(4,270)</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(219.8%)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(23,707)</w:t>
            </w:r>
          </w:p>
        </w:tc>
        <w:tc>
          <w:tcPr>
            <w:tcW w:w="84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to tax reserves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(215)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(181)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8"/>
                <w:szCs w:val="18"/>
                <w:color w:val="auto"/>
                <w:w w:val="93"/>
              </w:rPr>
              <w:t>Withholding taxes resulting from management's decision to no longer indefinitely reinvest the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historical earnings of certain foreign subsidiaries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(186)</w:t>
            </w: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8"/>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in tax benefits resulting from the vesting of share-based compensation</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(4)</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(38)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Other non-deductible/non-taxable items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(422)</w:t>
            </w: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(2,936)</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(226.</w:t>
            </w:r>
            <w:r>
              <w:rPr>
                <w:rFonts w:ascii="Arial" w:cs="Arial" w:eastAsia="Arial" w:hAnsi="Arial"/>
                <w:sz w:val="18"/>
                <w:szCs w:val="18"/>
                <w:u w:val="single" w:color="auto"/>
                <w:color w:val="auto"/>
                <w:w w:val="95"/>
              </w:rPr>
              <w:t>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(19,349</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2021, the Company recorded an additional $4.3 million valuation allowance against deferred tax assets in jurisdictions where management could not reliably forecast that future tax liabilities would arise, principally due to the uncertainties around the long-term impact of the COVID-19 global pandemic. Accordingly, the tax benefit associated with the current period losses in these jurisdictions is not ultimately reflected in the Company’s Condensed Consolidated Statements of Operations.</w:t>
      </w:r>
    </w:p>
    <w:p>
      <w:pPr>
        <w:spacing w:after="0" w:line="18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nine months ended September 30, 2021, the Company recorded income tax expense of $9.4 million (2020 — $24.6 million). For the nine months ended September 30, 2021, the Company’s effective tax rate of (69.5)% varies from the Canadian statutory tax rate of 26.2% that was in effect during the period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8"/>
        </w:trPr>
        <w:tc>
          <w:tcPr>
            <w:tcW w:w="71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 except rates)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c>
          <w:tcPr>
            <w:tcW w:w="176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4"/>
        </w:trPr>
        <w:tc>
          <w:tcPr>
            <w:tcW w:w="7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02"/>
              <w:spacing w:after="0" w:line="154" w:lineRule="exact"/>
              <w:rPr>
                <w:sz w:val="20"/>
                <w:szCs w:val="20"/>
                <w:color w:val="auto"/>
              </w:rPr>
            </w:pPr>
            <w:r>
              <w:rPr>
                <w:rFonts w:ascii="Arial" w:cs="Arial" w:eastAsia="Arial" w:hAnsi="Arial"/>
                <w:sz w:val="14"/>
                <w:szCs w:val="14"/>
                <w:b w:val="1"/>
                <w:bCs w:val="1"/>
                <w:color w:val="auto"/>
                <w:w w:val="94"/>
              </w:rPr>
              <w:t>Amount</w:t>
            </w:r>
          </w:p>
        </w:tc>
        <w:tc>
          <w:tcPr>
            <w:tcW w:w="860" w:type="dxa"/>
            <w:vAlign w:val="bottom"/>
            <w:tcBorders>
              <w:top w:val="single" w:sz="8" w:color="auto"/>
            </w:tcBorders>
          </w:tcPr>
          <w:p>
            <w:pPr>
              <w:jc w:val="right"/>
              <w:ind w:right="213"/>
              <w:spacing w:after="0" w:line="154" w:lineRule="exact"/>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22"/>
              <w:spacing w:after="0" w:line="154" w:lineRule="exact"/>
              <w:rPr>
                <w:sz w:val="20"/>
                <w:szCs w:val="20"/>
                <w:color w:val="auto"/>
              </w:rPr>
            </w:pPr>
            <w:r>
              <w:rPr>
                <w:rFonts w:ascii="Arial" w:cs="Arial" w:eastAsia="Arial" w:hAnsi="Arial"/>
                <w:sz w:val="14"/>
                <w:szCs w:val="14"/>
                <w:b w:val="1"/>
                <w:bCs w:val="1"/>
                <w:color w:val="auto"/>
                <w:w w:val="94"/>
              </w:rPr>
              <w:t>Amount</w:t>
            </w:r>
          </w:p>
        </w:tc>
        <w:tc>
          <w:tcPr>
            <w:tcW w:w="74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at combined statutory rates</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29,201</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spacing w:after="0"/>
              <w:rPr>
                <w:sz w:val="20"/>
                <w:szCs w:val="20"/>
                <w:color w:val="auto"/>
              </w:rPr>
            </w:pPr>
            <w:r>
              <w:rPr>
                <w:rFonts w:ascii="Arial" w:cs="Arial" w:eastAsia="Arial" w:hAnsi="Arial"/>
                <w:sz w:val="18"/>
                <w:szCs w:val="18"/>
                <w:color w:val="auto"/>
              </w:rPr>
              <w:t>Adjustments resulting from:</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investment gains (losses) not taxable</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(239)</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Increase of valuation allowance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w w:val="98"/>
              </w:rPr>
              <w:t>(14,248)</w:t>
            </w:r>
          </w:p>
        </w:tc>
        <w:tc>
          <w:tcPr>
            <w:tcW w:w="860" w:type="dxa"/>
            <w:vAlign w:val="bottom"/>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(23,706)</w:t>
            </w: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to tax reserves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(4,978)</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8"/>
                <w:szCs w:val="18"/>
                <w:color w:val="auto"/>
                <w:w w:val="93"/>
              </w:rPr>
              <w:t>Withholding taxes resulting from management's decision to no longer indefinitely reinvest the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historical earnings of certain foreign subsidiaries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(547)</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(18,661)</w:t>
            </w: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tax benefits resulting from the vesting of share-based compensation</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160" w:type="dxa"/>
            <w:vAlign w:val="bottom"/>
          </w:tcPr>
          <w:p>
            <w:pPr>
              <w:ind w:left="260"/>
              <w:spacing w:after="0"/>
              <w:rPr>
                <w:sz w:val="20"/>
                <w:szCs w:val="20"/>
                <w:color w:val="auto"/>
              </w:rPr>
            </w:pPr>
            <w:r>
              <w:rPr>
                <w:rFonts w:ascii="Arial" w:cs="Arial" w:eastAsia="Arial" w:hAnsi="Arial"/>
                <w:sz w:val="18"/>
                <w:szCs w:val="18"/>
                <w:color w:val="auto"/>
              </w:rPr>
              <w:t>Other non-deductible/non-taxable items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(1,479)</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(6,256)</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(9,416</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(24,606</w:t>
            </w:r>
          </w:p>
        </w:tc>
        <w:tc>
          <w:tcPr>
            <w:tcW w:w="28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55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7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both"/>
        <w:ind w:firstLine="225"/>
        <w:spacing w:after="0" w:line="251" w:lineRule="auto"/>
        <w:rPr>
          <w:sz w:val="20"/>
          <w:szCs w:val="20"/>
          <w:color w:val="auto"/>
        </w:rPr>
      </w:pPr>
      <w:r>
        <w:rPr>
          <w:rFonts w:ascii="Arial" w:cs="Arial" w:eastAsia="Arial" w:hAnsi="Arial"/>
          <w:sz w:val="18"/>
          <w:szCs w:val="18"/>
          <w:color w:val="auto"/>
        </w:rPr>
        <w:t>As of September 30, 2021, the Company’s Condensed Consolidated Balance Sheets include net deferred income tax assets of $18.7 million, net of a valuation allowance of $45.5 million (December 31, 2020 — $18.0 million, net of a valuation allowance of $28.8 million). The $16.7 million valuation allowance change recorded during the nine months ended September 30, 2021 is reflected within Income Tax Expense in the Company’s Condensed Consolidated Statements of Operations ($14.2 million) and within Shareholder’s Equity on the Company’s Condensed Consolidated Balance Sheets ($2.5 million). The valuation allowance is expected to reverse at the point in time when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5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During the three and nine months ended September 30, 2021, $20.4 million of historical earnings from a subsidiary in China were repatriated and, as a result $2.0 million of foreign withholding taxes were paid in the period (2020 — $nil).</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Income Tax Effect on Other Comprehensive (Loss) Income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and nine months ended September 30, 2021 and 2020, the income tax expense related to the following items in Other Comprehensive (Loss)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Income 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jc w:val="right"/>
              <w:ind w:right="634"/>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20"/>
        </w:trPr>
        <w:tc>
          <w:tcPr>
            <w:tcW w:w="61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2020</w:t>
            </w:r>
          </w:p>
        </w:tc>
      </w:tr>
      <w:tr>
        <w:trPr>
          <w:trHeight w:val="22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Unrealized change in cash flow hedging instruments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235</w:t>
            </w:r>
          </w:p>
        </w:tc>
      </w:tr>
      <w:tr>
        <w:trPr>
          <w:trHeight w:val="227"/>
        </w:trPr>
        <w:tc>
          <w:tcPr>
            <w:tcW w:w="6120" w:type="dxa"/>
            <w:vAlign w:val="bottom"/>
          </w:tcPr>
          <w:p>
            <w:pPr>
              <w:spacing w:after="0"/>
              <w:rPr>
                <w:sz w:val="20"/>
                <w:szCs w:val="20"/>
                <w:color w:val="auto"/>
              </w:rPr>
            </w:pPr>
            <w:r>
              <w:rPr>
                <w:rFonts w:ascii="Arial" w:cs="Arial" w:eastAsia="Arial" w:hAnsi="Arial"/>
                <w:sz w:val="18"/>
                <w:szCs w:val="18"/>
                <w:color w:val="auto"/>
              </w:rPr>
              <w:t>Realized change in cash flow hedging instruments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8"/>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w w:val="93"/>
              </w:rPr>
              <w:t>Reclassification of unrealized change in ineffective cash flow hedging instruments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27"/>
        </w:trPr>
        <w:tc>
          <w:tcPr>
            <w:tcW w:w="6120" w:type="dxa"/>
            <w:vAlign w:val="bottom"/>
          </w:tcPr>
          <w:p>
            <w:pPr>
              <w:spacing w:after="0"/>
              <w:rPr>
                <w:sz w:val="20"/>
                <w:szCs w:val="20"/>
                <w:color w:val="auto"/>
              </w:rPr>
            </w:pPr>
            <w:r>
              <w:rPr>
                <w:rFonts w:ascii="Arial" w:cs="Arial" w:eastAsia="Arial" w:hAnsi="Arial"/>
                <w:sz w:val="18"/>
                <w:szCs w:val="18"/>
                <w:color w:val="auto"/>
              </w:rPr>
              <w:t>Defined benefit and postretirement benefit plans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40</w:t>
            </w:r>
          </w:p>
        </w:tc>
      </w:tr>
      <w:tr>
        <w:trPr>
          <w:trHeight w:val="220"/>
        </w:trPr>
        <w:tc>
          <w:tcPr>
            <w:tcW w:w="6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64</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Reserves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0" w:lineRule="exact"/>
        <w:rPr>
          <w:sz w:val="20"/>
          <w:szCs w:val="20"/>
          <w:color w:val="auto"/>
        </w:rPr>
      </w:pPr>
    </w:p>
    <w:p>
      <w:pPr>
        <w:ind w:firstLine="225"/>
        <w:spacing w:after="0" w:line="334" w:lineRule="auto"/>
        <w:rPr>
          <w:sz w:val="20"/>
          <w:szCs w:val="20"/>
          <w:color w:val="auto"/>
        </w:rPr>
      </w:pPr>
      <w:r>
        <w:rPr>
          <w:rFonts w:ascii="Arial" w:cs="Arial" w:eastAsia="Arial" w:hAnsi="Arial"/>
          <w:sz w:val="16"/>
          <w:szCs w:val="16"/>
          <w:color w:val="auto"/>
        </w:rPr>
        <w:t>For the three and nine months ended September 30, 2021, share-based compensation expense totaled $6.1 million and $18.2 million, respectively (2020 — $5.3 million and $16.0 million, respectively) and is reflected in the following accounts in the Condensed 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3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6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 and expenses applicable to revenues</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5,706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5,151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17,046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0"/>
        </w:trPr>
        <w:tc>
          <w:tcPr>
            <w:tcW w:w="436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6,109</w:t>
            </w:r>
          </w:p>
        </w:tc>
        <w:tc>
          <w:tcPr>
            <w:tcW w:w="14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18,211</w:t>
            </w:r>
          </w:p>
        </w:tc>
        <w:tc>
          <w:tcPr>
            <w:tcW w:w="14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3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ind w:firstLine="225"/>
        <w:spacing w:after="0" w:line="300" w:lineRule="auto"/>
        <w:rPr>
          <w:sz w:val="20"/>
          <w:szCs w:val="20"/>
          <w:color w:val="auto"/>
        </w:rPr>
      </w:pPr>
      <w:r>
        <w:rPr>
          <w:rFonts w:ascii="Arial" w:cs="Arial" w:eastAsia="Arial" w:hAnsi="Arial"/>
          <w:sz w:val="17"/>
          <w:szCs w:val="17"/>
          <w:color w:val="auto"/>
        </w:rPr>
        <w:t>For the three and nine months ended September 30, 2020, there was a lower level of share-based compensation expenses allocated to Costs and Expense Applicable to Revenues or Research and Development due to the lower level of production during the COVID-19 global pandemic.</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share-based compensation expense by each award type: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198"/>
        </w:trPr>
        <w:tc>
          <w:tcPr>
            <w:tcW w:w="5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4"/>
        </w:trPr>
        <w:tc>
          <w:tcPr>
            <w:tcW w:w="52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5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1,449</w:t>
            </w: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3,430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11,524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10,866</w:t>
            </w:r>
          </w:p>
        </w:tc>
      </w:tr>
      <w:tr>
        <w:trPr>
          <w:trHeight w:val="228"/>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3,169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1,229</w:t>
            </w: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IMAX China Stock Options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701</w:t>
            </w:r>
          </w:p>
        </w:tc>
      </w:tr>
      <w:tr>
        <w:trPr>
          <w:trHeight w:val="228"/>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IMAX China Long Term Incentive Plan Restricted Share Units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2,217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1,645</w:t>
            </w:r>
          </w:p>
        </w:tc>
      </w:tr>
      <w:tr>
        <w:trPr>
          <w:trHeight w:val="227"/>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IMAX China Long Term Incentive Plan Performance Stock Units</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79</w:t>
            </w:r>
          </w:p>
        </w:tc>
      </w:tr>
      <w:tr>
        <w:trPr>
          <w:trHeight w:val="220"/>
        </w:trPr>
        <w:tc>
          <w:tcPr>
            <w:tcW w:w="5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6,109</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4"/>
              </w:rPr>
              <w:t>5,310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18,211</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15,969</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Included in the above table is an expense of $nil in the three and nine months ended September 30, 2021 (2020 — $nil and $0.1 million, respectively) related to restricted share units granted to a certain advisor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Summary</w:t>
      </w:r>
    </w:p>
    <w:p>
      <w:pPr>
        <w:spacing w:after="0" w:line="180"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The following table summarizes the activity under the Company’s Stock Option Plan (“SOP”) and the IMAX Corporation Second Amended and Restated Long-Term Incentive Plan (as may be amended, “IMAX LTIP”) for the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93"/>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Price Per Share</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 beginning of period</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4,892,962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5,732,209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(86,587)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(903,038)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(772,665)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26.68</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end of period</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3,738,504</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4,917,428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26.61</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Stock options exercisable, end of period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26.93</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3,487,857</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4,315,484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are no longer granted under the Company’s previously approved SOP.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(“RSU”) Summary</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respect of RSUs issued under the IMAX LTIP for the nine months ended September 30, 2021 and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60" w:type="dxa"/>
            <w:vAlign w:val="bottom"/>
            <w:gridSpan w:val="3"/>
            <w:vMerge w:val="restart"/>
          </w:tcPr>
          <w:p>
            <w:pPr>
              <w:jc w:val="right"/>
              <w:ind w:right="574"/>
              <w:spacing w:after="0"/>
              <w:rPr>
                <w:sz w:val="20"/>
                <w:szCs w:val="20"/>
                <w:color w:val="auto"/>
              </w:rPr>
            </w:pPr>
            <w:r>
              <w:rPr>
                <w:rFonts w:ascii="Arial" w:cs="Arial" w:eastAsia="Arial" w:hAnsi="Arial"/>
                <w:sz w:val="14"/>
                <w:szCs w:val="14"/>
                <w:b w:val="1"/>
                <w:bCs w:val="1"/>
                <w:color w:val="auto"/>
              </w:rPr>
              <w:t>Number of Awards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0"/>
        </w:trPr>
        <w:tc>
          <w:tcPr>
            <w:tcW w:w="4160" w:type="dxa"/>
            <w:vAlign w:val="bottom"/>
          </w:tcPr>
          <w:p>
            <w:pPr>
              <w:spacing w:after="0"/>
              <w:rPr>
                <w:sz w:val="19"/>
                <w:szCs w:val="19"/>
                <w:color w:val="auto"/>
              </w:rPr>
            </w:pPr>
          </w:p>
        </w:tc>
        <w:tc>
          <w:tcPr>
            <w:tcW w:w="30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beginning of period</w:t>
            </w:r>
          </w:p>
        </w:tc>
        <w:tc>
          <w:tcPr>
            <w:tcW w:w="19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1,564,838</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1,065,347</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18.33</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ind w:right="37"/>
              <w:spacing w:after="0"/>
              <w:rPr>
                <w:sz w:val="20"/>
                <w:szCs w:val="20"/>
                <w:color w:val="auto"/>
              </w:rPr>
            </w:pPr>
            <w:r>
              <w:rPr>
                <w:rFonts w:ascii="Arial" w:cs="Arial" w:eastAsia="Arial" w:hAnsi="Arial"/>
                <w:sz w:val="18"/>
                <w:szCs w:val="18"/>
                <w:color w:val="auto"/>
              </w:rPr>
              <w:t>831,123</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1,050,385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8"/>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3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(571,616)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(386,451)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19.11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(231,380)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(54,933)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0"/>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end of period</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1,592,965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1,674,348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19.29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vMerge w:val="restart"/>
          </w:tcPr>
          <w:p>
            <w:pPr>
              <w:jc w:val="right"/>
              <w:ind w:right="275"/>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Performance Stock Units Summary</w:t>
      </w:r>
    </w:p>
    <w:p>
      <w:pPr>
        <w:spacing w:after="0" w:line="19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grants awards for two types of performance stock units (“PSUs”),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takes into account the likelihood of achieving the TSR targets embedded in the award (“Monte Carlo Model”). The compensation expense attributable to each type of PSU is recognized on a straight-line basis over the requisite service period.</w:t>
      </w:r>
    </w:p>
    <w:p>
      <w:pPr>
        <w:spacing w:after="0" w:line="12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49"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nine months ended September 30, 2021 includes adjustments reflecting management’s estimate of the number of PSUs with EBITDA-based targets expected to vest.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respect of PSUs issued under the IMAX LTIP for the nine months ended September 30, 2021 and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720" w:type="dxa"/>
            <w:vAlign w:val="bottom"/>
            <w:gridSpan w:val="5"/>
            <w:vMerge w:val="restart"/>
          </w:tcPr>
          <w:p>
            <w:pPr>
              <w:jc w:val="right"/>
              <w:ind w:right="931"/>
              <w:spacing w:after="0"/>
              <w:rPr>
                <w:sz w:val="20"/>
                <w:szCs w:val="20"/>
                <w:color w:val="auto"/>
              </w:rPr>
            </w:pPr>
            <w:r>
              <w:rPr>
                <w:rFonts w:ascii="Arial" w:cs="Arial" w:eastAsia="Arial" w:hAnsi="Arial"/>
                <w:sz w:val="14"/>
                <w:szCs w:val="14"/>
                <w:b w:val="1"/>
                <w:bCs w:val="1"/>
                <w:color w:val="auto"/>
              </w:rPr>
              <w:t>Number of Awards</w:t>
            </w: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PSUs outstanding, beginning of period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361,844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309,574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370,265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(54,634)</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(2,526)</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color w:val="auto"/>
              </w:rPr>
              <w:t>PSUs outstanding, end of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616,784</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As of September 30, 2021, the maximum number of shares of common stock that may be issued with respect to PSUs outstanding is 1,079,372, assuming full achievement of the EBITDA and TSR targets.</w:t>
      </w:r>
    </w:p>
    <w:p>
      <w:pPr>
        <w:spacing w:after="0" w:line="13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Issuer Purchases of Equity Securities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April 2021, the Company’s Board of Directors approved a 12-month extension to its share repurchase program through June 30, 2022. The extension authorized the Company to repurchase up to approximately $89.4 million worth of common shares, the remaining amount available of the original $200.0 million initially authorized under the share repurchase program when it commenced on July 1, 2017.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37"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During the three and nine months ended September 30, 2021, the Company repurchased 316,812 common shares, respectively (2020 — nil and 2,484,123 common shares, respectively), at an average price of $14.53 per share, respectively (2020 — $nil and $14.72 per share, respectively), excluding commissions. During the three and nine months ended September 30, 2021, there were no common shares purchased in the administration of employee share-based compensation plans (2020 — nil and 200,000 common shares at an average price of $nil and $15.43 per share,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33" w:name="page34"/>
    <w:bookmarkEnd w:id="33"/>
    <w:p>
      <w:pPr>
        <w:jc w:val="both"/>
        <w:ind w:firstLine="225"/>
        <w:spacing w:after="0" w:line="281" w:lineRule="auto"/>
        <w:rPr>
          <w:sz w:val="20"/>
          <w:szCs w:val="20"/>
          <w:color w:val="auto"/>
        </w:rPr>
      </w:pPr>
      <w:r>
        <w:rPr>
          <w:rFonts w:ascii="Arial" w:cs="Arial" w:eastAsia="Arial" w:hAnsi="Arial"/>
          <w:sz w:val="17"/>
          <w:szCs w:val="17"/>
          <w:color w:val="auto"/>
        </w:rPr>
        <w:t>As of September 30, 2021, the IMAX LTIP trustee held 276 shares purchased for less than $0.1 million (December 31, 2020 — 723 shares for less than $0.1 million), in the open market to be issued upon the settlement of RSUs and certain stock options. The shares held with the trustee are recorded at cost and are reported as a reduction against Capital Stock on the Company’s Condensed Consolidated Balance Sheets.</w:t>
      </w:r>
    </w:p>
    <w:p>
      <w:pPr>
        <w:spacing w:after="0" w:line="142"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In 2021, IMAX China announced that its shareholders granted its Board of Directors a general mandate authorizing the Board, subject to applicable laws, to repurchase of shares of IMAX China not to exceed 10% of the total number of issued shares as of May 6, 2021 (34,835,824 shares). This program will be valid until the 2022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and nine months ended September 30, 2021, IMAX China repurchased 3,569,000 common shares, respectively, at an average price of HKD 10.90 per share, respectively (U.S. $1.40 per share, respectively). During three and nine months ended September 30, 2020, IMAX China repurchased nil and 906,400 common shares, respectively, at an average price of HKD nil and HKD 13.13 per share, respectively (U.S. $nil and $1.69 per share, respectively).</w:t>
      </w:r>
    </w:p>
    <w:p>
      <w:pPr>
        <w:spacing w:after="0" w:line="15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Basic and Diluted Weighted Average Shares Outstanding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r>
      <w:tr>
        <w:trPr>
          <w:trHeight w:val="198"/>
        </w:trPr>
        <w:tc>
          <w:tcPr>
            <w:tcW w:w="60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60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8"/>
                <w:szCs w:val="18"/>
                <w:color w:val="auto"/>
              </w:rPr>
            </w:pPr>
          </w:p>
        </w:tc>
      </w:tr>
      <w:tr>
        <w:trPr>
          <w:trHeight w:val="220"/>
        </w:trPr>
        <w:tc>
          <w:tcPr>
            <w:tcW w:w="6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000" w:type="dxa"/>
            <w:vAlign w:val="bottom"/>
          </w:tcPr>
          <w:p>
            <w:pPr>
              <w:spacing w:after="0"/>
              <w:rPr>
                <w:sz w:val="20"/>
                <w:szCs w:val="20"/>
                <w:color w:val="auto"/>
              </w:rPr>
            </w:pPr>
            <w:r>
              <w:rPr>
                <w:rFonts w:ascii="Arial" w:cs="Arial" w:eastAsia="Arial" w:hAnsi="Arial"/>
                <w:sz w:val="18"/>
                <w:szCs w:val="18"/>
                <w:color w:val="auto"/>
              </w:rPr>
              <w:t>Issued and outstanding, beginning of period</w:t>
            </w:r>
          </w:p>
        </w:tc>
        <w:tc>
          <w:tcPr>
            <w:tcW w:w="1100" w:type="dxa"/>
            <w:vAlign w:val="bottom"/>
          </w:tcPr>
          <w:p>
            <w:pPr>
              <w:jc w:val="right"/>
              <w:spacing w:after="0"/>
              <w:rPr>
                <w:sz w:val="20"/>
                <w:szCs w:val="20"/>
                <w:color w:val="auto"/>
              </w:rPr>
            </w:pPr>
            <w:r>
              <w:rPr>
                <w:rFonts w:ascii="Arial" w:cs="Arial" w:eastAsia="Arial" w:hAnsi="Arial"/>
                <w:sz w:val="18"/>
                <w:szCs w:val="18"/>
                <w:color w:val="auto"/>
              </w:rPr>
              <w:t>59,396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58,857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61,176</w:t>
            </w:r>
          </w:p>
        </w:tc>
        <w:tc>
          <w:tcPr>
            <w:tcW w:w="120" w:type="dxa"/>
            <w:vAlign w:val="bottom"/>
          </w:tcPr>
          <w:p>
            <w:pPr>
              <w:spacing w:after="0"/>
              <w:rPr>
                <w:sz w:val="19"/>
                <w:szCs w:val="19"/>
                <w:color w:val="auto"/>
              </w:rPr>
            </w:pPr>
          </w:p>
        </w:tc>
      </w:tr>
      <w:tr>
        <w:trPr>
          <w:trHeight w:val="228"/>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(repurchased) issued, net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(1,816)</w:t>
            </w:r>
          </w:p>
        </w:tc>
      </w:tr>
      <w:tr>
        <w:trPr>
          <w:trHeight w:val="220"/>
        </w:trPr>
        <w:tc>
          <w:tcPr>
            <w:tcW w:w="600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59,244</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59,207</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59,360</w:t>
            </w:r>
          </w:p>
        </w:tc>
        <w:tc>
          <w:tcPr>
            <w:tcW w:w="120" w:type="dxa"/>
            <w:vAlign w:val="bottom"/>
          </w:tcPr>
          <w:p>
            <w:pPr>
              <w:spacing w:after="0"/>
              <w:rPr>
                <w:sz w:val="19"/>
                <w:szCs w:val="19"/>
                <w:color w:val="auto"/>
              </w:rPr>
            </w:pPr>
          </w:p>
        </w:tc>
      </w:tr>
      <w:tr>
        <w:trPr>
          <w:trHeight w:val="228"/>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effect of potential common shares, if dilutive</w:t>
            </w:r>
          </w:p>
        </w:tc>
        <w:tc>
          <w:tcPr>
            <w:tcW w:w="170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600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59,244</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59,360</w:t>
            </w:r>
          </w:p>
        </w:tc>
        <w:tc>
          <w:tcPr>
            <w:tcW w:w="1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the three and nine months ended September 30, 2021, the calculation of diluted weighted average shares outstanding excludes 6,115,389 shares (2020</w:t>
      </w:r>
    </w:p>
    <w:p>
      <w:pPr>
        <w:spacing w:after="0" w:line="66"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 6,959,515 shares) that are issuable upon the vesting or exercise of share-based compensation including: (i) 1,592,965 RSUs (2020 — 1,674,348 RSUs), (ii) 783,920 PSUs (2020 — 367,739 PSUs) and (iii) 3,738,504 stock options (2020 — 4,917,428 stock options), as the effect would be anti-dilutive.</w:t>
      </w:r>
    </w:p>
    <w:p>
      <w:pPr>
        <w:spacing w:after="0" w:line="10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calculation of diluted weighted average shares outstanding for the three and nine months ended September 30, 2021 also excludes any shares potentially issuable upon the conversion of the Convertible Notes as the average market price of the Company’s common shares during the period of time they were outstanding was less than the conversion price of the Convertible Notes. (See Note 7(b).)</w:t>
      </w:r>
    </w:p>
    <w:p>
      <w:pPr>
        <w:spacing w:after="0" w:line="15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Statutory Surplus Reserve</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Pursuant to the corporate law of the People’s Republic of China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11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 xml:space="preserve">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w:t>
      </w:r>
      <w:r>
        <w:rPr>
          <w:rFonts w:ascii="Arial" w:cs="Arial" w:eastAsia="Arial" w:hAnsi="Arial"/>
          <w:sz w:val="17"/>
          <w:szCs w:val="17"/>
          <w:color w:val="333333"/>
        </w:rPr>
        <w:t>The statutory surplus reserve is non-distributable other than during liquidation and</w:t>
      </w:r>
      <w:r>
        <w:rPr>
          <w:rFonts w:ascii="Arial" w:cs="Arial" w:eastAsia="Arial" w:hAnsi="Arial"/>
          <w:sz w:val="17"/>
          <w:szCs w:val="17"/>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jc w:val="both"/>
        <w:ind w:firstLine="225"/>
        <w:spacing w:after="0" w:line="271" w:lineRule="auto"/>
        <w:rPr>
          <w:sz w:val="20"/>
          <w:szCs w:val="20"/>
          <w:color w:val="auto"/>
        </w:rPr>
      </w:pPr>
      <w:r>
        <w:rPr>
          <w:rFonts w:ascii="Arial" w:cs="Arial" w:eastAsia="Arial" w:hAnsi="Arial"/>
          <w:sz w:val="17"/>
          <w:szCs w:val="17"/>
          <w:color w:val="auto"/>
        </w:rPr>
        <w:t>During the three months ended September 30, 2021, one of the Company’s PRC subsidiaries declared and paid dividends of RMB 131.6 million ($20.4 million). In the third quarter of 2021, upon passage of the requisite resolution of the Board of Directors, a statutory surplus reserve of RMB 36.4 million ($5.6 million) was recorded within Shareholders’ Equity as an appropriation of the retained earnings of the Company’s PRC subsidiaries, of which $3.9 million is attributable to the Company’s common shareholders and $1.7 million is attributable to non-controlling shareholders. The statutory surplus reserve of RMB 36.4 million ($5.6 million) has reached 50% of its PRC subsidiaries’ registered capital.</w:t>
      </w:r>
    </w:p>
    <w:p>
      <w:pPr>
        <w:spacing w:after="0" w:line="148"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the Company’s revenues by type and reportable segment for the three and nine months ended September 30, 2021: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 September 30, 2021</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Revenue from</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1"/>
                <w:szCs w:val="11"/>
                <w:color w:val="auto"/>
              </w:rPr>
            </w:pPr>
          </w:p>
        </w:tc>
        <w:tc>
          <w:tcPr>
            <w:tcW w:w="860" w:type="dxa"/>
            <w:vAlign w:val="bottom"/>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4"/>
              <w:spacing w:after="0" w:line="131" w:lineRule="exact"/>
              <w:rPr>
                <w:sz w:val="20"/>
                <w:szCs w:val="20"/>
                <w:color w:val="auto"/>
              </w:rPr>
            </w:pPr>
            <w:r>
              <w:rPr>
                <w:rFonts w:ascii="Arial" w:cs="Arial" w:eastAsia="Arial" w:hAnsi="Arial"/>
                <w:sz w:val="14"/>
                <w:szCs w:val="14"/>
                <w:b w:val="1"/>
                <w:bCs w:val="1"/>
                <w:color w:val="auto"/>
                <w:w w:val="85"/>
              </w:rPr>
              <w:t>Lease</w:t>
            </w:r>
          </w:p>
        </w:tc>
        <w:tc>
          <w:tcPr>
            <w:tcW w:w="280" w:type="dxa"/>
            <w:vAlign w:val="bottom"/>
          </w:tcPr>
          <w:p>
            <w:pPr>
              <w:spacing w:after="0"/>
              <w:rPr>
                <w:sz w:val="11"/>
                <w:szCs w:val="11"/>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7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Consideration</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Arrangements</w:t>
            </w: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9,701</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11,218</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IMAX DMR</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Film Post-Production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16,431</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10,219</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11,353</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Nine Months Ended September 30, 2021</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Revenue from</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240"/>
              <w:spacing w:after="0" w:line="131" w:lineRule="exact"/>
              <w:rPr>
                <w:sz w:val="20"/>
                <w:szCs w:val="20"/>
                <w:color w:val="auto"/>
              </w:rPr>
            </w:pPr>
            <w:r>
              <w:rPr>
                <w:rFonts w:ascii="Arial" w:cs="Arial" w:eastAsia="Arial" w:hAnsi="Arial"/>
                <w:sz w:val="14"/>
                <w:szCs w:val="14"/>
                <w:b w:val="1"/>
                <w:bCs w:val="1"/>
                <w:color w:val="auto"/>
              </w:rPr>
              <w:t>Fixed</w:t>
            </w:r>
          </w:p>
        </w:tc>
        <w:tc>
          <w:tcPr>
            <w:tcW w:w="80" w:type="dxa"/>
            <w:vAlign w:val="bottom"/>
          </w:tcPr>
          <w:p>
            <w:pPr>
              <w:spacing w:after="0"/>
              <w:rPr>
                <w:sz w:val="11"/>
                <w:szCs w:val="11"/>
                <w:color w:val="auto"/>
              </w:rPr>
            </w:pPr>
          </w:p>
        </w:tc>
        <w:tc>
          <w:tcPr>
            <w:tcW w:w="940" w:type="dxa"/>
            <w:vAlign w:val="bottom"/>
          </w:tcPr>
          <w:p>
            <w:pPr>
              <w:jc w:val="right"/>
              <w:ind w:right="174"/>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4"/>
              <w:spacing w:after="0" w:line="131" w:lineRule="exact"/>
              <w:rPr>
                <w:sz w:val="20"/>
                <w:szCs w:val="20"/>
                <w:color w:val="auto"/>
              </w:rPr>
            </w:pPr>
            <w:r>
              <w:rPr>
                <w:rFonts w:ascii="Arial" w:cs="Arial" w:eastAsia="Arial" w:hAnsi="Arial"/>
                <w:sz w:val="14"/>
                <w:szCs w:val="14"/>
                <w:b w:val="1"/>
                <w:bCs w:val="1"/>
                <w:color w:val="auto"/>
                <w:w w:val="85"/>
              </w:rPr>
              <w:t>Lease</w:t>
            </w:r>
          </w:p>
        </w:tc>
        <w:tc>
          <w:tcPr>
            <w:tcW w:w="280" w:type="dxa"/>
            <w:vAlign w:val="bottom"/>
          </w:tcPr>
          <w:p>
            <w:pPr>
              <w:spacing w:after="0"/>
              <w:rPr>
                <w:sz w:val="11"/>
                <w:szCs w:val="11"/>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consideration</w:t>
            </w:r>
          </w:p>
        </w:tc>
        <w:tc>
          <w:tcPr>
            <w:tcW w:w="8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Arrangements</w:t>
            </w: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20,143</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Other Theater Business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23,892</w:t>
            </w:r>
          </w:p>
        </w:tc>
        <w:tc>
          <w:tcPr>
            <w:tcW w:w="2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IMAX DMR</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Film Post-Production</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36,286</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40,628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Technology rentals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26,708</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Finance income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Systems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60,178</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34,704</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line="270"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revenues earned from sales or sales-type lease arrangements involving new and upgraded IMAX Theater Systems, as well as the impact on revenue of renewals and amendments to existing theater system arrangements.</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and nine months ended September 30, 2020: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jc w:val="right"/>
              <w:ind w:right="3"/>
              <w:spacing w:after="0"/>
              <w:rPr>
                <w:sz w:val="20"/>
                <w:szCs w:val="20"/>
                <w:color w:val="auto"/>
              </w:rPr>
            </w:pPr>
            <w:r>
              <w:rPr>
                <w:rFonts w:ascii="Arial" w:cs="Arial" w:eastAsia="Arial" w:hAnsi="Arial"/>
                <w:sz w:val="14"/>
                <w:szCs w:val="14"/>
                <w:b w:val="1"/>
                <w:bCs w:val="1"/>
                <w:color w:val="auto"/>
              </w:rPr>
              <w:t>Three Months Ended September 30, 2020</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Revenue from</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9"/>
              </w:rPr>
              <w:t>Contracts with Customers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 from</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40"/>
              <w:spacing w:after="0" w:line="131" w:lineRule="exact"/>
              <w:rPr>
                <w:sz w:val="20"/>
                <w:szCs w:val="20"/>
                <w:color w:val="auto"/>
              </w:rPr>
            </w:pPr>
            <w:r>
              <w:rPr>
                <w:rFonts w:ascii="Arial" w:cs="Arial" w:eastAsia="Arial" w:hAnsi="Arial"/>
                <w:sz w:val="14"/>
                <w:szCs w:val="14"/>
                <w:b w:val="1"/>
                <w:bCs w:val="1"/>
                <w:color w:val="auto"/>
              </w:rPr>
              <w:t>Fixed</w:t>
            </w: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260"/>
              <w:spacing w:after="0" w:line="131" w:lineRule="exact"/>
              <w:rPr>
                <w:sz w:val="20"/>
                <w:szCs w:val="20"/>
                <w:color w:val="auto"/>
              </w:rPr>
            </w:pPr>
            <w:r>
              <w:rPr>
                <w:rFonts w:ascii="Arial" w:cs="Arial" w:eastAsia="Arial" w:hAnsi="Arial"/>
                <w:sz w:val="14"/>
                <w:szCs w:val="14"/>
                <w:b w:val="1"/>
                <w:bCs w:val="1"/>
                <w:color w:val="auto"/>
              </w:rPr>
              <w:t>Variable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5"/>
              </w:rPr>
              <w:t>Lease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2"/>
              </w:rPr>
              <w:t>Finance Income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Consideration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7"/>
              </w:rPr>
              <w:t>Consideration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Arrangements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(1)(2)</w:t>
            </w:r>
          </w:p>
        </w:tc>
        <w:tc>
          <w:tcPr>
            <w:tcW w:w="68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12,356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1,481</w:t>
            </w: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(3)</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13,041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DMR</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5,855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Film Post-Production</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7,344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8"/>
              </w:rPr>
              <w:t>Joint Revenue Sharing Arrangements, contingent rent</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4,473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jc w:val="center"/>
              <w:ind w:left="253"/>
              <w:spacing w:after="0"/>
              <w:rPr>
                <w:sz w:val="20"/>
                <w:szCs w:val="20"/>
                <w:color w:val="auto"/>
              </w:rPr>
            </w:pPr>
            <w:r>
              <w:rPr>
                <w:rFonts w:ascii="Arial" w:cs="Arial" w:eastAsia="Arial" w:hAnsi="Arial"/>
                <w:sz w:val="14"/>
                <w:szCs w:val="14"/>
                <w:b w:val="1"/>
                <w:bCs w:val="1"/>
                <w:color w:val="auto"/>
                <w:w w:val="92"/>
              </w:rPr>
              <w:t>Nine Months Ended September 30, 2020</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Revenue from</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7"/>
              </w:rPr>
              <w:t>Contracts with Customers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 from</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b w:val="1"/>
                <w:bCs w:val="1"/>
                <w:color w:val="auto"/>
              </w:rPr>
              <w:t>Fixed</w:t>
            </w: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1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1" w:lineRule="exact"/>
              <w:rPr>
                <w:sz w:val="20"/>
                <w:szCs w:val="20"/>
                <w:color w:val="auto"/>
              </w:rPr>
            </w:pPr>
            <w:r>
              <w:rPr>
                <w:rFonts w:ascii="Arial" w:cs="Arial" w:eastAsia="Arial" w:hAnsi="Arial"/>
                <w:sz w:val="14"/>
                <w:szCs w:val="14"/>
                <w:b w:val="1"/>
                <w:bCs w:val="1"/>
                <w:color w:val="auto"/>
                <w:w w:val="90"/>
              </w:rPr>
              <w:t>Lease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Finance Income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consideration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Arrangements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(1)(2)</w:t>
            </w:r>
          </w:p>
        </w:tc>
        <w:tc>
          <w:tcPr>
            <w:tcW w:w="680" w:type="dxa"/>
            <w:vAlign w:val="bottom"/>
            <w:gridSpan w:val="3"/>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14,711</w:t>
            </w:r>
          </w:p>
        </w:tc>
        <w:tc>
          <w:tcPr>
            <w:tcW w:w="60" w:type="dxa"/>
            <w:vAlign w:val="bottom"/>
          </w:tcPr>
          <w:p>
            <w:pPr>
              <w:spacing w:after="0"/>
              <w:rPr>
                <w:sz w:val="19"/>
                <w:szCs w:val="19"/>
                <w:color w:val="auto"/>
              </w:rPr>
            </w:pP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3,143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9"/>
                <w:szCs w:val="19"/>
                <w:color w:val="auto"/>
              </w:rPr>
            </w:pPr>
          </w:p>
        </w:tc>
        <w:tc>
          <w:tcPr>
            <w:tcW w:w="800" w:type="dxa"/>
            <w:vAlign w:val="bottom"/>
            <w:gridSpan w:val="3"/>
          </w:tcPr>
          <w:p>
            <w:pPr>
              <w:jc w:val="right"/>
              <w:ind w:right="36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(3)</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DMR</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18,061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Film Post-production</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19,313</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19,796</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8"/>
              </w:rPr>
              <w:t>Joint Revenue Sharing Arrangements, contingent rent</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7,495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83"/>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ind w:right="36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left="380" w:hanging="373"/>
        <w:spacing w:after="0" w:line="27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949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t>Includes revenues earned from sales or sales-type lease arrangements involving new and upgraded IMAX Theater Systems, as well as the impact on revenue of renewals and amendments to existing theater system arrangements.</w:t>
      </w:r>
    </w:p>
    <w:p>
      <w:pPr>
        <w:spacing w:after="0" w:line="135" w:lineRule="exact"/>
        <w:rPr>
          <w:rFonts w:ascii="Arial" w:cs="Arial" w:eastAsia="Arial" w:hAnsi="Arial"/>
          <w:sz w:val="18"/>
          <w:szCs w:val="18"/>
          <w:color w:val="auto"/>
        </w:rPr>
      </w:pPr>
    </w:p>
    <w:p>
      <w:pPr>
        <w:ind w:left="380" w:hanging="373"/>
        <w:spacing w:after="0" w:line="300"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Prior period comparatives have been revised to appropriately classify $1.1 million and $2.3 million, respectively, of fixed consideration under revenue from contracts with customers to revenue from lease arrangements for the three and nine months ended September 30, 2020.</w:t>
      </w:r>
    </w:p>
    <w:p>
      <w:pPr>
        <w:spacing w:after="0" w:line="112" w:lineRule="exact"/>
        <w:rPr>
          <w:rFonts w:ascii="Arial" w:cs="Arial" w:eastAsia="Arial" w:hAnsi="Arial"/>
          <w:sz w:val="17"/>
          <w:szCs w:val="17"/>
          <w:color w:val="auto"/>
        </w:rPr>
      </w:pPr>
    </w:p>
    <w:p>
      <w:pPr>
        <w:ind w:left="380" w:hanging="37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180" w:lineRule="exact"/>
        <w:rPr>
          <w:rFonts w:ascii="Arial" w:cs="Arial" w:eastAsia="Arial" w:hAnsi="Arial"/>
          <w:sz w:val="18"/>
          <w:szCs w:val="18"/>
          <w:color w:val="auto"/>
        </w:rPr>
      </w:pPr>
    </w:p>
    <w:p>
      <w:pPr>
        <w:ind w:left="600" w:hanging="379"/>
        <w:spacing w:after="0"/>
        <w:tabs>
          <w:tab w:leader="none" w:pos="60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At September 30, 2021, $20.3 million of consideration has been deferred in relation to outstanding maintenance services to be provided on existing maintenance contracts (December 31, 2020 — $21.6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5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(See Note 2 for information on the current impacts of and uncertainties relating to the COVID-19 global pandemic which are impacting the Company’s revenues.)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14. Segment Reporting</w:t>
      </w:r>
    </w:p>
    <w:p>
      <w:pPr>
        <w:spacing w:after="0" w:line="224" w:lineRule="exact"/>
        <w:rPr>
          <w:sz w:val="20"/>
          <w:szCs w:val="20"/>
          <w:color w:val="auto"/>
        </w:rPr>
      </w:pPr>
    </w:p>
    <w:p>
      <w:pPr>
        <w:jc w:val="both"/>
        <w:ind w:firstLine="208"/>
        <w:spacing w:after="0" w:line="275"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 organizes its reportable segments into the following four categories, identified by the nature of the product sold or service provided:</w:t>
      </w:r>
    </w:p>
    <w:p>
      <w:pPr>
        <w:spacing w:after="0" w:line="185" w:lineRule="exact"/>
        <w:rPr>
          <w:sz w:val="20"/>
          <w:szCs w:val="20"/>
          <w:color w:val="auto"/>
        </w:rPr>
      </w:pPr>
    </w:p>
    <w:p>
      <w:pPr>
        <w:ind w:left="1120" w:hanging="739"/>
        <w:spacing w:after="0" w:line="270"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Business Initiatives, which is a segment that includes activities related to the exploration of new lines of business and new initiatives outside of the Company’s core business; and</w:t>
      </w:r>
    </w:p>
    <w:p>
      <w:pPr>
        <w:spacing w:after="0" w:line="175" w:lineRule="exact"/>
        <w:rPr>
          <w:rFonts w:ascii="Arial" w:cs="Arial" w:eastAsia="Arial" w:hAnsi="Arial"/>
          <w:sz w:val="18"/>
          <w:szCs w:val="18"/>
          <w:color w:val="auto"/>
        </w:rPr>
      </w:pPr>
    </w:p>
    <w:p>
      <w:pPr>
        <w:jc w:val="both"/>
        <w:ind w:left="1120" w:hanging="739"/>
        <w:spacing w:after="0" w:line="259"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Film Distribution and Post-Production, which includes activities related to the licensing of film content, and the distribution of films primarily for the Company’s institutional theater partners (through the Film Distribution segment) and the provision of film post-production and quality control services (through the Film Post-Production segment).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is presenting information at a disaggregated level to provide more relevant information to readers.</w:t>
      </w:r>
    </w:p>
    <w:p>
      <w:pPr>
        <w:spacing w:after="0" w:line="220"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9" w:name="page40"/>
    <w:bookmarkEnd w:id="39"/>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2"/>
                <w:szCs w:val="12"/>
                <w:b w:val="1"/>
                <w:bCs w:val="1"/>
                <w:color w:val="auto"/>
              </w:rPr>
              <w:t>(1)</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Gross Margin (Margin Loss)</w:t>
            </w:r>
            <w:r>
              <w:rPr>
                <w:rFonts w:ascii="Arial" w:cs="Arial" w:eastAsia="Arial" w:hAnsi="Arial"/>
                <w:sz w:val="12"/>
                <w:szCs w:val="12"/>
                <w:b w:val="1"/>
                <w:bCs w:val="1"/>
                <w:color w:val="auto"/>
                <w:w w:val="98"/>
              </w:rPr>
              <w:t>(4)</w:t>
            </w:r>
          </w:p>
        </w:tc>
      </w:tr>
      <w:tr>
        <w:trPr>
          <w:trHeight w:val="207"/>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IMAX DMR</w:t>
            </w:r>
          </w:p>
        </w:tc>
        <w:tc>
          <w:tcPr>
            <w:tcW w:w="12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15,701</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6,886</w:t>
            </w:r>
          </w:p>
        </w:tc>
        <w:tc>
          <w:tcPr>
            <w:tcW w:w="140" w:type="dxa"/>
            <w:vAlign w:val="bottom"/>
          </w:tcPr>
          <w:p>
            <w:pPr>
              <w:spacing w:after="0"/>
              <w:rPr>
                <w:sz w:val="19"/>
                <w:szCs w:val="19"/>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7,293</w:t>
            </w:r>
          </w:p>
        </w:tc>
        <w:tc>
          <w:tcPr>
            <w:tcW w:w="240" w:type="dxa"/>
            <w:vAlign w:val="bottom"/>
          </w:tcPr>
          <w:p>
            <w:pPr>
              <w:spacing w:after="0"/>
              <w:rPr>
                <w:sz w:val="19"/>
                <w:szCs w:val="19"/>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9"/>
                <w:szCs w:val="19"/>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(2,491)</w:t>
            </w:r>
          </w:p>
        </w:tc>
      </w:tr>
      <w:tr>
        <w:trPr>
          <w:trHeight w:val="220"/>
        </w:trPr>
        <w:tc>
          <w:tcPr>
            <w:tcW w:w="49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FF0FC"/>
            </w:tcBorders>
          </w:tcPr>
          <w:p>
            <w:pPr>
              <w:spacing w:after="0"/>
              <w:rPr>
                <w:sz w:val="19"/>
                <w:szCs w:val="19"/>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(2)</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19"/>
                <w:szCs w:val="19"/>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IMAX Maintenance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(3)</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0"/>
        </w:trPr>
        <w:tc>
          <w:tcPr>
            <w:tcW w:w="49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FF0FC"/>
            </w:tcBorders>
          </w:tcPr>
          <w:p>
            <w:pPr>
              <w:spacing w:after="0"/>
              <w:rPr>
                <w:sz w:val="19"/>
                <w:szCs w:val="19"/>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r>
      <w:tr>
        <w:trPr>
          <w:trHeight w:val="220"/>
        </w:trPr>
        <w:tc>
          <w:tcPr>
            <w:tcW w:w="4900" w:type="dxa"/>
            <w:vAlign w:val="bottom"/>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Film Distribution</w:t>
            </w:r>
            <w:r>
              <w:rPr>
                <w:rFonts w:ascii="Arial" w:cs="Arial" w:eastAsia="Arial" w:hAnsi="Arial"/>
                <w:sz w:val="15"/>
                <w:szCs w:val="15"/>
                <w:color w:val="auto"/>
              </w:rPr>
              <w:t>(5)</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(5,597)</w:t>
            </w: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Post-Production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r>
      <w:tr>
        <w:trPr>
          <w:trHeight w:val="221"/>
        </w:trPr>
        <w:tc>
          <w:tcPr>
            <w:tcW w:w="49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4900" w:type="dxa"/>
            <w:vAlign w:val="bottom"/>
          </w:tcPr>
          <w:p>
            <w:pPr>
              <w:spacing w:after="0"/>
              <w:rPr>
                <w:sz w:val="20"/>
                <w:szCs w:val="20"/>
                <w:color w:val="auto"/>
              </w:rPr>
            </w:pPr>
            <w:r>
              <w:rPr>
                <w:rFonts w:ascii="Arial" w:cs="Arial" w:eastAsia="Arial" w:hAnsi="Arial"/>
                <w:sz w:val="18"/>
                <w:szCs w:val="18"/>
                <w:color w:val="auto"/>
              </w:rPr>
              <w:t>Sub-total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Pr>
          <w:p>
            <w:pPr>
              <w:spacing w:after="0"/>
              <w:rPr>
                <w:sz w:val="19"/>
                <w:szCs w:val="19"/>
                <w:color w:val="auto"/>
              </w:rPr>
            </w:pPr>
          </w:p>
        </w:tc>
      </w:tr>
      <w:tr>
        <w:trPr>
          <w:trHeight w:val="228"/>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w:t>
            </w:r>
          </w:p>
        </w:tc>
      </w:tr>
      <w:tr>
        <w:trPr>
          <w:trHeight w:val="220"/>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56,602</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2"/>
                <w:szCs w:val="12"/>
                <w:b w:val="1"/>
                <w:bCs w:val="1"/>
                <w:color w:val="auto"/>
              </w:rPr>
              <w:t>(1)</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Gross Margin (Margin Loss)</w:t>
            </w:r>
            <w:r>
              <w:rPr>
                <w:rFonts w:ascii="Arial" w:cs="Arial" w:eastAsia="Arial" w:hAnsi="Arial"/>
                <w:sz w:val="12"/>
                <w:szCs w:val="12"/>
                <w:b w:val="1"/>
                <w:bCs w:val="1"/>
                <w:color w:val="auto"/>
                <w:w w:val="98"/>
              </w:rPr>
              <w:t>(4)</w:t>
            </w:r>
          </w:p>
        </w:tc>
        <w:tc>
          <w:tcPr>
            <w:tcW w:w="0" w:type="dxa"/>
            <w:vAlign w:val="bottom"/>
          </w:tcPr>
          <w:p>
            <w:pPr>
              <w:spacing w:after="0"/>
              <w:rPr>
                <w:sz w:val="1"/>
                <w:szCs w:val="1"/>
                <w:color w:val="auto"/>
              </w:rPr>
            </w:pPr>
          </w:p>
        </w:tc>
      </w:tr>
      <w:tr>
        <w:trPr>
          <w:trHeight w:val="207"/>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IMAX DMR</w:t>
            </w:r>
          </w:p>
        </w:tc>
        <w:tc>
          <w:tcPr>
            <w:tcW w:w="1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39,438</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18,061</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22,405</w:t>
            </w:r>
          </w:p>
        </w:tc>
        <w:tc>
          <w:tcPr>
            <w:tcW w:w="160" w:type="dxa"/>
            <w:vAlign w:val="bottom"/>
          </w:tcPr>
          <w:p>
            <w:pPr>
              <w:spacing w:after="0"/>
              <w:rPr>
                <w:sz w:val="19"/>
                <w:szCs w:val="19"/>
                <w:color w:val="auto"/>
              </w:rPr>
            </w:pPr>
          </w:p>
        </w:tc>
        <w:tc>
          <w:tcPr>
            <w:tcW w:w="3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Joint Revenue Sharing Arrangements, contingent rent</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(2)</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Joint Revenue Sharing Arrangements, fixed fees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IMAX Maintenance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(3)</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73,372</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Film Distribution</w:t>
            </w:r>
            <w:r>
              <w:rPr>
                <w:rFonts w:ascii="Arial" w:cs="Arial" w:eastAsia="Arial" w:hAnsi="Arial"/>
                <w:sz w:val="15"/>
                <w:szCs w:val="15"/>
                <w:color w:val="auto"/>
              </w:rPr>
              <w:t>(5)</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Post-Production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0"/>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146,311</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40" w:name="page41"/>
    <w:bookmarkEnd w:id="40"/>
    <w:p>
      <w:pPr>
        <w:jc w:val="both"/>
        <w:ind w:left="380" w:hanging="373"/>
        <w:spacing w:after="0" w:line="259"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949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9960" cy="8255"/>
                    </a:xfrm>
                    <a:prstGeom prst="rect">
                      <a:avLst/>
                    </a:prstGeom>
                    <a:noFill/>
                  </pic:spPr>
                </pic:pic>
              </a:graphicData>
            </a:graphic>
          </wp:anchor>
        </w:drawing>
        <w:t>The Company’s largest customer represents 18.2% and 22.2%, respectively, of total Revenues for the three and nine months ended September 30, 2021 (2020 — 11.0% and 11.3%, respectively). No single customer comprises more than 10% of the Company’s total Accounts Receivable as of September 30, 2021 and December 31, 2020.</w:t>
      </w:r>
    </w:p>
    <w:p>
      <w:pPr>
        <w:spacing w:after="0" w:line="144" w:lineRule="exact"/>
        <w:rPr>
          <w:rFonts w:ascii="Arial" w:cs="Arial" w:eastAsia="Arial" w:hAnsi="Arial"/>
          <w:sz w:val="18"/>
          <w:szCs w:val="18"/>
          <w:color w:val="auto"/>
        </w:rPr>
      </w:pPr>
    </w:p>
    <w:p>
      <w:pPr>
        <w:jc w:val="both"/>
        <w:ind w:left="380" w:hanging="373"/>
        <w:spacing w:after="0" w:line="281"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sales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8" w:lineRule="exact"/>
        <w:rPr>
          <w:rFonts w:ascii="Arial" w:cs="Arial" w:eastAsia="Arial" w:hAnsi="Arial"/>
          <w:sz w:val="17"/>
          <w:szCs w:val="17"/>
          <w:color w:val="auto"/>
        </w:rPr>
      </w:pPr>
    </w:p>
    <w:p>
      <w:pPr>
        <w:ind w:left="380" w:hanging="37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projection system parts and 3D glasses.</w:t>
      </w:r>
    </w:p>
    <w:p>
      <w:pPr>
        <w:spacing w:after="0" w:line="180" w:lineRule="exact"/>
        <w:rPr>
          <w:rFonts w:ascii="Arial" w:cs="Arial" w:eastAsia="Arial" w:hAnsi="Arial"/>
          <w:sz w:val="18"/>
          <w:szCs w:val="18"/>
          <w:color w:val="auto"/>
        </w:rPr>
      </w:pPr>
    </w:p>
    <w:p>
      <w:pPr>
        <w:jc w:val="both"/>
        <w:ind w:left="380" w:hanging="373"/>
        <w:spacing w:after="0" w:line="251"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IMAX DMR gross margin includes marketing costs of $3.2 million and $5.8 million, respectively, for the three and nine months ended September 30, 2021 (2020 — $0.4 million and $2.8 million, respectively). JRSA gross margin includes advertising, marketing and commission expense of $0.8 million and $1.9 million, respectively, for the three and nine months ended September 30, 2021 (2020 — $0.7 million and $1.3 million, respectively). IMAX Systems gross margin includes marketing and commission costs of $0.3 million and $0.9 million, respectively, for the three and nine months ended September 30, 2021 (2020 — $0.6 million and $1.0 million, respectively). Film Distribution segment gross margin includes marketing expense of $nil and less than $0.1 million, respectively, for the three and nine months ended September 30, 2021 (2020 — $0.2 million and $0.4 million, respectively).</w:t>
      </w:r>
    </w:p>
    <w:p>
      <w:pPr>
        <w:spacing w:after="0" w:line="154" w:lineRule="exact"/>
        <w:rPr>
          <w:rFonts w:ascii="Arial" w:cs="Arial" w:eastAsia="Arial" w:hAnsi="Arial"/>
          <w:sz w:val="18"/>
          <w:szCs w:val="18"/>
          <w:color w:val="auto"/>
        </w:rPr>
      </w:pPr>
    </w:p>
    <w:p>
      <w:pPr>
        <w:jc w:val="both"/>
        <w:ind w:left="380" w:hanging="373"/>
        <w:spacing w:after="0" w:line="25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2020, Film Distribution segment results include impairment losses of $5.4 million and $9.9 million, respectively, to write-down the carrying value of certain documentary and alternative content film assets due to a decrease in projected box office totals and related revenues based on management’s regular quarterly recoverability assessments. No such charges were incurred in the three and nine months ended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58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212"/>
        </w:trPr>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7"/>
        </w:trPr>
        <w:tc>
          <w:tcPr>
            <w:tcW w:w="394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19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22,203</w:t>
            </w:r>
          </w:p>
        </w:tc>
        <w:tc>
          <w:tcPr>
            <w:tcW w:w="4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19,346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75,634</w:t>
            </w:r>
          </w:p>
        </w:tc>
        <w:tc>
          <w:tcPr>
            <w:tcW w:w="140" w:type="dxa"/>
            <w:vAlign w:val="bottom"/>
          </w:tcPr>
          <w:p>
            <w:pPr>
              <w:spacing w:after="0"/>
              <w:rPr>
                <w:sz w:val="19"/>
                <w:szCs w:val="19"/>
                <w:color w:val="auto"/>
              </w:rPr>
            </w:pP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26,008</w:t>
            </w:r>
          </w:p>
        </w:tc>
      </w:tr>
      <w:tr>
        <w:trPr>
          <w:trHeight w:val="228"/>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16,469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34,275</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21,112</w:t>
            </w:r>
          </w:p>
        </w:tc>
      </w:tr>
      <w:tr>
        <w:trPr>
          <w:trHeight w:val="227"/>
        </w:trPr>
        <w:tc>
          <w:tcPr>
            <w:tcW w:w="3940" w:type="dxa"/>
            <w:vAlign w:val="bottom"/>
            <w:gridSpan w:val="2"/>
          </w:tcPr>
          <w:p>
            <w:pPr>
              <w:spacing w:after="0"/>
              <w:rPr>
                <w:sz w:val="20"/>
                <w:szCs w:val="20"/>
                <w:color w:val="auto"/>
              </w:rPr>
            </w:pPr>
            <w:r>
              <w:rPr>
                <w:rFonts w:ascii="Arial" w:cs="Arial" w:eastAsia="Arial" w:hAnsi="Arial"/>
                <w:sz w:val="18"/>
                <w:szCs w:val="18"/>
                <w:color w:val="auto"/>
              </w:rPr>
              <w:t>Western Europe</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11,160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10,273</w:t>
            </w:r>
          </w:p>
        </w:tc>
      </w:tr>
      <w:tr>
        <w:trPr>
          <w:trHeight w:val="228"/>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12,837</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12,663</w:t>
            </w:r>
          </w:p>
        </w:tc>
      </w:tr>
      <w:tr>
        <w:trPr>
          <w:trHeight w:val="227"/>
        </w:trPr>
        <w:tc>
          <w:tcPr>
            <w:tcW w:w="3940" w:type="dxa"/>
            <w:vAlign w:val="bottom"/>
            <w:gridSpan w:val="2"/>
          </w:tcPr>
          <w:p>
            <w:pPr>
              <w:spacing w:after="0"/>
              <w:rPr>
                <w:sz w:val="20"/>
                <w:szCs w:val="20"/>
                <w:color w:val="auto"/>
              </w:rPr>
            </w:pPr>
            <w:r>
              <w:rPr>
                <w:rFonts w:ascii="Arial" w:cs="Arial" w:eastAsia="Arial" w:hAnsi="Arial"/>
                <w:sz w:val="18"/>
                <w:szCs w:val="18"/>
                <w:color w:val="auto"/>
              </w:rPr>
              <w:t>Russia &amp; the CIS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4,577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2,962</w:t>
            </w:r>
          </w:p>
        </w:tc>
      </w:tr>
      <w:tr>
        <w:trPr>
          <w:trHeight w:val="228"/>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1,579</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3,251</w:t>
            </w:r>
          </w:p>
        </w:tc>
      </w:tr>
      <w:tr>
        <w:trPr>
          <w:trHeight w:val="227"/>
        </w:trPr>
        <w:tc>
          <w:tcPr>
            <w:tcW w:w="39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1,327</w:t>
            </w:r>
          </w:p>
        </w:tc>
      </w:tr>
      <w:tr>
        <w:trPr>
          <w:trHeight w:val="228"/>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 of the World</w:t>
            </w:r>
          </w:p>
        </w:tc>
        <w:tc>
          <w:tcPr>
            <w:tcW w:w="17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5,629</w:t>
            </w:r>
          </w:p>
        </w:tc>
        <w:tc>
          <w:tcPr>
            <w:tcW w:w="1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3,417</w:t>
            </w:r>
          </w:p>
        </w:tc>
      </w:tr>
      <w:tr>
        <w:trPr>
          <w:trHeight w:val="220"/>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56,602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37,256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146,311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81,013</w:t>
            </w:r>
          </w:p>
        </w:tc>
      </w:tr>
      <w:tr>
        <w:trPr>
          <w:trHeight w:val="20"/>
        </w:trPr>
        <w:tc>
          <w:tcPr>
            <w:tcW w:w="1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 in the three and nine months ended September 30,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ind w:left="320" w:hanging="313"/>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September 30, 2021 and December 31, 2020, the Company’s projected benefit obligation and unfunded status related to the SERP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Obligation, beginning of period</w:t>
            </w:r>
          </w:p>
        </w:tc>
        <w:tc>
          <w:tcPr>
            <w:tcW w:w="2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20,116</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18,840</w:t>
            </w: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cost</w:t>
            </w:r>
          </w:p>
        </w:tc>
        <w:tc>
          <w:tcPr>
            <w:tcW w:w="2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379</w:t>
            </w: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Actuarial gain</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897</w:t>
            </w:r>
          </w:p>
        </w:tc>
      </w:tr>
      <w:tr>
        <w:trPr>
          <w:trHeight w:val="220"/>
        </w:trPr>
        <w:tc>
          <w:tcPr>
            <w:tcW w:w="566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Obligation, end of period and unfunded status</w:t>
            </w:r>
            <w:r>
              <w:rPr>
                <w:rFonts w:ascii="Arial" w:cs="Arial" w:eastAsia="Arial" w:hAnsi="Arial"/>
                <w:sz w:val="15"/>
                <w:szCs w:val="15"/>
                <w:color w:val="auto"/>
              </w:rPr>
              <w:t>(1)</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20,170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20,116</w:t>
            </w: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r>
    </w:tbl>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accumulated benefit obligation for the SERP was $20.2 million at September 30, 2021 (December 31, 2020 — $20.1 million).</w:t>
      </w:r>
    </w:p>
    <w:p>
      <w:pPr>
        <w:spacing w:after="0" w:line="180"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7"/>
          <w:szCs w:val="17"/>
          <w:color w:val="auto"/>
        </w:rPr>
        <w:t>For the three and nine months ended September 30, 2021, the Company recorded interest costs of less than $0.1 million and $0.1 million, respectively (2020 — $0.1 million and $0.3 million, respectively) related to the SERP. The Company expects to recognize additional interest costs of less than $0.1 million related to the SERP during the remainder of 2021. No contributions are expected to be made to the SERP in 2021.</w:t>
      </w:r>
    </w:p>
    <w:p>
      <w:pPr>
        <w:spacing w:after="0" w:line="12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Defined Contribution Pension Plan</w:t>
      </w:r>
    </w:p>
    <w:p>
      <w:pPr>
        <w:spacing w:after="0" w:line="180"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nine months ended September 30, 2021, the Company contributed and recorded expense of $0.3 million and $0.8 million, respectively (2020 — $0.3 million and $0.8 million, respectively) to its Canadian defined contribution plan and $0.1 million and $0.4 million, respectively (2020 — $0.1 million and $0.5 million, respectively) to its defined contribution employee plan under Section 401(k) of the U.S. Internal Revenue Code.</w:t>
      </w:r>
    </w:p>
    <w:p>
      <w:pPr>
        <w:spacing w:after="0" w:line="13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Postretirement Benefits – Executives</w:t>
      </w:r>
    </w:p>
    <w:p>
      <w:pPr>
        <w:spacing w:after="0" w:line="180"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7"/>
          <w:szCs w:val="17"/>
          <w:color w:val="auto"/>
        </w:rPr>
        <w:t>The Company has an unfunded postretirement plan for Mr. Gelfond and Bradley J. Wechsler, former Chairman of the Company’s Board of Directors. The plan provides that the Company will maintain health benefits for Messrs. Gelfond and Wechsler until they become eligible for Medicare and, thereafter, the Company will provide Medicare supplemental coverage as selected by Messrs. Gelfond and Wechsler. As of September 30, 2021, the Company’s postretirement benefits obligation under this plan is $0.7 million (December 31, 2020 — $0.7 million). For the three and nine months ended September 30, 2021, the Company has recorded an expense of less than $0.1 million (2020 — less than $0.1 million) related to this plan. Mr. Wechsler retired from the Company’s Board of Directors on June 9, 2021. The Company will maintain Mr. Wechsler’s current health benefits through December 31, 2021, and thereafter will provide him with Medicare supplemental coverage.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2" w:name="page43"/>
    <w:bookmarkEnd w:id="42"/>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Postretirement Benefits – Canadian Employees</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an unfunded postretirement plan for its Canadian employees meeting specific eligibility requirements. The Company will provide eligible participants, upon retirement, with health and welfare benefits. As of September 30, 2021, the Company’s postretirement benefits obligation under this plan is $1.8 million (December 31, 2020 — $1.9 million). For the three and nine months ended September 30, 2021, the Company has recorded expense of less than $0.1 million (2020 — less than $0.1 million and $0.1 million, respectively) related to this plan.</w:t>
      </w:r>
    </w:p>
    <w:p>
      <w:pPr>
        <w:spacing w:after="0" w:line="146"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Deferred Compensation Benefit Plan</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5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September 30, 2021, the benefit obligation related to the Retirement Plan was $3.8 million (December 31, 2020 — $3.7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Retirement Plan is funded by an investment in company-owned life insurance (“COLI”), which is recorded at its fair value on the Company’s Condensed Consolidated Balance Sheets within Prepaid Expenses. As of September 30, 2021, fair value of the COLI asset was $3.2 million (December 31, 2020 — $3.2 million). Gains and losses resulting from changes in the cash surrender value of the COLI asset are recognized in the Condensed Consolidated Statements of Operations within Realized and Unrealized Investment Gains (Losses).</w:t>
      </w:r>
    </w:p>
    <w:p>
      <w:pPr>
        <w:spacing w:after="0" w:line="158"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maintains cash with various major financial institutions. The Company’s cash is invested with highly rated financial institutions. The Company’s $193.0 million balance of cash and cash equivalents as of September 30, 2021 includes $101.0 million in cash held outside of Canada (December 31, 2020 — $89.9 million), of which $70.3 million was held in the PRC (December 31, 2020 — $77.2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Fair Value Measurements</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As of September 30, 2021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35"/>
              <w:spacing w:after="0" w:line="13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5000" w:type="dxa"/>
            <w:vAlign w:val="bottom"/>
            <w:gridSpan w:val="4"/>
          </w:tcPr>
          <w:p>
            <w:pPr>
              <w:spacing w:after="0"/>
              <w:rPr>
                <w:sz w:val="20"/>
                <w:szCs w:val="20"/>
                <w:color w:val="auto"/>
              </w:rPr>
            </w:pPr>
            <w:r>
              <w:rPr>
                <w:rFonts w:ascii="Arial" w:cs="Arial" w:eastAsia="Arial" w:hAnsi="Arial"/>
                <w:sz w:val="14"/>
                <w:szCs w:val="14"/>
                <w:i w:val="1"/>
                <w:iCs w:val="1"/>
                <w:color w:val="auto"/>
              </w:rPr>
              <w:t>(In thousands of U.S. Dollars)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top w:val="single" w:sz="8" w:color="CFF0FC"/>
            </w:tcBorders>
            <w:gridSpan w:val="3"/>
            <w:shd w:val="clear" w:color="auto" w:fill="CFF0FC"/>
          </w:tcPr>
          <w:p>
            <w:pPr>
              <w:spacing w:after="0" w:line="181" w:lineRule="exact"/>
              <w:rPr>
                <w:sz w:val="20"/>
                <w:szCs w:val="20"/>
                <w:color w:val="auto"/>
              </w:rPr>
            </w:pPr>
            <w:r>
              <w:rPr>
                <w:rFonts w:ascii="Arial" w:cs="Arial" w:eastAsia="Arial" w:hAnsi="Arial"/>
                <w:sz w:val="18"/>
                <w:szCs w:val="18"/>
                <w:color w:val="auto"/>
              </w:rPr>
              <w:t>Level 1</w:t>
            </w:r>
          </w:p>
        </w:tc>
        <w:tc>
          <w:tcPr>
            <w:tcW w:w="8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193,008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193,008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317,379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317,379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(2)</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13,633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80" w:type="dxa"/>
            <w:vAlign w:val="bottom"/>
            <w:gridSpan w:val="3"/>
          </w:tcPr>
          <w:p>
            <w:pPr>
              <w:spacing w:after="0" w:line="187" w:lineRule="exact"/>
              <w:rPr>
                <w:sz w:val="20"/>
                <w:szCs w:val="20"/>
                <w:color w:val="auto"/>
              </w:rPr>
            </w:pPr>
            <w:r>
              <w:rPr>
                <w:rFonts w:ascii="Arial" w:cs="Arial" w:eastAsia="Arial" w:hAnsi="Arial"/>
                <w:sz w:val="18"/>
                <w:szCs w:val="18"/>
                <w:color w:val="auto"/>
              </w:rPr>
              <w:t>Level 2</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financed sales receivables</w:t>
            </w:r>
            <w:r>
              <w:rPr>
                <w:rFonts w:ascii="Arial" w:cs="Arial" w:eastAsia="Arial" w:hAnsi="Arial"/>
                <w:sz w:val="15"/>
                <w:szCs w:val="15"/>
                <w:color w:val="auto"/>
              </w:rPr>
              <w:t>(3)</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113,200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113,210</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112,396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112,603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Net investment in sales-type leases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22,002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21,850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19,414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COLI</w:t>
            </w:r>
            <w:r>
              <w:rPr>
                <w:rFonts w:ascii="Arial" w:cs="Arial" w:eastAsia="Arial" w:hAnsi="Arial"/>
                <w:sz w:val="15"/>
                <w:szCs w:val="15"/>
                <w:color w:val="auto"/>
              </w:rPr>
              <w:t>(4)</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3,244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Foreign exchange contracts — non-designated forwards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Facility borrowings</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Credit Facility borrowings</w:t>
            </w:r>
            <w:r>
              <w:rPr>
                <w:rFonts w:ascii="Arial" w:cs="Arial" w:eastAsia="Arial" w:hAnsi="Arial"/>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(224,574)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 is determined using quoted prices in active markets.</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80" w:lineRule="exact"/>
        <w:rPr>
          <w:rFonts w:ascii="Arial" w:cs="Arial" w:eastAsia="Arial" w:hAnsi="Arial"/>
          <w:sz w:val="18"/>
          <w:szCs w:val="18"/>
          <w:color w:val="auto"/>
        </w:rPr>
      </w:pPr>
    </w:p>
    <w:p>
      <w:pPr>
        <w:ind w:left="240" w:right="920" w:hanging="233"/>
        <w:spacing w:after="0" w:line="505" w:lineRule="auto"/>
        <w:tabs>
          <w:tab w:leader="none" w:pos="3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Fair value is determined using quoted market prices that are observable in the market or that could be derived from observable market data. The Company did not have any material amounts of Level 3 assets or liabilities as of September 30, 2021 and December 31, 2020.</w:t>
      </w:r>
    </w:p>
    <w:p>
      <w:pPr>
        <w:ind w:left="600" w:hanging="379"/>
        <w:spacing w:after="0"/>
        <w:tabs>
          <w:tab w:leader="none" w:pos="600" w:val="left"/>
        </w:tabs>
        <w:numPr>
          <w:ilvl w:val="1"/>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 Risk Management</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85 different countries, unfavourable exchange rates between applicable local currencies and the U.S. Dollar affect the Company’s reported gross box-office receipts and revenues, further impacting the Company’s results of operations. The Company’s policy is to not use any financial instruments for trading or other speculative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jc w:val="both"/>
        <w:ind w:firstLine="225"/>
        <w:spacing w:after="0" w:line="265"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at September 30, 2021 (the “Foreign Currency Hedges”), with settlement dates throughout 2022.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Other Comprehensive (Loss) Income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(Loss) Income and reclassified to Inventories in the Condensed Consolidated Balance Sheets when the forecasted transaction occurs. Any ineffective portion is recognized immediately in the Condensed Consolidated Statements of Operations.</w:t>
      </w:r>
    </w:p>
    <w:p>
      <w:pPr>
        <w:spacing w:after="0" w:line="16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Notional value of foreign exchange contracts</w:t>
      </w:r>
      <w:r>
        <w:rPr>
          <w:rFonts w:ascii="Arial" w:cs="Arial" w:eastAsia="Arial" w:hAnsi="Arial"/>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380" w:type="dxa"/>
            <w:vAlign w:val="bottom"/>
            <w:tcBorders>
              <w:bottom w:val="single" w:sz="8" w:color="CFF0FC"/>
            </w:tcBorders>
          </w:tcPr>
          <w:p>
            <w:pPr>
              <w:spacing w:after="0"/>
              <w:rPr>
                <w:sz w:val="17"/>
                <w:szCs w:val="17"/>
                <w:color w:val="auto"/>
              </w:rPr>
            </w:pPr>
          </w:p>
        </w:tc>
        <w:tc>
          <w:tcPr>
            <w:tcW w:w="27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0"/>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24,642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28"/>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CFF0FC"/>
            </w:tcBorders>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Borders>
              <w:bottom w:val="single" w:sz="8" w:color="CFF0FC"/>
            </w:tcBorders>
          </w:tcPr>
          <w:p>
            <w:pPr>
              <w:spacing w:after="0"/>
              <w:rPr>
                <w:sz w:val="19"/>
                <w:szCs w:val="19"/>
                <w:color w:val="auto"/>
              </w:rPr>
            </w:pPr>
          </w:p>
        </w:tc>
        <w:tc>
          <w:tcPr>
            <w:tcW w:w="27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1,123</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20"/>
        </w:trPr>
        <w:tc>
          <w:tcPr>
            <w:tcW w:w="24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25,765</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31,910</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240"/>
              <w:spacing w:after="0"/>
              <w:rPr>
                <w:sz w:val="20"/>
                <w:szCs w:val="20"/>
                <w:color w:val="auto"/>
              </w:rPr>
            </w:pPr>
            <w:r>
              <w:rPr>
                <w:rFonts w:ascii="Arial" w:cs="Arial" w:eastAsia="Arial" w:hAnsi="Arial"/>
                <w:sz w:val="18"/>
                <w:szCs w:val="18"/>
                <w:color w:val="auto"/>
                <w:w w:val="98"/>
              </w:rPr>
              <w:t>Fair value of derivatives in foreign exchange contracts:</w:t>
            </w: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38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56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308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0"/>
        </w:trPr>
        <w:tc>
          <w:tcPr>
            <w:tcW w:w="45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08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7"/>
        </w:trPr>
        <w:tc>
          <w:tcPr>
            <w:tcW w:w="240" w:type="dxa"/>
            <w:vAlign w:val="bottom"/>
            <w:shd w:val="clear" w:color="auto" w:fill="CFF0FC"/>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560" w:type="dxa"/>
            <w:vAlign w:val="bottom"/>
            <w:gridSpan w:val="3"/>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Foreign exchange contracts — Forwards</w:t>
            </w:r>
          </w:p>
        </w:tc>
        <w:tc>
          <w:tcPr>
            <w:tcW w:w="3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7"/>
        </w:trPr>
        <w:tc>
          <w:tcPr>
            <w:tcW w:w="240" w:type="dxa"/>
            <w:vAlign w:val="bottom"/>
            <w:tcBorders>
              <w:bottom w:val="single" w:sz="8" w:color="CFF0FC"/>
            </w:tcBorders>
          </w:tcPr>
          <w:p>
            <w:pPr>
              <w:spacing w:after="0"/>
              <w:rPr>
                <w:sz w:val="19"/>
                <w:szCs w:val="19"/>
                <w:color w:val="auto"/>
              </w:rPr>
            </w:pPr>
          </w:p>
        </w:tc>
        <w:tc>
          <w:tcPr>
            <w:tcW w:w="38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30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and other liabilities</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4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Derivatives in foreign currency hedging relationships are as follows</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262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20"/>
        </w:trPr>
        <w:tc>
          <w:tcPr>
            <w:tcW w:w="26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Derivative (Loss) Gain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720" w:type="dxa"/>
            <w:vAlign w:val="bottom"/>
          </w:tcPr>
          <w:p>
            <w:pPr>
              <w:ind w:left="120"/>
              <w:spacing w:after="0"/>
              <w:rPr>
                <w:sz w:val="20"/>
                <w:szCs w:val="20"/>
                <w:color w:val="auto"/>
              </w:rPr>
            </w:pPr>
            <w:r>
              <w:rPr>
                <w:rFonts w:ascii="Arial" w:cs="Arial" w:eastAsia="Arial" w:hAnsi="Arial"/>
                <w:sz w:val="18"/>
                <w:szCs w:val="18"/>
                <w:color w:val="auto"/>
              </w:rPr>
              <w:t>Recognized in OCI</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(Effective Portion)</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4"/>
                <w:szCs w:val="14"/>
                <w:b w:val="1"/>
                <w:bCs w:val="1"/>
                <w:color w:val="auto"/>
                <w:w w:val="92"/>
              </w:rPr>
              <w:t>Location of Derivative Gain (Loss)</w:t>
            </w: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6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Reclassified from AOCI</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8"/>
                <w:szCs w:val="18"/>
                <w:color w:val="auto"/>
              </w:rPr>
            </w:pPr>
          </w:p>
        </w:tc>
        <w:tc>
          <w:tcPr>
            <w:tcW w:w="262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20"/>
        </w:trPr>
        <w:tc>
          <w:tcPr>
            <w:tcW w:w="26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72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0"/>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8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Derivative Loss Recognized In</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7"/>
        </w:trPr>
        <w:tc>
          <w:tcPr>
            <w:tcW w:w="230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880" w:type="dxa"/>
            <w:vAlign w:val="bottom"/>
          </w:tcPr>
          <w:p>
            <w:pPr>
              <w:ind w:left="440"/>
              <w:spacing w:after="0"/>
              <w:rPr>
                <w:sz w:val="20"/>
                <w:szCs w:val="20"/>
                <w:color w:val="auto"/>
              </w:rPr>
            </w:pPr>
            <w:r>
              <w:rPr>
                <w:rFonts w:ascii="Arial" w:cs="Arial" w:eastAsia="Arial" w:hAnsi="Arial"/>
                <w:sz w:val="18"/>
                <w:szCs w:val="18"/>
                <w:color w:val="auto"/>
              </w:rPr>
              <w:t>and Out of OCI</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2300" w:type="dxa"/>
            <w:vAlign w:val="bottom"/>
            <w:shd w:val="clear" w:color="auto" w:fill="CFF0FC"/>
          </w:tcPr>
          <w:p>
            <w:pPr>
              <w:spacing w:after="0"/>
              <w:rPr>
                <w:sz w:val="19"/>
                <w:szCs w:val="19"/>
                <w:color w:val="auto"/>
              </w:rPr>
            </w:pPr>
          </w:p>
        </w:tc>
        <w:tc>
          <w:tcPr>
            <w:tcW w:w="2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(Effective Portion)</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30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estimated net amount of the existing loss as of September 30, 2021 is $0.2 million, which is expected to be reclassified to earnings within the next twelve months.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Non-designated derivatives in foreign currency relationships are as follows</w:t>
      </w:r>
      <w:r>
        <w:rPr>
          <w:rFonts w:ascii="Arial" w:cs="Arial" w:eastAsia="Arial" w:hAnsi="Arial"/>
          <w:sz w:val="18"/>
          <w:szCs w:val="18"/>
          <w:color w:val="auto"/>
        </w:rPr>
        <w: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8"/>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220"/>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Borders>
              <w:bottom w:val="single" w:sz="8" w:color="CFF0FC"/>
            </w:tcBorders>
          </w:tcPr>
          <w:p>
            <w:pPr>
              <w:spacing w:after="0"/>
              <w:rPr>
                <w:sz w:val="19"/>
                <w:szCs w:val="19"/>
                <w:color w:val="auto"/>
              </w:rPr>
            </w:pPr>
          </w:p>
        </w:tc>
        <w:tc>
          <w:tcPr>
            <w:tcW w:w="2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0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Derivative Gain Reclassified</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30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340" w:type="dxa"/>
            <w:vAlign w:val="bottom"/>
          </w:tcPr>
          <w:p>
            <w:pPr>
              <w:spacing w:after="0"/>
              <w:rPr>
                <w:sz w:val="19"/>
                <w:szCs w:val="19"/>
                <w:color w:val="auto"/>
              </w:rPr>
            </w:pPr>
          </w:p>
        </w:tc>
        <w:tc>
          <w:tcPr>
            <w:tcW w:w="2720" w:type="dxa"/>
            <w:vAlign w:val="bottom"/>
          </w:tcPr>
          <w:p>
            <w:pPr>
              <w:ind w:left="100"/>
              <w:spacing w:after="0"/>
              <w:rPr>
                <w:sz w:val="20"/>
                <w:szCs w:val="20"/>
                <w:color w:val="auto"/>
              </w:rPr>
            </w:pPr>
            <w:r>
              <w:rPr>
                <w:rFonts w:ascii="Arial" w:cs="Arial" w:eastAsia="Arial" w:hAnsi="Arial"/>
                <w:sz w:val="18"/>
                <w:szCs w:val="18"/>
                <w:color w:val="auto"/>
              </w:rPr>
              <w:t>From AOCI</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(Ineffective Portion)</w:t>
            </w:r>
          </w:p>
        </w:tc>
        <w:tc>
          <w:tcPr>
            <w:tcW w:w="32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1260" w:type="dxa"/>
            <w:vAlign w:val="bottom"/>
            <w:gridSpan w:val="3"/>
            <w:shd w:val="clear" w:color="auto" w:fill="CFF0FC"/>
          </w:tcPr>
          <w:p>
            <w:pPr>
              <w:jc w:val="center"/>
              <w:ind w:left="381"/>
              <w:spacing w:after="0"/>
              <w:rPr>
                <w:sz w:val="20"/>
                <w:szCs w:val="20"/>
                <w:color w:val="auto"/>
              </w:rPr>
            </w:pPr>
            <w:r>
              <w:rPr>
                <w:rFonts w:ascii="Arial" w:cs="Arial" w:eastAsia="Arial" w:hAnsi="Arial"/>
                <w:sz w:val="18"/>
                <w:szCs w:val="18"/>
                <w:color w:val="auto"/>
                <w:w w:val="95"/>
              </w:rPr>
              <w:t>(318)</w:t>
            </w: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2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1"/>
        </w:trPr>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8"/>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220"/>
        </w:trPr>
        <w:tc>
          <w:tcPr>
            <w:tcW w:w="23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06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 of Derivative (Loss) Gain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30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34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left="661"/>
              <w:spacing w:after="0"/>
              <w:rPr>
                <w:sz w:val="20"/>
                <w:szCs w:val="20"/>
                <w:color w:val="auto"/>
              </w:rPr>
            </w:pPr>
            <w:r>
              <w:rPr>
                <w:rFonts w:ascii="Arial" w:cs="Arial" w:eastAsia="Arial" w:hAnsi="Arial"/>
                <w:sz w:val="18"/>
                <w:szCs w:val="18"/>
                <w:color w:val="auto"/>
                <w:w w:val="93"/>
              </w:rPr>
              <w:t>269</w:t>
            </w:r>
          </w:p>
        </w:tc>
        <w:tc>
          <w:tcPr>
            <w:tcW w:w="240" w:type="dxa"/>
            <w:vAlign w:val="bottom"/>
          </w:tcPr>
          <w:p>
            <w:pPr>
              <w:spacing w:after="0"/>
              <w:rPr>
                <w:sz w:val="19"/>
                <w:szCs w:val="19"/>
                <w:color w:val="auto"/>
              </w:rPr>
            </w:pP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20"/>
        </w:trPr>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gridSpan w:val="2"/>
            <w:shd w:val="clear" w:color="auto" w:fill="CFF0FC"/>
          </w:tcPr>
          <w:p>
            <w:pPr>
              <w:ind w:left="700"/>
              <w:spacing w:after="0"/>
              <w:rPr>
                <w:sz w:val="20"/>
                <w:szCs w:val="20"/>
                <w:color w:val="auto"/>
              </w:rPr>
            </w:pPr>
            <w:r>
              <w:rPr>
                <w:rFonts w:ascii="Arial" w:cs="Arial" w:eastAsia="Arial" w:hAnsi="Arial"/>
                <w:sz w:val="18"/>
                <w:szCs w:val="18"/>
                <w:color w:val="auto"/>
                <w:w w:val="76"/>
              </w:rPr>
              <w:t>(122)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center"/>
              <w:ind w:left="661"/>
              <w:spacing w:after="0"/>
              <w:rPr>
                <w:sz w:val="20"/>
                <w:szCs w:val="20"/>
                <w:color w:val="auto"/>
              </w:rPr>
            </w:pPr>
            <w:r>
              <w:rPr>
                <w:rFonts w:ascii="Arial" w:cs="Arial" w:eastAsia="Arial" w:hAnsi="Arial"/>
                <w:sz w:val="18"/>
                <w:szCs w:val="18"/>
                <w:color w:val="auto"/>
                <w:w w:val="93"/>
              </w:rPr>
              <w:t>269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Investments in Equity Securities</w:t>
      </w:r>
    </w:p>
    <w:p>
      <w:pPr>
        <w:spacing w:after="0" w:line="180"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As of September 30, 2021, the Condensed Consolidated Balance Sheets includes $1.1 million (December 31, 2020 — $13.6 million) of investments in equity securities.</w:t>
      </w:r>
    </w:p>
    <w:p>
      <w:pPr>
        <w:spacing w:after="0" w:line="13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Condensed Consolidated Statements of Operations. For the three and nine months ended September 30, 2020, the fair value of the Company’s investment in Maoyan experienced an unrealized gain of $1.6 million and loss of $(0.9) million, respectively. As of December 31, 2020, the value of the Company’s investment in Maoyan was $12.6 million.</w:t>
      </w:r>
    </w:p>
    <w:p>
      <w:pPr>
        <w:spacing w:after="0" w:line="14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an investment of $1.1 million (December 31, 2020 — $1.1 million) in the shares of an exchange traded fund. This investment is classified as an equity investment.</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of September 30, 2021, the Company held investments in the preferred shares of enterprises which meet the criteria for classification as an equity security under FASB ASC 321, carried at historical cost, net of impairment charges. The carrying value of these equity security investments was $1.0 million at September 30, 2021 (December 31, 2020 — $1.0 million) and is recorded in Other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6" w:name="page47"/>
    <w:bookmarkEnd w:id="46"/>
    <w:p>
      <w:pPr>
        <w:ind w:left="320" w:hanging="313"/>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indirectly owns 69.83% of IMAX China Holding, Inc. (“IMAX China”), whose shares trade on the Hong Kong Stock Exchange. IMAX China remains a consolidated subsidiary of the Company. As of September 30, 2021, the balance of the Company’s non-controlling interest in IMAX China is $82.8 million. For the three and nine months ended September 30, 2021, the net income attributable to the non-controlling interest in IMAX China is $2.0 million and $9.5 million, respectively (2020 — net income of $2.2 million and net loss of $(10.3) million, respectively).</w:t>
      </w:r>
    </w:p>
    <w:p>
      <w:pPr>
        <w:spacing w:after="0" w:line="13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Other Non-Controlling Interest</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September 30, 2021,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5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Non-Controlling Interest in Temporary Equity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movement of the non-controlling interest in temporary equity related to the Original Film Fund for the nine months ended September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759</w:t>
            </w:r>
          </w:p>
        </w:tc>
      </w:tr>
      <w:tr>
        <w:trPr>
          <w:trHeight w:val="227"/>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r>
      <w:tr>
        <w:trPr>
          <w:trHeight w:val="220"/>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840" w:type="dxa"/>
            <w:vAlign w:val="bottom"/>
            <w:tcBorders>
              <w:bottom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760</w:t>
            </w: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jc w:val="both"/>
        <w:ind w:right="20" w:firstLine="225"/>
        <w:spacing w:after="0" w:line="281"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and nine months ended September 30, 2021 and 2020. MD&amp;A should be read in conjunction with Note 14, "Segment Reporting" in the accompanying Condensed Consolidated Financial Statements in Item 1.</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September 30, 2021, the Company indirectly owns 69.83% of IMAX China Holding, Inc. (“IMAX China”), whose shares trade on the Hong Kong Stock Exchange. IMAX China is a consolidated subsidiary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98"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Arial" w:cs="Arial" w:eastAsia="Arial" w:hAnsi="Arial"/>
          <w:sz w:val="13"/>
          <w:szCs w:val="13"/>
          <w:color w:val="auto"/>
        </w:rPr>
        <w:t>®</w:t>
      </w:r>
      <w:r>
        <w:rPr>
          <w:rFonts w:ascii="Arial" w:cs="Arial" w:eastAsia="Arial" w:hAnsi="Arial"/>
          <w:sz w:val="16"/>
          <w:szCs w:val="16"/>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recent consolidation among commercial exhibitors and studios; risks related to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the Company’s indebtedness and compliance with its debt agreements; general economic, market or business conditions; the failure to convert theater system backlog into revenue; changes in laws or regulations; the failure to fully realize the projected cost savings and benefits from any of the Company’s restructuring initiatives; any statements of belief and any statements of assumptions underlying any of the foregoing; other factors and risks outlined in the Company’s periodic filings with the United States Securities and Exchange Commission (the “SEC”);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133"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51"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filings and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IMAX</w:t>
      </w:r>
      <w:r>
        <w:rPr>
          <w:rFonts w:ascii="Arial" w:cs="Arial" w:eastAsia="Arial" w:hAnsi="Arial"/>
          <w:sz w:val="15"/>
          <w:szCs w:val="15"/>
          <w:color w:val="auto"/>
        </w:rPr>
        <w:t>®</w:t>
      </w:r>
      <w:r>
        <w:rPr>
          <w:rFonts w:ascii="Arial" w:cs="Arial" w:eastAsia="Arial" w:hAnsi="Arial"/>
          <w:sz w:val="18"/>
          <w:szCs w:val="18"/>
          <w:color w:val="auto"/>
        </w:rPr>
        <w:t>, IMAX</w:t>
      </w:r>
      <w:r>
        <w:rPr>
          <w:rFonts w:ascii="Arial" w:cs="Arial" w:eastAsia="Arial" w:hAnsi="Arial"/>
          <w:sz w:val="15"/>
          <w:szCs w:val="15"/>
          <w:color w:val="auto"/>
        </w:rPr>
        <w:t>®</w:t>
      </w:r>
      <w:r>
        <w:rPr>
          <w:rFonts w:ascii="Arial" w:cs="Arial" w:eastAsia="Arial" w:hAnsi="Arial"/>
          <w:sz w:val="18"/>
          <w:szCs w:val="18"/>
          <w:color w:val="auto"/>
        </w:rPr>
        <w:t xml:space="preserve"> Dome, IMAX</w:t>
      </w:r>
      <w:r>
        <w:rPr>
          <w:rFonts w:ascii="Arial" w:cs="Arial" w:eastAsia="Arial" w:hAnsi="Arial"/>
          <w:sz w:val="15"/>
          <w:szCs w:val="15"/>
          <w:color w:val="auto"/>
        </w:rPr>
        <w:t>®</w:t>
      </w:r>
      <w:r>
        <w:rPr>
          <w:rFonts w:ascii="Arial" w:cs="Arial" w:eastAsia="Arial" w:hAnsi="Arial"/>
          <w:sz w:val="18"/>
          <w:szCs w:val="18"/>
          <w:color w:val="auto"/>
        </w:rPr>
        <w:t xml:space="preserve"> 3D, IMAX</w:t>
      </w:r>
      <w:r>
        <w:rPr>
          <w:rFonts w:ascii="Arial" w:cs="Arial" w:eastAsia="Arial" w:hAnsi="Arial"/>
          <w:sz w:val="15"/>
          <w:szCs w:val="15"/>
          <w:color w:val="auto"/>
        </w:rPr>
        <w:t>®</w:t>
      </w:r>
      <w:r>
        <w:rPr>
          <w:rFonts w:ascii="Arial" w:cs="Arial" w:eastAsia="Arial" w:hAnsi="Arial"/>
          <w:sz w:val="18"/>
          <w:szCs w:val="18"/>
          <w:color w:val="auto"/>
        </w:rPr>
        <w:t xml:space="preserve"> 3D Dome, Experience It In IMAX</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IMAX DMR</w:t>
      </w:r>
      <w:r>
        <w:rPr>
          <w:rFonts w:ascii="Arial" w:cs="Arial" w:eastAsia="Arial" w:hAnsi="Arial"/>
          <w:sz w:val="15"/>
          <w:szCs w:val="15"/>
          <w:color w:val="auto"/>
        </w:rPr>
        <w:t>®</w:t>
      </w:r>
      <w:r>
        <w:rPr>
          <w:rFonts w:ascii="Arial" w:cs="Arial" w:eastAsia="Arial" w:hAnsi="Arial"/>
          <w:sz w:val="18"/>
          <w:szCs w:val="18"/>
          <w:color w:val="auto"/>
        </w:rPr>
        <w:t>, DMR</w:t>
      </w:r>
      <w:r>
        <w:rPr>
          <w:rFonts w:ascii="Arial" w:cs="Arial" w:eastAsia="Arial" w:hAnsi="Arial"/>
          <w:sz w:val="15"/>
          <w:szCs w:val="15"/>
          <w:color w:val="auto"/>
        </w:rPr>
        <w:t>®</w:t>
      </w:r>
      <w:r>
        <w:rPr>
          <w:rFonts w:ascii="Arial" w:cs="Arial" w:eastAsia="Arial" w:hAnsi="Arial"/>
          <w:sz w:val="18"/>
          <w:szCs w:val="18"/>
          <w:color w:val="auto"/>
        </w:rPr>
        <w:t>, IMAX nXos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15"/>
          <w:szCs w:val="15"/>
          <w:color w:val="auto"/>
        </w:rPr>
        <w:t>®</w:t>
      </w:r>
      <w:r>
        <w:rPr>
          <w:rFonts w:ascii="Arial" w:cs="Arial" w:eastAsia="Arial" w:hAnsi="Arial"/>
          <w:sz w:val="18"/>
          <w:szCs w:val="18"/>
          <w:color w:val="auto"/>
        </w:rPr>
        <w:t>, are trademarks and trade names of the Company or its subsidiaries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or otherwise protected under laws of various jurisdictions.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w:t>
      </w:r>
      <w:r>
        <w:rPr>
          <w:rFonts w:ascii="Arial" w:cs="Arial" w:eastAsia="Arial" w:hAnsi="Arial"/>
          <w:sz w:val="14"/>
          <w:szCs w:val="14"/>
          <w:color w:val="auto"/>
        </w:rPr>
        <w:t>®</w:t>
      </w:r>
      <w:r>
        <w:rPr>
          <w:rFonts w:ascii="Arial" w:cs="Arial" w:eastAsia="Arial" w:hAnsi="Arial"/>
          <w:sz w:val="17"/>
          <w:szCs w:val="17"/>
          <w:color w:val="auto"/>
        </w:rPr>
        <w:t xml:space="preserve"> brand has become known globally. Top filmmakers and movie studios utilize the cutting-edge visual and sound technology of IMAX to connect with audiences in innovative ways, and, as a result, the IMAX network is among the most important and successful distribution platforms for major films and other events around the world.</w:t>
      </w:r>
    </w:p>
    <w:p>
      <w:pPr>
        <w:spacing w:after="0" w:line="13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leverages its proprietary technology and engineering in all aspects of its core business, which principally consists of the digital remastering of films and other presentations into the IMAX format (“IMAX DMR</w:t>
      </w:r>
      <w:r>
        <w:rPr>
          <w:rFonts w:ascii="Arial" w:cs="Arial" w:eastAsia="Arial" w:hAnsi="Arial"/>
          <w:sz w:val="15"/>
          <w:szCs w:val="15"/>
          <w:color w:val="auto"/>
        </w:rPr>
        <w:t>®</w:t>
      </w:r>
      <w:r>
        <w:rPr>
          <w:rFonts w:ascii="Arial" w:cs="Arial" w:eastAsia="Arial" w:hAnsi="Arial"/>
          <w:sz w:val="18"/>
          <w:szCs w:val="18"/>
          <w:color w:val="auto"/>
        </w:rPr>
        <w:t>”) and the sale or lease of premium IMAX theater systems (“IMAX Theater Systems”).</w:t>
      </w:r>
    </w:p>
    <w:p>
      <w:pPr>
        <w:spacing w:after="0" w:line="145"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Theater Systems are based on proprietary and patented image, audio and other technology developed over the course of the Company’s 53-year history. The Company’s customers for IMAX Theater Systems are principally theater exhibitors that operate commercial theaters (particularly multiplexes) and, to a much lesser extent, museums, science centers, and destination entertainment sites. The Company generally does not own the theaters in the IMAX network, but sells or leases the IMAX Theater System to the exhibitor along with a license to use its trademarks.</w:t>
      </w:r>
    </w:p>
    <w:p>
      <w:pPr>
        <w:spacing w:after="0" w:line="14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September 30, 2021, there were 1,664 IMAX Theater Systems operating in 85 countries and territories, including 1,580 commercial multiplexes, 12 commercial destinations and 72 institutional locations. This compares to 1,632 IMAX Theater Systems operating in 82 countries and territories as of September 30, 2020 including 1,542 commercial multiplexes, 13 commercial destinations and 77 institutional locations. (See the table below under “IMAX Network and Backlog” for additional information on the composition of the IMAX network.)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0" w:lineRule="exact"/>
        <w:rPr>
          <w:sz w:val="20"/>
          <w:szCs w:val="20"/>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 conversion process, which results in higher image and sound fidelity than conventional cinema experiences;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80" w:lineRule="exact"/>
        <w:rPr>
          <w:rFonts w:ascii="Arial" w:cs="Arial" w:eastAsia="Arial" w:hAnsi="Arial"/>
          <w:sz w:val="18"/>
          <w:szCs w:val="18"/>
          <w:color w:val="auto"/>
        </w:rPr>
      </w:pPr>
    </w:p>
    <w:p>
      <w:pPr>
        <w:ind w:left="600" w:hanging="379"/>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certain movies shown in IMAX theaters are filmed using proprietary IMAX film and IMAX certified digital cameras, which offer filmmakers customized guidance and a workflow process to provide further enhanced and differentiated image quality and a film aspect ratio that delivers up to 26% more image onto a movie screen.</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49" w:name="page50"/>
    <w:bookmarkEnd w:id="49"/>
    <w:p>
      <w:pPr>
        <w:jc w:val="both"/>
        <w:ind w:firstLine="225"/>
        <w:spacing w:after="0" w:line="271" w:lineRule="auto"/>
        <w:rPr>
          <w:sz w:val="20"/>
          <w:szCs w:val="20"/>
          <w:color w:val="auto"/>
        </w:rPr>
      </w:pPr>
      <w:r>
        <w:rPr>
          <w:rFonts w:ascii="Arial" w:cs="Arial" w:eastAsia="Arial" w:hAnsi="Arial"/>
          <w:sz w:val="17"/>
          <w:szCs w:val="17"/>
          <w:color w:val="auto"/>
        </w:rPr>
        <w:t xml:space="preserve">As a result of the engineering and scientific achievements that are a hallmark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4"/>
          <w:szCs w:val="14"/>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 and foreign local language movie studios.</w:t>
      </w:r>
    </w:p>
    <w:p>
      <w:pPr>
        <w:spacing w:after="0" w:line="152"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As one of the world’s leaders in entertainment technology, the Company strives to remain at the forefront of advancements in cinema technology. The Company offers IMAX with Laser, a laser projection system designed for IMAX theaters in commercial multiplexes. The Company believes that IMAX with Laser delivers increased resolution, sharper and brighter images, deeper contrast and the widest range of colors available to filmmakers today. The Company further believes that IMAX with Laser is helping facilitate the next major lease renewal and upgrade cycle for the global IMAX network.</w:t>
      </w:r>
    </w:p>
    <w:p>
      <w:pPr>
        <w:spacing w:after="0" w:line="11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and capacity restrictions have been lifted in almost all key markets and, beginning in the third quarter of 2020, movie theaters throughout the IMAX network gradually reopened. As of September 30, 2021, 93% of the theaters in the global IMAX commercial multiplex network were open at various capacities, spanning 70 countries. This included 100% of Domestic theaters (i.e., in the United States and Canada), 93% of the theaters in Greater China and 87% of the theaters in Rest of World markets.</w:t>
      </w:r>
    </w:p>
    <w:p>
      <w:pPr>
        <w:spacing w:after="0" w:line="140"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for the Company during 2020 and, to a lesser extent, during the nine months ended September 30, 2021, when compared to periods prior to the onset of the pandemic, as gross box office (“GBO”) results from the Company’s theater customers declined, the installation of certain theater systems was delayed, and maintenance services were generally suspended for theaters that were closed. In response to uncertainties associated with the pandemic, the Company took significant steps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 In addition, as a result of the financial difficulties faced by certain of the Company’s exhibition customers arising out of pandemic-related closures, although improving,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50" w:name="page51"/>
    <w:bookmarkEnd w:id="50"/>
    <w:p>
      <w:pPr>
        <w:jc w:val="both"/>
        <w:ind w:firstLine="225"/>
        <w:spacing w:after="0" w:line="284" w:lineRule="auto"/>
        <w:rPr>
          <w:sz w:val="20"/>
          <w:szCs w:val="20"/>
          <w:color w:val="auto"/>
        </w:rPr>
      </w:pPr>
      <w:r>
        <w:rPr>
          <w:rFonts w:ascii="Arial" w:cs="Arial" w:eastAsia="Arial" w:hAnsi="Arial"/>
          <w:sz w:val="16"/>
          <w:szCs w:val="16"/>
          <w:color w:val="auto"/>
        </w:rPr>
        <w:t xml:space="preserve">For the three and nine months ended September 30, 2021, GBO receipts generated by IMAX DMR films totaled $141.9 million and $360.7 million, respectively, surpassing the totals for the same periods in 2020 by $71.7 million (102%) and $192.6 million (115%), respectively. Moreover, GBO receipts for September 2021 approximated the levels achieved prior to the onset of the COVID-19 global pandemic, and GBO receipts for October 2021 have already exceeded the Company’s all-time record for that month. Management is encouraged by these box office results and believes they indicate that moviegoers are eager to return to cinemas where and when theaters are open and they feel safe. Management is further encouraged by the return of the prevalence of exclusive theatrical windows beginning with the release of </w:t>
      </w:r>
      <w:r>
        <w:rPr>
          <w:rFonts w:ascii="Arial" w:cs="Arial" w:eastAsia="Arial" w:hAnsi="Arial"/>
          <w:sz w:val="16"/>
          <w:szCs w:val="16"/>
          <w:i w:val="1"/>
          <w:iCs w:val="1"/>
          <w:color w:val="auto"/>
        </w:rPr>
        <w:t>Shang-Chi and the Legend of the Ten Rings</w:t>
      </w:r>
      <w:r>
        <w:rPr>
          <w:rFonts w:ascii="Arial" w:cs="Arial" w:eastAsia="Arial" w:hAnsi="Arial"/>
          <w:sz w:val="16"/>
          <w:szCs w:val="16"/>
          <w:color w:val="auto"/>
        </w:rPr>
        <w:t xml:space="preserve"> in September 2021, and the strong pipeline of Hollywood movies scheduled to be released for theatrical exhibition during the remainder of 2021 and in 2022. However, the impact of the COVID-19 global pandemic on the Company’s business and financial results will continue to depend on numerous evolving factors that cannot be accurately predicted and that will vary by jurisdiction and market, including the duration and scope of the pandemic, the emergence of variants of the virus, the progress made on administering vaccines, the continuing impact of the pandemic on global economic conditions and ongoing government responses to the pandemic, which could lead to further theater closures, theater capacity restrictions and/or delays in the release of films.</w:t>
      </w:r>
    </w:p>
    <w:p>
      <w:pPr>
        <w:spacing w:after="0" w:line="14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in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presentation of MD&amp;A, the Company has organized its reportable segments into the following four categories: (i) IMAX Technology Network;</w:t>
      </w:r>
    </w:p>
    <w:p>
      <w:pPr>
        <w:spacing w:after="0" w:line="43" w:lineRule="exact"/>
        <w:rPr>
          <w:sz w:val="20"/>
          <w:szCs w:val="20"/>
          <w:color w:val="auto"/>
        </w:rPr>
      </w:pPr>
    </w:p>
    <w:p>
      <w:pPr>
        <w:jc w:val="both"/>
        <w:ind w:firstLine="7"/>
        <w:spacing w:after="0" w:line="278" w:lineRule="auto"/>
        <w:tabs>
          <w:tab w:leader="none" w:pos="27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IMAX Technology Sales and Maintenance; (iii) New Business Initiatives; and (iv) Film Distribution and Post-Production. Within these four categories are the Company’s following reportable segments: (i) IMAX DMR; (ii) Joint Revenue Sharing Arrangements; (iii) IMAX Systems; (iv) IMAX Maintenance;</w:t>
      </w:r>
    </w:p>
    <w:p>
      <w:pPr>
        <w:spacing w:after="0" w:line="1" w:lineRule="exact"/>
        <w:rPr>
          <w:rFonts w:ascii="Arial" w:cs="Arial" w:eastAsia="Arial" w:hAnsi="Arial"/>
          <w:sz w:val="16"/>
          <w:szCs w:val="16"/>
          <w:color w:val="auto"/>
        </w:rPr>
      </w:pPr>
    </w:p>
    <w:p>
      <w:pPr>
        <w:ind w:firstLine="7"/>
        <w:spacing w:after="0" w:line="255"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Theater Business; (vi) New Business Initiatives; (vii) Film Distribution; and (viii) Film Post-Production. For additional details regarding the Company’s sources of revenue, refer to its Form 10-K for the year ended December 31, 2020 (the “2020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Network</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IMAX Technology Network category earns revenue based on contingent box office receipts. Included in the IMAX Technology Network category are the IMAX DMR segment and contingent rent from the Joint Revenue Sharing Arrangement (“JRSA”) segment, which are each described in more detail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has developed IMAX DMR,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1"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IMAX DMR digitally enhances the image resolution of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5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movie screen. During the nine months ended September 30, 2021, the films released to the global IMAX theater network include seven films with IMAX DNA, including five filmed with IMAX cameras and two with exclusive select scenes in expanded aspect ratio.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jc w:val="both"/>
        <w:ind w:firstLine="225"/>
        <w:spacing w:after="0" w:line="251" w:lineRule="auto"/>
        <w:rPr>
          <w:sz w:val="20"/>
          <w:szCs w:val="20"/>
          <w:color w:val="auto"/>
        </w:rPr>
      </w:pPr>
      <w:r>
        <w:rPr>
          <w:rFonts w:ascii="Arial" w:cs="Arial" w:eastAsia="Arial" w:hAnsi="Arial"/>
          <w:sz w:val="18"/>
          <w:szCs w:val="18"/>
          <w:color w:val="auto"/>
        </w:rPr>
        <w:t>Management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the year ended December 31, 2020, 17 local language IMAX DMR films were released to the IMAX network, including ten in China, three in Russia, three in Japan, and one in South Korea. During the nine months ended September 30, 2021, 24 local language IMAX DMR films were released to the IMAX network, including 16 in China and seven in Japan and one in South Korea. The Company expects to announce additional local language IMAX DMR films to be released to the IMAX network during the remainder of 2021 and in 2022.</w:t>
      </w:r>
    </w:p>
    <w:p>
      <w:pPr>
        <w:spacing w:after="0" w:line="16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During the nine months ended September 30, 2021, 47 IMAX DMR films were released to the global IMAX theater network and the following 7 additional IMAX DMR films are scheduled to be released during the remainder of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Scheduled</w:t>
            </w:r>
          </w:p>
        </w:tc>
        <w:tc>
          <w:tcPr>
            <w:tcW w:w="1920" w:type="dxa"/>
            <w:vAlign w:val="bottom"/>
          </w:tcPr>
          <w:p>
            <w:pPr>
              <w:spacing w:after="0"/>
              <w:rPr>
                <w:sz w:val="18"/>
                <w:szCs w:val="18"/>
                <w:color w:val="auto"/>
              </w:rPr>
            </w:pPr>
          </w:p>
        </w:tc>
      </w:tr>
      <w:tr>
        <w:trPr>
          <w:trHeight w:val="219"/>
        </w:trPr>
        <w:tc>
          <w:tcPr>
            <w:tcW w:w="15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center"/>
              <w:ind w:right="1420"/>
              <w:spacing w:after="0"/>
              <w:rPr>
                <w:sz w:val="20"/>
                <w:szCs w:val="20"/>
                <w:color w:val="auto"/>
              </w:rPr>
            </w:pPr>
            <w:r>
              <w:rPr>
                <w:rFonts w:ascii="Arial" w:cs="Arial" w:eastAsia="Arial" w:hAnsi="Arial"/>
                <w:sz w:val="16"/>
                <w:szCs w:val="16"/>
                <w:b w:val="1"/>
                <w:bCs w:val="1"/>
                <w:color w:val="auto"/>
                <w:w w:val="97"/>
              </w:rPr>
              <w:t>Title</w:t>
            </w:r>
          </w:p>
        </w:tc>
        <w:tc>
          <w:tcPr>
            <w:tcW w:w="160" w:type="dxa"/>
            <w:vAlign w:val="bottom"/>
            <w:tcBorders>
              <w:bottom w:val="single" w:sz="8" w:color="CFF0FC"/>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Studio</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line="218" w:lineRule="exact"/>
              <w:rPr>
                <w:sz w:val="20"/>
                <w:szCs w:val="20"/>
                <w:color w:val="auto"/>
              </w:rPr>
            </w:pPr>
            <w:r>
              <w:rPr>
                <w:rFonts w:ascii="Arial" w:cs="Arial" w:eastAsia="Arial" w:hAnsi="Arial"/>
                <w:sz w:val="15"/>
                <w:szCs w:val="15"/>
                <w:b w:val="1"/>
                <w:bCs w:val="1"/>
                <w:color w:val="auto"/>
                <w:w w:val="89"/>
              </w:rPr>
              <w:t>Release Date</w:t>
            </w:r>
            <w:r>
              <w:rPr>
                <w:rFonts w:ascii="Arial" w:cs="Arial" w:eastAsia="Arial" w:hAnsi="Arial"/>
                <w:sz w:val="25"/>
                <w:szCs w:val="25"/>
                <w:b w:val="1"/>
                <w:bCs w:val="1"/>
                <w:color w:val="auto"/>
                <w:w w:val="89"/>
                <w:vertAlign w:val="superscript"/>
              </w:rPr>
              <w:t>(1)</w:t>
            </w:r>
          </w:p>
        </w:tc>
        <w:tc>
          <w:tcPr>
            <w:tcW w:w="18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IMAX DNA</w:t>
            </w:r>
          </w:p>
        </w:tc>
      </w:tr>
      <w:tr>
        <w:trPr>
          <w:trHeight w:val="207"/>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1"/>
              </w:rPr>
              <w:t xml:space="preserve">Venom: Let There Be Carnage: The </w:t>
            </w:r>
            <w:r>
              <w:rPr>
                <w:rFonts w:ascii="Arial" w:cs="Arial" w:eastAsia="Arial" w:hAnsi="Arial"/>
                <w:sz w:val="16"/>
                <w:szCs w:val="16"/>
                <w:color w:val="auto"/>
                <w:w w:val="91"/>
              </w:rPr>
              <w:t>IMAX</w:t>
            </w:r>
            <w:r>
              <w:rPr>
                <w:rFonts w:ascii="Arial" w:cs="Arial" w:eastAsia="Arial" w:hAnsi="Arial"/>
                <w:sz w:val="16"/>
                <w:szCs w:val="16"/>
                <w:i w:val="1"/>
                <w:iCs w:val="1"/>
                <w:color w:val="auto"/>
                <w:w w:val="91"/>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8"/>
              </w:rPr>
              <w:t>October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04"/>
        </w:trPr>
        <w:tc>
          <w:tcPr>
            <w:tcW w:w="15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Universal Pictures / MGM /</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8"/>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3"/>
              </w:rPr>
              <w:t xml:space="preserve">No Time to Die: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United Artists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October 2021</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5520" w:type="dxa"/>
            <w:vAlign w:val="bottom"/>
            <w:gridSpan w:val="3"/>
            <w:shd w:val="clear" w:color="auto" w:fill="CFF0FC"/>
          </w:tcPr>
          <w:p>
            <w:pPr>
              <w:jc w:val="center"/>
              <w:ind w:right="160"/>
              <w:spacing w:after="0"/>
              <w:rPr>
                <w:sz w:val="20"/>
                <w:szCs w:val="20"/>
                <w:color w:val="auto"/>
              </w:rPr>
            </w:pPr>
            <w:r>
              <w:rPr>
                <w:rFonts w:ascii="Arial" w:cs="Arial" w:eastAsia="Arial" w:hAnsi="Arial"/>
                <w:sz w:val="16"/>
                <w:szCs w:val="16"/>
                <w:i w:val="1"/>
                <w:iCs w:val="1"/>
                <w:color w:val="auto"/>
                <w:w w:val="92"/>
              </w:rPr>
              <w:t xml:space="preserve">Sword Art Online Progressive: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9"/>
              </w:rPr>
              <w:t>Aniplex</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8"/>
              </w:rPr>
              <w:t>October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1500" w:type="dxa"/>
            <w:vAlign w:val="bottom"/>
          </w:tcPr>
          <w:p>
            <w:pPr>
              <w:spacing w:after="0"/>
              <w:rPr>
                <w:sz w:val="18"/>
                <w:szCs w:val="18"/>
                <w:color w:val="auto"/>
              </w:rPr>
            </w:pPr>
          </w:p>
        </w:tc>
        <w:tc>
          <w:tcPr>
            <w:tcW w:w="4020" w:type="dxa"/>
            <w:vAlign w:val="bottom"/>
            <w:gridSpan w:val="2"/>
          </w:tcPr>
          <w:p>
            <w:pPr>
              <w:jc w:val="center"/>
              <w:ind w:right="1680"/>
              <w:spacing w:after="0"/>
              <w:rPr>
                <w:sz w:val="20"/>
                <w:szCs w:val="20"/>
                <w:color w:val="auto"/>
              </w:rPr>
            </w:pPr>
            <w:r>
              <w:rPr>
                <w:rFonts w:ascii="Arial" w:cs="Arial" w:eastAsia="Arial" w:hAnsi="Arial"/>
                <w:sz w:val="16"/>
                <w:szCs w:val="16"/>
                <w:i w:val="1"/>
                <w:iCs w:val="1"/>
                <w:color w:val="auto"/>
                <w:w w:val="94"/>
              </w:rPr>
              <w:t xml:space="preserve">Eternals: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November 2021</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3"/>
              </w:rPr>
              <w:t xml:space="preserve">Ghostbusters: Afterlife: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November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2"/>
              </w:rPr>
              <w:t xml:space="preserve">Spider-Man: No Way Home: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December 2021</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Expanded Aspect Ratio</w:t>
            </w:r>
          </w:p>
        </w:tc>
      </w:tr>
      <w:tr>
        <w:trPr>
          <w:trHeight w:val="216"/>
        </w:trPr>
        <w:tc>
          <w:tcPr>
            <w:tcW w:w="5520" w:type="dxa"/>
            <w:vAlign w:val="bottom"/>
            <w:gridSpan w:val="3"/>
            <w:shd w:val="clear" w:color="auto" w:fill="CFF0FC"/>
          </w:tcPr>
          <w:p>
            <w:pPr>
              <w:jc w:val="center"/>
              <w:ind w:right="160"/>
              <w:spacing w:after="0"/>
              <w:rPr>
                <w:sz w:val="20"/>
                <w:szCs w:val="20"/>
                <w:color w:val="auto"/>
              </w:rPr>
            </w:pPr>
            <w:r>
              <w:rPr>
                <w:rFonts w:ascii="Arial" w:cs="Arial" w:eastAsia="Arial" w:hAnsi="Arial"/>
                <w:sz w:val="16"/>
                <w:szCs w:val="16"/>
                <w:i w:val="1"/>
                <w:iCs w:val="1"/>
                <w:color w:val="auto"/>
                <w:w w:val="93"/>
              </w:rPr>
              <w:t xml:space="preserve">The Matrix Resurrections: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December 2021</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134"/>
        </w:trPr>
        <w:tc>
          <w:tcPr>
            <w:tcW w:w="150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r>
    </w:tbl>
    <w:p>
      <w:pPr>
        <w:spacing w:after="0" w:line="173" w:lineRule="exact"/>
        <w:rPr>
          <w:sz w:val="20"/>
          <w:szCs w:val="20"/>
          <w:color w:val="auto"/>
        </w:rPr>
      </w:pPr>
    </w:p>
    <w:p>
      <w:pPr>
        <w:ind w:left="240" w:right="240" w:hanging="233"/>
        <w:spacing w:after="0" w:line="492" w:lineRule="auto"/>
        <w:tabs>
          <w:tab w:leader="none" w:pos="38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scheduled release dates in the table above are subject to change, may vary by territory and may not reflect the date(s) of limited premiere events. To date, the Company has announced the following 21 titles to be released in 2022 to the global IMAX theater network: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Scheduled</w:t>
            </w:r>
          </w:p>
        </w:tc>
        <w:tc>
          <w:tcPr>
            <w:tcW w:w="1920" w:type="dxa"/>
            <w:vAlign w:val="bottom"/>
          </w:tcPr>
          <w:p>
            <w:pPr>
              <w:spacing w:after="0"/>
              <w:rPr>
                <w:sz w:val="18"/>
                <w:szCs w:val="18"/>
                <w:color w:val="auto"/>
              </w:rPr>
            </w:pPr>
          </w:p>
        </w:tc>
      </w:tr>
      <w:tr>
        <w:trPr>
          <w:trHeight w:val="219"/>
        </w:trPr>
        <w:tc>
          <w:tcPr>
            <w:tcW w:w="15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center"/>
              <w:ind w:right="1420"/>
              <w:spacing w:after="0"/>
              <w:rPr>
                <w:sz w:val="20"/>
                <w:szCs w:val="20"/>
                <w:color w:val="auto"/>
              </w:rPr>
            </w:pPr>
            <w:r>
              <w:rPr>
                <w:rFonts w:ascii="Arial" w:cs="Arial" w:eastAsia="Arial" w:hAnsi="Arial"/>
                <w:sz w:val="16"/>
                <w:szCs w:val="16"/>
                <w:b w:val="1"/>
                <w:bCs w:val="1"/>
                <w:color w:val="auto"/>
                <w:w w:val="97"/>
              </w:rPr>
              <w:t>Title</w:t>
            </w:r>
          </w:p>
        </w:tc>
        <w:tc>
          <w:tcPr>
            <w:tcW w:w="160" w:type="dxa"/>
            <w:vAlign w:val="bottom"/>
            <w:tcBorders>
              <w:bottom w:val="single" w:sz="8" w:color="CFF0FC"/>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Studio</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line="218" w:lineRule="exact"/>
              <w:rPr>
                <w:sz w:val="20"/>
                <w:szCs w:val="20"/>
                <w:color w:val="auto"/>
              </w:rPr>
            </w:pPr>
            <w:r>
              <w:rPr>
                <w:rFonts w:ascii="Arial" w:cs="Arial" w:eastAsia="Arial" w:hAnsi="Arial"/>
                <w:sz w:val="15"/>
                <w:szCs w:val="15"/>
                <w:b w:val="1"/>
                <w:bCs w:val="1"/>
                <w:color w:val="auto"/>
                <w:w w:val="89"/>
              </w:rPr>
              <w:t>Release Date</w:t>
            </w:r>
            <w:r>
              <w:rPr>
                <w:rFonts w:ascii="Arial" w:cs="Arial" w:eastAsia="Arial" w:hAnsi="Arial"/>
                <w:sz w:val="25"/>
                <w:szCs w:val="25"/>
                <w:b w:val="1"/>
                <w:bCs w:val="1"/>
                <w:color w:val="auto"/>
                <w:w w:val="89"/>
                <w:vertAlign w:val="superscript"/>
              </w:rPr>
              <w:t>(1)</w:t>
            </w:r>
          </w:p>
        </w:tc>
        <w:tc>
          <w:tcPr>
            <w:tcW w:w="18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IMAX DNA</w:t>
            </w:r>
          </w:p>
        </w:tc>
      </w:tr>
      <w:tr>
        <w:trPr>
          <w:trHeight w:val="207"/>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4"/>
              </w:rPr>
              <w:t xml:space="preserve">Morbius: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8"/>
              </w:rPr>
              <w:t>January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1500" w:type="dxa"/>
            <w:vAlign w:val="bottom"/>
          </w:tcPr>
          <w:p>
            <w:pPr>
              <w:spacing w:after="0"/>
              <w:rPr>
                <w:sz w:val="18"/>
                <w:szCs w:val="18"/>
                <w:color w:val="auto"/>
              </w:rPr>
            </w:pPr>
          </w:p>
        </w:tc>
        <w:tc>
          <w:tcPr>
            <w:tcW w:w="4020" w:type="dxa"/>
            <w:vAlign w:val="bottom"/>
            <w:gridSpan w:val="2"/>
          </w:tcPr>
          <w:p>
            <w:pPr>
              <w:jc w:val="center"/>
              <w:ind w:right="1680"/>
              <w:spacing w:after="0"/>
              <w:rPr>
                <w:sz w:val="20"/>
                <w:szCs w:val="20"/>
                <w:color w:val="auto"/>
              </w:rPr>
            </w:pPr>
            <w:r>
              <w:rPr>
                <w:rFonts w:ascii="Arial" w:cs="Arial" w:eastAsia="Arial" w:hAnsi="Arial"/>
                <w:sz w:val="16"/>
                <w:szCs w:val="16"/>
                <w:i w:val="1"/>
                <w:iCs w:val="1"/>
                <w:color w:val="auto"/>
                <w:w w:val="95"/>
              </w:rPr>
              <w:t xml:space="preserve">Moonfall: The </w:t>
            </w:r>
            <w:r>
              <w:rPr>
                <w:rFonts w:ascii="Arial" w:cs="Arial" w:eastAsia="Arial" w:hAnsi="Arial"/>
                <w:sz w:val="16"/>
                <w:szCs w:val="16"/>
                <w:color w:val="auto"/>
                <w:w w:val="95"/>
              </w:rPr>
              <w:t>IMAX</w:t>
            </w:r>
            <w:r>
              <w:rPr>
                <w:rFonts w:ascii="Arial" w:cs="Arial" w:eastAsia="Arial" w:hAnsi="Arial"/>
                <w:sz w:val="16"/>
                <w:szCs w:val="16"/>
                <w:i w:val="1"/>
                <w:iCs w:val="1"/>
                <w:color w:val="auto"/>
                <w:w w:val="95"/>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Lionsgate</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February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3"/>
              </w:rPr>
              <w:t xml:space="preserve">Death on the Nile: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February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1500" w:type="dxa"/>
            <w:vAlign w:val="bottom"/>
          </w:tcPr>
          <w:p>
            <w:pPr>
              <w:spacing w:after="0"/>
              <w:rPr>
                <w:sz w:val="18"/>
                <w:szCs w:val="18"/>
                <w:color w:val="auto"/>
              </w:rPr>
            </w:pPr>
          </w:p>
        </w:tc>
        <w:tc>
          <w:tcPr>
            <w:tcW w:w="4020" w:type="dxa"/>
            <w:vAlign w:val="bottom"/>
            <w:gridSpan w:val="2"/>
          </w:tcPr>
          <w:p>
            <w:pPr>
              <w:jc w:val="center"/>
              <w:ind w:right="1680"/>
              <w:spacing w:after="0"/>
              <w:rPr>
                <w:sz w:val="20"/>
                <w:szCs w:val="20"/>
                <w:color w:val="auto"/>
              </w:rPr>
            </w:pPr>
            <w:r>
              <w:rPr>
                <w:rFonts w:ascii="Arial" w:cs="Arial" w:eastAsia="Arial" w:hAnsi="Arial"/>
                <w:sz w:val="16"/>
                <w:szCs w:val="16"/>
                <w:i w:val="1"/>
                <w:iCs w:val="1"/>
                <w:color w:val="auto"/>
                <w:w w:val="94"/>
              </w:rPr>
              <w:t xml:space="preserve">Uncharted: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February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Expanded Aspect Ratio</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2"/>
              </w:rPr>
              <w:t xml:space="preserve">The Batman: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2"/>
              </w:rPr>
              <w:t>March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3"/>
              </w:rPr>
              <w:t xml:space="preserve">Notre-Dame Brûle: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tcPr>
          <w:p>
            <w:pPr>
              <w:jc w:val="center"/>
              <w:ind w:right="160"/>
              <w:spacing w:after="0"/>
              <w:rPr>
                <w:sz w:val="20"/>
                <w:szCs w:val="20"/>
                <w:color w:val="auto"/>
              </w:rPr>
            </w:pPr>
            <w:r>
              <w:rPr>
                <w:rFonts w:ascii="Arial" w:cs="Arial" w:eastAsia="Arial" w:hAnsi="Arial"/>
                <w:sz w:val="16"/>
                <w:szCs w:val="16"/>
                <w:color w:val="auto"/>
                <w:w w:val="85"/>
              </w:rPr>
              <w:t>Pathe</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March 2022</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5"/>
              </w:rPr>
              <w:t xml:space="preserve">Bullet Train: The </w:t>
            </w:r>
            <w:r>
              <w:rPr>
                <w:rFonts w:ascii="Arial" w:cs="Arial" w:eastAsia="Arial" w:hAnsi="Arial"/>
                <w:sz w:val="16"/>
                <w:szCs w:val="16"/>
                <w:color w:val="auto"/>
                <w:w w:val="95"/>
              </w:rPr>
              <w:t>IMAX</w:t>
            </w:r>
            <w:r>
              <w:rPr>
                <w:rFonts w:ascii="Arial" w:cs="Arial" w:eastAsia="Arial" w:hAnsi="Arial"/>
                <w:sz w:val="16"/>
                <w:szCs w:val="16"/>
                <w:i w:val="1"/>
                <w:iCs w:val="1"/>
                <w:color w:val="auto"/>
                <w:w w:val="95"/>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7"/>
              </w:rPr>
              <w:t>April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1"/>
              </w:rPr>
              <w:t xml:space="preserve">Fantastic Beasts: The Secrets of Dumbledore: The </w:t>
            </w:r>
            <w:r>
              <w:rPr>
                <w:rFonts w:ascii="Arial" w:cs="Arial" w:eastAsia="Arial" w:hAnsi="Arial"/>
                <w:sz w:val="16"/>
                <w:szCs w:val="16"/>
                <w:color w:val="auto"/>
                <w:w w:val="91"/>
              </w:rPr>
              <w:t>IMAX</w:t>
            </w:r>
            <w:r>
              <w:rPr>
                <w:rFonts w:ascii="Arial" w:cs="Arial" w:eastAsia="Arial" w:hAnsi="Arial"/>
                <w:sz w:val="16"/>
                <w:szCs w:val="16"/>
                <w:i w:val="1"/>
                <w:iCs w:val="1"/>
                <w:color w:val="auto"/>
                <w:w w:val="91"/>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April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2"/>
              </w:rPr>
              <w:t xml:space="preserve">Doctor Strange In The Multiverse of Madness: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3"/>
              </w:rPr>
              <w:t>May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4"/>
              </w:rPr>
              <w:t xml:space="preserve">Top Gun: Maverick: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Paramount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May 2022</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4"/>
              </w:rPr>
              <w:t xml:space="preserve">Jurassic World: Dominion: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Universal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8"/>
              </w:rPr>
              <w:t>June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1"/>
              </w:rPr>
              <w:t xml:space="preserve">Transformers: Rise of the Beasts: The </w:t>
            </w:r>
            <w:r>
              <w:rPr>
                <w:rFonts w:ascii="Arial" w:cs="Arial" w:eastAsia="Arial" w:hAnsi="Arial"/>
                <w:sz w:val="16"/>
                <w:szCs w:val="16"/>
                <w:color w:val="auto"/>
                <w:w w:val="91"/>
              </w:rPr>
              <w:t>IMAX</w:t>
            </w:r>
            <w:r>
              <w:rPr>
                <w:rFonts w:ascii="Arial" w:cs="Arial" w:eastAsia="Arial" w:hAnsi="Arial"/>
                <w:sz w:val="16"/>
                <w:szCs w:val="16"/>
                <w:i w:val="1"/>
                <w:iCs w:val="1"/>
                <w:color w:val="auto"/>
                <w:w w:val="91"/>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Paramount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June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6"/>
        </w:trPr>
        <w:tc>
          <w:tcPr>
            <w:tcW w:w="5520" w:type="dxa"/>
            <w:vAlign w:val="bottom"/>
            <w:gridSpan w:val="3"/>
            <w:shd w:val="clear" w:color="auto" w:fill="CFF0FC"/>
          </w:tcPr>
          <w:p>
            <w:pPr>
              <w:jc w:val="center"/>
              <w:ind w:right="160"/>
              <w:spacing w:after="0"/>
              <w:rPr>
                <w:sz w:val="20"/>
                <w:szCs w:val="20"/>
                <w:color w:val="auto"/>
              </w:rPr>
            </w:pPr>
            <w:r>
              <w:rPr>
                <w:rFonts w:ascii="Arial" w:cs="Arial" w:eastAsia="Arial" w:hAnsi="Arial"/>
                <w:sz w:val="16"/>
                <w:szCs w:val="16"/>
                <w:i w:val="1"/>
                <w:iCs w:val="1"/>
                <w:color w:val="auto"/>
                <w:w w:val="93"/>
              </w:rPr>
              <w:t xml:space="preserve">Minions: The Rise Of Gru: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Universal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4"/>
              </w:rPr>
              <w:t xml:space="preserve">Thor: Love &amp; Thunder: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2022</w:t>
            </w:r>
          </w:p>
        </w:tc>
        <w:tc>
          <w:tcPr>
            <w:tcW w:w="192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6"/>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3"/>
              </w:rPr>
              <w:t xml:space="preserve">Nope: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Universal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July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3"/>
              </w:rPr>
              <w:t xml:space="preserve">Black Adam: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6"/>
        </w:trPr>
        <w:tc>
          <w:tcPr>
            <w:tcW w:w="5520" w:type="dxa"/>
            <w:vAlign w:val="bottom"/>
            <w:gridSpan w:val="3"/>
            <w:shd w:val="clear" w:color="auto" w:fill="CFF0FC"/>
          </w:tcPr>
          <w:p>
            <w:pPr>
              <w:jc w:val="center"/>
              <w:ind w:right="180"/>
              <w:spacing w:after="0"/>
              <w:rPr>
                <w:sz w:val="20"/>
                <w:szCs w:val="20"/>
                <w:color w:val="auto"/>
              </w:rPr>
            </w:pPr>
            <w:r>
              <w:rPr>
                <w:rFonts w:ascii="Arial" w:cs="Arial" w:eastAsia="Arial" w:hAnsi="Arial"/>
                <w:sz w:val="16"/>
                <w:szCs w:val="16"/>
                <w:i w:val="1"/>
                <w:iCs w:val="1"/>
                <w:color w:val="auto"/>
                <w:w w:val="93"/>
              </w:rPr>
              <w:t xml:space="preserve">Mission Impossible 7: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Paramount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September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1"/>
        </w:trPr>
        <w:tc>
          <w:tcPr>
            <w:tcW w:w="55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2"/>
              </w:rPr>
              <w:t xml:space="preserve">Spider-Man: Into the Spiderverse Sequel: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Sony Pictures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October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6"/>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4"/>
              </w:rPr>
              <w:t xml:space="preserve">The Flash: The </w:t>
            </w:r>
            <w:r>
              <w:rPr>
                <w:rFonts w:ascii="Arial" w:cs="Arial" w:eastAsia="Arial" w:hAnsi="Arial"/>
                <w:sz w:val="16"/>
                <w:szCs w:val="16"/>
                <w:color w:val="auto"/>
                <w:w w:val="94"/>
              </w:rPr>
              <w:t>IMAX</w:t>
            </w:r>
            <w:r>
              <w:rPr>
                <w:rFonts w:ascii="Arial" w:cs="Arial" w:eastAsia="Arial" w:hAnsi="Arial"/>
                <w:sz w:val="16"/>
                <w:szCs w:val="16"/>
                <w:i w:val="1"/>
                <w:iCs w:val="1"/>
                <w:color w:val="auto"/>
                <w:w w:val="94"/>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Warner Bros. Pictures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November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1"/>
        </w:trPr>
        <w:tc>
          <w:tcPr>
            <w:tcW w:w="5520" w:type="dxa"/>
            <w:vAlign w:val="bottom"/>
            <w:gridSpan w:val="3"/>
          </w:tcPr>
          <w:p>
            <w:pPr>
              <w:jc w:val="center"/>
              <w:ind w:right="160"/>
              <w:spacing w:after="0"/>
              <w:rPr>
                <w:sz w:val="20"/>
                <w:szCs w:val="20"/>
                <w:color w:val="auto"/>
              </w:rPr>
            </w:pPr>
            <w:r>
              <w:rPr>
                <w:rFonts w:ascii="Arial" w:cs="Arial" w:eastAsia="Arial" w:hAnsi="Arial"/>
                <w:sz w:val="16"/>
                <w:szCs w:val="16"/>
                <w:i w:val="1"/>
                <w:iCs w:val="1"/>
                <w:color w:val="auto"/>
                <w:w w:val="92"/>
              </w:rPr>
              <w:t xml:space="preserve">Black Panther 2: Wakanda Forever: The </w:t>
            </w:r>
            <w:r>
              <w:rPr>
                <w:rFonts w:ascii="Arial" w:cs="Arial" w:eastAsia="Arial" w:hAnsi="Arial"/>
                <w:sz w:val="16"/>
                <w:szCs w:val="16"/>
                <w:color w:val="auto"/>
                <w:w w:val="92"/>
              </w:rPr>
              <w:t>IMAX</w:t>
            </w:r>
            <w:r>
              <w:rPr>
                <w:rFonts w:ascii="Arial" w:cs="Arial" w:eastAsia="Arial" w:hAnsi="Arial"/>
                <w:sz w:val="16"/>
                <w:szCs w:val="16"/>
                <w:i w:val="1"/>
                <w:iCs w:val="1"/>
                <w:color w:val="auto"/>
                <w:w w:val="92"/>
              </w:rPr>
              <w:t xml:space="preserve"> Experience</w:t>
            </w:r>
          </w:p>
        </w:tc>
        <w:tc>
          <w:tcPr>
            <w:tcW w:w="23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November 2022</w:t>
            </w: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6"/>
        </w:trPr>
        <w:tc>
          <w:tcPr>
            <w:tcW w:w="150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jc w:val="center"/>
              <w:ind w:right="1680"/>
              <w:spacing w:after="0"/>
              <w:rPr>
                <w:sz w:val="20"/>
                <w:szCs w:val="20"/>
                <w:color w:val="auto"/>
              </w:rPr>
            </w:pPr>
            <w:r>
              <w:rPr>
                <w:rFonts w:ascii="Arial" w:cs="Arial" w:eastAsia="Arial" w:hAnsi="Arial"/>
                <w:sz w:val="16"/>
                <w:szCs w:val="16"/>
                <w:i w:val="1"/>
                <w:iCs w:val="1"/>
                <w:color w:val="auto"/>
                <w:w w:val="93"/>
              </w:rPr>
              <w:t xml:space="preserve">Avatar 2: The </w:t>
            </w:r>
            <w:r>
              <w:rPr>
                <w:rFonts w:ascii="Arial" w:cs="Arial" w:eastAsia="Arial" w:hAnsi="Arial"/>
                <w:sz w:val="16"/>
                <w:szCs w:val="16"/>
                <w:color w:val="auto"/>
                <w:w w:val="93"/>
              </w:rPr>
              <w:t>IMAX</w:t>
            </w:r>
            <w:r>
              <w:rPr>
                <w:rFonts w:ascii="Arial" w:cs="Arial" w:eastAsia="Arial" w:hAnsi="Arial"/>
                <w:sz w:val="16"/>
                <w:szCs w:val="16"/>
                <w:i w:val="1"/>
                <w:iCs w:val="1"/>
                <w:color w:val="auto"/>
                <w:w w:val="93"/>
              </w:rPr>
              <w:t xml:space="preserve"> Experience</w:t>
            </w:r>
          </w:p>
        </w:tc>
        <w:tc>
          <w:tcPr>
            <w:tcW w:w="23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Walt Disney Studios</w:t>
            </w:r>
          </w:p>
        </w:tc>
        <w:tc>
          <w:tcPr>
            <w:tcW w:w="14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December 2022</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134"/>
        </w:trPr>
        <w:tc>
          <w:tcPr>
            <w:tcW w:w="150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r>
    </w:tbl>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4"/>
          <w:szCs w:val="14"/>
          <w:color w:val="auto"/>
        </w:rPr>
        <w:t>The scheduled release dates in the table above are subject to change and may vary by territory.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27"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4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2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28"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12"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Joint revenue sharing arrangements have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September 30, 2021, the Company had 904 theaters in operation under joint revenue sharing arrangements, a 2.6% increase as compared to the 881 theaters in operation under joint revenue sharing arrangements as of September 30, 2020. The Company also had contracts in backlog for 324 theaters under joint revenue sharing arrangements as of September 30, 2021, including 83 upgrades to existing theater locations and 241 new theater locations.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IMAX Technology Sales and Maintenance category earns revenue principally from the sale or sales-type lease of IMAX Theater Systems, as well as from the maintenance of IMAX Theater Systems. To the lesser extent, the IMAX Technology Sales and Maintenance category earns revenue from certain ancillary theater business activities and revenues from hybrid joint revenue sharing arrangements. These activities are described in more detail below under the captioned section for each respective segment.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3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94"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all IMAX theaters, theater owners or operators are also responsible for paying the Company an annual maintenance and extended warranty fee. Under these arrangements, the Company provides preventative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projection system parts and 3D glasses.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Initiatives and Other</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 xml:space="preserve">The New Business Initiatives segment includes activities related to the </w:t>
      </w:r>
      <w:r>
        <w:rPr>
          <w:rFonts w:ascii="Arial" w:cs="Arial" w:eastAsia="Arial" w:hAnsi="Arial"/>
          <w:sz w:val="18"/>
          <w:szCs w:val="18"/>
          <w:color w:val="212529"/>
        </w:rPr>
        <w:t>exploration of new lines of business and new initiatives outside of the Company’s</w:t>
      </w:r>
      <w:r>
        <w:rPr>
          <w:rFonts w:ascii="Arial" w:cs="Arial" w:eastAsia="Arial" w:hAnsi="Arial"/>
          <w:sz w:val="18"/>
          <w:szCs w:val="18"/>
          <w:color w:val="auto"/>
        </w:rPr>
        <w:t xml:space="preserve"> </w:t>
      </w:r>
      <w:r>
        <w:rPr>
          <w:rFonts w:ascii="Arial" w:cs="Arial" w:eastAsia="Arial" w:hAnsi="Arial"/>
          <w:sz w:val="18"/>
          <w:szCs w:val="18"/>
          <w:color w:val="212529"/>
        </w:rPr>
        <w:t>core business, which seek to leverage its proprietary, innovative technologies, its leadership position in the entertainment technology space and its unique relationship with content creators.</w:t>
      </w:r>
    </w:p>
    <w:p>
      <w:pPr>
        <w:spacing w:after="0" w:line="145"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The Company has developed a new home entertainment licensing and certification program called IMAX Enhanced. IMAX Enhanced was launched in September 2018, along with audio leader DTS (an Xperi subsidiary) to capitalize on the companies’ decades of combined expertise in image and sound science. IMAX Enhanced brings IMAX digitally re-mastered 4K high dynamic range (HDR) content and DTS audio technologies to premier streaming platforms and best-in-class consumer electronics devices worldwide, offering consumers high-fidelity sight and sound experiences for the home.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jc w:val="both"/>
        <w:ind w:firstLine="225"/>
        <w:spacing w:after="0" w:line="259" w:lineRule="auto"/>
        <w:rPr>
          <w:sz w:val="20"/>
          <w:szCs w:val="20"/>
          <w:color w:val="auto"/>
        </w:rPr>
      </w:pPr>
      <w:r>
        <w:rPr>
          <w:rFonts w:ascii="Arial" w:cs="Arial" w:eastAsia="Arial" w:hAnsi="Arial"/>
          <w:sz w:val="18"/>
          <w:szCs w:val="18"/>
          <w:color w:val="auto"/>
        </w:rPr>
        <w:t>To be certified, leading consumer electronics manufacturers spanning 4K/8K televisions, projectors, A/V receivers, loudspeakers, subwoofers and soundbars must meet a carefully prescribed set of audio and video performance standards, set by a certification committee of IMAX and DTS engineers and some of Hollywood’s leading technical specialists.</w:t>
      </w:r>
    </w:p>
    <w:p>
      <w:pPr>
        <w:spacing w:after="0" w:line="158"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IMAX Enhanced global device partners include Sony Electronics, Hisense, TCL, Phillips, Xiaomi, and Sound United, among others. IMAX Enhanced has more than six million certified devices in-market. IMAX Enhanced content is now available on five streaming platforms worldwide, with partners that include Sony Pictures Entertainment, Paramount Pictures, Huayi Brothers, Bona Film Group, Tencent Video, iQIYI and Tsutaya TV, with more on the way.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8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Through the Film Distribution segment, the Company licenses film content and distributes large-format films, primarily for its institutional theater partners. The Company receives as its distribution fee either a fixed amount or fixed percentage of the theater box office receipts and, following the Company’s recoupment of its costs, is typically entitled to receive an additional percentage of gross revenues as participation revenues.</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addition, through its Connected Theaters initiative, 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Film Post-Production segment provides film post-production and quality control services for large-format films (whether produced by IMAX or third parties), and digital post-production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NETWORK AND BACKLOG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IMAX network by type and geographic location as of September 30, 2021 and 2020:</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2021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September 30, 2020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United States</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Canada</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2820" w:type="dxa"/>
            <w:vAlign w:val="bottom"/>
            <w:shd w:val="clear" w:color="auto" w:fill="CFF0FC"/>
          </w:tcPr>
          <w:p>
            <w:pPr>
              <w:spacing w:after="0" w:line="227" w:lineRule="exact"/>
              <w:rPr>
                <w:sz w:val="20"/>
                <w:szCs w:val="20"/>
                <w:color w:val="auto"/>
              </w:rPr>
            </w:pPr>
            <w:r>
              <w:rPr>
                <w:rFonts w:ascii="Arial" w:cs="Arial" w:eastAsia="Arial" w:hAnsi="Arial"/>
                <w:sz w:val="16"/>
                <w:szCs w:val="16"/>
                <w:color w:val="auto"/>
              </w:rPr>
              <w:t>Greater China</w:t>
            </w:r>
            <w:r>
              <w:rPr>
                <w:rFonts w:ascii="Arial" w:cs="Arial" w:eastAsia="Arial" w:hAnsi="Arial"/>
                <w:sz w:val="26"/>
                <w:szCs w:val="26"/>
                <w:color w:val="auto"/>
                <w:vertAlign w:val="superscript"/>
              </w:rPr>
              <w:t>(1)</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Western Europe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7"/>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Asia (excluding Greater China)</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Russia &amp; the CIS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2820" w:type="dxa"/>
            <w:vAlign w:val="bottom"/>
            <w:shd w:val="clear" w:color="auto" w:fill="CFF0FC"/>
          </w:tcPr>
          <w:p>
            <w:pPr>
              <w:spacing w:after="0" w:line="227" w:lineRule="exact"/>
              <w:rPr>
                <w:sz w:val="20"/>
                <w:szCs w:val="20"/>
                <w:color w:val="auto"/>
              </w:rPr>
            </w:pPr>
            <w:r>
              <w:rPr>
                <w:rFonts w:ascii="Arial" w:cs="Arial" w:eastAsia="Arial" w:hAnsi="Arial"/>
                <w:sz w:val="16"/>
                <w:szCs w:val="16"/>
                <w:color w:val="auto"/>
              </w:rPr>
              <w:t>Latin America</w:t>
            </w:r>
            <w:r>
              <w:rPr>
                <w:rFonts w:ascii="Arial" w:cs="Arial" w:eastAsia="Arial" w:hAnsi="Arial"/>
                <w:sz w:val="26"/>
                <w:szCs w:val="26"/>
                <w:color w:val="auto"/>
                <w:vertAlign w:val="superscript"/>
              </w:rPr>
              <w:t>(2)</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Rest of the World</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1"/>
        </w:trPr>
        <w:tc>
          <w:tcPr>
            <w:tcW w:w="2820" w:type="dxa"/>
            <w:vAlign w:val="bottom"/>
            <w:tcBorders>
              <w:top w:val="single" w:sz="8" w:color="CFF0FC"/>
              <w:bottom w:val="single" w:sz="8" w:color="CFF0FC"/>
            </w:tcBorders>
            <w:shd w:val="clear" w:color="auto" w:fill="CFF0FC"/>
          </w:tcPr>
          <w:p>
            <w:pPr>
              <w:spacing w:after="0" w:line="221" w:lineRule="exact"/>
              <w:rPr>
                <w:sz w:val="20"/>
                <w:szCs w:val="20"/>
                <w:color w:val="auto"/>
              </w:rPr>
            </w:pPr>
            <w:r>
              <w:rPr>
                <w:rFonts w:ascii="Arial" w:cs="Arial" w:eastAsia="Arial" w:hAnsi="Arial"/>
                <w:sz w:val="15"/>
                <w:szCs w:val="15"/>
                <w:color w:val="auto"/>
              </w:rPr>
              <w:t>Total</w:t>
            </w:r>
            <w:r>
              <w:rPr>
                <w:rFonts w:ascii="Arial" w:cs="Arial" w:eastAsia="Arial" w:hAnsi="Arial"/>
                <w:sz w:val="25"/>
                <w:szCs w:val="25"/>
                <w:color w:val="auto"/>
                <w:vertAlign w:val="superscript"/>
              </w:rPr>
              <w:t>(3)</w:t>
            </w: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949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0" w:lineRule="exact"/>
        <w:rPr>
          <w:rFonts w:ascii="Arial" w:cs="Arial" w:eastAsia="Arial" w:hAnsi="Arial"/>
          <w:sz w:val="18"/>
          <w:szCs w:val="18"/>
          <w:color w:val="auto"/>
        </w:rPr>
      </w:pPr>
    </w:p>
    <w:p>
      <w:pPr>
        <w:ind w:left="5540" w:right="3360" w:hanging="5533"/>
        <w:spacing w:after="0" w:line="518" w:lineRule="auto"/>
        <w:tabs>
          <w:tab w:leader="none" w:pos="3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jc w:val="both"/>
        <w:ind w:firstLine="225"/>
        <w:spacing w:after="0" w:line="268" w:lineRule="auto"/>
        <w:rPr>
          <w:sz w:val="20"/>
          <w:szCs w:val="20"/>
          <w:color w:val="auto"/>
        </w:rPr>
      </w:pPr>
      <w:r>
        <w:rPr>
          <w:rFonts w:ascii="Arial" w:cs="Arial" w:eastAsia="Arial" w:hAnsi="Arial"/>
          <w:sz w:val="17"/>
          <w:szCs w:val="17"/>
          <w:color w:val="auto"/>
        </w:rPr>
        <w:t>The Company currently believes that over time its commercial multiplex network could grow to approximately 3,318 IMAX theaters worldwide from the 1,580 operating as of September 30, 2021. The Company believes that the majority of its future growth will come from international markets. As of September 30, 2021, 73.6% of IMAX Theater Systems in operation were located within international markets (defined as all countries other than the United States and Canada), compared to 72.2% as of September 30, 2020. Revenues and gross box office derived from international markets continue to exceed revenues and gross box office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2020 Form 10-K.</w:t>
      </w:r>
    </w:p>
    <w:p>
      <w:pPr>
        <w:spacing w:after="0" w:line="15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Greater China is the Company’s largest market, measured by revenues, with approximately 38% and 31% of consolidated revenue generated from its Greater China operations in the years ended December 31, 2020 and 2019, respectively. During the nine months ended September 30, 2021, this percentage increased to 52% as the pace of the reopening of IMAX theaters in Greater China has exceeded that of theaters in Domestic and Rest of World markets. As of September 30, 2021, the Company had 767 theaters operating in Greater China with an additional 229 theaters in backlog. The Company’s backlog in Greater China represents 45.3% of its total current backlog, including upgrades in system type. The Company’s largest single international partnership is in China with Wanda Film (“Wanda”). As of September 30, 2021, the total number of Wanda’s IMAX Theater Systems in Greater China that are operational is 367 (of which 361 are under the parties’ joint revenue sharing arrangement).</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(See “Risk Factors – The Company faces risks in connection with its significant presence in China and the continues expansion of its business there,” “Risk Factors – General political, social and economic conditions can affect the Company’s business by reducing both revenues generated from existing IMAX Theater Systems and the demand for new IMAX Theater Systems,” and “Risk Factors – The Company may not convert all of its backlog into revenue and cash flows” in Part I, Item 1A of the Company’s 2020 Form 10-K.)</w:t>
      </w:r>
    </w:p>
    <w:p>
      <w:pPr>
        <w:spacing w:after="0" w:line="149"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56" w:name="page57"/>
    <w:bookmarkEnd w:id="56"/>
    <w:p>
      <w:pPr>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the commercial multiplex theaters in operation within the IMAX network by arrangement type and geographic location as of September 30,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 2021</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35"/>
              <w:spacing w:after="0" w:line="154"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486</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139</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554</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8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 2020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19"/>
                <w:szCs w:val="19"/>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279</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126</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535</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949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5540" w:right="3360" w:hanging="5533"/>
        <w:spacing w:after="0" w:line="766" w:lineRule="auto"/>
        <w:tabs>
          <w:tab w:leader="none" w:pos="3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-231140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Backlog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September 30, 2021 and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September 30, 2020</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3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200" w:type="dxa"/>
            <w:vAlign w:val="bottom"/>
          </w:tcPr>
          <w:p>
            <w:pPr>
              <w:spacing w:after="0"/>
              <w:rPr>
                <w:sz w:val="18"/>
                <w:szCs w:val="18"/>
                <w:color w:val="auto"/>
              </w:rPr>
            </w:pPr>
          </w:p>
        </w:tc>
      </w:tr>
      <w:tr>
        <w:trPr>
          <w:trHeight w:val="198"/>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r>
      <w:tr>
        <w:trPr>
          <w:trHeight w:val="194"/>
        </w:trPr>
        <w:tc>
          <w:tcPr>
            <w:tcW w:w="1500" w:type="dxa"/>
            <w:vAlign w:val="bottom"/>
            <w:tcBorders>
              <w:bottom w:val="single" w:sz="8" w:color="CFF0FC"/>
            </w:tcBorders>
          </w:tcPr>
          <w:p>
            <w:pPr>
              <w:spacing w:after="0"/>
              <w:rPr>
                <w:sz w:val="16"/>
                <w:szCs w:val="16"/>
                <w:color w:val="auto"/>
              </w:rPr>
            </w:pPr>
          </w:p>
        </w:tc>
        <w:tc>
          <w:tcPr>
            <w:tcW w:w="14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Upgrade</w:t>
            </w:r>
          </w:p>
        </w:tc>
        <w:tc>
          <w:tcPr>
            <w:tcW w:w="200" w:type="dxa"/>
            <w:vAlign w:val="bottom"/>
            <w:tcBorders>
              <w:bottom w:val="single" w:sz="8" w:color="CFF0FC"/>
            </w:tcBorders>
          </w:tcPr>
          <w:p>
            <w:pPr>
              <w:spacing w:after="0"/>
              <w:rPr>
                <w:sz w:val="16"/>
                <w:szCs w:val="16"/>
                <w:color w:val="auto"/>
              </w:rPr>
            </w:pPr>
          </w:p>
        </w:tc>
      </w:tr>
      <w:tr>
        <w:trPr>
          <w:trHeight w:val="206"/>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sales-type lease</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$ 194,539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$ 14,207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$ 212,623</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5"/>
              </w:rPr>
              <w:t>$ 11,418</w:t>
            </w:r>
          </w:p>
        </w:tc>
        <w:tc>
          <w:tcPr>
            <w:tcW w:w="200" w:type="dxa"/>
            <w:vAlign w:val="bottom"/>
            <w:shd w:val="clear" w:color="auto" w:fill="CFF0FC"/>
          </w:tcPr>
          <w:p>
            <w:pPr>
              <w:spacing w:after="0"/>
              <w:rPr>
                <w:sz w:val="19"/>
                <w:szCs w:val="19"/>
                <w:color w:val="auto"/>
              </w:rPr>
            </w:pPr>
          </w:p>
        </w:tc>
      </w:tr>
      <w:tr>
        <w:trPr>
          <w:trHeight w:val="213"/>
        </w:trPr>
        <w:tc>
          <w:tcPr>
            <w:tcW w:w="2900" w:type="dxa"/>
            <w:vAlign w:val="bottom"/>
            <w:gridSpan w:val="2"/>
          </w:tcPr>
          <w:p>
            <w:pPr>
              <w:spacing w:after="0"/>
              <w:rPr>
                <w:sz w:val="20"/>
                <w:szCs w:val="20"/>
                <w:color w:val="auto"/>
              </w:rPr>
            </w:pPr>
            <w:r>
              <w:rPr>
                <w:rFonts w:ascii="Arial" w:cs="Arial" w:eastAsia="Arial" w:hAnsi="Arial"/>
                <w:sz w:val="18"/>
                <w:szCs w:val="18"/>
                <w:color w:val="auto"/>
              </w:rPr>
              <w:t>Hybrid joint revenue sharing</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290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4,785</w:t>
            </w: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98,398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r>
      <w:tr>
        <w:trPr>
          <w:trHeight w:val="214"/>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Traditional joint revenue sharing</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(2)</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r>
      <w:tr>
        <w:trPr>
          <w:trHeight w:val="220"/>
        </w:trPr>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$ 290,088</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5"/>
              </w:rPr>
              <w:t>$ 24,492</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$ 311,321</w:t>
            </w: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2"/>
              </w:rPr>
              <w:t>$ 22,478</w:t>
            </w:r>
          </w:p>
        </w:tc>
        <w:tc>
          <w:tcPr>
            <w:tcW w:w="2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44 IMAX Theater Systems (2020 — 46) where the customer has the option to convert from a joint revenue sharing arrangement to a sales arrangement.</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contractual upfront payments. Future contingent payments are not reflected as these are based on negotiated shares of box office results.</w:t>
      </w:r>
    </w:p>
    <w:p>
      <w:pPr>
        <w:spacing w:after="0" w:line="203"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number of IMAX Theater Systems in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The dollar value of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in sales arrangements, however it excludes amounts allocated to maintenance and extended warranty revenues. The value of backlog does not include revenue from theaters in which the Company has an equity interest, operating leases and long-term conditional theater commitments. Theaters under joint revenue sharing arrangements do not usually have dollar value in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backlog are valid and binding commitments.</w:t>
      </w:r>
    </w:p>
    <w:p>
      <w:pPr>
        <w:spacing w:after="0" w:line="15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1"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58" w:name="page59"/>
    <w:bookmarkEnd w:id="58"/>
    <w:p>
      <w:pPr>
        <w:ind w:firstLine="224"/>
        <w:spacing w:after="0" w:line="270"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September 30,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September 30, 2021</w:t>
            </w: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September 30, 2020</w:t>
            </w: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148 new IMAX with Laser projection system configurations and 90 upgrades of existing locations to IMAX with Laser projection system configurations.</w:t>
      </w:r>
    </w:p>
    <w:p>
      <w:pPr>
        <w:spacing w:after="0" w:line="135"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155 new IMAX with Laser projection system configurations and 92 upgrades of existing locations to IMAX with Laser projection system configurations.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Approximately 73.9% of IMAX Theater System arrangements in backlog as of September 30, 2021 are scheduled to be installed in international markets (2020 — 75.0%).</w:t>
      </w:r>
    </w:p>
    <w:p>
      <w:pPr>
        <w:spacing w:after="0" w:line="135"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Signings and Installations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provide detailed information about IMAX Theater System signings and installations for the three and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gridSpan w:val="4"/>
          </w:tcPr>
          <w:p>
            <w:pPr>
              <w:jc w:val="center"/>
              <w:ind w:left="169"/>
              <w:spacing w:after="0"/>
              <w:rPr>
                <w:sz w:val="20"/>
                <w:szCs w:val="20"/>
                <w:color w:val="auto"/>
              </w:rPr>
            </w:pPr>
            <w:r>
              <w:rPr>
                <w:rFonts w:ascii="Arial" w:cs="Arial" w:eastAsia="Arial" w:hAnsi="Arial"/>
                <w:sz w:val="14"/>
                <w:szCs w:val="14"/>
                <w:b w:val="1"/>
                <w:bCs w:val="1"/>
                <w:color w:val="auto"/>
                <w:w w:val="92"/>
              </w:rPr>
              <w:t>For the 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0"/>
        </w:trPr>
        <w:tc>
          <w:tcPr>
            <w:tcW w:w="6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6820" w:type="dxa"/>
            <w:vAlign w:val="bottom"/>
            <w:gridSpan w:val="2"/>
          </w:tcPr>
          <w:p>
            <w:pPr>
              <w:ind w:left="6500"/>
              <w:spacing w:after="0"/>
              <w:rPr>
                <w:sz w:val="20"/>
                <w:szCs w:val="20"/>
                <w:color w:val="auto"/>
              </w:rPr>
            </w:pPr>
            <w:r>
              <w:rPr>
                <w:rFonts w:ascii="Arial" w:cs="Arial" w:eastAsia="Arial" w:hAnsi="Arial"/>
                <w:sz w:val="14"/>
                <w:szCs w:val="14"/>
                <w:b w:val="1"/>
                <w:bCs w:val="1"/>
                <w:color w:val="auto"/>
                <w:w w:val="96"/>
              </w:rPr>
              <w:t>2021</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0"/>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Signings:</w:t>
            </w: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82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7"/>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142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7"/>
        </w:trPr>
        <w:tc>
          <w:tcPr>
            <w:tcW w:w="6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new IMAX Theater Systems</w:t>
            </w: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28"/>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IMAX Theater System signings</w:t>
            </w:r>
          </w:p>
        </w:tc>
        <w:tc>
          <w:tcPr>
            <w:tcW w:w="7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6120" w:type="dxa"/>
            <w:vAlign w:val="bottom"/>
          </w:tcPr>
          <w:p>
            <w:pPr>
              <w:spacing w:after="0"/>
              <w:rPr>
                <w:sz w:val="24"/>
                <w:szCs w:val="24"/>
                <w:color w:val="auto"/>
              </w:rPr>
            </w:pPr>
          </w:p>
        </w:tc>
        <w:tc>
          <w:tcPr>
            <w:tcW w:w="2120" w:type="dxa"/>
            <w:vAlign w:val="bottom"/>
            <w:gridSpan w:val="4"/>
          </w:tcPr>
          <w:p>
            <w:pPr>
              <w:jc w:val="center"/>
              <w:ind w:left="169"/>
              <w:spacing w:after="0"/>
              <w:rPr>
                <w:sz w:val="20"/>
                <w:szCs w:val="20"/>
                <w:color w:val="auto"/>
              </w:rPr>
            </w:pPr>
            <w:r>
              <w:rPr>
                <w:rFonts w:ascii="Arial" w:cs="Arial" w:eastAsia="Arial" w:hAnsi="Arial"/>
                <w:sz w:val="14"/>
                <w:szCs w:val="14"/>
                <w:b w:val="1"/>
                <w:bCs w:val="1"/>
                <w:color w:val="auto"/>
                <w:w w:val="92"/>
              </w:rPr>
              <w:t>For the Three Months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0"/>
        </w:trPr>
        <w:tc>
          <w:tcPr>
            <w:tcW w:w="6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6820" w:type="dxa"/>
            <w:vAlign w:val="bottom"/>
            <w:gridSpan w:val="2"/>
          </w:tcPr>
          <w:p>
            <w:pPr>
              <w:ind w:left="6500"/>
              <w:spacing w:after="0"/>
              <w:rPr>
                <w:sz w:val="20"/>
                <w:szCs w:val="20"/>
                <w:color w:val="auto"/>
              </w:rPr>
            </w:pPr>
            <w:r>
              <w:rPr>
                <w:rFonts w:ascii="Arial" w:cs="Arial" w:eastAsia="Arial" w:hAnsi="Arial"/>
                <w:sz w:val="14"/>
                <w:szCs w:val="14"/>
                <w:b w:val="1"/>
                <w:bCs w:val="1"/>
                <w:color w:val="auto"/>
                <w:w w:val="96"/>
              </w:rPr>
              <w:t>2021</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0"/>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Installations:</w:t>
            </w: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82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7"/>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7"/>
        </w:trPr>
        <w:tc>
          <w:tcPr>
            <w:tcW w:w="6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new IMAX Theater Systems</w:t>
            </w: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8"/>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Total IMAX Theater System installations</w:t>
            </w:r>
          </w:p>
        </w:tc>
        <w:tc>
          <w:tcPr>
            <w:tcW w:w="7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 xml:space="preserve">The Company’s business and future prospects are evaluated by Richard L. Gelfond, its Chief Executive Officer (“CEO”), using a variety of factors and financial and operational metrics including: (i) the signing, installation and financial performance of theater system arrangements, particularly joint revenue sharing arrangements and those involving laser-based projection systems; (ii) film performance and the securing of new film projects, particularly IMAX DMR films; (iii) the continuing ability to invest in and improve the Company’s technology to enhance the differentiation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versus other cinematic experiences; (iv) revenues and gross margins earned by the Company’s segments, as discussed below; (v) consolidated earnings from operations, as adjusted for unusual items; (vi) the overall execution, reliability and consumer acceptance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(vii) the success of new business initiatives; and (viii) short- and long-term cash flow projections.</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CEO is the Company’s Chief Operating Decision Maker (“CODM”), as such term is defined under United States Generally Accepted Accounting Principles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51"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Company’s reportable segments are organized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Condensed Consolidated Statements of Operations captions combine results from several segments.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 for the Three Months Ended September 30, 2021 and 2020</w:t>
      </w:r>
    </w:p>
    <w:p>
      <w:pPr>
        <w:spacing w:after="0" w:line="198"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For the three months ended September 30, 2021, the Company reported a net loss attributable to common shareholders of $(8.4) million, or $(0.14) per diluted share, as compared to a net loss attributable to common shareholders of $(47.2) million, or $(0.80) per diluted share, for the same period in 2020.</w:t>
      </w:r>
    </w:p>
    <w:p>
      <w:pPr>
        <w:spacing w:after="0" w:line="8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three months ended September 30, 2021, the Company reported an adjusted net loss attributable to common shareholders* of $(5.0) million, or $(0.08) per diluted share*, as compared to an adjusted net loss attributable to common shareholders* of $(44.6) million, or $(0.75) per diluted share*, for the same period in 2020.</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Gross Margin (Margin Loss)</w:t>
            </w:r>
          </w:p>
        </w:tc>
      </w:tr>
      <w:tr>
        <w:trPr>
          <w:trHeight w:val="207"/>
        </w:trPr>
        <w:tc>
          <w:tcPr>
            <w:tcW w:w="48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15,701</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6,886</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7,293</w:t>
            </w: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9"/>
                <w:szCs w:val="19"/>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(2,491)</w:t>
            </w:r>
          </w:p>
        </w:tc>
      </w:tr>
      <w:tr>
        <w:trPr>
          <w:trHeight w:val="220"/>
        </w:trPr>
        <w:tc>
          <w:tcPr>
            <w:tcW w:w="150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FF0FC"/>
            </w:tcBorders>
          </w:tcPr>
          <w:p>
            <w:pPr>
              <w:spacing w:after="0"/>
              <w:rPr>
                <w:sz w:val="19"/>
                <w:szCs w:val="19"/>
                <w:color w:val="auto"/>
              </w:rPr>
            </w:pPr>
          </w:p>
        </w:tc>
      </w:tr>
      <w:tr>
        <w:trPr>
          <w:trHeight w:val="221"/>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19"/>
                <w:szCs w:val="19"/>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(2)</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FF0FC"/>
            </w:tcBorders>
          </w:tcPr>
          <w:p>
            <w:pPr>
              <w:spacing w:after="0"/>
              <w:rPr>
                <w:sz w:val="19"/>
                <w:szCs w:val="19"/>
                <w:color w:val="auto"/>
              </w:rPr>
            </w:pPr>
          </w:p>
        </w:tc>
      </w:tr>
      <w:tr>
        <w:trPr>
          <w:trHeight w:val="221"/>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(6,061)</w:t>
            </w:r>
          </w:p>
        </w:tc>
      </w:tr>
      <w:tr>
        <w:trPr>
          <w:trHeight w:val="220"/>
        </w:trPr>
        <w:tc>
          <w:tcPr>
            <w:tcW w:w="4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56,114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r>
      <w:tr>
        <w:trPr>
          <w:trHeight w:val="220"/>
        </w:trPr>
        <w:tc>
          <w:tcPr>
            <w:tcW w:w="4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59" w:lineRule="exact"/>
        <w:rPr>
          <w:sz w:val="20"/>
          <w:szCs w:val="20"/>
          <w:color w:val="auto"/>
        </w:rPr>
      </w:pPr>
    </w:p>
    <w:p>
      <w:pPr>
        <w:jc w:val="both"/>
        <w:ind w:left="380" w:hanging="373"/>
        <w:spacing w:after="0" w:line="281"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8" w:lineRule="exact"/>
        <w:rPr>
          <w:rFonts w:ascii="Arial" w:cs="Arial" w:eastAsia="Arial" w:hAnsi="Arial"/>
          <w:sz w:val="17"/>
          <w:szCs w:val="17"/>
          <w:color w:val="auto"/>
        </w:rPr>
      </w:pPr>
    </w:p>
    <w:p>
      <w:pPr>
        <w:ind w:left="380" w:hanging="373"/>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949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61" w:lineRule="exact"/>
        <w:rPr>
          <w:sz w:val="20"/>
          <w:szCs w:val="20"/>
          <w:color w:val="auto"/>
        </w:rPr>
      </w:pPr>
    </w:p>
    <w:p>
      <w:pPr>
        <w:ind w:left="380" w:hanging="373"/>
        <w:spacing w:after="0" w:line="270"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2" w:name="page63"/>
    <w:bookmarkEnd w:id="62"/>
    <w:p>
      <w:pPr>
        <w:jc w:val="both"/>
        <w:ind w:firstLine="225"/>
        <w:spacing w:after="0" w:line="286" w:lineRule="auto"/>
        <w:rPr>
          <w:sz w:val="20"/>
          <w:szCs w:val="20"/>
          <w:color w:val="auto"/>
        </w:rPr>
      </w:pPr>
      <w:r>
        <w:rPr>
          <w:rFonts w:ascii="Arial" w:cs="Arial" w:eastAsia="Arial" w:hAnsi="Arial"/>
          <w:sz w:val="16"/>
          <w:szCs w:val="16"/>
          <w:color w:val="auto"/>
        </w:rPr>
        <w:t>Beginning in the third quarter of 2020, movie theaters throughout the IMAX network gradually reopened following the wide-scale closure of theaters upon the onset of the COVID-19 global pandemic. However, although movie theaters were generally open during the third quarter of 2020, the availability of new film content was limited, especially in the Domestic and Rest of World markets, with only 6 new films released to the IMAX global network. By contrast, in the third quarter of 2021, 21 new films were released, resulting in a $71.7 million (102%) increase in GBO receipts and corresponding increases in IMAX Technology Network revenue and gross margin of $14.2 million and $10.3 million, respectively. Also impacting the comparison to the prior year are increases of $7.2 million and $5.7 million in IMAX Maintenance revenue and gross margin, respectively, due to the broader reopening of the IMAX theater network and the continued progress towards the resumption of normal operations as the theatrical exhibition industry continues to recover from the COVID-19 global pandemic. See the captioned sections below for a more detailed discussion of the Company’s segment results.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3"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2021, IMAX Technology Network revenues and gross margin increased by $14.2 million and $10.3 million, respectively, when compared to the same period in 2020 primarily due to the reopening of the IMAX theater network, particularly in the United States, and the strong performance of Hollywood film releases. See below for separate discussions of IMAX DMR and JRSA contingent rent segment results for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For the three months ended September 30, 2021, IMAX DMR revenues and gross margin increased by $8.8 million and $4.2 million, respectively, when compared to the same period in 2020. These increases are primarily due to a $71.7 million (102%) increase in GBO receipts generated by IMAX DMR films in the third quarter of 2021, from $70.2 million to $141.9 million. In the third quarter of 2021, GBO was generated by the exhibition of 24 films (21 new films and 3 carryovers). In the third quarter of 2020, GBO was generated by the exhibition of 6 new films and the re-release of classic titles.</w:t>
      </w:r>
    </w:p>
    <w:p>
      <w:pPr>
        <w:spacing w:after="0" w:line="11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three months ended September 30, 2021, marketing expenses were $3.2 million, as compared to $0.4 million during the same period in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three months ended September 30, 2021, JRSA contingent rent revenue and gross margin increased by $5.4 million and $6.1 million, respectively, when compared to the same period in 2020. These increases are largely due to a $34.8 million increase in GBO generated by theaters under joint revenue sharing arrangements in the third quarter of 2021 when compared to the same period in the prior year, from $36.4 million to $71.2 million.</w:t>
      </w:r>
    </w:p>
    <w:p>
      <w:pPr>
        <w:spacing w:after="0" w:line="111"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three months ended September 30, 2021, JRSA gross margin included depreciation expense of $5.5 million, which represents a $0.6 million decrease as compared to $6.1 million recorded in the same period of the prior year. The lower level of depreciation expense in the current period is due, in part, to the effect of lease term extensions entered into with exhibitor customers as a result of the COVID-19 global pandemic, partially offset by incremental depreciation expense associated with a 3% increase in the number of theaters operating under joint revenue sharing arrangements. For the three months ended September 30, 2021, JRSA gross margin includes advertising, marketing, and commission costs of $0.8 million, as compared to $0.7 million in the same period of the prior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year,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mix of IMAX Theater System installed and recognized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7"/>
              </w:rPr>
              <w:t>For the Three Months Ended September 30,</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40" w:type="dxa"/>
            <w:vAlign w:val="bottom"/>
          </w:tcPr>
          <w:p>
            <w:pPr>
              <w:jc w:val="right"/>
              <w:ind w:right="278"/>
              <w:spacing w:after="0" w:line="131"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10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58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240" w:type="dxa"/>
            <w:vAlign w:val="bottom"/>
          </w:tcPr>
          <w:p>
            <w:pPr>
              <w:jc w:val="right"/>
              <w:ind w:right="358"/>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Sales and sales-type lease arrangements</w:t>
            </w:r>
            <w:r>
              <w:rPr>
                <w:rFonts w:ascii="Arial" w:cs="Arial" w:eastAsia="Arial" w:hAnsi="Arial"/>
                <w:sz w:val="15"/>
                <w:szCs w:val="15"/>
                <w:color w:val="auto"/>
              </w:rPr>
              <w:t>(1)</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7,239</w:t>
            </w: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Joint revenue sharing arrangements — hybrid</w:t>
            </w: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Total new IMAX Theater Systems</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8,270</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IMAX Theater System upgrades: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 lease arrangements</w:t>
            </w: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820" w:type="dxa"/>
            <w:vAlign w:val="bottom"/>
            <w:gridSpan w:val="2"/>
          </w:tcPr>
          <w:p>
            <w:pPr>
              <w:ind w:left="62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9,586</w:t>
            </w:r>
          </w:p>
        </w:tc>
        <w:tc>
          <w:tcPr>
            <w:tcW w:w="16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80" w:hanging="373"/>
        <w:spacing w:after="0" w:line="259"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$1.2 million for the three months ended September 30, 2021, as compared to $1.1 million during the same period of the prior year.</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September 30, 2021, IMAX Technology Sales and Maintenance revenue and gross margin increased by $4.0 million and $5.5 million, respectively, when compared to the same period in the prior year. See below for separate discussions of IMAX Systems and IMAX Maintenance results for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2021, IMAX Systems revenue and gross margin decreased by $4.2 million and $0.6 million, respectively, when compared to the same period in the prior year. The lower level of revenue and gross margin is the result of five fewer IMAX Theater System installations in the current period under sales and sales-type lease arrangements, partially offset by a higher level of revenue generated by theater system renewals in the current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three months ended September 30, 2021, IMAX Maintenance segment revenues and gross margin increased by $7.2 million and $5.7 million, respectively, when compared to the same period in the prior year, due to the broader reopening of the IMAX theater network and the continued progress towards the resumption of normal operations as the theatrical exhibition industry continues to recover from the COVID-19 global pandemic.</w:t>
      </w:r>
    </w:p>
    <w:p>
      <w:pPr>
        <w:spacing w:after="0" w:line="12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9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For the three months ended September 30, 2021, Film Distribution and Post-Production revenues decreased by $0.3 million while gross margin increased by $6.5 million, when compared to the same period in the prior year. The comparison of gross margin to the prior year period is significantly influenced by $5.4 million of impairment losses recorded in the third quarter of 2020 principally to write-down the carrying value of certain documentary and alternative content film assets due to a decrease in projected box office totals and related revenues. There were no such losses recorded in the third quarter of 2021.</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0"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three months ended September 30, 2021, total Selling, General and Administrative Expenses increased by $3.6 million (14%), when compared to the same period in 2020. For the three months ended September 30, 2021, Selling, General and Administrative Expenses, excluding the impact of share-based compensation of $5.7 million, were $22.7 million, as compared to $19.7 million in the same period in the prior year, excluding share-based compensation expense of $5.2 million, representing an increase of $3.0 million (15%). A portion of share-based compensation expense is recognized within Cost and Expenses Applicable to Revenue and Research and Development. (See Note 12 of Notes to Condensed Consolidated Financial Statements.)</w:t>
      </w:r>
    </w:p>
    <w:p>
      <w:pPr>
        <w:spacing w:after="0" w:line="136"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For the three months ended September 30, 2021, the Company recognized $2.0 million in benefits from the Canada Emergency Wage Subsidy (“CEWS”) program as reductions to Selling, General and Administrative Expenses ($1.5 million) and Costs and Expenses Applicable to Revenues ($0.5 million) in the Condensed Consolidated Statements of Operations. For three months ended September 30, 2020, the Company recognized $2.0 million from the CEWS program as reductions to Selling, General and Administrative Expenses ($1.6 million), Costs and Expenses Applicable to Revenues ($0.3 million) and Research and Development ($0.1 million) in the Condensed Consolidated Statements of Operations. The CEWS program has been extended to October 23, 2021. The Company will continue to review for the availability of additional subsidies and credits for the remaining terms of this program, where applicable, although there are no guarantees that the Company will ultimately apply for or receive any such additional benefits.</w:t>
      </w:r>
    </w:p>
    <w:p>
      <w:pPr>
        <w:spacing w:after="0" w:line="12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The increase in third quarter Selling, General and Administrative Expenses versus the prior year is primarily the result of a higher level of staff and other costs due to a higher level of business activity during the current period as the effects of the COVID-19 pandemic subside. This factor is partially offset by a $1.7 million (21%) increase in labor and other costs capitalized to inventory, film assets, and joint venture theater equipment or allocated to costs applicable to revenues, due to the higher level of business activity during current quarter as the effects of the COVID-19 global pandemic subside.</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A significant portion of the Company’s recent research and development efforts have been focused on laser-based projection systems, which the Company believes deliver increased resolution, sharper and brighter images, deeper contrast as well as the widest range of colors available to filmmakers today.</w:t>
      </w:r>
    </w:p>
    <w:p>
      <w:pPr>
        <w:spacing w:after="0" w:line="8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in the third quarter of 2021, the Company used time and resources to work on leveraging and developing technologies and systems to help bring additional interactivity to its theater network, better manage certain of the Company’s internal workflows and better organize and codify certain of the Company’s data.</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months ended September 30, 2021, Research and Development expenses increased by $0.9 million (79%), when compared to the prior year.</w:t>
      </w:r>
    </w:p>
    <w:p>
      <w:pPr>
        <w:spacing w:after="0" w:line="217"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(Reversal) Expense, Net</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2021, the Company recorded a net reversal of current expected credit losses of $3.3 million,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global pandemic, as well as better than anticipated collection experience with respect to foreign studio receivable balances.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jc w:val="both"/>
        <w:ind w:firstLine="225"/>
        <w:spacing w:after="0" w:line="259" w:lineRule="auto"/>
        <w:rPr>
          <w:sz w:val="20"/>
          <w:szCs w:val="20"/>
          <w:color w:val="auto"/>
        </w:rPr>
      </w:pPr>
      <w:r>
        <w:rPr>
          <w:rFonts w:ascii="Arial" w:cs="Arial" w:eastAsia="Arial" w:hAnsi="Arial"/>
          <w:sz w:val="18"/>
          <w:szCs w:val="18"/>
          <w:color w:val="auto"/>
        </w:rPr>
        <w:t>For the three months ended September 30, 2020, the Company recorded a provision for current expected credit losses of $3.9 million which reflected judgments made by management regarding the potential effects of the COVID-19 global pandemic on the credit quality of Company’s theater and studio related receivable balances.</w:t>
      </w:r>
    </w:p>
    <w:p>
      <w:pPr>
        <w:spacing w:after="0" w:line="15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Management’s judgments regarding expected credit losses are based on the facts available to management at the time that the Condensed Consolidated Financial Statements are prepared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Notes 1 and 4 of Notes to Condensed Consolidated Financial Statements.)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Realized and Unrealized Investment Gains</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shares of Maoyan. Prior to this sale, the Company accounted for its investment in Maoyan at fair value with any changes in fair value recorded to the Condensed Consolidated Statements of Operations. For the three months ended September 30, 2020, the fair value of the Company’s investment in Maoyan experienced an unrealized gain of $1.6 million.</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2021, interest expense was $1.5 million, as compared to $2.4 million during the same period of the prior year. The decrease in interest expense versus the same period of the prior year is due to a lower level of indebtedness partially offset by the amortization of deferred financing costs associated with amendments to the Company’s Credit Agreement. (See Note 7 of Notes to Condensed Consolidated Financial Statements.)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three months ended September 30, 2021, the Company recorded income tax expense of $4.4 million (2020 — income tax expense of $19.3 million). The Company’s effective tax rate for the three months ended September 30, 2021 of (226.6)% differs from the Canadian statutory tax rate of 26.2% primarily due to the fact that the company recorded an additional $4.3 million valuation allowance against deferred tax assets in jurisdictions where management could not reliably forecast that future tax liabilities would arise, principally due to the uncertainties around the long-term impact of the COVID-19 global pandemic. Accordingly, the tax benefit associated with the current period losses in these jurisdictions is not ultimately reflected in the Company’s Condensed Consolidated Statements of Operations. Also impacting the Company’s effective tax rate for the three months ended September 30, 2021 are jurisdictional tax rate differences. In the third quarter of 2021, $20.4 million of historical earnings from a subsidiary in China were repatriated and, as a result $2.0 million of foreign withholding taxes were paid in the period.</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(loss) of IMAX China, as well as the impact of non-controlling interests in the activity of its Original Film Fund subsidiary. For the three months ended September 30, 2021, the net income attributable to non-controlling interests of the Company’s subsidiaries was $2.0 million (2020 — net loss of $(1.3)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Results of Operations for the Nine Months Ended September 30, 2021 and 2020</w:t>
      </w:r>
    </w:p>
    <w:p>
      <w:pPr>
        <w:spacing w:after="0" w:line="198" w:lineRule="exact"/>
        <w:rPr>
          <w:sz w:val="20"/>
          <w:szCs w:val="20"/>
          <w:color w:val="auto"/>
        </w:rPr>
      </w:pPr>
    </w:p>
    <w:p>
      <w:pPr>
        <w:jc w:val="both"/>
        <w:ind w:right="20" w:firstLine="224"/>
        <w:spacing w:after="0" w:line="334" w:lineRule="auto"/>
        <w:rPr>
          <w:sz w:val="20"/>
          <w:szCs w:val="20"/>
          <w:color w:val="auto"/>
        </w:rPr>
      </w:pPr>
      <w:r>
        <w:rPr>
          <w:rFonts w:ascii="Arial" w:cs="Arial" w:eastAsia="Arial" w:hAnsi="Arial"/>
          <w:sz w:val="16"/>
          <w:szCs w:val="16"/>
          <w:color w:val="auto"/>
        </w:rPr>
        <w:t>For the nine months ended September 30, 2021, the Company reported a net loss attributable to common shareholders of $(32.4) million, or $(0.55) per diluted share, as compared to a net loss attributable to common shareholders of $(122.5) million, or $(2.06) per diluted share, for the same period in 2020.</w:t>
      </w:r>
    </w:p>
    <w:p>
      <w:pPr>
        <w:spacing w:after="0" w:line="8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nine months ended September 30, 2021, the Company reported an adjusted net loss attributable to common shareholders* of $(26.8) million, or $(0.45) per diluted share*, as compared to an adjusted net loss attributable to common shareholders* of $(99.4) million, or $(1.67) per diluted share*, for the same period in 2020.</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Gross Margin (Margin Loss)</w:t>
            </w:r>
          </w:p>
        </w:tc>
        <w:tc>
          <w:tcPr>
            <w:tcW w:w="0" w:type="dxa"/>
            <w:vAlign w:val="bottom"/>
          </w:tcPr>
          <w:p>
            <w:pPr>
              <w:spacing w:after="0"/>
              <w:rPr>
                <w:sz w:val="1"/>
                <w:szCs w:val="1"/>
                <w:color w:val="auto"/>
              </w:rPr>
            </w:pPr>
          </w:p>
        </w:tc>
      </w:tr>
      <w:tr>
        <w:trPr>
          <w:trHeight w:val="154"/>
        </w:trPr>
        <w:tc>
          <w:tcPr>
            <w:tcW w:w="4880" w:type="dxa"/>
            <w:vAlign w:val="bottom"/>
            <w:tcBorders>
              <w:bottom w:val="single" w:sz="8" w:color="CFF0FC"/>
            </w:tcBorders>
            <w:gridSpan w:val="2"/>
            <w:vMerge w:val="continue"/>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39,438</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18,061</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22,405</w:t>
            </w:r>
          </w:p>
        </w:tc>
        <w:tc>
          <w:tcPr>
            <w:tcW w:w="180" w:type="dxa"/>
            <w:vAlign w:val="bottom"/>
          </w:tcPr>
          <w:p>
            <w:pPr>
              <w:spacing w:after="0"/>
              <w:rPr>
                <w:sz w:val="19"/>
                <w:szCs w:val="19"/>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65,546</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28,368</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7"/>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(2)</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20"/>
        </w:trPr>
        <w:tc>
          <w:tcPr>
            <w:tcW w:w="4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145,473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80,753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0"/>
        </w:trPr>
        <w:tc>
          <w:tcPr>
            <w:tcW w:w="4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380" w:hanging="373"/>
        <w:spacing w:after="0" w:line="281"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8" w:lineRule="exact"/>
        <w:rPr>
          <w:rFonts w:ascii="Arial" w:cs="Arial" w:eastAsia="Arial" w:hAnsi="Arial"/>
          <w:sz w:val="17"/>
          <w:szCs w:val="17"/>
          <w:color w:val="auto"/>
        </w:rPr>
      </w:pPr>
    </w:p>
    <w:p>
      <w:pPr>
        <w:ind w:left="380" w:hanging="373"/>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949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61" w:lineRule="exact"/>
        <w:rPr>
          <w:sz w:val="20"/>
          <w:szCs w:val="20"/>
          <w:color w:val="auto"/>
        </w:rPr>
      </w:pPr>
    </w:p>
    <w:p>
      <w:pPr>
        <w:ind w:left="380" w:hanging="373"/>
        <w:spacing w:after="0" w:line="270"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7" w:name="page68"/>
    <w:bookmarkEnd w:id="67"/>
    <w:p>
      <w:pPr>
        <w:jc w:val="both"/>
        <w:ind w:firstLine="225"/>
        <w:spacing w:after="0" w:line="283" w:lineRule="auto"/>
        <w:rPr>
          <w:sz w:val="20"/>
          <w:szCs w:val="20"/>
          <w:color w:val="auto"/>
        </w:rPr>
      </w:pPr>
      <w:r>
        <w:rPr>
          <w:rFonts w:ascii="Arial" w:cs="Arial" w:eastAsia="Arial" w:hAnsi="Arial"/>
          <w:sz w:val="16"/>
          <w:szCs w:val="16"/>
          <w:color w:val="auto"/>
        </w:rPr>
        <w:t>Due to the COVID-19 global pandemic, substantially all of the theaters in the IMAX network were closed for a significant portion of the first half of 2020, with the theaters in Greater China closed beginning in late-January and substantially all of the Company’s remaining theaters closed beginning in mid-to-late March. Beginning in the third quarter of 2020, movie theaters throughout the IMAX network gradually reopened; however, the availability of new film content was limited. Since that time, stay-at-home orders and capacity restrictions have been lifted in almost all key markets and movie theaters throughout the IMAX network have gradually reopened. As of September 30, 2021, 93% of the theaters in the global IMAX commercial multiplex network were open at various capacities, spanning 70 countries. This included 100% of Domestic theaters (i.e., in the United States and Canada), 93% of the theaters in Greater China and 87% of the theaters in Rest of World markets. In addition, 47 new films were released to the IMAX global network during the nine months ended September 30, 2021, as compared to 16 in the same period of 2020, resulting in a $192.6 million (115%) increase in GBO receipts and corresponding increases in IMAX Technology Network revenue and gross margin of $37.2 million and $32.8 million, respectively. Also impacting the comparison to the prior year are increases of $20.0 million and $15.7 million in IMAX Maintenance revenue and gross margin, respectively, due to the broader reopening of the IMAX theater network and the continued progress towards the resumption of normal operations as the theatrical exhibition industry continues to recover from the COVID-19 global pandemic. See the captioned sections below for a discussion of the Company’s segment results.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nine months ended September 30, 2021, IMAX Technology Network revenues and gross margin increased $37.2 million and $32.8 million, respectively, when compared to the same period in 2020. See below for separate discussions of IMAX DMR and JRSA contingent rent segment results for the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nine months ended September 30, 2021, IMAX DMR revenues and gross margin increased by $21.4 million and $14.9 million, respectively, when compared to the same period in 2020. These increases are primarily due to a $192.6 million (115%) increase in GBO receipts generated by IMAX DMR films during the nine months ended September 30, 2021, from $168.1 million to $360.7 million. During the nine months ended September 30, 2021, GBO was generated by the exhibition of 53 films (47 new and 6 carryovers) and the re-release of classic titles. During the nine months ended September 30, 2020, GBO was generated by the exhibition of 20 films (16 new and 4 carryovers) and the re-release of classic titles.</w:t>
      </w:r>
    </w:p>
    <w:p>
      <w:pPr>
        <w:spacing w:after="0" w:line="12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nine months ended September 30, 2021, marketing expenses were $5.8 million, as compared to $2.8 million during the same period of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nine months ended September 30, 2021, JRSA contingent rent revenue and gross margin increased by $15.8 million and $17.9 million, respectively, when compared to the same period in 2020. These increases are largely due to a $114.7 million (140%) increase in GBO generated by theaters under joint revenue sharing arrangements during the nine months ended September 30, 2021, from $82.1 million to $196.8 million.</w:t>
      </w:r>
    </w:p>
    <w:p>
      <w:pPr>
        <w:spacing w:after="0" w:line="128"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nine months ended September 30, 2021, JRSA gross margin included depreciation expense of $16.8 million, which represents a $2.5 million decrease when compared to the same period of the prior year. The lower level of depreciation expense in the current period is due, in part, to the effect of lease term extensions entered into with exhibitor customers as a result of the COVID-19 global pandemic, partially offset by incremental depreciation expense associated with a 3% increase in the number of theaters operating under joint revenue sharing arrangements. For the nine months ended September 30, 2021, JRSA gross margin includes advertising, marketing, and commission costs of $1.9 million, as compared to $1.3 million in the same period of the prior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year,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mix of IMAX Theater System installed and recognized during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920" w:type="dxa"/>
            <w:vAlign w:val="bottom"/>
          </w:tcPr>
          <w:p>
            <w:pPr>
              <w:jc w:val="center"/>
              <w:ind w:left="109"/>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40" w:type="dxa"/>
            <w:vAlign w:val="bottom"/>
            <w:gridSpan w:val="3"/>
            <w:vMerge w:val="continue"/>
          </w:tcPr>
          <w:p>
            <w:pPr>
              <w:spacing w:after="0"/>
              <w:rPr>
                <w:sz w:val="9"/>
                <w:szCs w:val="9"/>
                <w:color w:val="auto"/>
              </w:rPr>
            </w:pPr>
          </w:p>
        </w:tc>
        <w:tc>
          <w:tcPr>
            <w:tcW w:w="920" w:type="dxa"/>
            <w:vAlign w:val="bottom"/>
            <w:vMerge w:val="restart"/>
          </w:tcPr>
          <w:p>
            <w:pPr>
              <w:jc w:val="center"/>
              <w:ind w:left="129"/>
              <w:spacing w:after="0"/>
              <w:rPr>
                <w:sz w:val="20"/>
                <w:szCs w:val="20"/>
                <w:color w:val="auto"/>
              </w:rPr>
            </w:pPr>
            <w:r>
              <w:rPr>
                <w:rFonts w:ascii="Arial" w:cs="Arial" w:eastAsia="Arial" w:hAnsi="Arial"/>
                <w:sz w:val="14"/>
                <w:szCs w:val="14"/>
                <w:b w:val="1"/>
                <w:bCs w:val="1"/>
                <w:color w:val="auto"/>
                <w:w w:val="83"/>
              </w:rPr>
              <w:t>Systems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9"/>
                <w:szCs w:val="9"/>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65"/>
        </w:trPr>
        <w:tc>
          <w:tcPr>
            <w:tcW w:w="5840" w:type="dxa"/>
            <w:vAlign w:val="bottom"/>
            <w:gridSpan w:val="3"/>
            <w:vMerge w:val="restart"/>
          </w:tcPr>
          <w:p>
            <w:pPr>
              <w:spacing w:after="0"/>
              <w:rPr>
                <w:sz w:val="20"/>
                <w:szCs w:val="20"/>
                <w:color w:val="auto"/>
              </w:rPr>
            </w:pPr>
            <w:r>
              <w:rPr>
                <w:rFonts w:ascii="Arial" w:cs="Arial" w:eastAsia="Arial" w:hAnsi="Arial"/>
                <w:sz w:val="18"/>
                <w:szCs w:val="18"/>
                <w:color w:val="auto"/>
              </w:rPr>
              <w:t>New IMAX Theater Systems:</w:t>
            </w: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840" w:type="dxa"/>
            <w:vAlign w:val="bottom"/>
            <w:gridSpan w:val="3"/>
            <w:vMerge w:val="continue"/>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 lease arrangements</w:t>
            </w:r>
            <w:r>
              <w:rPr>
                <w:rFonts w:ascii="Arial" w:cs="Arial" w:eastAsia="Arial" w:hAnsi="Arial"/>
                <w:sz w:val="15"/>
                <w:szCs w:val="15"/>
                <w:color w:val="auto"/>
              </w:rPr>
              <w:t>(1)</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22,264</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new IMAX Theater Systems</w:t>
            </w: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25,825</w:t>
            </w:r>
          </w:p>
        </w:tc>
        <w:tc>
          <w:tcPr>
            <w:tcW w:w="2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Theater System upgrades: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 lease arrangements</w:t>
            </w: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w:t>
            </w:r>
          </w:p>
        </w:tc>
        <w:tc>
          <w:tcPr>
            <w:tcW w:w="2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upgraded IMAX Theater Systems</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82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29,353</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80" w:hanging="373"/>
        <w:spacing w:after="0" w:line="259"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$1.3 million for the nine months ended September 30, 2021, as compared to $1.0 million during the same period of the prior year.</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nine months ended September 30, 2021, IMAX Technology Sales and Maintenance revenue and gross margin increased by $30.0 million and $23.7 million, respectively, when compared to the same period of the prior year. See below for separate discussions of IMAX Systems and IMAX Maintenance segment results for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For the nine months ended September 30, 2021, IMAX Systems revenue and gross margin increased $7.4 million and $7.1 million, respectively, when compared to the same period of the prior year. The higher level of revenue and gross margin is the result of three additional IMAX Theater System installations under sales and sales-type lease arrangements in the current period due to an increased pace of theater system installations as the effects of the COVID-19 pandemic subside, as well as by a higher level of revenue generated by theater system renewals in the current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nine months ended September 30, 2021, IMAX Maintenance segment revenues and gross margin increased by $20.0 million and $15.7 million, respectively, when compared to the same period of the prior year, due to the broader reopening of the IMAX theater network and the continued progress towards the resumption of normal operations as the theatrical exhibition industry continues to recover from the COVID-19 global pandemic.</w:t>
      </w:r>
    </w:p>
    <w:p>
      <w:pPr>
        <w:spacing w:after="0" w:line="12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nine months ended September 30, 2021, Film Distribution and Post-Production revenues decreased by $3.5 million and gross margin increased by $10.4 million, when compared to the same period of the prior year. The comparison of gross margin to the prior year period is significantly influenced by $9.9 million of impairment losses recorded during the nine months ended September 30, 2020 principally to write-down the carrying value of certain documentary and alternative content film assets due to a decrease in projected box office totals and related revenues. There were no such losses recorded during the nine months ended September 30, 2021.</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0"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nine months ended September 30, 2021, total Selling, General and Administrative Expenses decreased by $0.9 million (1%), when compared to the same period in 2020. For the nine months ended September 30, 2021, Selling, General and Administrative Expenses, excluding the impact of share-based compensation of $17.1 million, were $65.3 million, as compared to $67.9 million in the same period of the prior year, excluding share-based compensation expense of $15.3 million, representing a decrease of $2.6 million (4%). A portion of share-based compensation expense is recognized within Cost and Expenses Applicable to Revenue and Research and Development. (See Note 12 of Notes to Condensed Consolidated Financial Statements.)</w:t>
      </w:r>
    </w:p>
    <w:p>
      <w:pPr>
        <w:spacing w:after="0" w:line="136"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For the nine months ended September 30, 2021, the Company recognized $5.5 million in benefits from CEWS program as reductions to Selling, General and Administrative Expenses ($4.1 million) and Costs and Expenses Applicable to Revenues ($1.4 million) in the Condensed Consolidated Statements of Operations. For the nine months ended September 30, 2020, the Company recognized $5.2 million from the CEWS program and the U.S. CARES Act as reductions to Selling, General and Administrative Expenses ($4.5 million), Costs and Expenses Applicable to Revenues ($0.6 million) and Research and Development Expense ($0.1 million) in the Condensed Consolidated Statements of Operations. The CEWS program has been extended to October 2021. The Company will continue to review for the availability of additional subsidies and credits for the remaining terms of these programs, where applicable, although there are no guarantees that the Company will ultimately apply for or receive any such additional benefits.</w:t>
      </w:r>
    </w:p>
    <w:p>
      <w:pPr>
        <w:spacing w:after="0" w:line="124"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decrease in September year-to-date Selling, General and Administrative Expenses versus the prior year is due, in part, to management’s cost control efforts and a lower level of business activity in the first half of 2021 amidst the COVID-19 global pandemic, resulting in lower staff costs, travel, and facilities related expenses, among others. Also contributing to the lower level of current period Selling, General and Administrative Expenses is a $2.0 million (8%) increase in labor and other costs capitalized to inventory, film assets, and joint venture theater equipment or allocated to costs applicable to revenues, due to the higher level of business activity during the current period as the effects of the COVID-19 global pandemic subside.</w:t>
      </w:r>
    </w:p>
    <w:p>
      <w:pPr>
        <w:spacing w:after="0" w:line="13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In response to uncertainties associated with the COVID-19 global pandemic, management is continuing to take steps to preserve the Company’s cash and liquidity by closely monitoring and controlling operating expenses and capital expenditures.</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IMAX with Laser, the Company’s laser-based projection systems, which the Company believes deliver increased resolution, sharper and brighter images, deeper contrast as well as the widest range of colors available to filmmakers today. To a lesser extent, the Company’s recent research and development efforts have also focused on image enhancement technology.</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during the nine months ended September 30, 2021, the Company used time and resources to work on leveraging and developing technologies and systems to help bring additional interactivity to its theater network, better manage certain of the Company’s internal workflows and better organize and codify certain of the Company’s data.</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nine months ended September 30, 2021, Research and Development expenses increased by $1.1 million (25%), when compared to the prior year.</w:t>
      </w:r>
    </w:p>
    <w:p>
      <w:pPr>
        <w:spacing w:after="0" w:line="203"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0" w:name="page71"/>
    <w:bookmarkEnd w:id="70"/>
    <w:p>
      <w:pPr>
        <w:ind w:left="100"/>
        <w:spacing w:after="0"/>
        <w:rPr>
          <w:sz w:val="20"/>
          <w:szCs w:val="20"/>
          <w:color w:val="auto"/>
        </w:rPr>
      </w:pPr>
      <w:r>
        <w:rPr>
          <w:rFonts w:ascii="Arial" w:cs="Arial" w:eastAsia="Arial" w:hAnsi="Arial"/>
          <w:sz w:val="18"/>
          <w:szCs w:val="18"/>
          <w:b w:val="1"/>
          <w:bCs w:val="1"/>
          <w:i w:val="1"/>
          <w:iCs w:val="1"/>
          <w:color w:val="auto"/>
        </w:rPr>
        <w:t>Credit Loss (Reversal) Expense, Net</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nine months ended September 30, 2021, the Company recorded a net reversal of current expected credit losses of $4.9 million,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global pandemic, as well as better than anticipated collection experience with respect to foreign studio receivable balances.</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nine months ended September 30, 2020, the Company recorded a provision for current expected credit losses of $15.6 million which reflected judgments made by management regarding the potential effects of the COVID-19 global pandemic on the credit quality of Company’s theater and studio related receivable balances.</w:t>
      </w:r>
    </w:p>
    <w:p>
      <w:pPr>
        <w:spacing w:after="0" w:line="145"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Management’s judgments regarding expected credit losses are based on the facts available to management at the time that the Condensed Consolidated Financial Statements are prepared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Notes 1 and 4 of Notes to Condensed Consolidated Financial Statements.)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80"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For the nine months ended September 30, 2020, the Company recorded asset impairments of $1.2 million principally related to the write-down of content-related assets which became impaired in the period. There were no such impairments recorded during the nine months ended September 30, 2021.</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Legal Judgment and Arbitration Awards</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the nine months ended September 30, 2021, the Company recorded a $1.8 million benefit within Legal Judgment and Arbitration Awards as a result of the settlement of the Giencourt matter, as discussed in Note 8(b)(ii) of Notes to Condensed Consolidated Financial Statements. There was no comparable amount recorded during the same period of the prior year.</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Realized and Unrealized Investment Gains (Losses)</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Condensed Consolidated Statements of Operations. For the nine months ended September 30, 2020, the fair value of the Company’s investment in Maoyan experienced an unrealized loss of $(0.9) million.</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nine months ended September 30, 2021, interest expense was $5.5 million, as compared to $4.6 million during the same period of the prior year. The increase in interest expense versus the same period of the prior year is due to the amortization of deferred financing costs associated with amendments to the Company’s Credit Agreement and the issuance of the Convertible Notes. (See Note 7 of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1" w:name="page72"/>
    <w:bookmarkEnd w:id="71"/>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For the nine months ended September 30, 2021, the Company recorded income tax expense of $9.4 million (2020 — $24.6 million). The Company’s effective tax rate for the nine months ended September 30, 2021 of (69.5)% differs from the Canadian statutory tax rate of 26.2% primarily due to the fact that the Company recorded an additional $14.2 million valuation allowance against deferred tax assets in jurisdictions where management could not reliably forecast that future tax liabilities would arise, principally due to the uncertainties around the long-term impact of the COVID-19 global pandemic. Accordingly, the tax benefit associated with the current period losses in these jurisdictions is not ultimately reflected in the Company’s Condensed Consolidated Statements of Operations. Also impacting the Company’s effective tax rate for the nine months ended September 30, 2021 are jurisdictional tax rate differences, including a difference related to the gain on the sale of the Maoyan investment (see “Realized and Unrealized Investment Gains (Losses)” above) and a change in the estimated contingent liabilities related to the potential resolution of various tax examinations.</w:t>
      </w:r>
    </w:p>
    <w:p>
      <w:pPr>
        <w:spacing w:after="0" w:line="170"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The estimate of the applicable foreign withholding taxes was reduced by $1.0 million, principally in the second quarter of 2020, to $18.7 million due to a reduction in the amount of distributable historical earnings. In the first quarter of 2021, the applicable foreign withholding taxes was increased by $0.5 million due to an increase in the amount of distributable historical earnings. In the third quarter of 2021, $20.4 million of historical earnings from a subsidiary in China were repatriated and, as a result, $2.0 million of foreign withholding taxes were paid in the period.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(loss) of IMAX China, as well as the impact of non-controlling interests in the activity of its Original Film Fund subsidiary. For the nine months ended September 30, 2021, the net income attributable to non-controlling interests of the Company’s subsidiaries was $9.5 million (2020 — net loss of $(15.4)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CASH FLOWS FOR THE NINE MONTHS ENDED SEPTEMBER 30, 2021 AND 2020</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5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nine months ended September 30, 2021, net cash used in the Company’s operating activities totaled $19.6 million, as compared to net cash used in operating activities of $30.8 million in the same period of the prior year. For the nine months ended September 30, 2021, the net cash used in the Company’s operating activities is principally due to an increase in Accounts Receivable of $24.3 million as a result of revenue growth attributable to the reopening of theaters amidst the early stages of recovery from the COVID-19 global pandemic. To a lesser extent, the net cash used in the Company’s operating activities is due to $10.0 million spent in connection with the development of Film Assets, as well as reductions in Accounts Payable and Accrued and Other Liabilities, including a $9.5 million payment made in the second quarter of 2021 in connection with the settlement of the Giencourt matter, as discussed in Note 8(b)(ii) of Notes to Condensed Consolidated Financial Statements.</w:t>
      </w:r>
    </w:p>
    <w:p>
      <w:pPr>
        <w:spacing w:after="0" w:line="155" w:lineRule="exact"/>
        <w:rPr>
          <w:sz w:val="20"/>
          <w:szCs w:val="20"/>
          <w:color w:val="auto"/>
        </w:rPr>
      </w:pPr>
    </w:p>
    <w:p>
      <w:pPr>
        <w:jc w:val="both"/>
        <w:ind w:right="20" w:firstLine="225"/>
        <w:spacing w:after="0" w:line="255" w:lineRule="auto"/>
        <w:rPr>
          <w:sz w:val="20"/>
          <w:szCs w:val="20"/>
          <w:color w:val="auto"/>
        </w:rPr>
      </w:pPr>
      <w:r>
        <w:rPr>
          <w:rFonts w:ascii="Arial" w:cs="Arial" w:eastAsia="Arial" w:hAnsi="Arial"/>
          <w:sz w:val="18"/>
          <w:szCs w:val="18"/>
          <w:color w:val="auto"/>
        </w:rPr>
        <w:t>For the nine months ended September 30, 2020, the net cash outflow from operating activities was principally due to the significant decrease in the Company’s revenue and earnings as a result of the COVID-19 global pandemic. In addition, the Company experienced a slowdown in manufacturing, shipments and installation of IMAX Theater Systems at customer sites, resulting in an increase in Inventories. These cash outflows were partially offset by a $30.4 million decrease in Accounts Receivable.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80" w:lineRule="exact"/>
        <w:rPr>
          <w:sz w:val="20"/>
          <w:szCs w:val="20"/>
          <w:color w:val="auto"/>
        </w:rPr>
      </w:pPr>
    </w:p>
    <w:p>
      <w:pPr>
        <w:jc w:val="both"/>
        <w:ind w:firstLine="224"/>
        <w:spacing w:after="0" w:line="282" w:lineRule="auto"/>
        <w:rPr>
          <w:sz w:val="20"/>
          <w:szCs w:val="20"/>
          <w:color w:val="auto"/>
        </w:rPr>
      </w:pPr>
      <w:r>
        <w:rPr>
          <w:rFonts w:ascii="Arial" w:cs="Arial" w:eastAsia="Arial" w:hAnsi="Arial"/>
          <w:sz w:val="16"/>
          <w:szCs w:val="16"/>
          <w:color w:val="auto"/>
        </w:rPr>
        <w:t>For the nine months ended September 30, 2021, net cash provided by investing activities totaled $6.7 million, as compared to net cash used in investing activities of $7.6 million in the same period of the prior year. For the nine months ended September 30, 2021, the net cash provided by investing activities is primarily driven by $17.8 million in cash proceeds received from the sale of the Company’s investment in Maoyan in the first quarter of 2021 (see “Management’s Discussion and Analysis of Financial Condition and Results of Operations – Realized and Unrealized Investment Gains (Losses)”). This cash inflow is partially offset by $5.4 million invested in equipment to be used in the Company’s joint revenue sharing arrangements with exhibitors (2020</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$5.3 million), $3.4 million of intangible assets acquired, principally related to the purchase or development of software (2020 — $1.7 million), and $2.4 million for the purchase of property, plant and equipment (2020 — $0.7 million). Based on management’s current operating plan for 2021, the Company expects to continue to use cash to deploy additional IMAX Theater Systems under joint revenue sharing arrangements.</w:t>
      </w:r>
    </w:p>
    <w:p>
      <w:pPr>
        <w:spacing w:after="0" w:line="14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Capital expenditures, including the Company’s investment in joint revenue sharing equipment, purchase of property, plant and equipment, other intangible assets and investments in film assets were $21.1 million for the nine months ended September 30, 2021, as compared to $13.8 million for the nine months ended September 30, 2020.</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For the nine months ended September 30, 2021, net cash used in financing activities totaled $110.5 million, as compared to $233.5 million provided by financing activities in the same period of the prior year. For the nine months ended September 30, 2021, the net cash used in financing activities is principally due to $296.6 million in net repayments of revolving credit facility borrowings, which were funded in part with a portion of the $223.7 million in net proceeds received from the issuance of the Convertible Notes (as defined in “Liquidity and Capital Resources”). The net cash used in financing activities for the current period is also the result of the $19.1 million purchase of capped calls related to the Convertible Notes, as well as $9.6 million used to repurchase common shares of the Company ($4.6 million) and IMAX China Holding, Inc. ($5.0 million). (See Note 7 of Notes to Condensed Consolidated Financial Statements in Part I, Item 1 for additional information on the issuance of the Convertible Notes and the related capped call transactions.)</w:t>
      </w:r>
    </w:p>
    <w:p>
      <w:pPr>
        <w:spacing w:after="0" w:line="13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nine months ended September 30, 2020, net cash provided by financing activities totaled $233.5 million and was principally due to $280.2 million in Credit Facility borrowings drawn in the period, partially offset by $36.6 million paid to repurchase common shares under the Company’s share repurchase program.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which remained outstanding as of December 31, 2020. During the first half of 2021, the Company completely repaid the $300.0 million of Credit Facility borrowings, using cash on hand following the issuance of the Convertible Notes (as discussed below). Accordingly, as of September 30, 2021, there were no outstanding borrowings under the Credit Facility. As of September 30, 2021 and December 31, 2020, the Company did not have any letters of credit or advance payment guarantees outstanding under the Credit Facility.</w:t>
      </w:r>
    </w:p>
    <w:p>
      <w:pPr>
        <w:spacing w:after="0" w:line="137"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51" w:lineRule="exact"/>
        <w:rPr>
          <w:sz w:val="20"/>
          <w:szCs w:val="20"/>
          <w:color w:val="auto"/>
        </w:rPr>
      </w:pPr>
    </w:p>
    <w:p>
      <w:pPr>
        <w:jc w:val="both"/>
        <w:ind w:firstLine="225"/>
        <w:spacing w:after="0" w:line="280" w:lineRule="auto"/>
        <w:rPr>
          <w:sz w:val="20"/>
          <w:szCs w:val="20"/>
          <w:color w:val="auto"/>
        </w:rPr>
      </w:pPr>
      <w:r>
        <w:rPr>
          <w:rFonts w:ascii="Arial" w:cs="Arial" w:eastAsia="Arial" w:hAnsi="Arial"/>
          <w:sz w:val="16"/>
          <w:szCs w:val="16"/>
          <w:color w:val="auto"/>
        </w:rPr>
        <w:t>On March 15, 2021, the Company entered into the Second Amendment to the Credit Agreement (as previously amended by the First Amendment to the Credit Agreement, dated as of June 10, 2020) (collectively, the “First and Second Amendments”). On July 28, 2021, the Company entered into the Third Amendment to the Credit Agreement (as previously amended by the First and Second Amendments)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w:t>
      </w:r>
    </w:p>
    <w:p>
      <w:pPr>
        <w:spacing w:after="0" w:line="6" w:lineRule="exact"/>
        <w:rPr>
          <w:sz w:val="20"/>
          <w:szCs w:val="20"/>
          <w:color w:val="auto"/>
        </w:rPr>
      </w:pPr>
    </w:p>
    <w:p>
      <w:pPr>
        <w:jc w:val="both"/>
        <w:ind w:firstLine="7"/>
        <w:spacing w:after="0" w:line="248"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 the issuance of the Convertible Notes (as discussed below) and related transactions, including the capped call transactions, or other unsecured debt, in an amount not to exceed $290.0 million, (vi) allow $30.0 million in permitted repurchases of the Company’s common shares, subject to a $300.0 million pro forma minimum liquidity covenant and (vii) increase permitted repurchases of the common shares of IMAX China Holding, Inc. from $5.0 million to $20.0 million, subject to pro forma compliance with the existing financial covenants set forth in the Credit Agreement. The modifications to the negative covenants, the minimum liquidity covenant, permitted share repurchases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September 30, 2021, the Company was in compliance with all of its requirements under the Credit Agreement, as amended.</w:t>
      </w:r>
    </w:p>
    <w:p>
      <w:pPr>
        <w:spacing w:after="0" w:line="17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nine months ended September 30, 2021 was nil and 2.64%, respectively (2020 ― 2.70% and 2.24%,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74" w:name="page75"/>
    <w:bookmarkEnd w:id="74"/>
    <w:p>
      <w:pPr>
        <w:jc w:val="both"/>
        <w:ind w:firstLine="225"/>
        <w:spacing w:after="0" w:line="306" w:lineRule="auto"/>
        <w:rPr>
          <w:sz w:val="20"/>
          <w:szCs w:val="20"/>
          <w:color w:val="auto"/>
        </w:rPr>
      </w:pPr>
      <w:r>
        <w:rPr>
          <w:rFonts w:ascii="Arial" w:cs="Arial" w:eastAsia="Arial" w:hAnsi="Arial"/>
          <w:sz w:val="16"/>
          <w:szCs w:val="16"/>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under the Credit Facility following the end of the Designated Period, the standby fee will be 0.50% per annum.</w:t>
      </w:r>
    </w:p>
    <w:p>
      <w:pPr>
        <w:spacing w:after="0" w:line="12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$1.6 million in connection with the Amendments, which are being amortized on a straight-line basis to Interest Expense over the relevant amendment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Facility</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July 1, 2021, IMAX (Shanghai) Multimedia Technology Co., Ltd. (“IMAX Shanghai”), one of the Company’s majority-owned subsidiaries in China, renewed its unsecured revolving facility for up to 200.0 million Chinese Renminbi (“RMB”) (approximately $30.8 million) to fund ongoing working capital requirements (the “Working Capital Facility”). The Working Capital Facility expires in July 2022.</w:t>
      </w:r>
    </w:p>
    <w:p>
      <w:pPr>
        <w:spacing w:after="0" w:line="158"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As of September 30, 2021, outstanding Working Capital Facility borrowings were RMB 71.2 million ($11.0 million) and outstanding letters of guarantee were RMB 0.3 million (less than $0.1 million). As of December 31, 2020, outstanding Working Capital Facility borrowings were RMB 49.9 million ($7.6 million) and no letters of guarantee were issued. As of September 30, 2021, the amount available for future borrowings under the Working Capital Facility was RMB 118.8 million ($18.3 million) and the amount available for letters of guarantee was RMB 9.7 million ($1.5 million). The amount available for future borrowings under the Working Capital Facility is not subject to a standby fee. The effective interest rate for borrowings under the Working Capital Facility for the three and nine months ended September 30, 2021 was 4.29% and 4.32%, respectively (2020 ― 4.35%,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Foreign Exchange Facility</w:t>
      </w:r>
    </w:p>
    <w:p>
      <w:pPr>
        <w:spacing w:after="0" w:line="184"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Within the Credit Facility, the Company is able to enter into foreign currency forward contracts and/or other swap arrangements. As of September 30, 2021, the net unrealized loss on the Company’s outstanding foreign currency forward contracts was $(0.3) million, representing the amount by which the notional value of these forward contracts exceeded their fair value (December 31, 2020 ― $2.0 million). As of September 30, 2021, the notional value of the Company’s outstanding foreign currency forward contracts was $25.8 million (December 31, 2020 ― $31.9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 Facility</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NBC Facility is renewed on an annual basis. It was renewed on October 15, 2021 for a one-year term on the same terms and conditions. The Company did not have any letters of credit or advance payment guarantees outstanding as of September 30, 2021 and December 31, 2020 under the NBC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98"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outstanding Credit Facility borrowings (as discussed above), and is using the remainder for working capital or other general corporate purposes.</w:t>
      </w:r>
    </w:p>
    <w:p>
      <w:pPr>
        <w:spacing w:after="0" w:line="12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thereof, payable semi-annually in arrears on April 1 and October 1 of each year, beginning on October 1, 2021. The Convertible Notes will mature on April 1, 2026, unless they are redeemed or repurchased by the Company or converted on an earlier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5" w:name="page76"/>
    <w:bookmarkEnd w:id="75"/>
    <w:p>
      <w:pPr>
        <w:jc w:val="both"/>
        <w:ind w:firstLine="225"/>
        <w:spacing w:after="0" w:line="288"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3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5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51"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5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40"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The Capped Call Transactions are separate transactions, and are not part of the terms of the Convertible Notes and will not affect any holder’s rights under the Convertible Notes. Holders of the Convertible Notes will not have any rights with respect to the Capped Call Transactions.</w:t>
      </w:r>
    </w:p>
    <w:p>
      <w:pPr>
        <w:spacing w:after="0" w:line="11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Assessment of Liquidity and Capital Requirements</w:t>
      </w:r>
    </w:p>
    <w:p>
      <w:pPr>
        <w:spacing w:after="0" w:line="198"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8"/>
          <w:szCs w:val="18"/>
          <w:color w:val="auto"/>
        </w:rPr>
        <w:t>As of September 30, 2021, the Company’s principal sources of liquidity included: (i) its balances of cash and cash equivalents ($193.0 million); (ii) the anticipated collection of trade accounts receivable, which includes amounts owed under joint revenue sharing arrangements and DMR agreements with movie studios; (iii) the anticipated collection of financing receivables due in the next 12 months; and (iv) installment payments expected in the next 12 months on its existing sales and sales and sales-type lease arrangements in backlog. In addition, as of September 30, 2021, the Company had $300.0 million in available borrowing capacity under the Credit Facility and $18.3 million in available borrowing capacity under the Working Capital Facility, as described above.</w:t>
      </w:r>
    </w:p>
    <w:p>
      <w:pPr>
        <w:spacing w:after="0" w:line="15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Company’s $193.0 million balance of cash and cash equivalents as of September 30, 2021 includes $101.0 million in cash held outside of Canada (December 31, 2020 — $89.9 million), of which $70.3 million was held in the People’s Republic of China (the “PRC”) (December 31, 2020 — $77.2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of September 30, 2021, the Company’s Condensed Consolidated Balance Sheets include a deferred tax liability of $17.6 million for the applicable foreign withholding taxes associated with these historical earnings, which will become payable upon the repatriation of any such earnings. In the third quarter of 2021, $20.4 million of historical earnings from a subsidiary in China were repatriated and, as a result, $2.0 million of foreign withholding taxes were paid in the period.</w:t>
      </w:r>
    </w:p>
    <w:p>
      <w:pPr>
        <w:spacing w:after="0" w:line="130"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The Company’s operating cash flows will be adversely affected if management’s projections of future signings of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Item 1A in the Company’s 2020 Form 10-K), there is no guarantee that the Company will continue to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w:t>
      </w:r>
    </w:p>
    <w:p>
      <w:pPr>
        <w:spacing w:after="0" w:line="168"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for the Company during 2020 and, to a lesser extent, during the nine months ended September 30, 2021, when compared to periods prior to the onset of the pandemic, as GBO results from the Company’s theater customers declined, the installation of certain theater systems was delayed, and maintenance services were generally suspended for theaters that were closed. In addition, as a result of the financial difficulties faced by certain of the Company’s exhibition customers arising out of pandemic-related closures, although improving,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However, with approximately 93% of the Company’s global theater network open at various capacities as of September 30, 2021, GBO receipts generated by IMAX DMR films and joint revenue sharing arrangements increased in the current quarter and year-to-date periods, leading to improvement in the Company’s results, when compared to the prior year periods covered by this report.</w:t>
      </w:r>
    </w:p>
    <w:p>
      <w:pPr>
        <w:spacing w:after="0" w:line="14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 month period following the date of this report.</w:t>
      </w:r>
    </w:p>
    <w:p>
      <w:pPr>
        <w:spacing w:after="0" w:line="135" w:lineRule="exact"/>
        <w:rPr>
          <w:sz w:val="20"/>
          <w:szCs w:val="20"/>
          <w:color w:val="auto"/>
        </w:rPr>
      </w:pPr>
    </w:p>
    <w:p>
      <w:pPr>
        <w:jc w:val="both"/>
        <w:ind w:firstLine="224"/>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September 30, 2021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0"/>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5"/>
              </w:rPr>
              <w:t>Total</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1"/>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0"/>
              </w:rPr>
              <w:t>1 to 3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3"/>
              </w:rPr>
              <w:t>3 to 5 years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70"/>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Obligation</w:t>
            </w: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32,879</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1,676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Pension obligations</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19,331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4,177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Working Capital Facility</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10,974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235,750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232,300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Postretirement benefits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322,435</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46,801</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29,522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236,750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9,362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right="20" w:hanging="373"/>
        <w:spacing w:after="0" w:line="27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35" w:lineRule="exact"/>
        <w:rPr>
          <w:rFonts w:ascii="Arial" w:cs="Arial" w:eastAsia="Arial" w:hAnsi="Arial"/>
          <w:sz w:val="18"/>
          <w:szCs w:val="18"/>
          <w:color w:val="auto"/>
        </w:rPr>
      </w:pPr>
    </w:p>
    <w:p>
      <w:pPr>
        <w:jc w:val="both"/>
        <w:ind w:left="380" w:hanging="373"/>
        <w:spacing w:after="0" w:line="275"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w:t>
      </w:r>
    </w:p>
    <w:p>
      <w:pPr>
        <w:spacing w:after="0" w:line="132" w:lineRule="exact"/>
        <w:rPr>
          <w:rFonts w:ascii="Arial" w:cs="Arial" w:eastAsia="Arial" w:hAnsi="Arial"/>
          <w:sz w:val="17"/>
          <w:szCs w:val="17"/>
          <w:color w:val="auto"/>
        </w:rPr>
      </w:pPr>
    </w:p>
    <w:p>
      <w:pPr>
        <w:ind w:left="380" w:hanging="373"/>
        <w:spacing w:after="0" w:line="27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 which almost entirely consist of rent at the Company’s leased office space in New York.</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July 1, 2021, IMAX Shanghai renewed the Working Capital Facility through July 2022.</w:t>
      </w:r>
    </w:p>
    <w:p>
      <w:pPr>
        <w:spacing w:after="0" w:line="180"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Obligations</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Company has an unfunded defined benefit pension plan, the SERP, covering the Company’s CEO, Mr. Gelfond. Under the terms of the SERP, if Mr. Gelfond’s employment is terminated other than for cause (as defined in his employment agreement), he is entitled to receive SERP benefits in the form of a lump sum payment. SERP benefit payments to Mr. Gelfond are subject to a deferral of six months after the termination of his employment, at which time Mr. Gelfond will be entitled to receive interest on the deferred amount credited at the applicable federate rate for short-term obligations. Pursuant to an amendment to his employment agreement dated November 1, 2019, the term of Mr. Gelfond’s employment was extended through December through December 31, 2022, although Mr. Gelfond has not informed the Company that he intends to retire at that time. Under the terms of this amendment to his employment agreement, the total benefit payable to Mr. Gelfond under the SERP has been fixed at $20.3 million. As of September 30, 2021, the Company’s Condensed Consolidated Balance Sheets include the present value of the related SERP benefit obligation of approximately $20.2 million recorded within Accrued and Other Liabilities (December 31, 2020 — $20.1 million).</w:t>
      </w:r>
    </w:p>
    <w:p>
      <w:pPr>
        <w:spacing w:after="0" w:line="14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a postretirement plan to provide health and welfare benefits to Canadian employees meeting certain eligibility requirements. As of September 30, 2021, the Company’s Condensed Consolidated Balance Sheets include an unfunded benefit obligation of $1.8 million within Accrued and Other Liabilities related to this plan (December 31, 2020 — $1.9 million).</w:t>
      </w:r>
    </w:p>
    <w:p>
      <w:pPr>
        <w:spacing w:after="0" w:line="14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July 2000, the Company agreed to maintain health benefits for Messrs. Gelfond and Bradley J. Wechsler, the Company’s former Co-CEO and former Chairman of its Board of Directors, upon retirement. As of September 30, 2021, the Company’s Condensed Consolidated Balance Sheets include an unfunded benefit obligation of $0.7 million within Accrued and Other Liabilities (December 31, 2020 — $0.7 million). Mr. Wechsler retired from the Company’s Board of Directors on June 9, 2021. The Company will maintain Mr. Wechsler’s current health benefits through December 31, 2021, and thereafter will provide him with Medicare supplemental coverage.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78" w:name="page79"/>
    <w:bookmarkEnd w:id="78"/>
    <w:p>
      <w:pPr>
        <w:jc w:val="both"/>
        <w:ind w:firstLine="225"/>
        <w:spacing w:after="0" w:line="25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September 30, 2021, the benefit obligation related to the Retirement Plan was $3.8 million (December 31, 2020 — $3.7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Retirement Plan is funded by an investment in company-owned life insurance (“COLI”), which is recorded at its fair value on the Company’s Condensed Consolidated Balance Sheets within Prepaid Expenses. As of September 30, 2021, fair value of the COLI asset was $3.2 million (December 31, 2020 — $3.2 million). Gains and losses resulting from changes in the cash surrender value of the COLI asset are recognized in the Condensed Consolidated Statements of Operations within Realized and Unrealized Investment Gains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85" w:lineRule="exact"/>
        <w:rPr>
          <w:sz w:val="20"/>
          <w:szCs w:val="20"/>
          <w:color w:val="auto"/>
        </w:rPr>
      </w:pPr>
    </w:p>
    <w:p>
      <w:pPr>
        <w:ind w:left="580" w:hanging="359"/>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 per basic and diluted share;</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Adjusted net loss attributable to common shareholders and adjusted net loss attributable to common shareholders per basic and diluted share exclude, where applicable: (i) share-based compensation; (ii) COVID-19 government relief benefits; (iii) legal judgment and arbitration awards; (iv) realized and unrealized investment gains or losses, as well as the related tax impact of these adjustments, and (v) income taxes resulting from management’s decision to no longer indefinitely reinvest the historical earnings of certain foreign subsidiaries.</w:t>
      </w:r>
    </w:p>
    <w:p>
      <w:pPr>
        <w:spacing w:after="0" w:line="149"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 the</w:t>
      </w:r>
      <w:r>
        <w:rPr>
          <w:rFonts w:ascii="Arial" w:cs="Arial" w:eastAsia="Arial" w:hAnsi="Arial"/>
          <w:sz w:val="18"/>
          <w:szCs w:val="18"/>
          <w:color w:val="auto"/>
        </w:rPr>
        <w:t xml:space="preserve"> </w:t>
      </w:r>
      <w:r>
        <w:rPr>
          <w:rFonts w:ascii="Arial" w:cs="Arial" w:eastAsia="Arial" w:hAnsi="Arial"/>
          <w:sz w:val="18"/>
          <w:szCs w:val="18"/>
          <w:color w:val="212529"/>
        </w:rPr>
        <w:t xml:space="preserve">after-tax impact of share-based compensation and </w:t>
      </w:r>
      <w:r>
        <w:rPr>
          <w:rFonts w:ascii="Arial" w:cs="Arial" w:eastAsia="Arial" w:hAnsi="Arial"/>
          <w:sz w:val="18"/>
          <w:szCs w:val="18"/>
          <w:color w:val="000000"/>
        </w:rPr>
        <w:t>certain unusual items included in net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9" w:name="page80"/>
    <w:bookmarkEnd w:id="79"/>
    <w:p>
      <w:pPr>
        <w:ind w:firstLine="224"/>
        <w:spacing w:after="0" w:line="270" w:lineRule="auto"/>
        <w:rPr>
          <w:sz w:val="20"/>
          <w:szCs w:val="20"/>
          <w:color w:val="auto"/>
        </w:rPr>
      </w:pPr>
      <w:r>
        <w:rPr>
          <w:rFonts w:ascii="Arial" w:cs="Arial" w:eastAsia="Arial" w:hAnsi="Arial"/>
          <w:sz w:val="18"/>
          <w:szCs w:val="18"/>
          <w:color w:val="auto"/>
        </w:rPr>
        <w:t>Reconciliations of net loss attributable to common shareholders and the associated per share amounts to adjusted net loss attributable to common shareholders and adjusted net loss attributable to common shareholders per diluted share are presented in the tables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2"/>
        </w:trPr>
        <w:tc>
          <w:tcPr>
            <w:tcW w:w="6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302"/>
              <w:spacing w:after="0"/>
              <w:rPr>
                <w:sz w:val="20"/>
                <w:szCs w:val="20"/>
                <w:color w:val="auto"/>
              </w:rPr>
            </w:pPr>
            <w:r>
              <w:rPr>
                <w:rFonts w:ascii="Arial" w:cs="Arial" w:eastAsia="Arial" w:hAnsi="Arial"/>
                <w:sz w:val="14"/>
                <w:szCs w:val="14"/>
                <w:b w:val="1"/>
                <w:bCs w:val="1"/>
                <w:color w:val="auto"/>
                <w:w w:val="91"/>
              </w:rPr>
              <w:t>Net Loss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Per Share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Net Loss</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 attributable to common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(8,378)</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rPr>
              <w:t>COVID-19 government relief benefits</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(2,048)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Unrealized investment gains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rPr>
              <w:t>Tax impact on items listed above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Income taxes resulting from management's decision to no longer indefinitely reinvest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the historical earnings of certain foreign subsidiaries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6540" w:type="dxa"/>
            <w:vAlign w:val="bottom"/>
            <w:gridSpan w:val="3"/>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6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w:t>
            </w:r>
          </w:p>
        </w:tc>
        <w:tc>
          <w:tcPr>
            <w:tcW w:w="18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20" w:type="dxa"/>
            <w:vAlign w:val="bottom"/>
            <w:tcBorders>
              <w:bottom w:val="single" w:sz="8" w:color="CFF0FC"/>
            </w:tcBorders>
            <w:gridSpan w:val="2"/>
            <w:shd w:val="clear" w:color="auto" w:fill="CFF0FC"/>
          </w:tcPr>
          <w:p>
            <w:pPr>
              <w:spacing w:after="0" w:line="206" w:lineRule="exact"/>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w w:val="91"/>
              </w:rPr>
              <w:t>Net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 Share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Net Loss</w:t>
            </w:r>
          </w:p>
        </w:tc>
        <w:tc>
          <w:tcPr>
            <w:tcW w:w="1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 attributable to common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(32,429)</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(122,530)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rPr>
              <w:t>COVID-19 government relief benefits</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(5,513)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Legal judgment and arbitration awards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(1,770)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rPr>
              <w:t>Realized and unrealized investment (gains) losses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(3,740)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Tax impact on items listed above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w w:val="93"/>
              </w:rPr>
              <w:t>Income taxes resulting from management's decision to no longer indefinitely reinvest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 historical earnings of certain foreign subsidiaries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(26,813</w:t>
            </w:r>
          </w:p>
        </w:tc>
        <w:tc>
          <w:tcPr>
            <w:tcW w:w="1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59,207</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amounts attributable to common shareholders.</w:t>
      </w:r>
    </w:p>
    <w:p>
      <w:pPr>
        <w:spacing w:after="0" w:line="180" w:lineRule="exact"/>
        <w:rPr>
          <w:rFonts w:ascii="Arial" w:cs="Arial" w:eastAsia="Arial" w:hAnsi="Arial"/>
          <w:sz w:val="18"/>
          <w:szCs w:val="18"/>
          <w:color w:val="auto"/>
        </w:rPr>
      </w:pPr>
    </w:p>
    <w:p>
      <w:pPr>
        <w:jc w:val="both"/>
        <w:ind w:left="380" w:hanging="373"/>
        <w:spacing w:after="0" w:line="25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three months ended September 30, 2021, the Company recognized $2.0 million in COVID-19 government relief benefits (2020 — $2.0 million), as reductions to Selling, General and Administrative Expenses ($1.5 million) (2020 — $1.6 million), Costs and Expenses Applicable to Revenues ($0.5 million) (2020 — $0.3 million) and Research and Development Expenses ($nil) (2020 — $0.1 million) in the Condensed Consolidated Statements of Operations.</w:t>
      </w:r>
    </w:p>
    <w:p>
      <w:pPr>
        <w:spacing w:after="0" w:line="148" w:lineRule="exact"/>
        <w:rPr>
          <w:rFonts w:ascii="Arial" w:cs="Arial" w:eastAsia="Arial" w:hAnsi="Arial"/>
          <w:sz w:val="18"/>
          <w:szCs w:val="18"/>
          <w:color w:val="auto"/>
        </w:rPr>
      </w:pPr>
    </w:p>
    <w:p>
      <w:pPr>
        <w:jc w:val="both"/>
        <w:ind w:left="380" w:hanging="373"/>
        <w:spacing w:after="0" w:line="25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nine months ended September 30, 2021, the Company recognized $5.5 million in COVID-19 government relief benefits (2020 — $5.2 million), as reductions to Selling, General and Administrative Expenses ($4.1 million) (2020 — $4.5 million), Costs and Expenses Applicable to Revenues ($1.4 million) (2020 — $0.6 million) and Research and Development Expenses ($nil) (2020 — $0.1 million) in the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80" w:name="page81"/>
    <w:bookmarkEnd w:id="80"/>
    <w:p>
      <w:pPr>
        <w:jc w:val="both"/>
        <w:ind w:firstLine="225"/>
        <w:spacing w:after="0" w:line="251" w:lineRule="auto"/>
        <w:rPr>
          <w:sz w:val="20"/>
          <w:szCs w:val="20"/>
          <w:color w:val="auto"/>
        </w:rPr>
      </w:pPr>
      <w:r>
        <w:rPr>
          <w:rFonts w:ascii="Arial" w:cs="Arial" w:eastAsia="Arial" w:hAnsi="Arial"/>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against its Credit Agreement requirements in the current period, if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6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write-downs, net of recoveries, including asset impairments and credit loss expense; and (iv) legal judgment and arbitration awards.</w:t>
      </w:r>
    </w:p>
    <w:p>
      <w:pPr>
        <w:spacing w:after="0" w:line="13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Reconciliations of net loss attributable to common shareholders, which is the most directly comparable GAAP measure, to EBITDA and Adjusted EBITDA per Credit Facility are presented in the tables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6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2"/>
              </w:rPr>
              <w:t xml:space="preserve">For the Three Months Ended September 30, 2021 </w:t>
            </w:r>
            <w:r>
              <w:rPr>
                <w:rFonts w:ascii="Arial" w:cs="Arial" w:eastAsia="Arial" w:hAnsi="Arial"/>
                <w:sz w:val="12"/>
                <w:szCs w:val="12"/>
                <w:b w:val="1"/>
                <w:bCs w:val="1"/>
                <w:color w:val="auto"/>
                <w:w w:val="92"/>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Attributable to</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Interests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Less: Attributable to</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Attributable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Common 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Common Shareholders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spacing w:after="0"/>
              <w:rPr>
                <w:sz w:val="20"/>
                <w:szCs w:val="20"/>
                <w:color w:val="auto"/>
              </w:rPr>
            </w:pPr>
            <w:r>
              <w:rPr>
                <w:rFonts w:ascii="Arial" w:cs="Arial" w:eastAsia="Arial" w:hAnsi="Arial"/>
                <w:sz w:val="18"/>
                <w:szCs w:val="18"/>
                <w:color w:val="auto"/>
              </w:rPr>
              <w:t>Add (subtract):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13,176</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15"/>
                <w:szCs w:val="15"/>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Unrealized investment gains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w w:val="89"/>
              </w:rPr>
              <w:t>(Recoveries) write-downs, including asset impairments and credit loss expense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per Credit Facility</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92"/>
              </w:rPr>
              <w:t xml:space="preserve">For the Twelve Months Ended September 30, 2021 </w:t>
            </w:r>
            <w:r>
              <w:rPr>
                <w:rFonts w:ascii="Arial" w:cs="Arial" w:eastAsia="Arial" w:hAnsi="Arial"/>
                <w:sz w:val="12"/>
                <w:szCs w:val="12"/>
                <w:b w:val="1"/>
                <w:bCs w:val="1"/>
                <w:color w:val="auto"/>
                <w:w w:val="92"/>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Attributable to</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Interests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Less: Attributable to</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Attributable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Common 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Common Shareholders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(53,674)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spacing w:after="0"/>
              <w:rPr>
                <w:sz w:val="20"/>
                <w:szCs w:val="20"/>
                <w:color w:val="auto"/>
              </w:rPr>
            </w:pPr>
            <w:r>
              <w:rPr>
                <w:rFonts w:ascii="Arial" w:cs="Arial" w:eastAsia="Arial" w:hAnsi="Arial"/>
                <w:sz w:val="18"/>
                <w:szCs w:val="18"/>
                <w:color w:val="auto"/>
              </w:rPr>
              <w:t>Add (subtract):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47,566</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15"/>
                <w:szCs w:val="15"/>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Realized and unrealized investment gains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Legal judgment and arbitration awards</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tcPr>
          <w:p>
            <w:pPr>
              <w:spacing w:after="0"/>
              <w:rPr>
                <w:sz w:val="20"/>
                <w:szCs w:val="20"/>
                <w:color w:val="auto"/>
              </w:rPr>
            </w:pPr>
            <w:r>
              <w:rPr>
                <w:rFonts w:ascii="Arial" w:cs="Arial" w:eastAsia="Arial" w:hAnsi="Arial"/>
                <w:sz w:val="18"/>
                <w:szCs w:val="18"/>
                <w:color w:val="auto"/>
              </w:rPr>
              <w:t>Adjusted EBITDA per Credit Facility</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554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8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1" w:name="page82"/>
    <w:bookmarkEnd w:id="81"/>
    <w:p>
      <w:pPr>
        <w:jc w:val="both"/>
        <w:ind w:left="380" w:hanging="361"/>
        <w:spacing w:after="0" w:line="253" w:lineRule="auto"/>
        <w:tabs>
          <w:tab w:leader="none" w:pos="331"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949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9960" cy="8255"/>
                    </a:xfrm>
                    <a:prstGeom prst="rect">
                      <a:avLst/>
                    </a:prstGeom>
                    <a:noFill/>
                  </pic:spPr>
                </pic:pic>
              </a:graphicData>
            </a:graphic>
          </wp:anchor>
        </w:drawing>
        <w:t>The Senior Secured Net Leverage Ratio is calculated using Adjusted EBITDA per Credit Facility determined on a trailing twelve-month basis. During the first quarter of 2021, the Company entered into the Second Amendment to the Credit Facility Agreement which, among other things, suspends the Senior Secured Net Leverage Ratio financial covenant in the Credit Agreement through the first quarter of 2022 and, once re-established, permits the Company to use EBITDA from the third and fourth quarters of 2019 in lieu of EBITDA for the corresponding quarters of 2021. (See Note 7 of Notes to Condensed Consolidated Financial Statements.)</w:t>
      </w:r>
    </w:p>
    <w:p>
      <w:pPr>
        <w:spacing w:after="0" w:line="151" w:lineRule="exact"/>
        <w:rPr>
          <w:rFonts w:ascii="Arial" w:cs="Arial" w:eastAsia="Arial" w:hAnsi="Arial"/>
          <w:sz w:val="18"/>
          <w:szCs w:val="18"/>
          <w:color w:val="auto"/>
        </w:rPr>
      </w:pPr>
    </w:p>
    <w:p>
      <w:pPr>
        <w:ind w:left="320" w:hanging="301"/>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amortization of deferred financing costs is recorded within Interest Expense in the Condensed Consolidated Statements of Operations.</w:t>
      </w:r>
    </w:p>
    <w:p>
      <w:pPr>
        <w:spacing w:after="0" w:line="19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as a substitute for, or superior to, the comparable GAAP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98"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85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5"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Certain of the Company’s subsidiaries held approximately RMB 454.4 million ($70.1 million) in cash and cash equivalents as of September 30, 2021 (December 31, 2020 — RMB 500.3 million or $76.7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w:t>
      </w:r>
    </w:p>
    <w:p>
      <w:pPr>
        <w:spacing w:after="0" w:line="136"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and nine months ended September 30, 2021, the Company recorded a foreign exchange net loss of $(0.6) million and net gain $1.1 million, respectively, as compared to a foreign exchange net gain of $0.2 million and a net loss of $(0.8) million for the three and nine months ended September 30, 2020, respectively, associated with the translation of foreign currency denominated monetary assets and liabilities.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2" w:name="page83"/>
    <w:bookmarkEnd w:id="82"/>
    <w:p>
      <w:pPr>
        <w:jc w:val="both"/>
        <w:ind w:firstLine="225"/>
        <w:spacing w:after="0" w:line="284" w:lineRule="auto"/>
        <w:rPr>
          <w:sz w:val="20"/>
          <w:szCs w:val="20"/>
          <w:color w:val="auto"/>
        </w:rPr>
      </w:pPr>
      <w:r>
        <w:rPr>
          <w:rFonts w:ascii="Arial" w:cs="Arial" w:eastAsia="Arial" w:hAnsi="Arial"/>
          <w:sz w:val="16"/>
          <w:szCs w:val="16"/>
          <w:color w:val="auto"/>
        </w:rPr>
        <w:t>The Company has entered into a series of foreign currency forward contracts to manage the Company’s risks associated with the volatility of foreign currencies. The forward contracts have settlement dates throughout 2022. Foreign currency derivatives are recognized and measured in the Condensed Consolidated Balance Sheets at fair value. Changes in the fair value (gains or losses) are recognized in the Condensed Consolidated Statements of Operations except for derivatives designated and qualifying as foreign currency cash flow hedging instruments. Certain of these foreign currency forward contracts held by the Company as of September 30, 2021, are designated and qualify as foreign currency cash flow hedging instruments. The Company currently has cash flow hedging instruments associated with Selling, General and Administrative Expenses, Inventories and capital expenditures. For foreign currency cash flow hedging instruments related to Selling, General and Administrative Expenses, the effective portion of the gain or loss in a hedge of a forecasted transaction is reported in Other Comprehensive (Loss) Income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(Loss) Income and reclassified to Inventories on the Condensed Consolidated Balance Sheets when the forecasted transaction occurs. Any ineffective portion is recognized immediately in the Condensed Consolidated Statements of Operations.</w:t>
      </w:r>
    </w:p>
    <w:p>
      <w:pPr>
        <w:spacing w:after="0" w:line="143"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notional value of foreign currency cash flow hedging instruments that qualify for hedge accounting at September 30, 2021 was $24.6 million (December 31, 2020 — $26.4 million). A loss of $(0.8) million and a loss of $(0.2) million was recorded to Other Comprehensive (Loss) Income with respect to the change in fair value of these contracts for the three and nine months ended September 30, 2021, respectively (2020 — gain of $0.6 million and a loss of $(0.9) million, respectively). A gain of $0.3 million and a gain of $1.4 million was reclassified from Accumulated Other Comprehensive (Loss) Income to Selling, General and Administrative Expenses and Inventories for the three and nine months ended September 30, 2021, respectively (2020 — loss of $(0.1) million and a loss of $(0.8) million, respectively). An unrealized gain of less than $0.1 million and $0.3 million resulting from a change in the classification of certain forward contracts no longer meeting the requirements for hedge accounting were reclassified from Accumulated Other Comprehensive (Loss) Income to Selling, General and Administrative Expenses for the three and nine months ended September 30, 2021 (2020 — $nil). The notional value of forward contracts that do not qualify for hedge accounting at September 30, 2021 was $1.1 million (December 31, 2020 — $5.6 million).</w:t>
      </w:r>
    </w:p>
    <w:p>
      <w:pPr>
        <w:spacing w:after="0" w:line="13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At September 30, 2021, the Company’s Financing Receivables and working capital items denominated in Canadian Dollars, RMB, Japanese Yen, Euros and other foreign currencies translated into U.S. Dollars was $144.2 million. Assuming a 10% appreciation or depreciation in foreign currency exchange rates from the quoted foreign currency exchange rates at September 30, 2021, the potential change in the fair value of foreign currency-denominated financing receivables and working capital items would have been $14.4 million. A significant portion of the Company’s Selling, General, and Administrative Expenses is denominated in Canadian Dollars. Assuming a 1% change appreciation or depreciation in foreign currency exchange rates at September 30, 2021, the potential change in the amount of Selling, General, and Administrative Expenses would be $0.1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earnings are also affected by changes in interest rates due to the impact those changes have on its interest income from cash, and its interest expense from variable-rate borrowings. Specifically, the Company’s largest exposure with respect to variable interest rate debt on borrowings under the Credit Facility resulting from changes in LIBOR.</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had no variable rate debt instruments outstanding as of September 30,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September 30, 2021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September 30, 2021, that have materially affected, or are reasonably likely to materially affect, the Company’s internal control over financial reporting. The Company has not experienced any material impact to its internal control over financial reporting despite the fact that most of its Finance employees are working remotely due to the COVID-19 pandemic. The Company will continue to monitor the evolving COVID-19 situation to minimize its impact on the design and operating effectiveness of the Company’s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6"/>
          <w:szCs w:val="16"/>
          <w:color w:val="auto"/>
        </w:rPr>
        <w:t>This Form 10-Q and the risk factors below should be read together with, and supplement, the risk factors in Item 1A. Risk Factors in the Company’s 2020 Form 10-K, which describes various risks and uncertainties to which the Company is or may become subject. The risks described below and in the Company’s 2020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OPERATIONS</w:t>
      </w:r>
    </w:p>
    <w:p>
      <w:pPr>
        <w:spacing w:after="0" w:line="224" w:lineRule="exact"/>
        <w:rPr>
          <w:sz w:val="20"/>
          <w:szCs w:val="20"/>
          <w:color w:val="auto"/>
        </w:rPr>
      </w:pPr>
    </w:p>
    <w:p>
      <w:pPr>
        <w:jc w:val="both"/>
        <w:ind w:firstLine="289"/>
        <w:spacing w:after="0" w:line="300" w:lineRule="auto"/>
        <w:rPr>
          <w:sz w:val="20"/>
          <w:szCs w:val="20"/>
          <w:color w:val="auto"/>
        </w:rPr>
      </w:pPr>
      <w:r>
        <w:rPr>
          <w:rFonts w:ascii="Arial" w:cs="Arial" w:eastAsia="Arial" w:hAnsi="Arial"/>
          <w:sz w:val="17"/>
          <w:szCs w:val="17"/>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3"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212529"/>
        </w:rPr>
        <w:t xml:space="preserve">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 theater closures, movie studios postponed the theatrical release of most films </w:t>
      </w:r>
      <w:r>
        <w:rPr>
          <w:rFonts w:ascii="Arial" w:cs="Arial" w:eastAsia="Arial" w:hAnsi="Arial"/>
          <w:sz w:val="16"/>
          <w:szCs w:val="16"/>
          <w:color w:val="000000"/>
        </w:rPr>
        <w:t>originally</w:t>
      </w:r>
      <w:r>
        <w:rPr>
          <w:rFonts w:ascii="Arial" w:cs="Arial" w:eastAsia="Arial" w:hAnsi="Arial"/>
          <w:sz w:val="16"/>
          <w:szCs w:val="16"/>
          <w:color w:val="212529"/>
        </w:rPr>
        <w:t xml:space="preserve"> </w:t>
      </w:r>
      <w:r>
        <w:rPr>
          <w:rFonts w:ascii="Arial" w:cs="Arial" w:eastAsia="Arial" w:hAnsi="Arial"/>
          <w:sz w:val="16"/>
          <w:szCs w:val="16"/>
          <w:color w:val="000000"/>
        </w:rPr>
        <w:t>scheduled for release in 2020 and early 2021</w:t>
      </w:r>
      <w:r>
        <w:rPr>
          <w:rFonts w:ascii="Arial" w:cs="Arial" w:eastAsia="Arial" w:hAnsi="Arial"/>
          <w:sz w:val="16"/>
          <w:szCs w:val="16"/>
          <w:color w:val="212529"/>
        </w:rPr>
        <w:t>, including many scheduled to be shown in IMAX theaters</w:t>
      </w:r>
      <w:r>
        <w:rPr>
          <w:rFonts w:ascii="Arial" w:cs="Arial" w:eastAsia="Arial" w:hAnsi="Arial"/>
          <w:sz w:val="16"/>
          <w:szCs w:val="16"/>
          <w:color w:val="000000"/>
        </w:rPr>
        <w:t>, while several other films were released directly or concurrently to streaming platforms</w:t>
      </w:r>
      <w:r>
        <w:rPr>
          <w:rFonts w:ascii="Arial" w:cs="Arial" w:eastAsia="Arial" w:hAnsi="Arial"/>
          <w:sz w:val="16"/>
          <w:szCs w:val="16"/>
          <w:color w:val="212529"/>
        </w:rPr>
        <w:t>.</w:t>
      </w:r>
      <w:r>
        <w:rPr>
          <w:rFonts w:ascii="Arial" w:cs="Arial" w:eastAsia="Arial" w:hAnsi="Arial"/>
          <w:sz w:val="16"/>
          <w:szCs w:val="16"/>
          <w:color w:val="000000"/>
        </w:rPr>
        <w:t xml:space="preserve"> More recently, stay-at-home orders and capacity restrictions have been lifted in almost all key markets and, beginning in the third quarter of 2020, movie theaters throughout the IMAX network gradually reopened. However, there is no assurance that movie theaters will remain open or continue to reopen if there is a resurgence in COVID-19 cases in certain jurisdictions. As of September 30, 2021, 93% of the theaters in the global IMAX commercial multiplex network were open at various capacities, spanning 70 countries. This included 100% of Domestic theaters (i.e., in the United States and Canada), 93% of the theaters in Greater China and 87% of the theaters in Rest of World markets.</w:t>
      </w:r>
    </w:p>
    <w:p>
      <w:pPr>
        <w:spacing w:after="0" w:line="174" w:lineRule="exact"/>
        <w:rPr>
          <w:sz w:val="20"/>
          <w:szCs w:val="20"/>
          <w:color w:val="auto"/>
        </w:rPr>
      </w:pPr>
    </w:p>
    <w:p>
      <w:pPr>
        <w:jc w:val="both"/>
        <w:ind w:firstLine="289"/>
        <w:spacing w:after="0" w:line="265" w:lineRule="auto"/>
        <w:rPr>
          <w:sz w:val="20"/>
          <w:szCs w:val="20"/>
          <w:color w:val="auto"/>
        </w:rPr>
      </w:pPr>
      <w:r>
        <w:rPr>
          <w:rFonts w:ascii="Arial" w:cs="Arial" w:eastAsia="Arial" w:hAnsi="Arial"/>
          <w:sz w:val="17"/>
          <w:szCs w:val="17"/>
          <w:color w:val="212529"/>
        </w:rPr>
        <w:t xml:space="preserve">The impact of the COVID-19 global pandemic has resulted in significantly lower levels of revenues, earnings and operating cash flows for the Company during </w:t>
      </w:r>
      <w:r>
        <w:rPr>
          <w:rFonts w:ascii="Arial" w:cs="Arial" w:eastAsia="Arial" w:hAnsi="Arial"/>
          <w:sz w:val="17"/>
          <w:szCs w:val="17"/>
          <w:color w:val="000000"/>
        </w:rPr>
        <w:t>2020 and, to a lesser extent, during the nine months ended September 30, 2021, when compared to periods prior to the onset of the pandemic, as GBO</w:t>
      </w:r>
      <w:r>
        <w:rPr>
          <w:rFonts w:ascii="Arial" w:cs="Arial" w:eastAsia="Arial" w:hAnsi="Arial"/>
          <w:sz w:val="17"/>
          <w:szCs w:val="17"/>
          <w:color w:val="212529"/>
        </w:rPr>
        <w:t xml:space="preserve"> </w:t>
      </w:r>
      <w:r>
        <w:rPr>
          <w:rFonts w:ascii="Arial" w:cs="Arial" w:eastAsia="Arial" w:hAnsi="Arial"/>
          <w:sz w:val="17"/>
          <w:szCs w:val="17"/>
          <w:color w:val="000000"/>
        </w:rPr>
        <w:t>results from the Company’s theater customers declined significantly, the installation of certain theater systems was delayed, and maintenance services were generally suspended for theaters that were closed</w:t>
      </w:r>
      <w:r>
        <w:rPr>
          <w:rFonts w:ascii="Arial" w:cs="Arial" w:eastAsia="Arial" w:hAnsi="Arial"/>
          <w:sz w:val="17"/>
          <w:szCs w:val="17"/>
          <w:color w:val="212529"/>
        </w:rPr>
        <w:t>. As a result, for the three and nine months ended September 30, 2021, the Company continued to</w:t>
      </w:r>
      <w:r>
        <w:rPr>
          <w:rFonts w:ascii="Arial" w:cs="Arial" w:eastAsia="Arial" w:hAnsi="Arial"/>
          <w:sz w:val="17"/>
          <w:szCs w:val="17"/>
          <w:color w:val="000000"/>
        </w:rPr>
        <w:t xml:space="preserve"> </w:t>
      </w:r>
      <w:r>
        <w:rPr>
          <w:rFonts w:ascii="Arial" w:cs="Arial" w:eastAsia="Arial" w:hAnsi="Arial"/>
          <w:sz w:val="17"/>
          <w:szCs w:val="17"/>
          <w:color w:val="212529"/>
        </w:rPr>
        <w:t>experience a significantly lower level of earnings and operating cash flows as it generated lower than normal levels of GBO-based revenue from its joint revenue sharing arrangements and digital remastering services, it was unable to provide normal maintenance services to any of the theaters that remained closed, and while some installation activity continued, certain theater system installations were, and may continue to be delayed. Moreover, given the uncertainty around when movie-going will return to historical levels, there is no guarantee that the effects of the COVID-19 global pandemic will end even after theaters are reopened. In addition, the global economic impact of COVID-19 has resulted in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48"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8"/>
          <w:szCs w:val="18"/>
          <w:color w:val="auto"/>
        </w:rPr>
        <w:t>In response to uncertainties associated with the COVID-19 global pandemic, the Company took significant steps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 There can, however, be no guarantees that the steps the Company has taken to preserve cash and manage its expenditures will result in the cost savings the Company anticipates.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5" w:name="page86"/>
    <w:bookmarkEnd w:id="85"/>
    <w:p>
      <w:pPr>
        <w:jc w:val="both"/>
        <w:ind w:firstLine="255"/>
        <w:spacing w:after="0" w:line="255" w:lineRule="auto"/>
        <w:rPr>
          <w:sz w:val="20"/>
          <w:szCs w:val="20"/>
          <w:color w:val="auto"/>
        </w:rPr>
      </w:pPr>
      <w:r>
        <w:rPr>
          <w:rFonts w:ascii="Arial" w:cs="Arial" w:eastAsia="Arial" w:hAnsi="Arial"/>
          <w:sz w:val="18"/>
          <w:szCs w:val="18"/>
          <w:color w:val="auto"/>
        </w:rPr>
        <w:t>The Company has applied for and received wage subsidies, tax credits and other financial support under COVID-19 relief legislation that has been enacted in the countries in which it operates. There are no guarantees that the Company will apply for or receive such benefits in the future or that the Company will receive any additional material financial support through these or other programs that may be created, expanded, or implemented by governments in the countries in which the Company operates.</w:t>
      </w:r>
    </w:p>
    <w:p>
      <w:pPr>
        <w:spacing w:after="0" w:line="189" w:lineRule="exact"/>
        <w:rPr>
          <w:sz w:val="20"/>
          <w:szCs w:val="20"/>
          <w:color w:val="auto"/>
        </w:rPr>
      </w:pPr>
    </w:p>
    <w:p>
      <w:pPr>
        <w:jc w:val="both"/>
        <w:ind w:firstLine="289"/>
        <w:spacing w:after="0" w:line="265" w:lineRule="auto"/>
        <w:rPr>
          <w:sz w:val="20"/>
          <w:szCs w:val="20"/>
          <w:color w:val="auto"/>
        </w:rPr>
      </w:pPr>
      <w:r>
        <w:rPr>
          <w:rFonts w:ascii="Arial" w:cs="Arial" w:eastAsia="Arial" w:hAnsi="Arial"/>
          <w:sz w:val="17"/>
          <w:szCs w:val="17"/>
          <w:color w:val="212529"/>
        </w:rPr>
        <w:t xml:space="preserve">In addition, as a result of the financial difficulties faced by certain of the Company’s exhibition customers arising out of the COVID-19 pandemic related closures, the Company has experienced and may continue to experience delays in collecting payments due under existing theater sale or lease arrangements. The Company has provided temporary relief to certain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 Certain of the Company’s </w:t>
      </w:r>
      <w:r>
        <w:rPr>
          <w:rFonts w:ascii="Arial" w:cs="Arial" w:eastAsia="Arial" w:hAnsi="Arial"/>
          <w:sz w:val="17"/>
          <w:szCs w:val="17"/>
          <w:color w:val="000000"/>
        </w:rPr>
        <w:t>exhibitor partners that had</w:t>
      </w:r>
      <w:r>
        <w:rPr>
          <w:rFonts w:ascii="Arial" w:cs="Arial" w:eastAsia="Arial" w:hAnsi="Arial"/>
          <w:sz w:val="17"/>
          <w:szCs w:val="17"/>
          <w:color w:val="212529"/>
        </w:rPr>
        <w:t xml:space="preserve"> </w:t>
      </w:r>
      <w:r>
        <w:rPr>
          <w:rFonts w:ascii="Arial" w:cs="Arial" w:eastAsia="Arial" w:hAnsi="Arial"/>
          <w:sz w:val="17"/>
          <w:szCs w:val="17"/>
          <w:color w:val="000000"/>
        </w:rPr>
        <w:t xml:space="preserve">reopened theaters have temporarily suspended operations of their theater network in certain jurisdictions and other exhibitor partners have reduced their theaters’ operating hours, which may exacerbate existing financial difficulties. Our exhibitor partners may continue to experience operational and/or financial difficulties if the COVID-19 pandemic continues or consumers change their behavior and consumption patterns in response to the prolonged suspension of movie-going, or for other reasons, which would further increase the risks associated with payments under existing agreements with the Company. </w:t>
      </w:r>
      <w:r>
        <w:rPr>
          <w:rFonts w:ascii="Arial" w:cs="Arial" w:eastAsia="Arial" w:hAnsi="Arial"/>
          <w:sz w:val="17"/>
          <w:szCs w:val="17"/>
          <w:color w:val="212529"/>
        </w:rPr>
        <w:t>The ability</w:t>
      </w:r>
      <w:r>
        <w:rPr>
          <w:rFonts w:ascii="Arial" w:cs="Arial" w:eastAsia="Arial" w:hAnsi="Arial"/>
          <w:sz w:val="17"/>
          <w:szCs w:val="17"/>
          <w:color w:val="000000"/>
        </w:rPr>
        <w:t xml:space="preserve"> </w:t>
      </w:r>
      <w:r>
        <w:rPr>
          <w:rFonts w:ascii="Arial" w:cs="Arial" w:eastAsia="Arial" w:hAnsi="Arial"/>
          <w:sz w:val="17"/>
          <w:szCs w:val="17"/>
          <w:color w:val="212529"/>
        </w:rPr>
        <w:t>of such partners to make payments cannot be guaranteed and is subject to changing economic circumstances.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88" w:lineRule="exact"/>
        <w:rPr>
          <w:sz w:val="20"/>
          <w:szCs w:val="20"/>
          <w:color w:val="auto"/>
        </w:rPr>
      </w:pPr>
    </w:p>
    <w:p>
      <w:pPr>
        <w:jc w:val="both"/>
        <w:ind w:firstLine="289"/>
        <w:spacing w:after="0" w:line="282" w:lineRule="auto"/>
        <w:rPr>
          <w:sz w:val="20"/>
          <w:szCs w:val="20"/>
          <w:color w:val="auto"/>
        </w:rPr>
      </w:pPr>
      <w:r>
        <w:rPr>
          <w:rFonts w:ascii="Arial" w:cs="Arial" w:eastAsia="Arial" w:hAnsi="Arial"/>
          <w:sz w:val="16"/>
          <w:szCs w:val="16"/>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of variants of the virus, the progress made on administering vaccines, the timing of reopening of movie theaters worldwide and their return to historical levels of attendance, the timing of when new films are released, consumer behavior, the solvency of the Company’s exhibitor partners, their ability to make timely payments, any potential construction or installation delays involving our exhibitor partners, the continuing impact of the pandemic on global economic conditions and ongoing government responses to the pandemic. Such events are highly uncertain and cannot be accurately forecast. Moreover, there can be no guarantees that the Company’s liquidity needs will not increase materially over the course of the COVID-19 pandemic. In addition, liquidity needs as well as other changes to the Company’s business and operations may impact the Company’s ability to maintain compliance with certain covenants under the amended Credit Agreement. The Company may also be subject to impairment losses based on long-term estimated projections. </w:t>
      </w:r>
      <w:r>
        <w:rPr>
          <w:rFonts w:ascii="Arial" w:cs="Arial" w:eastAsia="Arial" w:hAnsi="Arial"/>
          <w:sz w:val="16"/>
          <w:szCs w:val="16"/>
          <w:color w:val="000000"/>
        </w:rPr>
        <w:t>These estimates and the likelihood of future changes in these estimates depend on a number of underlying</w:t>
      </w:r>
      <w:r>
        <w:rPr>
          <w:rFonts w:ascii="Arial" w:cs="Arial" w:eastAsia="Arial" w:hAnsi="Arial"/>
          <w:sz w:val="16"/>
          <w:szCs w:val="16"/>
          <w:color w:val="212529"/>
        </w:rPr>
        <w:t xml:space="preserve"> </w:t>
      </w:r>
      <w:r>
        <w:rPr>
          <w:rFonts w:ascii="Arial" w:cs="Arial" w:eastAsia="Arial" w:hAnsi="Arial"/>
          <w:sz w:val="16"/>
          <w:szCs w:val="16"/>
          <w:color w:val="000000"/>
        </w:rPr>
        <w:t xml:space="preserve">variables and a range of possible outcomes. Actual results may differ materially from management’s estimates, especially due to the uncertainties associated with the COVID-19 pandemic. </w:t>
      </w:r>
      <w:r>
        <w:rPr>
          <w:rFonts w:ascii="Arial" w:cs="Arial" w:eastAsia="Arial" w:hAnsi="Arial"/>
          <w:sz w:val="16"/>
          <w:szCs w:val="16"/>
          <w:color w:val="212529"/>
        </w:rPr>
        <w:t>If business conditions deteriorate further, or should they remain depressed for a more prolonged period of time,</w:t>
      </w:r>
      <w:r>
        <w:rPr>
          <w:rFonts w:ascii="Arial" w:cs="Arial" w:eastAsia="Arial" w:hAnsi="Arial"/>
          <w:sz w:val="16"/>
          <w:szCs w:val="16"/>
          <w:color w:val="000000"/>
        </w:rPr>
        <w:t xml:space="preserve"> </w:t>
      </w:r>
      <w:r>
        <w:rPr>
          <w:rFonts w:ascii="Arial" w:cs="Arial" w:eastAsia="Arial" w:hAnsi="Arial"/>
          <w:sz w:val="16"/>
          <w:szCs w:val="16"/>
          <w:color w:val="212529"/>
        </w:rPr>
        <w:t>management’s estimates of operating results and future cash flows for reporting units may be insufficient to support the goodwill assigned to them, thus requiring impairment charges. Estimates related to future expected credit losses and deferred tax assets, as well as the recoverability of joint revenue sharing equipment and the realization of variable consideration assets, could also be materially impacted by changes in estimates in the future.</w:t>
      </w:r>
    </w:p>
    <w:p>
      <w:pPr>
        <w:spacing w:after="0" w:line="148" w:lineRule="exact"/>
        <w:rPr>
          <w:sz w:val="20"/>
          <w:szCs w:val="20"/>
          <w:color w:val="auto"/>
        </w:rPr>
      </w:pPr>
    </w:p>
    <w:p>
      <w:pPr>
        <w:jc w:val="both"/>
        <w:ind w:firstLine="289"/>
        <w:spacing w:after="0" w:line="268" w:lineRule="auto"/>
        <w:rPr>
          <w:sz w:val="20"/>
          <w:szCs w:val="20"/>
          <w:color w:val="auto"/>
        </w:rPr>
      </w:pPr>
      <w:r>
        <w:rPr>
          <w:rFonts w:ascii="Arial" w:cs="Arial" w:eastAsia="Arial" w:hAnsi="Arial"/>
          <w:sz w:val="17"/>
          <w:szCs w:val="17"/>
          <w:color w:val="212529"/>
        </w:rPr>
        <w:t>The COVID-19 pandemic and public health measures implemented to contain it may also have the effect of heightening many of the other risks described in the Company’s 2020 Form 10-K, including, but not limited to, risks relating to harm to our key personnel, diverting management’s resources and time to addressing the impacts of COVID-19, which may negatively affect the Company’s ability to implement its business plan and pursue certain opportunities, potential impairments, the effectiveness of our internal control of financial reporting, cybersecurity and data privacy risks due to employees working from home, and risks of increased indebtedness due to the drawdown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RISKS RELATED TO THE COMPANY’S INDEBTEDNESS</w:t>
      </w:r>
    </w:p>
    <w:p>
      <w:pPr>
        <w:spacing w:after="0" w:line="224" w:lineRule="exact"/>
        <w:rPr>
          <w:sz w:val="20"/>
          <w:szCs w:val="20"/>
          <w:color w:val="auto"/>
        </w:rPr>
      </w:pPr>
    </w:p>
    <w:p>
      <w:pPr>
        <w:jc w:val="both"/>
        <w:ind w:firstLine="289"/>
        <w:spacing w:after="0" w:line="270" w:lineRule="auto"/>
        <w:rPr>
          <w:sz w:val="20"/>
          <w:szCs w:val="20"/>
          <w:color w:val="auto"/>
        </w:rPr>
      </w:pPr>
      <w:r>
        <w:rPr>
          <w:rFonts w:ascii="Arial" w:cs="Arial" w:eastAsia="Arial" w:hAnsi="Arial"/>
          <w:sz w:val="18"/>
          <w:szCs w:val="18"/>
          <w:b w:val="1"/>
          <w:bCs w:val="1"/>
          <w:i w:val="1"/>
          <w:iCs w:val="1"/>
          <w:color w:val="212529"/>
        </w:rPr>
        <w:t xml:space="preserve">The </w:t>
      </w:r>
      <w:r>
        <w:rPr>
          <w:rFonts w:ascii="Arial" w:cs="Arial" w:eastAsia="Arial" w:hAnsi="Arial"/>
          <w:sz w:val="18"/>
          <w:szCs w:val="18"/>
          <w:b w:val="1"/>
          <w:bCs w:val="1"/>
          <w:i w:val="1"/>
          <w:iCs w:val="1"/>
          <w:color w:val="000000"/>
        </w:rPr>
        <w:t>Company’s indebtedness and liabilities could limit the cash flow available for its operations, expose the Company to risks that could adversely</w:t>
      </w:r>
      <w:r>
        <w:rPr>
          <w:rFonts w:ascii="Arial" w:cs="Arial" w:eastAsia="Arial" w:hAnsi="Arial"/>
          <w:sz w:val="18"/>
          <w:szCs w:val="18"/>
          <w:b w:val="1"/>
          <w:bCs w:val="1"/>
          <w:i w:val="1"/>
          <w:iCs w:val="1"/>
          <w:color w:val="212529"/>
        </w:rPr>
        <w:t xml:space="preserve"> </w:t>
      </w:r>
      <w:r>
        <w:rPr>
          <w:rFonts w:ascii="Arial" w:cs="Arial" w:eastAsia="Arial" w:hAnsi="Arial"/>
          <w:sz w:val="18"/>
          <w:szCs w:val="18"/>
          <w:b w:val="1"/>
          <w:bCs w:val="1"/>
          <w:i w:val="1"/>
          <w:iCs w:val="1"/>
          <w:color w:val="000000"/>
        </w:rPr>
        <w:t>affect its business, financial condition and results of operations.</w:t>
      </w:r>
    </w:p>
    <w:p>
      <w:pPr>
        <w:spacing w:after="0" w:line="175" w:lineRule="exact"/>
        <w:rPr>
          <w:sz w:val="20"/>
          <w:szCs w:val="20"/>
          <w:color w:val="auto"/>
        </w:rPr>
      </w:pPr>
    </w:p>
    <w:p>
      <w:pPr>
        <w:jc w:val="both"/>
        <w:ind w:firstLine="289"/>
        <w:spacing w:after="0" w:line="252"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September 30, 2021</w:t>
      </w:r>
      <w:r>
        <w:rPr>
          <w:rFonts w:ascii="Arial" w:cs="Arial" w:eastAsia="Arial" w:hAnsi="Arial"/>
          <w:sz w:val="18"/>
          <w:szCs w:val="18"/>
          <w:color w:val="212529"/>
        </w:rPr>
        <w:t>, the Company had approximately $354.9 million of consolidated indebtedness.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ind w:left="960" w:hanging="365"/>
        <w:spacing w:after="0" w:line="214" w:lineRule="auto"/>
        <w:tabs>
          <w:tab w:leader="none" w:pos="960" w:val="left"/>
        </w:tabs>
        <w:numPr>
          <w:ilvl w:val="0"/>
          <w:numId w:val="48"/>
        </w:numPr>
        <w:rPr>
          <w:rFonts w:ascii="Arial" w:cs="Arial" w:eastAsia="Arial" w:hAnsi="Arial"/>
          <w:sz w:val="21"/>
          <w:szCs w:val="21"/>
          <w:color w:val="auto"/>
        </w:rPr>
      </w:pPr>
      <w:r>
        <w:rPr>
          <w:rFonts w:ascii="Arial" w:cs="Arial" w:eastAsia="Arial" w:hAnsi="Arial"/>
          <w:sz w:val="18"/>
          <w:szCs w:val="18"/>
          <w:color w:val="auto"/>
        </w:rPr>
        <w:t>increasing its vulnerability to adverse economic and industry conditions;</w:t>
      </w:r>
    </w:p>
    <w:p>
      <w:pPr>
        <w:spacing w:after="0" w:line="30" w:lineRule="exact"/>
        <w:rPr>
          <w:rFonts w:ascii="Arial" w:cs="Arial" w:eastAsia="Arial" w:hAnsi="Arial"/>
          <w:sz w:val="21"/>
          <w:szCs w:val="21"/>
          <w:color w:val="auto"/>
        </w:rPr>
      </w:pPr>
    </w:p>
    <w:p>
      <w:pPr>
        <w:ind w:left="960" w:hanging="365"/>
        <w:spacing w:after="0" w:line="209" w:lineRule="auto"/>
        <w:tabs>
          <w:tab w:leader="none" w:pos="960" w:val="left"/>
        </w:tabs>
        <w:numPr>
          <w:ilvl w:val="0"/>
          <w:numId w:val="48"/>
        </w:numPr>
        <w:rPr>
          <w:rFonts w:ascii="Arial" w:cs="Arial" w:eastAsia="Arial" w:hAnsi="Arial"/>
          <w:sz w:val="21"/>
          <w:szCs w:val="21"/>
          <w:color w:val="auto"/>
        </w:rPr>
      </w:pPr>
      <w:r>
        <w:rPr>
          <w:rFonts w:ascii="Arial" w:cs="Arial" w:eastAsia="Arial" w:hAnsi="Arial"/>
          <w:sz w:val="18"/>
          <w:szCs w:val="18"/>
          <w:color w:val="auto"/>
        </w:rPr>
        <w:t>limiting its ability to obtain additional financing;</w:t>
      </w:r>
    </w:p>
    <w:p>
      <w:pPr>
        <w:spacing w:after="0" w:line="30" w:lineRule="exact"/>
        <w:rPr>
          <w:rFonts w:ascii="Arial" w:cs="Arial" w:eastAsia="Arial" w:hAnsi="Arial"/>
          <w:sz w:val="21"/>
          <w:szCs w:val="21"/>
          <w:color w:val="auto"/>
        </w:rPr>
      </w:pPr>
    </w:p>
    <w:p>
      <w:pPr>
        <w:ind w:left="960" w:right="260" w:hanging="365"/>
        <w:spacing w:after="0" w:line="227" w:lineRule="auto"/>
        <w:tabs>
          <w:tab w:leader="none" w:pos="960" w:val="left"/>
        </w:tabs>
        <w:numPr>
          <w:ilvl w:val="0"/>
          <w:numId w:val="48"/>
        </w:numPr>
        <w:rPr>
          <w:rFonts w:ascii="Arial" w:cs="Arial" w:eastAsia="Arial" w:hAnsi="Arial"/>
          <w:sz w:val="21"/>
          <w:szCs w:val="21"/>
          <w:color w:val="auto"/>
        </w:rPr>
      </w:pPr>
      <w:r>
        <w:rPr>
          <w:rFonts w:ascii="Arial" w:cs="Arial" w:eastAsia="Arial" w:hAnsi="Arial"/>
          <w:sz w:val="18"/>
          <w:szCs w:val="18"/>
          <w:color w:val="auto"/>
        </w:rPr>
        <w:t>requiring the dedication of a substantial portion of its cash flow from operations to service its indebtedness, which will reduce the amount of cash available for other purposes;</w:t>
      </w:r>
    </w:p>
    <w:p>
      <w:pPr>
        <w:ind w:left="960" w:hanging="365"/>
        <w:spacing w:after="0" w:line="212" w:lineRule="auto"/>
        <w:tabs>
          <w:tab w:leader="none" w:pos="960" w:val="left"/>
        </w:tabs>
        <w:numPr>
          <w:ilvl w:val="0"/>
          <w:numId w:val="48"/>
        </w:numPr>
        <w:rPr>
          <w:rFonts w:ascii="Arial" w:cs="Arial" w:eastAsia="Arial" w:hAnsi="Arial"/>
          <w:sz w:val="21"/>
          <w:szCs w:val="21"/>
          <w:color w:val="auto"/>
        </w:rPr>
      </w:pPr>
      <w:r>
        <w:rPr>
          <w:rFonts w:ascii="Arial" w:cs="Arial" w:eastAsia="Arial" w:hAnsi="Arial"/>
          <w:sz w:val="18"/>
          <w:szCs w:val="18"/>
          <w:color w:val="auto"/>
        </w:rPr>
        <w:t>limiting its flexibility to plan for, or react to, changes in its business;</w:t>
      </w:r>
    </w:p>
    <w:p>
      <w:pPr>
        <w:spacing w:after="0" w:line="30" w:lineRule="exact"/>
        <w:rPr>
          <w:rFonts w:ascii="Arial" w:cs="Arial" w:eastAsia="Arial" w:hAnsi="Arial"/>
          <w:sz w:val="21"/>
          <w:szCs w:val="21"/>
          <w:color w:val="auto"/>
        </w:rPr>
      </w:pPr>
    </w:p>
    <w:p>
      <w:pPr>
        <w:ind w:left="960" w:hanging="365"/>
        <w:spacing w:after="0" w:line="209" w:lineRule="auto"/>
        <w:tabs>
          <w:tab w:leader="none" w:pos="960" w:val="left"/>
        </w:tabs>
        <w:numPr>
          <w:ilvl w:val="0"/>
          <w:numId w:val="48"/>
        </w:numPr>
        <w:rPr>
          <w:rFonts w:ascii="Arial" w:cs="Arial" w:eastAsia="Arial" w:hAnsi="Arial"/>
          <w:sz w:val="21"/>
          <w:szCs w:val="21"/>
          <w:color w:val="auto"/>
        </w:rPr>
      </w:pPr>
      <w:r>
        <w:rPr>
          <w:rFonts w:ascii="Arial" w:cs="Arial" w:eastAsia="Arial" w:hAnsi="Arial"/>
          <w:sz w:val="18"/>
          <w:szCs w:val="18"/>
          <w:color w:val="auto"/>
        </w:rPr>
        <w:t>diluting the interests of its shareholders as a result of issuing common shares upon conversion of the Convertible Notes; and</w:t>
      </w:r>
    </w:p>
    <w:p>
      <w:pPr>
        <w:spacing w:after="0" w:line="30" w:lineRule="exact"/>
        <w:rPr>
          <w:rFonts w:ascii="Arial" w:cs="Arial" w:eastAsia="Arial" w:hAnsi="Arial"/>
          <w:sz w:val="21"/>
          <w:szCs w:val="21"/>
          <w:color w:val="auto"/>
        </w:rPr>
      </w:pPr>
    </w:p>
    <w:p>
      <w:pPr>
        <w:ind w:left="960" w:right="40" w:hanging="365"/>
        <w:spacing w:after="0" w:line="252"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placing the Company at a possible competitive disadvantage with competitors that are less leveraged than the Company or have better access to capital.</w:t>
      </w:r>
    </w:p>
    <w:p>
      <w:pPr>
        <w:spacing w:after="0" w:line="164" w:lineRule="exact"/>
        <w:rPr>
          <w:sz w:val="20"/>
          <w:szCs w:val="20"/>
          <w:color w:val="auto"/>
        </w:rPr>
      </w:pPr>
    </w:p>
    <w:p>
      <w:pPr>
        <w:jc w:val="both"/>
        <w:ind w:firstLine="289"/>
        <w:spacing w:after="0" w:line="289" w:lineRule="auto"/>
        <w:rPr>
          <w:sz w:val="20"/>
          <w:szCs w:val="20"/>
          <w:color w:val="auto"/>
        </w:rPr>
      </w:pPr>
      <w:r>
        <w:rPr>
          <w:rFonts w:ascii="Arial" w:cs="Arial" w:eastAsia="Arial" w:hAnsi="Arial"/>
          <w:sz w:val="16"/>
          <w:szCs w:val="16"/>
          <w:color w:val="212529"/>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we may incur may contain, financial and other restrictive covenants that limit the Company’s ability to operate its business, raise capital or make payments under its other indebtedness. If the Company fails to comply with these covenants or to make payments under its indebtedness when due, then the Company would be in default under that indebtedness, which could, in turn, result in that and our other indebtedness becoming immediately payable in full. For a description of the Company outstanding indebtedness, see Note 7 of Notes to Condensed Consolidated Financial Statements.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22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212529"/>
        </w:rPr>
        <w:t xml:space="preserve">Certain provisions in the Convertible Notes and the related indenture could make a third party attempt to acquire the Company more difficult or expensive. For example, if a takeover constitutes a fundamental change, then noteholders will have the right to require the Company to repurchase their Convertible Notes </w:t>
      </w:r>
      <w:r>
        <w:rPr>
          <w:rFonts w:ascii="Arial" w:cs="Arial" w:eastAsia="Arial" w:hAnsi="Arial"/>
          <w:sz w:val="16"/>
          <w:szCs w:val="16"/>
          <w:color w:val="000000"/>
        </w:rPr>
        <w:t>for cash. In addition, if a takeover constitutes a make-whole fundamental change, then the Company may be required to temporarily</w:t>
      </w:r>
      <w:r>
        <w:rPr>
          <w:rFonts w:ascii="Arial" w:cs="Arial" w:eastAsia="Arial" w:hAnsi="Arial"/>
          <w:sz w:val="16"/>
          <w:szCs w:val="16"/>
          <w:color w:val="212529"/>
        </w:rPr>
        <w:t xml:space="preserve"> </w:t>
      </w:r>
      <w:r>
        <w:rPr>
          <w:rFonts w:ascii="Arial" w:cs="Arial" w:eastAsia="Arial" w:hAnsi="Arial"/>
          <w:sz w:val="16"/>
          <w:szCs w:val="16"/>
          <w:color w:val="000000"/>
        </w:rPr>
        <w:t>increase the conversion rate of the Convertible Notes. In either case, and in other cases, the Company’s obligations under the Convertible Notes and the indenture could increase the cost of acquiring the Company otherwise discourage a third party from acquiring the Company or removing incumbent management, including in a transaction that noteholders or holders of the Company’s common shares may view as favorable.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The Company is subject to counterparty risk with respect to the Capped Call Transactions, and the capped call may not operate as planned.</w:t>
      </w:r>
    </w:p>
    <w:p>
      <w:pPr>
        <w:spacing w:after="0" w:line="243"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212529"/>
        </w:rPr>
        <w:t xml:space="preserve">In connection with the issuance of the Convertible Notes, the Company entered into privately negotiated capped call transactions with option counterparties (the “Capped Call Transactions”). </w:t>
      </w:r>
      <w:r>
        <w:rPr>
          <w:rFonts w:ascii="Arial" w:cs="Arial" w:eastAsia="Arial" w:hAnsi="Arial"/>
          <w:sz w:val="16"/>
          <w:szCs w:val="16"/>
          <w:color w:val="000000"/>
        </w:rPr>
        <w:t>The Capped Call Transactions are expected to reduce potential dilution resulting from the common shares</w:t>
      </w:r>
      <w:r>
        <w:rPr>
          <w:rFonts w:ascii="Arial" w:cs="Arial" w:eastAsia="Arial" w:hAnsi="Arial"/>
          <w:sz w:val="16"/>
          <w:szCs w:val="16"/>
          <w:color w:val="212529"/>
        </w:rPr>
        <w:t xml:space="preserve"> </w:t>
      </w:r>
      <w:r>
        <w:rPr>
          <w:rFonts w:ascii="Arial" w:cs="Arial" w:eastAsia="Arial" w:hAnsi="Arial"/>
          <w:sz w:val="16"/>
          <w:szCs w:val="16"/>
          <w:color w:val="000000"/>
        </w:rPr>
        <w:t>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Collectively, the Capped Call Transactions cover, subject to anti-dilution adjustments substantially similar to those applicable to the Convertible Notes, the number of the Company’s common shares underlying the Convertible Notes.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87" w:name="page88"/>
    <w:bookmarkEnd w:id="87"/>
    <w:p>
      <w:pPr>
        <w:jc w:val="both"/>
        <w:ind w:firstLine="225"/>
        <w:spacing w:after="0" w:line="265" w:lineRule="auto"/>
        <w:rPr>
          <w:sz w:val="20"/>
          <w:szCs w:val="20"/>
          <w:color w:val="auto"/>
        </w:rPr>
      </w:pPr>
      <w:r>
        <w:rPr>
          <w:rFonts w:ascii="Arial" w:cs="Arial" w:eastAsia="Arial" w:hAnsi="Arial"/>
          <w:sz w:val="17"/>
          <w:szCs w:val="17"/>
          <w:color w:val="212529"/>
        </w:rPr>
        <w:t>The option counterparties are financial institutions, and the Company will be subject to the risk that they might default under the Capped Call Transactions. The Company’s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the Company will become an unsecured creditor in those proceedings with a claim equal to the Company’s exposure at that time under our transactions with that option counterparty. The Company’s exposure will depend on many factors, but, generally, the increase in the Company’s exposure will be correlated with increases in the market price or the volatility of its common shares. In addition, upon a default by an option counterparty, the Company may suffer adverse tax consequences and more dilution than the Company currently anticipate with respect to its common shares. The Company can provide no assurances as to the financial stability or viability of any option counterparty. 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the Company intends if it is required to adjust their terms as a result of transactions in the future or upon unanticipated developments that may adversely affect the functioning of the Capped Call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4"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In April 2021, the Company’s Board of Directors approved a 12-month extension to its share repurchase program, through June 30, 2022. The extension authorized the Company to repurchase up to approximately $89.4 million worth of common shares, the remaining amount available of the original $200.0 million initially authorized under the share-repurchase program when it commenced on July 1, 2017.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37"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During the three months ended September 30, 2021, the Company repurchased 316,812 common shares at an average price of $14.53 per share. As of September 30, 2021, the Company has $84.8 million available under its approved repurchase program.</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common share repurchase program activity for the three months ended September 30, 2021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7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8"/>
              </w:rPr>
              <w:t>Total number of shares</w:t>
            </w:r>
          </w:p>
        </w:tc>
        <w:tc>
          <w:tcPr>
            <w:tcW w:w="240" w:type="dxa"/>
            <w:vAlign w:val="bottom"/>
          </w:tcPr>
          <w:p>
            <w:pPr>
              <w:spacing w:after="0"/>
              <w:rPr>
                <w:sz w:val="13"/>
                <w:szCs w:val="13"/>
                <w:color w:val="auto"/>
              </w:rPr>
            </w:pPr>
          </w:p>
        </w:tc>
        <w:tc>
          <w:tcPr>
            <w:tcW w:w="18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 paid per</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24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Maximum value of shares</w:t>
            </w:r>
          </w:p>
        </w:tc>
        <w:tc>
          <w:tcPr>
            <w:tcW w:w="0" w:type="dxa"/>
            <w:vAlign w:val="bottom"/>
          </w:tcPr>
          <w:p>
            <w:pPr>
              <w:spacing w:after="0"/>
              <w:rPr>
                <w:sz w:val="1"/>
                <w:szCs w:val="1"/>
                <w:color w:val="auto"/>
              </w:rPr>
            </w:pPr>
          </w:p>
        </w:tc>
      </w:tr>
      <w:tr>
        <w:trPr>
          <w:trHeight w:val="67"/>
        </w:trPr>
        <w:tc>
          <w:tcPr>
            <w:tcW w:w="36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88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1"/>
              </w:rPr>
              <w:t>purchased as part of publicly</w:t>
            </w:r>
          </w:p>
        </w:tc>
        <w:tc>
          <w:tcPr>
            <w:tcW w:w="240" w:type="dxa"/>
            <w:vAlign w:val="bottom"/>
          </w:tcPr>
          <w:p>
            <w:pPr>
              <w:spacing w:after="0"/>
              <w:rPr>
                <w:sz w:val="5"/>
                <w:szCs w:val="5"/>
                <w:color w:val="auto"/>
              </w:rPr>
            </w:pPr>
          </w:p>
        </w:tc>
        <w:tc>
          <w:tcPr>
            <w:tcW w:w="1740" w:type="dxa"/>
            <w:vAlign w:val="bottom"/>
            <w:gridSpan w:val="3"/>
            <w:vMerge w:val="restart"/>
          </w:tcPr>
          <w:p>
            <w:pPr>
              <w:jc w:val="right"/>
              <w:ind w:right="140"/>
              <w:spacing w:after="0" w:line="147" w:lineRule="exact"/>
              <w:rPr>
                <w:sz w:val="20"/>
                <w:szCs w:val="20"/>
                <w:color w:val="auto"/>
              </w:rPr>
            </w:pPr>
            <w:r>
              <w:rPr>
                <w:rFonts w:ascii="Arial" w:cs="Arial" w:eastAsia="Arial" w:hAnsi="Arial"/>
                <w:sz w:val="14"/>
                <w:szCs w:val="14"/>
                <w:b w:val="1"/>
                <w:bCs w:val="1"/>
                <w:color w:val="auto"/>
                <w:w w:val="89"/>
              </w:rPr>
              <w:t>that may yet be purchased</w:t>
            </w: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170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w:t>
            </w:r>
          </w:p>
        </w:tc>
        <w:tc>
          <w:tcPr>
            <w:tcW w:w="1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announced program</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65"/>
        </w:trPr>
        <w:tc>
          <w:tcPr>
            <w:tcW w:w="36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 through July 31, 2021</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89,361,337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Arial" w:cs="Arial" w:eastAsia="Arial" w:hAnsi="Arial"/>
                <w:sz w:val="18"/>
                <w:szCs w:val="18"/>
                <w:color w:val="auto"/>
              </w:rPr>
              <w:t>August 1 through August 31, 2021</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89,361,337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September 1 through September 30, 2021</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316,812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60" w:type="dxa"/>
            <w:vAlign w:val="bottom"/>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84,757,657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316,812</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8"/>
          <w:szCs w:val="18"/>
          <w:color w:val="auto"/>
        </w:rPr>
        <w:t>In 2021, IMAX China announced that its shareholders granted its Board of Directors a general mandate authorizing the Board, subject to applicable laws, to repurchase of shares of IMAX China not to exceed 10% of the total number of issued shares as of May 6, 2021 (34,835,824 shares). This program will be valid until the 2022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2021, IMAX China repurchased 3,569,000 common shares at an average price of HKD 10.90 per share (U.S. $1.40 per share).</w:t>
      </w:r>
    </w:p>
    <w:p>
      <w:pPr>
        <w:spacing w:after="0" w:line="152"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The total number of shares purchased during the nine months ended September 30, 2021, under both the Company and IMAX China’s repurchase plans, does not include any shares purchased in the administration of employee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10100" w:type="dxa"/>
            <w:vAlign w:val="bottom"/>
            <w:tcBorders>
              <w:top w:val="single" w:sz="8" w:color="auto"/>
            </w:tcBorders>
            <w:gridSpan w:val="5"/>
          </w:tcPr>
          <w:p>
            <w:pPr>
              <w:spacing w:after="0" w:line="169"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Third Amendment to the Fifth Amended and Restated Credit Agreement, dated as of July 28, 2021. Incorporated by reference to Exhibit 10.1</w:t>
              </w:r>
            </w:hyperlink>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80" w:type="dxa"/>
            <w:vAlign w:val="bottom"/>
            <w:tcBorders>
              <w:top w:val="single" w:sz="8" w:color="0000EE"/>
            </w:tcBorders>
            <w:gridSpan w:val="4"/>
          </w:tcPr>
          <w:p>
            <w:pPr>
              <w:spacing w:after="0" w:line="194" w:lineRule="exact"/>
              <w:rPr>
                <w:rFonts w:ascii="Arial" w:cs="Arial" w:eastAsia="Arial" w:hAnsi="Arial"/>
                <w:sz w:val="18"/>
                <w:szCs w:val="18"/>
                <w:color w:val="0000EE"/>
              </w:rPr>
            </w:pPr>
            <w:hyperlink r:id="rId120">
              <w:r>
                <w:rPr>
                  <w:rFonts w:ascii="Arial" w:cs="Arial" w:eastAsia="Arial" w:hAnsi="Arial"/>
                  <w:sz w:val="18"/>
                  <w:szCs w:val="18"/>
                  <w:color w:val="0000EE"/>
                </w:rPr>
                <w:t>to IMAX Corporation’s Form 8-K dated as of July 28, 2021 (File No. 001-35066).</w:t>
              </w:r>
            </w:hyperlink>
          </w:p>
        </w:tc>
        <w:tc>
          <w:tcPr>
            <w:tcW w:w="20" w:type="dxa"/>
            <w:vAlign w:val="bottom"/>
          </w:tcPr>
          <w:p>
            <w:pPr>
              <w:spacing w:after="0"/>
              <w:rPr>
                <w:sz w:val="16"/>
                <w:szCs w:val="16"/>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Certification Pursuant to Section 302 of the Sarbanes-Oxley Act of 2002, dated October 28, 2021, by Richard L. Gelfond.</w:t>
              </w:r>
            </w:hyperlink>
          </w:p>
        </w:tc>
        <w:tc>
          <w:tcPr>
            <w:tcW w:w="1420" w:type="dxa"/>
            <w:vAlign w:val="bottom"/>
            <w:gridSpan w:val="2"/>
          </w:tcPr>
          <w:p>
            <w:pPr>
              <w:spacing w:after="0"/>
              <w:rPr>
                <w:sz w:val="24"/>
                <w:szCs w:val="24"/>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Certification Pursuant to Section 302 of the Sarbanes-Oxley Act of 2002, dated October 28, 2021, by Joseph Sparacio.</w:t>
              </w:r>
            </w:hyperlink>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4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Certification Pursuant to Section 906 of the Sarbanes-Oxley Act of 2002, dated October 28, 2021, by Richard L. Gelfond.</w:t>
              </w:r>
            </w:hyperlink>
          </w:p>
        </w:tc>
        <w:tc>
          <w:tcPr>
            <w:tcW w:w="1420" w:type="dxa"/>
            <w:vAlign w:val="bottom"/>
            <w:gridSpan w:val="2"/>
          </w:tcPr>
          <w:p>
            <w:pPr>
              <w:spacing w:after="0"/>
              <w:rPr>
                <w:sz w:val="24"/>
                <w:szCs w:val="24"/>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Certification Pursuant to Section 906 of the Sarbanes-Oxley Act of 2002, dated October 28, 2021, by Joseph Sparacio.</w:t>
              </w:r>
            </w:hyperlink>
          </w:p>
        </w:tc>
      </w:tr>
      <w:tr>
        <w:trPr>
          <w:trHeight w:val="20"/>
        </w:trPr>
        <w:tc>
          <w:tcPr>
            <w:tcW w:w="1140" w:type="dxa"/>
            <w:vAlign w:val="bottom"/>
            <w:gridSpan w:val="3"/>
          </w:tcPr>
          <w:p>
            <w:pPr>
              <w:spacing w:after="0" w:line="20" w:lineRule="exact"/>
              <w:rPr>
                <w:sz w:val="1"/>
                <w:szCs w:val="1"/>
                <w:color w:val="auto"/>
              </w:rPr>
            </w:pPr>
          </w:p>
        </w:tc>
        <w:tc>
          <w:tcPr>
            <w:tcW w:w="844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340"/>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27"/>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4"/>
        </w:trPr>
        <w:tc>
          <w:tcPr>
            <w:tcW w:w="11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right="3640" w:firstLine="7"/>
        <w:spacing w:after="0" w:line="495" w:lineRule="auto"/>
        <w:tabs>
          <w:tab w:leader="none" w:pos="11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*Filed herewith.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3800" w:type="dxa"/>
            <w:vAlign w:val="bottom"/>
            <w:gridSpan w:val="2"/>
          </w:tcPr>
          <w:p>
            <w:pPr>
              <w:ind w:left="1960"/>
              <w:spacing w:after="0"/>
              <w:rPr>
                <w:sz w:val="20"/>
                <w:szCs w:val="20"/>
                <w:color w:val="auto"/>
              </w:rPr>
            </w:pPr>
            <w:r>
              <w:rPr>
                <w:rFonts w:ascii="Arial" w:cs="Arial" w:eastAsia="Arial" w:hAnsi="Arial"/>
                <w:sz w:val="18"/>
                <w:szCs w:val="18"/>
                <w:color w:val="auto"/>
                <w:w w:val="99"/>
              </w:rPr>
              <w:t>IMAX CORPORATION</w:t>
            </w:r>
          </w:p>
        </w:tc>
        <w:tc>
          <w:tcPr>
            <w:tcW w:w="3800" w:type="dxa"/>
            <w:vAlign w:val="bottom"/>
          </w:tcPr>
          <w:p>
            <w:pPr>
              <w:spacing w:after="0"/>
              <w:rPr>
                <w:sz w:val="19"/>
                <w:szCs w:val="19"/>
                <w:color w:val="auto"/>
              </w:rPr>
            </w:pPr>
          </w:p>
        </w:tc>
      </w:tr>
      <w:tr>
        <w:trPr>
          <w:trHeight w:val="428"/>
        </w:trPr>
        <w:tc>
          <w:tcPr>
            <w:tcW w:w="3640" w:type="dxa"/>
            <w:vAlign w:val="bottom"/>
          </w:tcPr>
          <w:p>
            <w:pPr>
              <w:spacing w:after="0"/>
              <w:rPr>
                <w:sz w:val="20"/>
                <w:szCs w:val="20"/>
                <w:color w:val="auto"/>
              </w:rPr>
            </w:pPr>
            <w:r>
              <w:rPr>
                <w:rFonts w:ascii="Arial" w:cs="Arial" w:eastAsia="Arial" w:hAnsi="Arial"/>
                <w:sz w:val="18"/>
                <w:szCs w:val="18"/>
                <w:color w:val="auto"/>
              </w:rPr>
              <w:t>Date: October 28, 2021</w:t>
            </w:r>
          </w:p>
        </w:tc>
        <w:tc>
          <w:tcPr>
            <w:tcW w:w="380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1351"/>
              <w:spacing w:after="0"/>
              <w:rPr>
                <w:sz w:val="20"/>
                <w:szCs w:val="20"/>
                <w:color w:val="auto"/>
              </w:rPr>
            </w:pPr>
            <w:r>
              <w:rPr>
                <w:rFonts w:ascii="Arial" w:cs="Arial" w:eastAsia="Arial" w:hAnsi="Arial"/>
                <w:sz w:val="18"/>
                <w:szCs w:val="18"/>
                <w:color w:val="auto"/>
                <w:w w:val="90"/>
              </w:rPr>
              <w:t>/s/ JOSEPH SPARACIO</w:t>
            </w:r>
          </w:p>
        </w:tc>
      </w:tr>
      <w:tr>
        <w:trPr>
          <w:trHeight w:val="193"/>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ind w:right="1351"/>
              <w:spacing w:after="0" w:line="194" w:lineRule="exact"/>
              <w:rPr>
                <w:sz w:val="20"/>
                <w:szCs w:val="20"/>
                <w:color w:val="auto"/>
              </w:rPr>
            </w:pPr>
            <w:r>
              <w:rPr>
                <w:rFonts w:ascii="Arial" w:cs="Arial" w:eastAsia="Arial" w:hAnsi="Arial"/>
                <w:sz w:val="18"/>
                <w:szCs w:val="18"/>
                <w:color w:val="auto"/>
                <w:w w:val="86"/>
              </w:rPr>
              <w:t>Joseph Sparacio</w:t>
            </w:r>
          </w:p>
        </w:tc>
      </w:tr>
      <w:tr>
        <w:trPr>
          <w:trHeight w:val="214"/>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0" w:type="dxa"/>
            <w:vAlign w:val="bottom"/>
          </w:tcPr>
          <w:p>
            <w:pPr>
              <w:jc w:val="center"/>
              <w:ind w:right="1351"/>
              <w:spacing w:after="0"/>
              <w:rPr>
                <w:sz w:val="20"/>
                <w:szCs w:val="20"/>
                <w:color w:val="auto"/>
              </w:rPr>
            </w:pPr>
            <w:r>
              <w:rPr>
                <w:rFonts w:ascii="Arial" w:cs="Arial" w:eastAsia="Arial" w:hAnsi="Arial"/>
                <w:sz w:val="18"/>
                <w:szCs w:val="18"/>
                <w:color w:val="auto"/>
                <w:w w:val="94"/>
              </w:rPr>
              <w:t>Interim Chief Financial Officer</w:t>
            </w:r>
          </w:p>
        </w:tc>
      </w:tr>
      <w:tr>
        <w:trPr>
          <w:trHeight w:val="227"/>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0" w:type="dxa"/>
            <w:vAlign w:val="bottom"/>
          </w:tcPr>
          <w:p>
            <w:pPr>
              <w:jc w:val="center"/>
              <w:ind w:right="1331"/>
              <w:spacing w:after="0"/>
              <w:rPr>
                <w:sz w:val="20"/>
                <w:szCs w:val="20"/>
                <w:color w:val="auto"/>
              </w:rPr>
            </w:pPr>
            <w:r>
              <w:rPr>
                <w:rFonts w:ascii="Arial" w:cs="Arial" w:eastAsia="Arial" w:hAnsi="Arial"/>
                <w:sz w:val="18"/>
                <w:szCs w:val="18"/>
                <w:color w:val="auto"/>
                <w:w w:val="93"/>
              </w:rPr>
              <w:t>(Principal Financial Officer)</w:t>
            </w:r>
          </w:p>
        </w:tc>
      </w:tr>
      <w:tr>
        <w:trPr>
          <w:trHeight w:val="427"/>
        </w:trPr>
        <w:tc>
          <w:tcPr>
            <w:tcW w:w="3640" w:type="dxa"/>
            <w:vAlign w:val="bottom"/>
          </w:tcPr>
          <w:p>
            <w:pPr>
              <w:spacing w:after="0"/>
              <w:rPr>
                <w:sz w:val="20"/>
                <w:szCs w:val="20"/>
                <w:color w:val="auto"/>
              </w:rPr>
            </w:pPr>
            <w:r>
              <w:rPr>
                <w:rFonts w:ascii="Arial" w:cs="Arial" w:eastAsia="Arial" w:hAnsi="Arial"/>
                <w:sz w:val="18"/>
                <w:szCs w:val="18"/>
                <w:color w:val="auto"/>
              </w:rPr>
              <w:t>Date: October 28, 2021</w:t>
            </w:r>
          </w:p>
        </w:tc>
        <w:tc>
          <w:tcPr>
            <w:tcW w:w="380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1331"/>
              <w:spacing w:after="0"/>
              <w:rPr>
                <w:sz w:val="20"/>
                <w:szCs w:val="20"/>
                <w:color w:val="auto"/>
              </w:rPr>
            </w:pPr>
            <w:r>
              <w:rPr>
                <w:rFonts w:ascii="Arial" w:cs="Arial" w:eastAsia="Arial" w:hAnsi="Arial"/>
                <w:sz w:val="18"/>
                <w:szCs w:val="18"/>
                <w:color w:val="auto"/>
                <w:w w:val="98"/>
              </w:rPr>
              <w:t>/s/ KEVIN M. DELANEY</w:t>
            </w:r>
          </w:p>
        </w:tc>
      </w:tr>
    </w:tbl>
    <w:p>
      <w:pPr>
        <w:jc w:val="center"/>
        <w:ind w:left="5980"/>
        <w:spacing w:after="0"/>
        <w:rPr>
          <w:sz w:val="20"/>
          <w:szCs w:val="20"/>
          <w:color w:val="auto"/>
        </w:rPr>
      </w:pPr>
      <w:r>
        <w:rPr>
          <w:rFonts w:ascii="Arial" w:cs="Arial" w:eastAsia="Arial" w:hAnsi="Arial"/>
          <w:sz w:val="18"/>
          <w:szCs w:val="18"/>
          <w:color w:val="auto"/>
        </w:rPr>
        <w:t>Kevin M.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-130175</wp:posOffset>
            </wp:positionV>
            <wp:extent cx="332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jc w:val="center"/>
        <w:ind w:left="5980"/>
        <w:spacing w:after="0"/>
        <w:rPr>
          <w:sz w:val="20"/>
          <w:szCs w:val="20"/>
          <w:color w:val="auto"/>
        </w:rPr>
      </w:pPr>
      <w:r>
        <w:rPr>
          <w:rFonts w:ascii="Arial" w:cs="Arial" w:eastAsia="Arial" w:hAnsi="Arial"/>
          <w:sz w:val="18"/>
          <w:szCs w:val="18"/>
          <w:color w:val="auto"/>
        </w:rPr>
        <w:t>Senior Vice-President, Finance &amp; Controller</w:t>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33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0" w:lineRule="exact"/>
        <w:rPr>
          <w:sz w:val="20"/>
          <w:szCs w:val="20"/>
          <w:color w:val="auto"/>
        </w:rPr>
      </w:pPr>
    </w:p>
    <w:p>
      <w:pPr>
        <w:ind w:left="540" w:hanging="46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October 28,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Joseph Sparacio, certify that:</w:t>
      </w:r>
    </w:p>
    <w:p>
      <w:pPr>
        <w:spacing w:after="0" w:line="220" w:lineRule="exact"/>
        <w:rPr>
          <w:sz w:val="20"/>
          <w:szCs w:val="20"/>
          <w:color w:val="auto"/>
        </w:rPr>
      </w:pPr>
    </w:p>
    <w:p>
      <w:pPr>
        <w:ind w:left="540" w:hanging="466"/>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October 28,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Joseph Saparacio</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Saparcio</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ectPr>
          <w:pgSz w:w="11900" w:h="16838" w:orient="portrait"/>
          <w:cols w:equalWidth="0" w:num="1">
            <w:col w:w="11240"/>
          </w:cols>
          <w:pgMar w:left="320" w:top="11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September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October 28, 2021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334"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Joseph Sparacio, Interim Chief Financial Officer of IMAX Corporation, a Canadian corporation (the “Company”), hereby certify, to my knowledge, that:</w:t>
      </w:r>
    </w:p>
    <w:p>
      <w:pPr>
        <w:spacing w:after="0" w:line="129"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September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October 28, 2021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Joseph Sparacio</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Sparacio</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6"/>
    </w:lvl>
  </w:abstractNum>
  <w:abstractNum w:abstractNumId="6">
    <w:nsid w:val="2901D82"/>
    <w:multiLevelType w:val="hybridMultilevel"/>
    <w:lvl w:ilvl="0">
      <w:lvlJc w:val="left"/>
      <w:lvlText w:val="%1."/>
      <w:numFmt w:val="decimal"/>
      <w:start w:val="7"/>
    </w:lvl>
    <w:lvl w:ilvl="1">
      <w:lvlJc w:val="left"/>
      <w:lvlText w:val="(%2)"/>
      <w:numFmt w:val="lowerLetter"/>
      <w:start w:val="1"/>
    </w:lvl>
  </w:abstractNum>
  <w:abstractNum w:abstractNumId="7">
    <w:nsid w:val="3A95F874"/>
    <w:multiLevelType w:val="hybridMultilevel"/>
    <w:lvl w:ilvl="0">
      <w:lvlJc w:val="left"/>
      <w:lvlText w:val="(%1)"/>
      <w:numFmt w:val="lowerRoman"/>
      <w:start w:val="5"/>
    </w:lvl>
  </w:abstractNum>
  <w:abstractNum w:abstractNumId="8">
    <w:nsid w:val="8138641"/>
    <w:multiLevelType w:val="hybridMultilevel"/>
    <w:lvl w:ilvl="0">
      <w:lvlJc w:val="left"/>
      <w:lvlText w:val="%1."/>
      <w:numFmt w:val="decimal"/>
      <w:start w:val="8"/>
    </w:lvl>
    <w:lvl w:ilvl="1">
      <w:lvlJc w:val="left"/>
      <w:lvlText w:val="(%2)"/>
      <w:numFmt w:val="lowerLetter"/>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1)"/>
      <w:numFmt w:val="lowerLetter"/>
      <w:start w:val="6"/>
    </w:lvl>
  </w:abstractNum>
  <w:abstractNum w:abstractNumId="11">
    <w:nsid w:val="737B8DDC"/>
    <w:multiLevelType w:val="hybridMultilevel"/>
    <w:lvl w:ilvl="0">
      <w:lvlJc w:val="left"/>
      <w:lvlText w:val="%1."/>
      <w:numFmt w:val="decimal"/>
      <w:start w:val="9"/>
    </w:lvl>
    <w:lvl w:ilvl="1">
      <w:lvlJc w:val="left"/>
      <w:lvlText w:val="(%2)"/>
      <w:numFmt w:val="lowerLetter"/>
      <w:start w:val="1"/>
    </w:lvl>
  </w:abstractNum>
  <w:abstractNum w:abstractNumId="12">
    <w:nsid w:val="6CEAF087"/>
    <w:multiLevelType w:val="hybridMultilevel"/>
    <w:lvl w:ilvl="0">
      <w:lvlJc w:val="left"/>
      <w:lvlText w:val="%1."/>
      <w:numFmt w:val="decimal"/>
      <w:start w:val="10"/>
    </w:lvl>
    <w:lvl w:ilvl="1">
      <w:lvlJc w:val="left"/>
      <w:lvlText w:val="(%2)"/>
      <w:numFmt w:val="lowerLetter"/>
      <w:start w:val="1"/>
    </w:lvl>
  </w:abstractNum>
  <w:abstractNum w:abstractNumId="13">
    <w:nsid w:val="22221A70"/>
    <w:multiLevelType w:val="hybridMultilevel"/>
    <w:lvl w:ilvl="0">
      <w:lvlJc w:val="left"/>
      <w:lvlText w:val="(%1)"/>
      <w:numFmt w:val="decimal"/>
      <w:start w:val="1"/>
    </w:lvl>
    <w:lvl w:ilvl="1">
      <w:lvlJc w:val="left"/>
      <w:lvlText w:val="(%2)"/>
      <w:numFmt w:val="lowerLetter"/>
      <w:start w:val="2"/>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lvl w:ilvl="1">
      <w:lvlJc w:val="left"/>
      <w:lvlText w:val="(%2)"/>
      <w:numFmt w:val="lowerLetter"/>
      <w:start w:val="4"/>
    </w:lvl>
  </w:abstractNum>
  <w:abstractNum w:abstractNumId="16">
    <w:nsid w:val="614FD4A1"/>
    <w:multiLevelType w:val="hybridMultilevel"/>
    <w:lvl w:ilvl="0">
      <w:lvlJc w:val="left"/>
      <w:lvlText w:val="%1."/>
      <w:numFmt w:val="decimal"/>
      <w:start w:val="12"/>
    </w:lvl>
    <w:lvl w:ilvl="1">
      <w:lvlJc w:val="left"/>
      <w:lvlText w:val="(%2)"/>
      <w:numFmt w:val="lowerLetter"/>
      <w:start w:val="1"/>
    </w:lvl>
  </w:abstractNum>
  <w:abstractNum w:abstractNumId="17">
    <w:nsid w:val="419AC241"/>
    <w:multiLevelType w:val="hybridMultilevel"/>
    <w:lvl w:ilvl="0">
      <w:lvlJc w:val="left"/>
      <w:lvlText w:val="\emdash "/>
      <w:numFmt w:val="bullet"/>
      <w:start w:val="1"/>
    </w:lvl>
  </w:abstractNum>
  <w:abstractNum w:abstractNumId="18">
    <w:nsid w:val="5577F8E1"/>
    <w:multiLevelType w:val="hybridMultilevel"/>
    <w:lvl w:ilvl="0">
      <w:lvlJc w:val="left"/>
      <w:lvlText w:val="%1."/>
      <w:numFmt w:val="decimal"/>
      <w:start w:val="13"/>
    </w:lvl>
    <w:lvl w:ilvl="1">
      <w:lvlJc w:val="left"/>
      <w:lvlText w:val="(%2)"/>
      <w:numFmt w:val="lowerLetter"/>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lvl w:ilvl="1">
      <w:lvlJc w:val="left"/>
      <w:lvlText w:val="(%2)"/>
      <w:numFmt w:val="lowerLetter"/>
      <w:start w:val="2"/>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5"/>
    </w:lvl>
    <w:lvl w:ilvl="1">
      <w:lvlJc w:val="left"/>
      <w:lvlText w:val="(%2)"/>
      <w:numFmt w:val="lowerLetter"/>
      <w:start w:val="1"/>
    </w:lvl>
  </w:abstractNum>
  <w:abstractNum w:abstractNumId="24">
    <w:nsid w:val="5C482A97"/>
    <w:multiLevelType w:val="hybridMultilevel"/>
    <w:lvl w:ilvl="0">
      <w:lvlJc w:val="left"/>
      <w:lvlText w:val="%1."/>
      <w:numFmt w:val="decimal"/>
      <w:start w:val="16"/>
    </w:lvl>
    <w:lvl w:ilvl="1">
      <w:lvlJc w:val="left"/>
      <w:lvlText w:val="(%2)"/>
      <w:numFmt w:val="lowerLetter"/>
      <w:start w:val="1"/>
    </w:lvl>
  </w:abstractNum>
  <w:abstractNum w:abstractNumId="25">
    <w:nsid w:val="2463B9EA"/>
    <w:multiLevelType w:val="hybridMultilevel"/>
    <w:lvl w:ilvl="0">
      <w:lvlJc w:val="left"/>
      <w:lvlText w:val="(%1)"/>
      <w:numFmt w:val="decimal"/>
      <w:start w:val="1"/>
    </w:lvl>
    <w:lvl w:ilvl="1">
      <w:lvlJc w:val="left"/>
      <w:lvlText w:val="(%2)"/>
      <w:numFmt w:val="lowerLetter"/>
      <w:start w:val="3"/>
    </w:lvl>
  </w:abstractNum>
  <w:abstractNum w:abstractNumId="26">
    <w:nsid w:val="5E884ADC"/>
    <w:multiLevelType w:val="hybridMultilevel"/>
    <w:lvl w:ilvl="0">
      <w:lvlJc w:val="left"/>
      <w:lvlText w:val="%1."/>
      <w:numFmt w:val="decimal"/>
      <w:start w:val="17"/>
    </w:lvl>
    <w:lvl w:ilvl="1">
      <w:lvlJc w:val="left"/>
      <w:lvlText w:val="(%2)"/>
      <w:numFmt w:val="lowerLetter"/>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Roman"/>
      <w:start w:val="2"/>
    </w:lvl>
  </w:abstractNum>
  <w:abstractNum w:abstractNumId="29">
    <w:nsid w:val="580BD78F"/>
    <w:multiLevelType w:val="hybridMultilevel"/>
    <w:lvl w:ilvl="0">
      <w:lvlJc w:val="left"/>
      <w:lvlText w:val="(%1)"/>
      <w:numFmt w:val="lowerRoman"/>
      <w:start w:val="5"/>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emdash "/>
      <w:numFmt w:val="bullet"/>
      <w:start w:val="1"/>
    </w:lvl>
  </w:abstractNum>
  <w:abstractNum w:abstractNumId="42">
    <w:nsid w:val="6DE91B18"/>
    <w:multiLevelType w:val="hybridMultilevel"/>
    <w:lvl w:ilvl="0">
      <w:lvlJc w:val="left"/>
      <w:lvlText w:val="(%1)"/>
      <w:numFmt w:val="lowerRoman"/>
      <w:start w:val="5"/>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04"/>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0" Type="http://schemas.openxmlformats.org/officeDocument/2006/relationships/hyperlink" Target="http://www.sec.gov/Archives/edgar/data/0000921582/000119312521229226/d1689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2021-10-28T10:52:23Z</dcterms:created>
  <dcterms:modified xsi:type="dcterms:W3CDTF">2021-10-28T10:52:23Z</dcterms:modified>
</cp:coreProperties>
</file>