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-226695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-612140</wp:posOffset>
            </wp:positionV>
            <wp:extent cx="57150" cy="6254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3938270</wp:posOffset>
            </wp:positionH>
            <wp:positionV relativeFrom="paragraph">
              <wp:posOffset>-612140</wp:posOffset>
            </wp:positionV>
            <wp:extent cx="57150" cy="62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724535</wp:posOffset>
            </wp:positionV>
            <wp:extent cx="6996430" cy="51796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Wong Jennifer L.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77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IMAX CORP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IMAX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06/11/2026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IMAX CORPORATION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902 BROADWAY, FLOOR 20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10010</w:t>
            </w: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 (opening balance)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19,192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06/11/2026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3,390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22,582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3,390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3,390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3"/>
              </w:rPr>
              <w:t>3,390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3,390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-2181225</wp:posOffset>
            </wp:positionV>
            <wp:extent cx="28575" cy="21863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86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conversion upon vesting of restricted share units into common shares.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Each restricted share unit is the economic equivalent of one common share of IMAX Corporation.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3. Each restricted share unit represents a contingent right to receive one common share of IMAX Corporation.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4. Ms. Wong received a grant of restricted share units in connection with her membership on the IMAX Corporation Board of Directors.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5. The restricted share units vest and convert to common shares on the date of grant, June 11, 2026.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 Pursuant to Instruction 4(C)(iii), this response has been left blank.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4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68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Jennifer L. Wong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06/15/2026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89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40" w:right="3760" w:hanging="1"/>
        <w:spacing w:after="0" w:line="32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3651" TargetMode="External"/><Relationship Id="rId14" Type="http://schemas.openxmlformats.org/officeDocument/2006/relationships/hyperlink" Target="http://www.sec.gov/cgi-bin/browse-edgar?action=getcompany&amp;CIK=00009215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2026-06-15T15:18:48Z</dcterms:created>
  <dcterms:modified xsi:type="dcterms:W3CDTF">2026-06-15T15:18:48Z</dcterms:modified>
</cp:coreProperties>
</file>