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823.xml.htm"/>
      <w:bookmarkStart w:id="1" w:name="ksmarketforms738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PABLO CALAMERA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 BROADWAY, FLOOR 20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IMAX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IMAX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CTO &amp; 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3"/>
        <w:gridCol w:w="901"/>
        <w:gridCol w:w="771"/>
        <w:gridCol w:w="598"/>
        <w:gridCol w:w="345"/>
        <w:gridCol w:w="921"/>
        <w:gridCol w:w="445"/>
        <w:gridCol w:w="922"/>
        <w:gridCol w:w="1146"/>
        <w:gridCol w:w="985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 (opening balance)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58,012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52.4116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43,012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Mr. Calamera's aggregate remaining outstanding restricted share unit and common share balances following these transactions will be 20,840 and 43,012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I. Weissman (attorney-in-fact for Pablo Calamera)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0534" TargetMode="External"/><Relationship Id="rId5" Type="http://schemas.openxmlformats.org/officeDocument/2006/relationships/hyperlink" Target="http://www.sec.gov/cgi-bin/browse-edgar?action=getcompany&amp;CIK=0000921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3262</Characters>
  <CharactersWithSpaces>3786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