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215900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233045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4"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7" w:lineRule="exact"/>
        <w:rPr>
          <w:sz w:val="24"/>
          <w:szCs w:val="24"/>
          <w:color w:val="auto"/>
        </w:rPr>
      </w:pPr>
    </w:p>
    <w:p>
      <w:pPr>
        <w:ind w:left="3840" w:right="1760" w:hanging="3833"/>
        <w:spacing w:after="0" w:line="286" w:lineRule="auto"/>
        <w:tabs>
          <w:tab w:leader="none" w:pos="53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47"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340"/>
          </w:cols>
          <w:pgMar w:left="320" w:top="437" w:right="239" w:bottom="1440" w:gutter="0" w:footer="0" w:header="0"/>
        </w:sectPr>
      </w:pPr>
    </w:p>
    <w:p>
      <w:pPr>
        <w:spacing w:after="0" w:line="55"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82" w:lineRule="exact"/>
        <w:rPr>
          <w:sz w:val="24"/>
          <w:szCs w:val="24"/>
          <w:color w:val="auto"/>
        </w:rPr>
      </w:pPr>
    </w:p>
    <w:p>
      <w:pPr>
        <w:sectPr>
          <w:pgSz w:w="11900" w:h="16838" w:orient="portrait"/>
          <w:cols w:equalWidth="0" w:num="2">
            <w:col w:w="6380" w:space="640"/>
            <w:col w:w="4320"/>
          </w:cols>
          <w:pgMar w:left="320" w:top="437" w:right="23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Commission File Number 001-35066</w:t>
      </w:r>
    </w:p>
    <w:p>
      <w:pPr>
        <w:sectPr>
          <w:pgSz w:w="11900" w:h="16838" w:orient="portrait"/>
          <w:cols w:equalWidth="0" w:num="1">
            <w:col w:w="11340"/>
          </w:cols>
          <w:pgMar w:left="320" w:top="437" w:right="239" w:bottom="1440" w:gutter="0" w:footer="0" w:header="0"/>
          <w:type w:val="continuous"/>
        </w:sectPr>
      </w:pPr>
    </w:p>
    <w:p>
      <w:pPr>
        <w:spacing w:after="0" w:line="85"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IMAX Corporation</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1320" w:type="dxa"/>
        <w:tblCellMar>
          <w:top w:w="0" w:type="dxa"/>
          <w:left w:w="0" w:type="dxa"/>
          <w:bottom w:w="0" w:type="dxa"/>
          <w:right w:w="0" w:type="dxa"/>
        </w:tblCellMar>
      </w:tblPr>
      <w:tr>
        <w:trPr>
          <w:trHeight w:val="213"/>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2"/>
              </w:rPr>
              <w:t>Canada</w:t>
            </w:r>
          </w:p>
        </w:tc>
        <w:tc>
          <w:tcPr>
            <w:tcW w:w="3960" w:type="dxa"/>
            <w:vAlign w:val="bottom"/>
          </w:tcPr>
          <w:p>
            <w:pPr>
              <w:jc w:val="right"/>
              <w:ind w:right="757"/>
              <w:spacing w:after="0"/>
              <w:rPr>
                <w:sz w:val="20"/>
                <w:szCs w:val="20"/>
                <w:color w:val="auto"/>
              </w:rPr>
            </w:pPr>
            <w:r>
              <w:rPr>
                <w:rFonts w:ascii="Arial" w:cs="Arial" w:eastAsia="Arial" w:hAnsi="Arial"/>
                <w:sz w:val="18"/>
                <w:szCs w:val="18"/>
                <w:b w:val="1"/>
                <w:bCs w:val="1"/>
                <w:color w:val="auto"/>
              </w:rPr>
              <w:t>98-0140269</w:t>
            </w:r>
          </w:p>
        </w:tc>
      </w:tr>
      <w:tr>
        <w:trPr>
          <w:trHeight w:val="147"/>
        </w:trPr>
        <w:tc>
          <w:tcPr>
            <w:tcW w:w="4420" w:type="dxa"/>
            <w:vAlign w:val="bottom"/>
          </w:tcPr>
          <w:p>
            <w:pPr>
              <w:jc w:val="center"/>
              <w:ind w:right="1337"/>
              <w:spacing w:after="0" w:line="147" w:lineRule="exact"/>
              <w:rPr>
                <w:sz w:val="20"/>
                <w:szCs w:val="20"/>
                <w:color w:val="auto"/>
              </w:rPr>
            </w:pPr>
            <w:r>
              <w:rPr>
                <w:rFonts w:ascii="Arial" w:cs="Arial" w:eastAsia="Arial" w:hAnsi="Arial"/>
                <w:sz w:val="14"/>
                <w:szCs w:val="14"/>
                <w:i w:val="1"/>
                <w:iCs w:val="1"/>
                <w:color w:val="auto"/>
                <w:w w:val="95"/>
              </w:rPr>
              <w:t>(State or other jurisdiction of</w:t>
            </w:r>
          </w:p>
        </w:tc>
        <w:tc>
          <w:tcPr>
            <w:tcW w:w="3960" w:type="dxa"/>
            <w:vAlign w:val="bottom"/>
          </w:tcPr>
          <w:p>
            <w:pPr>
              <w:jc w:val="center"/>
              <w:ind w:left="1357"/>
              <w:spacing w:after="0" w:line="147" w:lineRule="exact"/>
              <w:rPr>
                <w:sz w:val="20"/>
                <w:szCs w:val="20"/>
                <w:color w:val="auto"/>
              </w:rPr>
            </w:pPr>
            <w:r>
              <w:rPr>
                <w:rFonts w:ascii="Arial" w:cs="Arial" w:eastAsia="Arial" w:hAnsi="Arial"/>
                <w:sz w:val="14"/>
                <w:szCs w:val="14"/>
                <w:i w:val="1"/>
                <w:iCs w:val="1"/>
                <w:color w:val="auto"/>
                <w:w w:val="93"/>
              </w:rPr>
              <w:t>(I.R.S. Employer</w:t>
            </w:r>
          </w:p>
        </w:tc>
      </w:tr>
      <w:tr>
        <w:trPr>
          <w:trHeight w:val="181"/>
        </w:trPr>
        <w:tc>
          <w:tcPr>
            <w:tcW w:w="4420" w:type="dxa"/>
            <w:vAlign w:val="bottom"/>
          </w:tcPr>
          <w:p>
            <w:pPr>
              <w:jc w:val="center"/>
              <w:ind w:right="1337"/>
              <w:spacing w:after="0"/>
              <w:rPr>
                <w:sz w:val="20"/>
                <w:szCs w:val="20"/>
                <w:color w:val="auto"/>
              </w:rPr>
            </w:pPr>
            <w:r>
              <w:rPr>
                <w:rFonts w:ascii="Arial" w:cs="Arial" w:eastAsia="Arial" w:hAnsi="Arial"/>
                <w:sz w:val="14"/>
                <w:szCs w:val="14"/>
                <w:i w:val="1"/>
                <w:iCs w:val="1"/>
                <w:color w:val="auto"/>
                <w:w w:val="96"/>
              </w:rPr>
              <w:t>incorporation or organization)</w:t>
            </w:r>
          </w:p>
        </w:tc>
        <w:tc>
          <w:tcPr>
            <w:tcW w:w="3960" w:type="dxa"/>
            <w:vAlign w:val="bottom"/>
          </w:tcPr>
          <w:p>
            <w:pPr>
              <w:jc w:val="center"/>
              <w:ind w:left="1357"/>
              <w:spacing w:after="0"/>
              <w:rPr>
                <w:sz w:val="20"/>
                <w:szCs w:val="20"/>
                <w:color w:val="auto"/>
              </w:rPr>
            </w:pPr>
            <w:r>
              <w:rPr>
                <w:rFonts w:ascii="Arial" w:cs="Arial" w:eastAsia="Arial" w:hAnsi="Arial"/>
                <w:sz w:val="14"/>
                <w:szCs w:val="14"/>
                <w:i w:val="1"/>
                <w:iCs w:val="1"/>
                <w:color w:val="auto"/>
                <w:w w:val="96"/>
              </w:rPr>
              <w:t>Identification Number)</w:t>
            </w:r>
          </w:p>
        </w:tc>
      </w:tr>
      <w:tr>
        <w:trPr>
          <w:trHeight w:val="274"/>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2525 Speakman Drive,</w:t>
            </w:r>
          </w:p>
        </w:tc>
        <w:tc>
          <w:tcPr>
            <w:tcW w:w="3960" w:type="dxa"/>
            <w:vAlign w:val="bottom"/>
          </w:tcPr>
          <w:p>
            <w:pPr>
              <w:jc w:val="center"/>
              <w:ind w:left="1357"/>
              <w:spacing w:after="0"/>
              <w:rPr>
                <w:sz w:val="20"/>
                <w:szCs w:val="20"/>
                <w:color w:val="auto"/>
              </w:rPr>
            </w:pPr>
            <w:r>
              <w:rPr>
                <w:rFonts w:ascii="Arial" w:cs="Arial" w:eastAsia="Arial" w:hAnsi="Arial"/>
                <w:sz w:val="18"/>
                <w:szCs w:val="18"/>
                <w:b w:val="1"/>
                <w:bCs w:val="1"/>
                <w:color w:val="auto"/>
                <w:w w:val="89"/>
              </w:rPr>
              <w:t>902 Broadway, Floor 20</w:t>
            </w:r>
          </w:p>
        </w:tc>
      </w:tr>
      <w:tr>
        <w:trPr>
          <w:trHeight w:val="214"/>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Mississauga, Ontario, Canada L5K 1B1</w:t>
            </w:r>
          </w:p>
        </w:tc>
        <w:tc>
          <w:tcPr>
            <w:tcW w:w="3960" w:type="dxa"/>
            <w:vAlign w:val="bottom"/>
          </w:tcPr>
          <w:p>
            <w:pPr>
              <w:jc w:val="center"/>
              <w:ind w:left="1337"/>
              <w:spacing w:after="0"/>
              <w:rPr>
                <w:sz w:val="20"/>
                <w:szCs w:val="20"/>
                <w:color w:val="auto"/>
              </w:rPr>
            </w:pPr>
            <w:r>
              <w:rPr>
                <w:rFonts w:ascii="Arial" w:cs="Arial" w:eastAsia="Arial" w:hAnsi="Arial"/>
                <w:sz w:val="18"/>
                <w:szCs w:val="18"/>
                <w:b w:val="1"/>
                <w:bCs w:val="1"/>
                <w:color w:val="auto"/>
                <w:w w:val="91"/>
              </w:rPr>
              <w:t>New York, New York, USA 10010</w:t>
            </w:r>
          </w:p>
        </w:tc>
      </w:tr>
      <w:tr>
        <w:trPr>
          <w:trHeight w:val="231"/>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(905) 403-6500</w:t>
            </w:r>
          </w:p>
        </w:tc>
        <w:tc>
          <w:tcPr>
            <w:tcW w:w="3960" w:type="dxa"/>
            <w:vAlign w:val="bottom"/>
          </w:tcPr>
          <w:p>
            <w:pPr>
              <w:jc w:val="right"/>
              <w:ind w:right="617"/>
              <w:spacing w:after="0"/>
              <w:rPr>
                <w:sz w:val="20"/>
                <w:szCs w:val="20"/>
                <w:color w:val="auto"/>
              </w:rPr>
            </w:pPr>
            <w:r>
              <w:rPr>
                <w:rFonts w:ascii="Arial" w:cs="Arial" w:eastAsia="Arial" w:hAnsi="Arial"/>
                <w:sz w:val="18"/>
                <w:szCs w:val="18"/>
                <w:b w:val="1"/>
                <w:bCs w:val="1"/>
                <w:color w:val="auto"/>
              </w:rPr>
              <w:t>(212) 821-0100</w:t>
            </w:r>
          </w:p>
        </w:tc>
      </w:tr>
    </w:tbl>
    <w:p>
      <w:pPr>
        <w:spacing w:after="0" w:line="67"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(Address of principal executive offices, zip code, telephone numbers)</w:t>
      </w:r>
    </w:p>
    <w:p>
      <w:pPr>
        <w:spacing w:after="0" w:line="70"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3280" w:type="dxa"/>
            <w:vAlign w:val="bottom"/>
            <w:gridSpan w:val="2"/>
          </w:tcPr>
          <w:p>
            <w:pPr>
              <w:ind w:left="900"/>
              <w:spacing w:after="0"/>
              <w:rPr>
                <w:sz w:val="20"/>
                <w:szCs w:val="20"/>
                <w:color w:val="auto"/>
              </w:rPr>
            </w:pPr>
            <w:r>
              <w:rPr>
                <w:rFonts w:ascii="Arial" w:cs="Arial" w:eastAsia="Arial" w:hAnsi="Arial"/>
                <w:sz w:val="14"/>
                <w:szCs w:val="14"/>
                <w:b w:val="1"/>
                <w:bCs w:val="1"/>
                <w:color w:val="auto"/>
              </w:rPr>
              <w:t>Trading Symbol(s)</w:t>
            </w:r>
          </w:p>
        </w:tc>
        <w:tc>
          <w:tcPr>
            <w:tcW w:w="3840" w:type="dxa"/>
            <w:vAlign w:val="bottom"/>
          </w:tcPr>
          <w:p>
            <w:pPr>
              <w:jc w:val="center"/>
              <w:ind w:left="4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4"/>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Common Shares, no par value</w:t>
            </w:r>
          </w:p>
        </w:tc>
        <w:tc>
          <w:tcPr>
            <w:tcW w:w="180" w:type="dxa"/>
            <w:vAlign w:val="bottom"/>
          </w:tcPr>
          <w:p>
            <w:pPr>
              <w:spacing w:after="0"/>
              <w:rPr>
                <w:sz w:val="19"/>
                <w:szCs w:val="19"/>
                <w:color w:val="auto"/>
              </w:rPr>
            </w:pPr>
          </w:p>
        </w:tc>
        <w:tc>
          <w:tcPr>
            <w:tcW w:w="3140" w:type="dxa"/>
            <w:vAlign w:val="bottom"/>
            <w:tcBorders>
              <w:top w:val="single" w:sz="8" w:color="auto"/>
            </w:tcBorders>
          </w:tcPr>
          <w:p>
            <w:pPr>
              <w:ind w:left="1340"/>
              <w:spacing w:after="0"/>
              <w:rPr>
                <w:sz w:val="20"/>
                <w:szCs w:val="20"/>
                <w:color w:val="auto"/>
              </w:rPr>
            </w:pPr>
            <w:r>
              <w:rPr>
                <w:rFonts w:ascii="Arial" w:cs="Arial" w:eastAsia="Arial" w:hAnsi="Arial"/>
                <w:sz w:val="18"/>
                <w:szCs w:val="18"/>
                <w:b w:val="1"/>
                <w:bCs w:val="1"/>
                <w:color w:val="auto"/>
              </w:rPr>
              <w:t>IMAX</w:t>
            </w:r>
          </w:p>
        </w:tc>
        <w:tc>
          <w:tcPr>
            <w:tcW w:w="140" w:type="dxa"/>
            <w:vAlign w:val="bottom"/>
          </w:tcPr>
          <w:p>
            <w:pPr>
              <w:spacing w:after="0"/>
              <w:rPr>
                <w:sz w:val="19"/>
                <w:szCs w:val="19"/>
                <w:color w:val="auto"/>
              </w:rPr>
            </w:pPr>
          </w:p>
        </w:tc>
        <w:tc>
          <w:tcPr>
            <w:tcW w:w="3840" w:type="dxa"/>
            <w:vAlign w:val="bottom"/>
            <w:tcBorders>
              <w:top w:val="single" w:sz="8" w:color="auto"/>
            </w:tcBorders>
          </w:tcPr>
          <w:p>
            <w:pPr>
              <w:jc w:val="center"/>
              <w:ind w:left="40"/>
              <w:spacing w:after="0"/>
              <w:rPr>
                <w:sz w:val="20"/>
                <w:szCs w:val="20"/>
                <w:color w:val="auto"/>
              </w:rPr>
            </w:pPr>
            <w:r>
              <w:rPr>
                <w:rFonts w:ascii="Arial" w:cs="Arial" w:eastAsia="Arial" w:hAnsi="Arial"/>
                <w:sz w:val="18"/>
                <w:szCs w:val="18"/>
                <w:b w:val="1"/>
                <w:bCs w:val="1"/>
                <w:color w:val="auto"/>
                <w:w w:val="89"/>
              </w:rPr>
              <w:t>The New York Stock Exchange</w:t>
            </w:r>
          </w:p>
        </w:tc>
      </w:tr>
    </w:tbl>
    <w:p>
      <w:pPr>
        <w:spacing w:after="0" w:line="263" w:lineRule="exact"/>
        <w:rPr>
          <w:sz w:val="24"/>
          <w:szCs w:val="24"/>
          <w:color w:val="auto"/>
        </w:rPr>
      </w:pPr>
    </w:p>
    <w:p>
      <w:pPr>
        <w:jc w:val="both"/>
        <w:ind w:right="100" w:firstLine="22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120" w:firstLine="22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6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00" w:firstLine="225"/>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240"/>
        <w:spacing w:after="0" w:line="196" w:lineRule="exact"/>
        <w:tabs>
          <w:tab w:leader="none" w:pos="90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Class</w:t>
            </w:r>
          </w:p>
        </w:tc>
        <w:tc>
          <w:tcPr>
            <w:tcW w:w="54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as of March 31, 2021</w:t>
            </w:r>
          </w:p>
        </w:tc>
      </w:tr>
      <w:tr>
        <w:trPr>
          <w:trHeight w:val="22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40" w:type="dxa"/>
            <w:vAlign w:val="bottom"/>
          </w:tcPr>
          <w:p>
            <w:pPr>
              <w:spacing w:after="0"/>
              <w:rPr>
                <w:sz w:val="19"/>
                <w:szCs w:val="19"/>
                <w:color w:val="auto"/>
              </w:rPr>
            </w:pPr>
          </w:p>
        </w:tc>
        <w:tc>
          <w:tcPr>
            <w:tcW w:w="5480" w:type="dxa"/>
            <w:vAlign w:val="bottom"/>
            <w:tcBorders>
              <w:top w:val="single" w:sz="8" w:color="auto"/>
            </w:tcBorders>
          </w:tcPr>
          <w:p>
            <w:pPr>
              <w:jc w:val="right"/>
              <w:ind w:right="2260"/>
              <w:spacing w:after="0"/>
              <w:rPr>
                <w:sz w:val="20"/>
                <w:szCs w:val="20"/>
                <w:color w:val="auto"/>
              </w:rPr>
            </w:pPr>
            <w:r>
              <w:rPr>
                <w:rFonts w:ascii="Arial" w:cs="Arial" w:eastAsia="Arial" w:hAnsi="Arial"/>
                <w:sz w:val="18"/>
                <w:szCs w:val="18"/>
                <w:color w:val="auto"/>
              </w:rPr>
              <w:t>59,357,956</w:t>
            </w:r>
          </w:p>
        </w:tc>
      </w:tr>
      <w:tr>
        <w:trPr>
          <w:trHeight w:val="228"/>
        </w:trPr>
        <w:tc>
          <w:tcPr>
            <w:tcW w:w="5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227"/>
        </w:trPr>
        <w:tc>
          <w:tcPr>
            <w:tcW w:w="55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480" w:type="dxa"/>
            <w:vAlign w:val="bottom"/>
            <w:tcBorders>
              <w:bottom w:val="single" w:sz="8" w:color="9A9A9A"/>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3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restart"/>
          </w:tcPr>
          <w:p>
            <w:pPr>
              <w:spacing w:after="0"/>
              <w:rPr>
                <w:sz w:val="14"/>
                <w:szCs w:val="14"/>
                <w:color w:val="auto"/>
              </w:rPr>
            </w:pPr>
          </w:p>
        </w:tc>
        <w:tc>
          <w:tcPr>
            <w:tcW w:w="6200" w:type="dxa"/>
            <w:vAlign w:val="bottom"/>
            <w:gridSpan w:val="7"/>
            <w:vMerge w:val="restart"/>
          </w:tcPr>
          <w:p>
            <w:pPr>
              <w:jc w:val="center"/>
              <w:ind w:right="316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6200" w:type="dxa"/>
            <w:vAlign w:val="bottom"/>
            <w:gridSpan w:val="7"/>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1720" w:type="dxa"/>
            <w:vAlign w:val="bottom"/>
            <w:gridSpan w:val="2"/>
          </w:tcPr>
          <w:p>
            <w:pPr>
              <w:spacing w:after="0"/>
              <w:rPr>
                <w:sz w:val="24"/>
                <w:szCs w:val="24"/>
                <w:color w:val="auto"/>
              </w:rPr>
            </w:pPr>
          </w:p>
        </w:tc>
        <w:tc>
          <w:tcPr>
            <w:tcW w:w="3040" w:type="dxa"/>
            <w:vAlign w:val="bottom"/>
            <w:tcBorders>
              <w:top w:val="single" w:sz="8" w:color="0000EE"/>
            </w:tcBorders>
            <w:gridSpan w:val="5"/>
          </w:tcPr>
          <w:p>
            <w:pPr>
              <w:spacing w:after="0"/>
              <w:rPr>
                <w:sz w:val="24"/>
                <w:szCs w:val="24"/>
                <w:color w:val="auto"/>
              </w:rPr>
            </w:pPr>
          </w:p>
        </w:tc>
        <w:tc>
          <w:tcPr>
            <w:tcW w:w="316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3"/>
          </w:tcPr>
          <w:p>
            <w:pPr>
              <w:spacing w:after="0" w:line="194"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Management’s Discussion and Analysis of Financial Condition and Results of Operations</w:t>
              </w:r>
            </w:hyperlink>
          </w:p>
        </w:tc>
        <w:tc>
          <w:tcPr>
            <w:tcW w:w="302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3.</w:t>
            </w:r>
          </w:p>
        </w:tc>
        <w:tc>
          <w:tcPr>
            <w:tcW w:w="4280" w:type="dxa"/>
            <w:vAlign w:val="bottom"/>
            <w:tcBorders>
              <w:bottom w:val="single" w:sz="8" w:color="0000EE"/>
            </w:tcBorders>
            <w:gridSpan w:val="9"/>
          </w:tcPr>
          <w:p>
            <w:pPr>
              <w:spacing w:after="0" w:line="194"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Quantitative and Qualitative Disclosures about Market Risk</w:t>
              </w:r>
            </w:hyperlink>
          </w:p>
        </w:tc>
        <w:tc>
          <w:tcPr>
            <w:tcW w:w="5140" w:type="dxa"/>
            <w:vAlign w:val="bottom"/>
            <w:gridSpan w:val="5"/>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4.</w:t>
            </w:r>
          </w:p>
        </w:tc>
        <w:tc>
          <w:tcPr>
            <w:tcW w:w="9420" w:type="dxa"/>
            <w:vAlign w:val="bottom"/>
            <w:gridSpan w:val="14"/>
          </w:tcPr>
          <w:p>
            <w:pPr>
              <w:spacing w:after="0" w:line="194"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1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6200" w:type="dxa"/>
            <w:vAlign w:val="bottom"/>
            <w:gridSpan w:val="7"/>
          </w:tcPr>
          <w:p>
            <w:pPr>
              <w:jc w:val="center"/>
              <w:ind w:right="3140"/>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 OTHER INFORMATION</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80" w:type="dxa"/>
            <w:vAlign w:val="bottom"/>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Legal Proceedings</w:t>
              </w:r>
            </w:hyperlink>
          </w:p>
        </w:tc>
        <w:tc>
          <w:tcPr>
            <w:tcW w:w="2740" w:type="dxa"/>
            <w:vAlign w:val="bottom"/>
            <w:tcBorders>
              <w:top w:val="single" w:sz="8" w:color="0000EE"/>
            </w:tcBorders>
            <w:gridSpan w:val="3"/>
          </w:tcPr>
          <w:p>
            <w:pPr>
              <w:spacing w:after="0"/>
              <w:rPr>
                <w:sz w:val="24"/>
                <w:szCs w:val="24"/>
                <w:color w:val="auto"/>
              </w:rPr>
            </w:pPr>
          </w:p>
        </w:tc>
        <w:tc>
          <w:tcPr>
            <w:tcW w:w="330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line="194" w:lineRule="exact"/>
              <w:rPr>
                <w:rFonts w:ascii="Arial" w:cs="Arial" w:eastAsia="Arial" w:hAnsi="Arial"/>
                <w:sz w:val="18"/>
                <w:szCs w:val="18"/>
                <w:color w:val="0000EE"/>
              </w:rPr>
            </w:pPr>
            <w:hyperlink w:anchor="page73">
              <w:r>
                <w:rPr>
                  <w:rFonts w:ascii="Arial" w:cs="Arial" w:eastAsia="Arial" w:hAnsi="Arial"/>
                  <w:sz w:val="18"/>
                  <w:szCs w:val="18"/>
                  <w:color w:val="0000EE"/>
                </w:rPr>
                <w:t>Risk Factors</w:t>
              </w:r>
            </w:hyperlink>
          </w:p>
        </w:tc>
        <w:tc>
          <w:tcPr>
            <w:tcW w:w="8100" w:type="dxa"/>
            <w:vAlign w:val="bottom"/>
            <w:gridSpan w:val="10"/>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2.</w:t>
            </w:r>
          </w:p>
        </w:tc>
        <w:tc>
          <w:tcPr>
            <w:tcW w:w="9420" w:type="dxa"/>
            <w:vAlign w:val="bottom"/>
            <w:gridSpan w:val="14"/>
          </w:tcPr>
          <w:p>
            <w:pPr>
              <w:spacing w:after="0" w:line="194" w:lineRule="exact"/>
              <w:rPr>
                <w:rFonts w:ascii="Arial" w:cs="Arial" w:eastAsia="Arial" w:hAnsi="Arial"/>
                <w:sz w:val="18"/>
                <w:szCs w:val="18"/>
                <w:color w:val="0000EE"/>
              </w:rPr>
            </w:pPr>
            <w:hyperlink w:anchor="page76">
              <w:r>
                <w:rPr>
                  <w:rFonts w:ascii="Arial" w:cs="Arial" w:eastAsia="Arial" w:hAnsi="Arial"/>
                  <w:sz w:val="18"/>
                  <w:szCs w:val="18"/>
                  <w:color w:val="0000EE"/>
                </w:rPr>
                <w:t>Unregistered Sales of Equity Securities and Use of Proceeds</w:t>
              </w:r>
            </w:hyperlink>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5.</w:t>
            </w:r>
          </w:p>
        </w:tc>
        <w:tc>
          <w:tcPr>
            <w:tcW w:w="4300" w:type="dxa"/>
            <w:vAlign w:val="bottom"/>
            <w:tcBorders>
              <w:top w:val="single" w:sz="8" w:color="0000EE"/>
            </w:tcBorders>
            <w:gridSpan w:val="10"/>
          </w:tcPr>
          <w:p>
            <w:pPr>
              <w:spacing w:after="0" w:line="194"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5120" w:type="dxa"/>
            <w:vAlign w:val="bottom"/>
            <w:gridSpan w:val="4"/>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194" w:lineRule="exact"/>
              <w:rPr>
                <w:rFonts w:ascii="Arial" w:cs="Arial" w:eastAsia="Arial" w:hAnsi="Arial"/>
                <w:sz w:val="18"/>
                <w:szCs w:val="18"/>
                <w:color w:val="0000EE"/>
              </w:rPr>
            </w:pPr>
            <w:hyperlink w:anchor="page77">
              <w:r>
                <w:rPr>
                  <w:rFonts w:ascii="Arial" w:cs="Arial" w:eastAsia="Arial" w:hAnsi="Arial"/>
                  <w:sz w:val="18"/>
                  <w:szCs w:val="18"/>
                  <w:color w:val="0000EE"/>
                </w:rPr>
                <w:t>Exhibits</w:t>
              </w:r>
            </w:hyperlink>
          </w:p>
        </w:tc>
        <w:tc>
          <w:tcPr>
            <w:tcW w:w="8120" w:type="dxa"/>
            <w:vAlign w:val="bottom"/>
            <w:gridSpan w:val="11"/>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4"/>
        </w:trPr>
        <w:tc>
          <w:tcPr>
            <w:tcW w:w="880" w:type="dxa"/>
            <w:vAlign w:val="bottom"/>
            <w:gridSpan w:val="2"/>
          </w:tcPr>
          <w:p>
            <w:pPr>
              <w:spacing w:after="0" w:line="194"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Signatures</w:t>
              </w:r>
            </w:hyperlink>
          </w:p>
        </w:tc>
        <w:tc>
          <w:tcPr>
            <w:tcW w:w="600" w:type="dxa"/>
            <w:vAlign w:val="bottom"/>
            <w:tcBorders>
              <w:top w:val="single" w:sz="8" w:color="0000EE"/>
            </w:tcBorders>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660"/>
        </w:trPr>
        <w:tc>
          <w:tcPr>
            <w:tcW w:w="7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120" w:type="dxa"/>
            <w:vAlign w:val="bottom"/>
            <w:gridSpan w:val="11"/>
          </w:tcPr>
          <w:p>
            <w:pPr>
              <w:jc w:val="center"/>
              <w:ind w:left="3271"/>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580" w:type="dxa"/>
            <w:vAlign w:val="bottom"/>
            <w:gridSpan w:val="6"/>
            <w:vMerge w:val="restart"/>
          </w:tcPr>
          <w:p>
            <w:pPr>
              <w:spacing w:after="0"/>
              <w:rPr>
                <w:sz w:val="20"/>
                <w:szCs w:val="20"/>
                <w:color w:val="auto"/>
              </w:rPr>
            </w:pPr>
            <w:r>
              <w:rPr>
                <w:rFonts w:ascii="Arial" w:cs="Arial" w:eastAsia="Arial" w:hAnsi="Arial"/>
                <w:sz w:val="18"/>
                <w:szCs w:val="18"/>
                <w:color w:val="auto"/>
              </w:rPr>
              <w:t>The following unaudited Condensed Consolidated Financial Statements are filed as part of this Report:</w:t>
            </w: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0580" w:type="dxa"/>
            <w:vAlign w:val="bottom"/>
            <w:gridSpan w:val="6"/>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2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 as of March 31, 2021 and December 31, 2020</w:t>
              </w:r>
            </w:hyperlink>
          </w:p>
        </w:tc>
        <w:tc>
          <w:tcPr>
            <w:tcW w:w="436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4"/>
        </w:trPr>
        <w:tc>
          <w:tcPr>
            <w:tcW w:w="7460" w:type="dxa"/>
            <w:vAlign w:val="bottom"/>
            <w:tcBorders>
              <w:bottom w:val="single" w:sz="8" w:color="0000EE"/>
            </w:tcBorders>
            <w:gridSpan w:val="3"/>
          </w:tcPr>
          <w:p>
            <w:pPr>
              <w:spacing w:after="0" w:line="194"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 months ended March 31, 2021 and 2020</w:t>
              </w:r>
            </w:hyperlink>
          </w:p>
        </w:tc>
        <w:tc>
          <w:tcPr>
            <w:tcW w:w="3120" w:type="dxa"/>
            <w:vAlign w:val="bottom"/>
            <w:gridSpan w:val="3"/>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4"/>
        </w:trPr>
        <w:tc>
          <w:tcPr>
            <w:tcW w:w="8180" w:type="dxa"/>
            <w:vAlign w:val="bottom"/>
            <w:tcBorders>
              <w:bottom w:val="single" w:sz="8" w:color="0000EE"/>
            </w:tcBorders>
            <w:gridSpan w:val="5"/>
          </w:tcPr>
          <w:p>
            <w:pPr>
              <w:spacing w:after="0" w:line="194"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Loss for the three months ended March 31, 2021 and 2020</w:t>
              </w:r>
            </w:hyperlink>
          </w:p>
        </w:tc>
        <w:tc>
          <w:tcPr>
            <w:tcW w:w="240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4"/>
        </w:trPr>
        <w:tc>
          <w:tcPr>
            <w:tcW w:w="7520" w:type="dxa"/>
            <w:vAlign w:val="bottom"/>
            <w:tcBorders>
              <w:bottom w:val="single" w:sz="8" w:color="0000EE"/>
            </w:tcBorders>
            <w:gridSpan w:val="4"/>
          </w:tcPr>
          <w:p>
            <w:pPr>
              <w:spacing w:after="0" w:line="194"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 for the three months ended March 31, 2021 and 2020</w:t>
              </w:r>
            </w:hyperlink>
          </w:p>
        </w:tc>
        <w:tc>
          <w:tcPr>
            <w:tcW w:w="3060" w:type="dxa"/>
            <w:vAlign w:val="bottom"/>
            <w:gridSpan w:val="2"/>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4"/>
        </w:trPr>
        <w:tc>
          <w:tcPr>
            <w:tcW w:w="10580" w:type="dxa"/>
            <w:vAlign w:val="bottom"/>
            <w:gridSpan w:val="6"/>
          </w:tcPr>
          <w:p>
            <w:pPr>
              <w:spacing w:after="0" w:line="194"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Shareholders’ Equity for the three months ended March 31, 2021 and 2020</w:t>
              </w:r>
            </w:hyperlink>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4"/>
        </w:trPr>
        <w:tc>
          <w:tcPr>
            <w:tcW w:w="396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220" w:type="dxa"/>
            <w:vAlign w:val="bottom"/>
            <w:tcBorders>
              <w:top w:val="single" w:sz="8" w:color="0000EE"/>
            </w:tcBorders>
            <w:gridSpan w:val="4"/>
          </w:tcPr>
          <w:p>
            <w:pPr>
              <w:spacing w:after="0"/>
              <w:rPr>
                <w:sz w:val="16"/>
                <w:szCs w:val="16"/>
                <w:color w:val="auto"/>
              </w:rPr>
            </w:pPr>
          </w:p>
        </w:tc>
        <w:tc>
          <w:tcPr>
            <w:tcW w:w="240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60"/>
        </w:trPr>
        <w:tc>
          <w:tcPr>
            <w:tcW w:w="6220" w:type="dxa"/>
            <w:vAlign w:val="bottom"/>
            <w:gridSpan w:val="2"/>
          </w:tcPr>
          <w:p>
            <w:pPr>
              <w:ind w:left="5580"/>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75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267,794</w:t>
            </w:r>
          </w:p>
        </w:tc>
        <w:tc>
          <w:tcPr>
            <w:tcW w:w="2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317,379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69,582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Financing receivables, net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130,836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Variable consideration receivables, net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41,095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Film assets, net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269,820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Investment in equity securities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942,363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997,750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104,499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 borrowings, net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Convertible notes, net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222,486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93,208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income tax liabilities</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506,911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532,983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Non-controlling interests</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Capital stock common shares — no par value. Authorized — unlimited number.</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59,358,679 issued and 59,357,956 outstanding (December 31, 2020 — 58,921,731 issued and</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58,921,008 outstanding)</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414,993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Less: Treasury stock, 723 shares at cost (December 31, 2020 — 723)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 equity</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(217,689)</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(202,849)</w:t>
            </w:r>
          </w:p>
        </w:tc>
        <w:tc>
          <w:tcPr>
            <w:tcW w:w="0" w:type="dxa"/>
            <w:vAlign w:val="bottom"/>
          </w:tcPr>
          <w:p>
            <w:pPr>
              <w:spacing w:after="0"/>
              <w:rPr>
                <w:sz w:val="1"/>
                <w:szCs w:val="1"/>
                <w:color w:val="auto"/>
              </w:rPr>
            </w:pPr>
          </w:p>
        </w:tc>
      </w:tr>
      <w:tr>
        <w:trPr>
          <w:trHeight w:val="228"/>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Pr>
          <w:p>
            <w:pPr>
              <w:spacing w:after="0"/>
              <w:rPr>
                <w:sz w:val="20"/>
                <w:szCs w:val="20"/>
                <w:color w:val="auto"/>
              </w:rPr>
            </w:pPr>
            <w:r>
              <w:rPr>
                <w:rFonts w:ascii="Arial" w:cs="Arial" w:eastAsia="Arial" w:hAnsi="Arial"/>
                <w:sz w:val="18"/>
                <w:szCs w:val="18"/>
                <w:b w:val="1"/>
                <w:bCs w:val="1"/>
                <w:color w:val="auto"/>
              </w:rPr>
              <w:t>Total shareholders' equity attributable to common shareholders</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352,487</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385,489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82,215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434,702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464,008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942,363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997,750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Technology sales</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6,175</w:t>
            </w:r>
          </w:p>
        </w:tc>
        <w:tc>
          <w:tcPr>
            <w:tcW w:w="280" w:type="dxa"/>
            <w:vAlign w:val="bottom"/>
          </w:tcPr>
          <w:p>
            <w:pPr>
              <w:spacing w:after="0"/>
              <w:rPr>
                <w:sz w:val="19"/>
                <w:szCs w:val="19"/>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Image enhancement and maintenance services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Technology rentals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8,359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Finance income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38,754</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 applicable to revenues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Technology sales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5,053</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Image enhancement and maintenance services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Technology rentals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6,656</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21,473</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Gross margin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17,281</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1,471</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Credit loss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(10,845)</w:t>
            </w: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Realized and unrealized investment gains (losses)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Retirement benefits non-service expense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(2,304)</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taxes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(7,432)</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(43,377)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(3,068)</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Equity in losses of investees, net of tax</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(10,500)</w:t>
            </w: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(4,340)</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(14,840)</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per share attributable to common shareholders - basic and diluted:</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6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94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0"/>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(10,500)</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(59,411)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6940" w:type="dxa"/>
            <w:vAlign w:val="bottom"/>
          </w:tcPr>
          <w:p>
            <w:pPr>
              <w:ind w:left="260"/>
              <w:spacing w:after="0"/>
              <w:rPr>
                <w:sz w:val="20"/>
                <w:szCs w:val="20"/>
                <w:color w:val="auto"/>
              </w:rPr>
            </w:pPr>
            <w:r>
              <w:rPr>
                <w:rFonts w:ascii="Arial" w:cs="Arial" w:eastAsia="Arial" w:hAnsi="Arial"/>
                <w:sz w:val="18"/>
                <w:szCs w:val="18"/>
                <w:color w:val="auto"/>
              </w:rPr>
              <w:t>Unrealized net gain (loss) from cash flow hedging instruments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19"/>
                <w:szCs w:val="19"/>
                <w:color w:val="auto"/>
              </w:rPr>
            </w:pPr>
          </w:p>
        </w:tc>
      </w:tr>
      <w:tr>
        <w:trPr>
          <w:trHeight w:val="227"/>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Realization of cash flow hedging net (gain) loss upon settlement</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(231)</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FF0FC"/>
          </w:tcPr>
          <w:p>
            <w:pPr>
              <w:spacing w:after="0"/>
              <w:rPr>
                <w:sz w:val="19"/>
                <w:szCs w:val="19"/>
                <w:color w:val="auto"/>
              </w:rPr>
            </w:pPr>
          </w:p>
        </w:tc>
      </w:tr>
      <w:tr>
        <w:trPr>
          <w:trHeight w:val="227"/>
        </w:trPr>
        <w:tc>
          <w:tcPr>
            <w:tcW w:w="6940" w:type="dxa"/>
            <w:vAlign w:val="bottom"/>
          </w:tcPr>
          <w:p>
            <w:pPr>
              <w:ind w:left="260"/>
              <w:spacing w:after="0"/>
              <w:rPr>
                <w:sz w:val="20"/>
                <w:szCs w:val="20"/>
                <w:color w:val="auto"/>
              </w:rPr>
            </w:pPr>
            <w:r>
              <w:rPr>
                <w:rFonts w:ascii="Arial" w:cs="Arial" w:eastAsia="Arial" w:hAnsi="Arial"/>
                <w:sz w:val="18"/>
                <w:szCs w:val="18"/>
                <w:color w:val="auto"/>
              </w:rPr>
              <w:t>Reclassification of unrealized gain from ineffective cash flow hedging instruments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(2,166)</w:t>
            </w: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(1,111)</w:t>
            </w:r>
          </w:p>
        </w:tc>
      </w:tr>
      <w:tr>
        <w:trPr>
          <w:trHeight w:val="227"/>
        </w:trPr>
        <w:tc>
          <w:tcPr>
            <w:tcW w:w="6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Defined benefit and postretirement benefit plans</w:t>
            </w:r>
          </w:p>
        </w:tc>
        <w:tc>
          <w:tcPr>
            <w:tcW w:w="8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r>
      <w:tr>
        <w:trPr>
          <w:trHeight w:val="221"/>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loss, before tax</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(2,076)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(3,600)</w:t>
            </w:r>
          </w:p>
        </w:tc>
        <w:tc>
          <w:tcPr>
            <w:tcW w:w="100" w:type="dxa"/>
            <w:vAlign w:val="bottom"/>
            <w:shd w:val="clear" w:color="auto" w:fill="CFF0FC"/>
          </w:tcPr>
          <w:p>
            <w:pPr>
              <w:spacing w:after="0"/>
              <w:rPr>
                <w:sz w:val="19"/>
                <w:szCs w:val="19"/>
                <w:color w:val="auto"/>
              </w:rPr>
            </w:pPr>
          </w:p>
        </w:tc>
      </w:tr>
      <w:tr>
        <w:trPr>
          <w:trHeight w:val="227"/>
        </w:trPr>
        <w:tc>
          <w:tcPr>
            <w:tcW w:w="6940" w:type="dxa"/>
            <w:vAlign w:val="bottom"/>
          </w:tcPr>
          <w:p>
            <w:pPr>
              <w:spacing w:after="0"/>
              <w:rPr>
                <w:sz w:val="20"/>
                <w:szCs w:val="20"/>
                <w:color w:val="auto"/>
              </w:rPr>
            </w:pPr>
            <w:r>
              <w:rPr>
                <w:rFonts w:ascii="Arial" w:cs="Arial" w:eastAsia="Arial" w:hAnsi="Arial"/>
                <w:sz w:val="18"/>
                <w:szCs w:val="18"/>
                <w:color w:val="auto"/>
              </w:rPr>
              <w:t>Income tax (expense) benefit related to other comprehensive loss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r>
      <w:tr>
        <w:trPr>
          <w:trHeight w:val="221"/>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8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69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(12,600)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(62,316)</w:t>
            </w:r>
          </w:p>
        </w:tc>
        <w:tc>
          <w:tcPr>
            <w:tcW w:w="100" w:type="dxa"/>
            <w:vAlign w:val="bottom"/>
          </w:tcPr>
          <w:p>
            <w:pPr>
              <w:spacing w:after="0"/>
              <w:rPr>
                <w:sz w:val="19"/>
                <w:szCs w:val="19"/>
                <w:color w:val="auto"/>
              </w:rPr>
            </w:pPr>
          </w:p>
        </w:tc>
      </w:tr>
      <w:tr>
        <w:trPr>
          <w:trHeight w:val="22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(3,687)</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shd w:val="clear" w:color="auto" w:fill="CFF0FC"/>
          </w:tcPr>
          <w:p>
            <w:pPr>
              <w:spacing w:after="0"/>
              <w:rPr>
                <w:sz w:val="19"/>
                <w:szCs w:val="19"/>
                <w:color w:val="auto"/>
              </w:rPr>
            </w:pPr>
          </w:p>
        </w:tc>
      </w:tr>
      <w:tr>
        <w:trPr>
          <w:trHeight w:val="220"/>
        </w:trPr>
        <w:tc>
          <w:tcPr>
            <w:tcW w:w="69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common shareholders</w:t>
            </w:r>
          </w:p>
        </w:tc>
        <w:tc>
          <w:tcPr>
            <w:tcW w:w="8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(16,287)</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(51,923)</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6"/>
                <w:szCs w:val="16"/>
                <w:color w:val="auto"/>
              </w:rPr>
            </w:pPr>
          </w:p>
        </w:tc>
      </w:tr>
      <w:tr>
        <w:trPr>
          <w:trHeight w:val="212"/>
        </w:trPr>
        <w:tc>
          <w:tcPr>
            <w:tcW w:w="6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8"/>
                <w:szCs w:val="18"/>
                <w:color w:val="auto"/>
              </w:rPr>
            </w:pPr>
          </w:p>
        </w:tc>
      </w:tr>
      <w:tr>
        <w:trPr>
          <w:trHeight w:val="220"/>
        </w:trPr>
        <w:tc>
          <w:tcPr>
            <w:tcW w:w="678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711"/>
              <w:spacing w:after="0"/>
              <w:rPr>
                <w:sz w:val="20"/>
                <w:szCs w:val="20"/>
                <w:color w:val="auto"/>
              </w:rPr>
            </w:pPr>
            <w:r>
              <w:rPr>
                <w:rFonts w:ascii="Arial" w:cs="Arial" w:eastAsia="Arial" w:hAnsi="Arial"/>
                <w:sz w:val="14"/>
                <w:szCs w:val="14"/>
                <w:b w:val="1"/>
                <w:bCs w:val="1"/>
                <w:color w:val="auto"/>
              </w:rPr>
              <w:t>2020</w:t>
            </w:r>
          </w:p>
        </w:tc>
      </w:tr>
      <w:tr>
        <w:trPr>
          <w:trHeight w:val="220"/>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77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(10,500)</w:t>
            </w:r>
          </w:p>
        </w:tc>
        <w:tc>
          <w:tcPr>
            <w:tcW w:w="180" w:type="dxa"/>
            <w:vAlign w:val="bottom"/>
          </w:tcPr>
          <w:p>
            <w:pPr>
              <w:spacing w:after="0"/>
              <w:rPr>
                <w:sz w:val="19"/>
                <w:szCs w:val="19"/>
                <w:color w:val="auto"/>
              </w:rPr>
            </w:pPr>
          </w:p>
        </w:tc>
        <w:tc>
          <w:tcPr>
            <w:tcW w:w="580" w:type="dxa"/>
            <w:vAlign w:val="bottom"/>
          </w:tcPr>
          <w:p>
            <w:pPr>
              <w:jc w:val="right"/>
              <w:ind w:right="39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(59,411)</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cash (used in) provided by operating activities: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7"/>
        </w:trPr>
        <w:tc>
          <w:tcPr>
            <w:tcW w:w="67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12,986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15,252</w:t>
            </w: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 loss expense</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10,217</w:t>
            </w:r>
          </w:p>
        </w:tc>
      </w:tr>
      <w:tr>
        <w:trPr>
          <w:trHeight w:val="227"/>
        </w:trPr>
        <w:tc>
          <w:tcPr>
            <w:tcW w:w="6780" w:type="dxa"/>
            <w:vAlign w:val="bottom"/>
          </w:tcPr>
          <w:p>
            <w:pPr>
              <w:ind w:left="260"/>
              <w:spacing w:after="0"/>
              <w:rPr>
                <w:sz w:val="20"/>
                <w:szCs w:val="20"/>
                <w:color w:val="auto"/>
              </w:rPr>
            </w:pPr>
            <w:r>
              <w:rPr>
                <w:rFonts w:ascii="Arial" w:cs="Arial" w:eastAsia="Arial" w:hAnsi="Arial"/>
                <w:sz w:val="18"/>
                <w:szCs w:val="18"/>
                <w:color w:val="auto"/>
              </w:rPr>
              <w:t>Write-downs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4,403</w:t>
            </w: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expense</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5,627</w:t>
            </w:r>
          </w:p>
        </w:tc>
      </w:tr>
      <w:tr>
        <w:trPr>
          <w:trHeight w:val="227"/>
        </w:trPr>
        <w:tc>
          <w:tcPr>
            <w:tcW w:w="6780" w:type="dxa"/>
            <w:vAlign w:val="bottom"/>
          </w:tcPr>
          <w:p>
            <w:pPr>
              <w:ind w:left="260"/>
              <w:spacing w:after="0"/>
              <w:rPr>
                <w:sz w:val="20"/>
                <w:szCs w:val="20"/>
                <w:color w:val="auto"/>
              </w:rPr>
            </w:pPr>
            <w:r>
              <w:rPr>
                <w:rFonts w:ascii="Arial" w:cs="Arial" w:eastAsia="Arial" w:hAnsi="Arial"/>
                <w:sz w:val="18"/>
                <w:szCs w:val="18"/>
                <w:color w:val="auto"/>
              </w:rPr>
              <w:t>Share-based and other non-cash compensation</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5,421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4,309</w:t>
            </w: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foreign currency exchange loss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223</w:t>
            </w:r>
          </w:p>
        </w:tc>
      </w:tr>
      <w:tr>
        <w:trPr>
          <w:trHeight w:val="227"/>
        </w:trPr>
        <w:tc>
          <w:tcPr>
            <w:tcW w:w="6780" w:type="dxa"/>
            <w:vAlign w:val="bottom"/>
          </w:tcPr>
          <w:p>
            <w:pPr>
              <w:ind w:left="260"/>
              <w:spacing w:after="0"/>
              <w:rPr>
                <w:sz w:val="20"/>
                <w:szCs w:val="20"/>
                <w:color w:val="auto"/>
              </w:rPr>
            </w:pPr>
            <w:r>
              <w:rPr>
                <w:rFonts w:ascii="Arial" w:cs="Arial" w:eastAsia="Arial" w:hAnsi="Arial"/>
                <w:sz w:val="18"/>
                <w:szCs w:val="18"/>
                <w:color w:val="auto"/>
              </w:rPr>
              <w:t>Realized and unrealized investment (gains) losses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(5,248)</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4,539</w:t>
            </w: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losses of investees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529</w:t>
            </w: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(13,744)</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28,191</w:t>
            </w:r>
          </w:p>
        </w:tc>
      </w:tr>
      <w:tr>
        <w:trPr>
          <w:trHeight w:val="227"/>
        </w:trPr>
        <w:tc>
          <w:tcPr>
            <w:tcW w:w="67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(18,344)</w:t>
            </w: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Film assets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w:t>
            </w:r>
          </w:p>
        </w:tc>
      </w:tr>
      <w:tr>
        <w:trPr>
          <w:trHeight w:val="227"/>
        </w:trPr>
        <w:tc>
          <w:tcPr>
            <w:tcW w:w="67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5,276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8,807</w:t>
            </w: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other operating assets and liabilities</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(4,155)</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4,688</w:t>
            </w:r>
          </w:p>
        </w:tc>
      </w:tr>
      <w:tr>
        <w:trPr>
          <w:trHeight w:val="220"/>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(10,951)</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5,966</w:t>
            </w:r>
          </w:p>
        </w:tc>
      </w:tr>
      <w:tr>
        <w:trPr>
          <w:trHeight w:val="220"/>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Investment in equipment for joint revenue sharing arrangements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Acquisition of other intangible assets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equity securities</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17,769</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0"/>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14,256</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(2,713)</w:t>
            </w:r>
          </w:p>
        </w:tc>
      </w:tr>
      <w:tr>
        <w:trPr>
          <w:trHeight w:val="220"/>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Proceeds from issuance of convertible notes, net</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5"/>
              </w:rPr>
              <w:t>223,675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Purchase of capped calls related to convertible notes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(19,067)</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Revolving credit facility borrowings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280,000</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revolving credit facility borrowings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(255,000)</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Credit facility amendment fees paid</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Settlement of restricted share units and options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w:t>
            </w: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Treasury stock repurchased for future settlement of restricted share units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(1,419)</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 shares, IMAX China</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Taxes withheld and paid on employee stock awards vested</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Common shares issued - stock options exercised</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824</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Repurchase of common shares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(36,624)</w:t>
            </w:r>
          </w:p>
        </w:tc>
      </w:tr>
      <w:tr>
        <w:trPr>
          <w:trHeight w:val="221"/>
        </w:trPr>
        <w:tc>
          <w:tcPr>
            <w:tcW w:w="6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8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(52,645)</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239,163</w:t>
            </w:r>
          </w:p>
        </w:tc>
      </w:tr>
      <w:tr>
        <w:trPr>
          <w:trHeight w:val="22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Effects of exchange rate changes on cash</w:t>
            </w:r>
          </w:p>
        </w:tc>
        <w:tc>
          <w:tcPr>
            <w:tcW w:w="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377</w:t>
            </w:r>
          </w:p>
        </w:tc>
      </w:tr>
      <w:tr>
        <w:trPr>
          <w:trHeight w:val="221"/>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(Decrease) increase in cash and cash equivalents during period</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(49,585)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242,793</w:t>
            </w:r>
          </w:p>
        </w:tc>
      </w:tr>
      <w:tr>
        <w:trPr>
          <w:trHeight w:val="227"/>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5"/>
              </w:rPr>
              <w:t>317,379</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109,484</w:t>
            </w:r>
          </w:p>
        </w:tc>
      </w:tr>
      <w:tr>
        <w:trPr>
          <w:trHeight w:val="220"/>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w w:val="95"/>
              </w:rPr>
              <w:t>267,794</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352,277</w:t>
            </w:r>
          </w:p>
        </w:tc>
      </w:tr>
      <w:tr>
        <w:trPr>
          <w:trHeight w:val="20"/>
        </w:trPr>
        <w:tc>
          <w:tcPr>
            <w:tcW w:w="6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ind w:left="4680"/>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r>
      <w:tr>
        <w:trPr>
          <w:trHeight w:val="212"/>
        </w:trPr>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8"/>
                <w:szCs w:val="18"/>
                <w:color w:val="auto"/>
              </w:rPr>
            </w:pPr>
          </w:p>
        </w:tc>
      </w:tr>
      <w:tr>
        <w:trPr>
          <w:trHeight w:val="220"/>
        </w:trPr>
        <w:tc>
          <w:tcPr>
            <w:tcW w:w="77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capital stock:</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407,020</w:t>
            </w:r>
          </w:p>
        </w:tc>
        <w:tc>
          <w:tcPr>
            <w:tcW w:w="180" w:type="dxa"/>
            <w:vAlign w:val="bottom"/>
          </w:tcPr>
          <w:p>
            <w:pPr>
              <w:spacing w:after="0"/>
              <w:rPr>
                <w:sz w:val="19"/>
                <w:szCs w:val="19"/>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419,348</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shares held in treasury</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2,619</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Employee stock options exercised</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824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date fair value of stock options exercised</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Average carrying value of repurchased and retired common shares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(17,803)</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share units vested, net of shares withheld for employee tax obligations</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6,885</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414,982</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404,164</w:t>
            </w: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other equity:</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180,330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171,789</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share-based payment expense - stock options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598</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share-based payment expense - restricted share units</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3,626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2,814</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share-based payment expense - performance stock units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1,117</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287</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Restricted share units vested</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(10,507)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(5,705)</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date fair value of stock options exercised</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Common shares repurchased, IMAX China</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capped calls related to convertible notes</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(19,067)</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155,653</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168,892</w:t>
            </w: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accumulated deficit:</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(202,849)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(40,253)</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attributable to common shareholders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(14,840)</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(49,354)</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Common shares repurchased and retired</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(18,821)</w:t>
            </w:r>
          </w:p>
        </w:tc>
      </w:tr>
      <w:tr>
        <w:trPr>
          <w:trHeight w:val="221"/>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(217,689)</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(108,428)</w:t>
            </w:r>
          </w:p>
        </w:tc>
      </w:tr>
      <w:tr>
        <w:trPr>
          <w:trHeight w:val="219"/>
        </w:trPr>
        <w:tc>
          <w:tcPr>
            <w:tcW w:w="7720" w:type="dxa"/>
            <w:vAlign w:val="bottom"/>
          </w:tcPr>
          <w:p>
            <w:pPr>
              <w:spacing w:after="0"/>
              <w:rPr>
                <w:sz w:val="20"/>
                <w:szCs w:val="20"/>
                <w:color w:val="auto"/>
              </w:rPr>
            </w:pPr>
            <w:r>
              <w:rPr>
                <w:rFonts w:ascii="Arial" w:cs="Arial" w:eastAsia="Arial" w:hAnsi="Arial"/>
                <w:sz w:val="18"/>
                <w:szCs w:val="18"/>
                <w:b w:val="1"/>
                <w:bCs w:val="1"/>
                <w:color w:val="auto"/>
              </w:rPr>
              <w:t>Adjustments to accumulated other comprehensive income (loss):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988</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(3,190)</w:t>
            </w:r>
          </w:p>
        </w:tc>
      </w:tr>
      <w:tr>
        <w:trPr>
          <w:trHeight w:val="227"/>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comprehensive loss, net of tax</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(5,759)</w:t>
            </w:r>
          </w:p>
        </w:tc>
      </w:tr>
      <w:tr>
        <w:trPr>
          <w:trHeight w:val="219"/>
        </w:trPr>
        <w:tc>
          <w:tcPr>
            <w:tcW w:w="7720" w:type="dxa"/>
            <w:vAlign w:val="bottom"/>
          </w:tcPr>
          <w:p>
            <w:pPr>
              <w:spacing w:after="0"/>
              <w:rPr>
                <w:sz w:val="20"/>
                <w:szCs w:val="20"/>
                <w:color w:val="auto"/>
              </w:rPr>
            </w:pPr>
            <w:r>
              <w:rPr>
                <w:rFonts w:ascii="Arial" w:cs="Arial" w:eastAsia="Arial" w:hAnsi="Arial"/>
                <w:sz w:val="18"/>
                <w:szCs w:val="18"/>
                <w:b w:val="1"/>
                <w:bCs w:val="1"/>
                <w:color w:val="auto"/>
              </w:rPr>
              <w:t>Adjustments to non-controlling interests: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78,519</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89,493</w:t>
            </w:r>
          </w:p>
        </w:tc>
      </w:tr>
      <w:tr>
        <w:trPr>
          <w:trHeight w:val="227"/>
        </w:trPr>
        <w:tc>
          <w:tcPr>
            <w:tcW w:w="7720" w:type="dxa"/>
            <w:vAlign w:val="bottom"/>
          </w:tcPr>
          <w:p>
            <w:pPr>
              <w:ind w:left="260"/>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4,349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(9,649)</w:t>
            </w:r>
          </w:p>
        </w:tc>
      </w:tr>
      <w:tr>
        <w:trPr>
          <w:trHeight w:val="227"/>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net of tax</w:t>
            </w: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r>
      <w:tr>
        <w:trPr>
          <w:trHeight w:val="22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82,215</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79,508</w:t>
            </w:r>
          </w:p>
        </w:tc>
      </w:tr>
      <w:tr>
        <w:trPr>
          <w:trHeight w:val="221"/>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434,702</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538,377</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3620" w:right="2480" w:hanging="905"/>
        <w:spacing w:after="0" w:line="278" w:lineRule="auto"/>
        <w:rPr>
          <w:sz w:val="20"/>
          <w:szCs w:val="20"/>
          <w:color w:val="auto"/>
        </w:rPr>
      </w:pPr>
      <w:r>
        <w:rPr>
          <w:rFonts w:ascii="Arial" w:cs="Arial" w:eastAsia="Arial" w:hAnsi="Arial"/>
          <w:sz w:val="16"/>
          <w:szCs w:val="16"/>
          <w:b w:val="1"/>
          <w:bCs w:val="1"/>
          <w:color w:val="auto"/>
        </w:rPr>
        <w:t xml:space="preserve">NOTES TO CONDENSED CONSOLIDATED FINANCIAL STATEMENTS </w:t>
      </w:r>
      <w:r>
        <w:rPr>
          <w:rFonts w:ascii="Arial" w:cs="Arial" w:eastAsia="Arial" w:hAnsi="Arial"/>
          <w:sz w:val="16"/>
          <w:szCs w:val="16"/>
          <w:i w:val="1"/>
          <w:iCs w:val="1"/>
          <w:color w:val="auto"/>
        </w:rPr>
        <w:t>(Tabular amounts in thousands of U.S. Dollars, unless otherwise 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r>
        <w:rPr>
          <w:rFonts w:ascii="Arial" w:cs="Arial" w:eastAsia="Arial" w:hAnsi="Arial"/>
          <w:sz w:val="18"/>
          <w:szCs w:val="18"/>
          <w:b w:val="1"/>
          <w:bCs w:val="1"/>
          <w:i w:val="1"/>
          <w:iCs w:val="1"/>
          <w:color w:val="auto"/>
        </w:rPr>
        <w:t>)</w:t>
      </w:r>
    </w:p>
    <w:p>
      <w:pPr>
        <w:spacing w:after="0" w:line="7" w:lineRule="exact"/>
        <w:rPr>
          <w:sz w:val="20"/>
          <w:szCs w:val="20"/>
          <w:color w:val="auto"/>
        </w:rPr>
      </w:pPr>
    </w:p>
    <w:p>
      <w:pPr>
        <w:jc w:val="both"/>
        <w:ind w:left="240" w:right="9420" w:hanging="233"/>
        <w:spacing w:after="0" w:line="577" w:lineRule="auto"/>
        <w:tabs>
          <w:tab w:leader="none" w:pos="238"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Basis of Presentation </w:t>
      </w:r>
      <w:r>
        <w:rPr>
          <w:rFonts w:ascii="Arial" w:cs="Arial" w:eastAsia="Arial" w:hAnsi="Arial"/>
          <w:sz w:val="14"/>
          <w:szCs w:val="14"/>
          <w:i w:val="1"/>
          <w:iCs w:val="1"/>
          <w:color w:val="auto"/>
        </w:rPr>
        <w:t>Accounting Principles</w:t>
      </w:r>
    </w:p>
    <w:p>
      <w:pPr>
        <w:spacing w:after="0" w:line="1"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IMAX Corporation, together with its consolidated subsidiaries (the “Company”), prepares its financial statements in accordance with United States Generally Accepted Accounting Principles (“U.S. GAAP”) and pursuant to the rules and regulations of the Securities and Exchange Commission.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interim results presented in the Company’s Condensed Consolidated Statements of Operations are not necessarily indicative of results for a full year, particularly in this interim period due to the impacts of the COVID-19 global pandemic (see Note 2).</w:t>
      </w:r>
    </w:p>
    <w:p>
      <w:pPr>
        <w:spacing w:after="0" w:line="14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included in the Company’s 2020 Annual Report on Form 10-K (the “2020 Form 10-K”), which should be consulted for a summary of the significant accounting policies utilized by the Company. The Condensed Consolidated Financial Statements are prepared following the same accounting policies disclosed in the 2020 Form 10-K.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19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These Condensed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149"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17(b).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assets and liabilities of the Company’s consolidated VIEs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60" w:type="dxa"/>
            <w:vAlign w:val="bottom"/>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r>
      <w:tr>
        <w:trPr>
          <w:trHeight w:val="220"/>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1,558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1,543</w:t>
            </w:r>
          </w:p>
        </w:tc>
      </w:tr>
      <w:tr>
        <w:trPr>
          <w:trHeight w:val="227"/>
        </w:trPr>
        <w:tc>
          <w:tcPr>
            <w:tcW w:w="772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4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230</w:t>
            </w:r>
          </w:p>
        </w:tc>
      </w:tr>
    </w:tbl>
    <w:p>
      <w:pPr>
        <w:spacing w:after="0" w:line="387"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In March 2021, the Company and Maximus Technologies Limited (“Maximus”), a next-generation visual effects company, established a joint venture, IMAX AI, to deliver A.I.-based solutions for Ultra High Definition (UHD) 4K enhancement across smart devices, new and library content, and real-time enhancement of live entertainment and sports. IMAX and Maximus each own 50% of IMAX AI. In connection with the formation of the joint venture, IMAX and Maximus are each contributing $250,000 in cash, as well as certain intellectual property assets. The intellectual property assets contributed by the Company had a nominal carrying value. The Company is using the equity method to account for this investment as IMAX AI is jointly controlled.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i w:val="1"/>
          <w:iCs w:val="1"/>
          <w:color w:val="auto"/>
        </w:rPr>
        <w:t>Estimates and Assumptions</w:t>
      </w:r>
    </w:p>
    <w:p>
      <w:pPr>
        <w:spacing w:after="0" w:line="194"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auto"/>
        </w:rPr>
        <w:t>In preparing the Company’s Condensed Consolidated Financial Statements, management makes judgments in applying various accounting policies. The areas of policy judgment are consistent with those reported in Note 3(b) in the 2020 Form 10-K. In addition, management makes assumptions about the Company’s future operating results and cash flows in deriving critical accounting estimates used in preparing the Condensed Consolidated Financial Statements. The significant estimates made by management include, but are not limited to: (i) the allocation of the transaction price in an IMAX Theater System arrangement to distinct performance obligations; (ii) estimates of variable consideration related to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estimates used in testing the recoverability of long-lived assets such as the theater system equipment supporting joint revenue sharing arrangements; (vii) the economic lives of the theater system equipment supporting joint revenue sharing arrangements; (viii) the useful lives of intangible assets; (ix) the ultimate revenue forecasts used to test the recoverability of film assets; (x) the discount rates used to determine the present value of lease liabilities; (xi) pension plan assumptions; (xii) estimates related to the fair value and projected vesting of share-based payment awards; (xiii) the valuation of deferred income tax assets; and (xiv) reserves related to uncertain tax positions.</w:t>
      </w:r>
    </w:p>
    <w:p>
      <w:pPr>
        <w:spacing w:after="0" w:line="148"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The Company’s operations have been significantly impacted by the COVID-19 global pandemic, as described in Note 2. There is significant ongoing uncertainty surrounding the extent and duration of the impacts that the pandemic will continue to have on box office results and the installation of IMAX Theater Systems, as well as the Company’s customers, suppliers, and employees. There is heightened potential for future credit losses on receivables, inventory write downs, impairments of film assets, impairments of long-lived assets (including the theater system equipment supporting the Company’s joint revenue sharing arrangements), impairments of goodwill, a further valuation allowance against deferred tax assets, and the reversal of variable consideration receivables that are based on estimates of future box office performance. In the current environment, assumptions about box office results, IMAX Theater System installations, and customer creditworthiness have greater variability than normal, which could in the future significantly affect the valuation of the Company’s financial and non-financial assets. The cash flow estimates used to test the recoverability of certain of the Company’s long-lived assets are based on a longer time horizon due to the long-term nature of the underlying contracts, allowing time for a recovery of the cash flows associated with the underlying asset groups, which management has factored into its estimates. The accuracy of management’s estimates is dependent, in part, on the timing and extent of the reopening of theaters in the IMAX network, and on the release of new films by movie studios. These theater reopening and film release scenarios are highly uncertain and have been factored into management’s cash flow estimates. As an understanding of the longer-term impacts of COVID-19 on the Company’s customers and business develops, there is a heightened potential for changes in management’s estimates over the remainder of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Impact of COVID-19 Pandemic</w:t>
      </w:r>
    </w:p>
    <w:p>
      <w:pPr>
        <w:spacing w:after="0" w:line="198"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In late January 2020, in response to the public health risks associated with the novel coronavirus and the disease that it causes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movie studios postponed the theatrical release of most films originally scheduled for release in 2020 and early 2021, including many scheduled to be shown in IMAX theaters, while several other films were released directly or concurrently to streaming platforms. More recently, stay-at-home orders have been lifted in many countries and movie theaters throughout the IMAX network gradually reopened in the third quarter of 2020 with reduced capacities, physical distancing requirements, and other safety measures. As of March 31, 2021, 77% of the theaters in the global IMAX commercial multiplex network were open, including substantially all of the theaters in Greater China. In many parts of Asia, audiences have returned to theaters, particularly IMAX theaters, in numbers approximating pre-pandemic attendance levels despite the continued delay of Hollywood theatrical releases, which typically account for 70% of box office ticket sales in those regions. However, ticket sales have been significantly lower than normal levels in theaters outside of Asia due in significant part to the continued delays in the Hollywood theatrical release schedule. As a result, during the first quarter of 2021, certain theater chains have remained closed or operated with capacity restrictions and reduced their operating hours.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jc w:val="both"/>
        <w:ind w:firstLine="225"/>
        <w:spacing w:after="0" w:line="266" w:lineRule="auto"/>
        <w:rPr>
          <w:sz w:val="20"/>
          <w:szCs w:val="20"/>
          <w:color w:val="auto"/>
        </w:rPr>
      </w:pPr>
      <w:r>
        <w:rPr>
          <w:rFonts w:ascii="Arial" w:cs="Arial" w:eastAsia="Arial" w:hAnsi="Arial"/>
          <w:sz w:val="17"/>
          <w:szCs w:val="17"/>
          <w:color w:val="auto"/>
        </w:rPr>
        <w:t>The impact of the COVID-19 global pandemic has resulted in significantly lower levels of revenues, earnings and operating cash flows during 2020 and through the end of the first quarter of 2021, when compared to periods prior to the onset of the pandemic, as gross box office (“GBO”) results from the Company’s theater customers declined significantly, the installation of certain theater systems was delayed, and maintenance services were generally suspended for theaters that were closed. Even as the pandemic has receded in many markets around the world, there continues to be few new films released by Hollywood movie studios and a significant number of theaters in the IMAX network remain either closed or operating with capacity restrictions. The Company continues to experience a significant decline in earnings and operating cash flows as it is generating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been, and may continue to be delayed. However, with approximately 77% of the Company’s global theater network open as of March 31, 2021 (including substantially all of the theaters in Greater China), GBO receipts generated by IMAX DMR films and joint revenue sharing arrangements increased in the current quarter, leading to improvement in the Company’s segment results, when compared to the prior year period.</w:t>
      </w:r>
    </w:p>
    <w:p>
      <w:pPr>
        <w:spacing w:after="0" w:line="155"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addition, as a result of the financial difficulties faced by certain of the Company’s exhibition customers as a result of theater closures during the pandemic, the Company has experienced and may continue to experience delays in collecting payments due under existing theater sale or lease arrangements. In response, the Company has provided temporary relief to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w:t>
      </w:r>
    </w:p>
    <w:p>
      <w:pPr>
        <w:spacing w:after="0" w:line="139"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T</w:t>
      </w:r>
      <w:r>
        <w:rPr>
          <w:rFonts w:ascii="Arial" w:cs="Arial" w:eastAsia="Arial" w:hAnsi="Arial"/>
          <w:sz w:val="16"/>
          <w:szCs w:val="16"/>
          <w:color w:val="212529"/>
        </w:rPr>
        <w:t>he Company may continue to be significantly impacted by the COVID-19 global pandemic even after theaters reopen and resume normal operations.</w:t>
      </w:r>
      <w:r>
        <w:rPr>
          <w:rFonts w:ascii="Arial" w:cs="Arial" w:eastAsia="Arial" w:hAnsi="Arial"/>
          <w:sz w:val="16"/>
          <w:szCs w:val="16"/>
          <w:color w:val="auto"/>
        </w:rPr>
        <w:t xml:space="preserve"> </w:t>
      </w:r>
      <w:r>
        <w:rPr>
          <w:rFonts w:ascii="Arial" w:cs="Arial" w:eastAsia="Arial" w:hAnsi="Arial"/>
          <w:sz w:val="16"/>
          <w:szCs w:val="16"/>
          <w:color w:val="212529"/>
        </w:rPr>
        <w:t>The global economic impact of COVID-19 has led to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consumer behavior normalizes and consumer spending recovers.</w:t>
      </w:r>
    </w:p>
    <w:p>
      <w:pPr>
        <w:spacing w:after="0" w:line="118"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In response to uncertainties associated with the COVID-19 global pandemic, in the first quarter of 2021, the Company continued to take significant steps to preserve cash by eliminating non-essential costs, keeping certain employees on a temporary furlough, reducing the working hours of other employees and reducing all non-essential capital expenditures to minimum levels. The Company has also implemented an active cash management process, which, among other things, requires senior management approval of all outgoing payments.</w:t>
      </w:r>
    </w:p>
    <w:p>
      <w:pPr>
        <w:spacing w:after="0" w:line="146"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In the first quarter of 2021, the Company issued $230.0 million of Convertible Notes. The net proceeds from the issuance of the Convertible Notes were approximately $223.7 million, after deducting the initial purchasers’ discounts and commissions, which were used in part to repay a portion of outstanding borrowings under the Credit Facility provided by the Company’s Credit Agreement with Wells Fargo. In addition, during the first quarter of 2021, the Company entered into the Second Amendment to the Credit Agreement which, among other things, suspends the Senior Secured Net Leverage Ratio financial covenant in the Credit Agreement through the first quarter of 2022 and, once re-established, permits the Company to use EBITDA from the third and fourth quarters of 2019 in lieu of EBITDA for the corresponding quarters of 2021. As of March 31, 2021, the Company was in compliance with all of its requirements under the Credit Agreement, as amended. (Each defined term used, but not defined in this paragraph is defined in Note 7.)</w:t>
      </w:r>
    </w:p>
    <w:p>
      <w:pPr>
        <w:spacing w:after="0" w:line="124"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Company has applied for and received $8.6 million to date in wage subsidies, tax credits and other financial support under COVID-19 relief legislation that has been enacted in the countries in which it operates. During the three months ended March 31, 2021, the Company recognized $1.5 million under the Canada Emergency Wage Subsidy (“CEWS”) program as reductions to Selling, General and Administrative Expenses ($1.2 million) and Costs and Expenses Applicable to Revenues ($0.3 million) in the Condensed Consolidated Statements of Operations. The CEWS program has been extended to September 2021. The Company will continue to review for the availability of additional subsidies and credits for the remaining terms of these programs, where applicable, although there are no guarantees that the Company will ultimately apply for or receive any such additional benefits.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Recently Issued Accounting Standards Not Yet Adopted</w:t>
      </w:r>
    </w:p>
    <w:p>
      <w:pPr>
        <w:spacing w:after="0" w:line="198"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In March 2020, the FASB issued Accounting Standards Update (“ASU”) No. 2020-04, “Reference Rate Reform (Topic 848): Facilitation of the effects of Reference Rate Reform on Financial Reporting” (“ASU 2020-04”). The purpose of ASU 2020-04 is to provide optional expedients and exceptions for applying U.S. GAAP to contracts, hedging relationships, and other transactions affected by reference rate reform if certain criteria are met. The amendments are effective for all entities from the beginning of an interim period that includes the issuance date of the ASU. An entity may elect to apply the amendments prospectively through December 31, 2022. The Company is currently assessing the impact of ASU 2020-04 on its Condensed Consolidated Financial Statements.</w:t>
      </w:r>
    </w:p>
    <w:p>
      <w:pPr>
        <w:spacing w:after="0" w:line="152" w:lineRule="exact"/>
        <w:rPr>
          <w:sz w:val="20"/>
          <w:szCs w:val="20"/>
          <w:color w:val="auto"/>
        </w:rPr>
      </w:pPr>
    </w:p>
    <w:p>
      <w:pPr>
        <w:jc w:val="both"/>
        <w:ind w:right="20" w:firstLine="225"/>
        <w:spacing w:after="0" w:line="334" w:lineRule="auto"/>
        <w:rPr>
          <w:sz w:val="20"/>
          <w:szCs w:val="20"/>
          <w:color w:val="auto"/>
        </w:rPr>
      </w:pPr>
      <w:r>
        <w:rPr>
          <w:rFonts w:ascii="Arial" w:cs="Arial" w:eastAsia="Arial" w:hAnsi="Arial"/>
          <w:sz w:val="16"/>
          <w:szCs w:val="16"/>
          <w:color w:val="auto"/>
        </w:rPr>
        <w:t>The Company considers the applicability and impact of all recently issued FASB ASUs. ASUs that are not noted above were assessed and determined to be not applicable or not significant to the Company’s Condensed Consolidated Financial Statements for the period ended March 31,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Current Expected Credit Losses</w:t>
      </w:r>
    </w:p>
    <w:p>
      <w:pPr>
        <w:spacing w:after="0" w:line="19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Company’s accounts receivable, financing receivables and variable consideration receivables are measured on the amortized cost basis to be presented at the net amount expected to be collected.</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Accounts receivable principally includes amounts currently due to the Company under theater sale and sales-type lease arrangements, contingent fees owed by theater operators as a result of box office performance and fees for theater maintenance services. Accounts receivable also includes amounts due from movie studios and other content creators for digitally remastering films into IMAX formats, as well as for film distribution and post-production services.</w:t>
      </w:r>
    </w:p>
    <w:p>
      <w:pPr>
        <w:spacing w:after="0" w:line="162"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In order to mitigate the credit risk associated with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284" w:lineRule="exact"/>
        <w:rPr>
          <w:sz w:val="20"/>
          <w:szCs w:val="20"/>
          <w:color w:val="auto"/>
        </w:rPr>
      </w:pPr>
    </w:p>
    <w:p>
      <w:pPr>
        <w:ind w:left="960" w:hanging="36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 Standing — The theater operator continues to be in good standing as payments and reporting are up to date.</w:t>
      </w:r>
    </w:p>
    <w:p>
      <w:pPr>
        <w:spacing w:after="0" w:line="180" w:lineRule="exact"/>
        <w:rPr>
          <w:rFonts w:ascii="Arial" w:cs="Arial" w:eastAsia="Arial" w:hAnsi="Arial"/>
          <w:sz w:val="18"/>
          <w:szCs w:val="18"/>
          <w:color w:val="auto"/>
        </w:rPr>
      </w:pPr>
    </w:p>
    <w:p>
      <w:pPr>
        <w:jc w:val="both"/>
        <w:ind w:left="960" w:hanging="365"/>
        <w:spacing w:after="0" w:line="25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51" w:lineRule="exact"/>
        <w:rPr>
          <w:rFonts w:ascii="Arial" w:cs="Arial" w:eastAsia="Arial" w:hAnsi="Arial"/>
          <w:sz w:val="18"/>
          <w:szCs w:val="18"/>
          <w:color w:val="auto"/>
        </w:rPr>
      </w:pPr>
    </w:p>
    <w:p>
      <w:pPr>
        <w:jc w:val="both"/>
        <w:ind w:left="960" w:hanging="365"/>
        <w:spacing w:after="0" w:line="270"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depending on the individual facts and circumstances related to each customer, finance income recognition may be suspended for the net investment in lease and financed sale receivable balances for customers in the Pre-Approved Transactions Only category. See below for a discussion of the Company’s net investment in leases and financed sale receivables.</w:t>
      </w:r>
    </w:p>
    <w:p>
      <w:pPr>
        <w:spacing w:after="0" w:line="136" w:lineRule="exact"/>
        <w:rPr>
          <w:rFonts w:ascii="Arial" w:cs="Arial" w:eastAsia="Arial" w:hAnsi="Arial"/>
          <w:sz w:val="17"/>
          <w:szCs w:val="17"/>
          <w:color w:val="auto"/>
        </w:rPr>
      </w:pPr>
    </w:p>
    <w:p>
      <w:pPr>
        <w:jc w:val="both"/>
        <w:ind w:left="960" w:hanging="365"/>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stopped.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2" w:name="page13"/>
    <w:bookmarkEnd w:id="12"/>
    <w:p>
      <w:pPr>
        <w:jc w:val="both"/>
        <w:ind w:firstLine="225"/>
        <w:spacing w:after="0" w:line="255" w:lineRule="auto"/>
        <w:rPr>
          <w:sz w:val="20"/>
          <w:szCs w:val="20"/>
          <w:color w:val="auto"/>
        </w:rPr>
      </w:pPr>
      <w:r>
        <w:rPr>
          <w:rFonts w:ascii="Arial" w:cs="Arial" w:eastAsia="Arial" w:hAnsi="Arial"/>
          <w:sz w:val="18"/>
          <w:szCs w:val="18"/>
          <w:color w:val="auto"/>
        </w:rPr>
        <w:t>The ability of the Company to collect its accounts receivable balances is heavily dependent on the viability and solvency of individual theater operators which is significantly influenced by consumer behavior and general economic conditions. Theater operators, or other customers, may experience financial difficulties, such as those imposed by the COVID-19 global pandemic, that could cause them to be unable to fulfill their payment obligations to the Company.</w:t>
      </w:r>
    </w:p>
    <w:p>
      <w:pPr>
        <w:spacing w:after="0" w:line="16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45" w:lineRule="exact"/>
        <w:rPr>
          <w:sz w:val="20"/>
          <w:szCs w:val="20"/>
          <w:color w:val="auto"/>
        </w:rPr>
      </w:pPr>
    </w:p>
    <w:p>
      <w:pPr>
        <w:ind w:right="20" w:firstLine="225"/>
        <w:spacing w:after="0" w:line="270" w:lineRule="auto"/>
        <w:rPr>
          <w:sz w:val="20"/>
          <w:szCs w:val="20"/>
          <w:color w:val="auto"/>
        </w:rPr>
      </w:pPr>
      <w:r>
        <w:rPr>
          <w:rFonts w:ascii="Arial" w:cs="Arial" w:eastAsia="Arial" w:hAnsi="Arial"/>
          <w:sz w:val="18"/>
          <w:szCs w:val="18"/>
          <w:color w:val="auto"/>
        </w:rPr>
        <w:t>The following tables summarize the activity in the Allowance for Credit Losses related to Accounts Receivable for the three months ended March 31,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March 31, 2021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tcPr>
          <w:p>
            <w:pPr>
              <w:jc w:val="center"/>
              <w:ind w:right="440"/>
              <w:spacing w:after="0" w:line="131" w:lineRule="exact"/>
              <w:rPr>
                <w:sz w:val="20"/>
                <w:szCs w:val="20"/>
                <w:color w:val="auto"/>
              </w:rPr>
            </w:pPr>
            <w:r>
              <w:rPr>
                <w:rFonts w:ascii="Arial" w:cs="Arial" w:eastAsia="Arial" w:hAnsi="Arial"/>
                <w:sz w:val="14"/>
                <w:szCs w:val="14"/>
                <w:b w:val="1"/>
                <w:bCs w:val="1"/>
                <w:color w:val="auto"/>
                <w:w w:val="94"/>
              </w:rPr>
              <w:t>Theater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Studios</w:t>
            </w:r>
          </w:p>
        </w:tc>
        <w:tc>
          <w:tcPr>
            <w:tcW w:w="340" w:type="dxa"/>
            <w:vAlign w:val="bottom"/>
          </w:tcPr>
          <w:p>
            <w:pPr>
              <w:spacing w:after="0"/>
              <w:rPr>
                <w:sz w:val="11"/>
                <w:szCs w:val="11"/>
                <w:color w:val="auto"/>
              </w:rPr>
            </w:pPr>
          </w:p>
        </w:tc>
        <w:tc>
          <w:tcPr>
            <w:tcW w:w="14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1"/>
                <w:szCs w:val="11"/>
                <w:color w:val="auto"/>
              </w:rPr>
            </w:pPr>
          </w:p>
        </w:tc>
        <w:tc>
          <w:tcPr>
            <w:tcW w:w="12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Operators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120"/>
              <w:spacing w:after="0"/>
              <w:rPr>
                <w:sz w:val="20"/>
                <w:szCs w:val="20"/>
                <w:color w:val="auto"/>
              </w:rPr>
            </w:pPr>
            <w:r>
              <w:rPr>
                <w:rFonts w:ascii="Arial" w:cs="Arial" w:eastAsia="Arial" w:hAnsi="Arial"/>
                <w:sz w:val="18"/>
                <w:szCs w:val="18"/>
                <w:color w:val="auto"/>
              </w:rPr>
              <w:t>Current period provision (reversal)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7"/>
        </w:trPr>
        <w:tc>
          <w:tcPr>
            <w:tcW w:w="432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2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0"/>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March 31, 2020</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tcPr>
          <w:p>
            <w:pPr>
              <w:jc w:val="center"/>
              <w:ind w:right="440"/>
              <w:spacing w:after="0" w:line="131" w:lineRule="exact"/>
              <w:rPr>
                <w:sz w:val="20"/>
                <w:szCs w:val="20"/>
                <w:color w:val="auto"/>
              </w:rPr>
            </w:pPr>
            <w:r>
              <w:rPr>
                <w:rFonts w:ascii="Arial" w:cs="Arial" w:eastAsia="Arial" w:hAnsi="Arial"/>
                <w:sz w:val="14"/>
                <w:szCs w:val="14"/>
                <w:b w:val="1"/>
                <w:bCs w:val="1"/>
                <w:color w:val="auto"/>
                <w:w w:val="94"/>
              </w:rPr>
              <w:t>Theater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Studios</w:t>
            </w:r>
          </w:p>
        </w:tc>
        <w:tc>
          <w:tcPr>
            <w:tcW w:w="340" w:type="dxa"/>
            <w:vAlign w:val="bottom"/>
          </w:tcPr>
          <w:p>
            <w:pPr>
              <w:spacing w:after="0"/>
              <w:rPr>
                <w:sz w:val="11"/>
                <w:szCs w:val="11"/>
                <w:color w:val="auto"/>
              </w:rPr>
            </w:pPr>
          </w:p>
        </w:tc>
        <w:tc>
          <w:tcPr>
            <w:tcW w:w="14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1"/>
                <w:szCs w:val="11"/>
                <w:color w:val="auto"/>
              </w:rPr>
            </w:pPr>
          </w:p>
        </w:tc>
        <w:tc>
          <w:tcPr>
            <w:tcW w:w="12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26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Operators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Current period provision</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For the three months ended March 31, 2021, the Company reduced its allowance for current expected credit losses related to Accounts Receivable by $0.6 million principally as a result of the write-off of certain receivable balances ($0.3 million) and a net current period reversal to Credit Loss Expense ($0.1 million). The net current period reversal to Credit Loss Expense is due to better than expected collection experience with respect to foreign movie studios, partially offset by an increase in the provision associated with a higher level of accounts receivable in the period. For the three months ended March 31, 2020, the Company recorded provisions for current expected credit losses of $6.4 million, reflecting a reduction in the credit quality of and heightened collection risk associated with theater and foreign movie studio accounts receivable primarily due to the COVID-19 global pandemic.</w:t>
      </w:r>
    </w:p>
    <w:p>
      <w:pPr>
        <w:spacing w:after="0" w:line="127"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Management believes that the March 31, 2021 allowance for current expected credit losses related to Accounts Receivable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Receivables</w:t>
      </w:r>
    </w:p>
    <w:p>
      <w:pPr>
        <w:spacing w:after="0" w:line="194"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Financing receivables are due from theater operators and consist of the Company’s net investment in sales-type leases and receivables associated with financed sales of IMAX Theater Systems. Similar to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internal credit quality classifications utilized by the Company for accounts receivable, as described above, are also used for financing receivables.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jc w:val="both"/>
        <w:ind w:right="20" w:firstLine="225"/>
        <w:spacing w:after="0" w:line="306" w:lineRule="auto"/>
        <w:rPr>
          <w:sz w:val="20"/>
          <w:szCs w:val="20"/>
          <w:color w:val="auto"/>
        </w:rPr>
      </w:pPr>
      <w:r>
        <w:rPr>
          <w:rFonts w:ascii="Arial" w:cs="Arial" w:eastAsia="Arial" w:hAnsi="Arial"/>
          <w:sz w:val="16"/>
          <w:szCs w:val="16"/>
          <w:color w:val="auto"/>
        </w:rPr>
        <w:t>The ability of the Company to collect its financing receivable balances is heavily dependent on the viability and solvency of individual theater operators which is significantly influenced by consumer behavior and general economic conditions. Theater operators may experience financial difficulties, such as those imposed by the COVID-19 global pandemic, that could cause them to be unable to fulfill their payment obligations to the Company.</w:t>
      </w:r>
    </w:p>
    <w:p>
      <w:pPr>
        <w:spacing w:after="0" w:line="12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March 31, 2021 and December 31, 2020, financing receivables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77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7"/>
                <w:szCs w:val="17"/>
                <w:color w:val="auto"/>
              </w:rPr>
            </w:pPr>
          </w:p>
        </w:tc>
      </w:tr>
      <w:tr>
        <w:trPr>
          <w:trHeight w:val="22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60" w:type="dxa"/>
            <w:vAlign w:val="bottom"/>
          </w:tcPr>
          <w:p>
            <w:pPr>
              <w:spacing w:after="0"/>
              <w:rPr>
                <w:sz w:val="20"/>
                <w:szCs w:val="20"/>
                <w:color w:val="auto"/>
              </w:rPr>
            </w:pPr>
            <w:r>
              <w:rPr>
                <w:rFonts w:ascii="Arial" w:cs="Arial" w:eastAsia="Arial" w:hAnsi="Arial"/>
                <w:sz w:val="18"/>
                <w:szCs w:val="18"/>
                <w:color w:val="auto"/>
              </w:rPr>
              <w:t>Gross minimum payments due under sales-type leases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22,009</w:t>
            </w:r>
          </w:p>
        </w:tc>
        <w:tc>
          <w:tcPr>
            <w:tcW w:w="120" w:type="dxa"/>
            <w:vAlign w:val="bottom"/>
          </w:tcPr>
          <w:p>
            <w:pPr>
              <w:spacing w:after="0"/>
              <w:rPr>
                <w:sz w:val="19"/>
                <w:szCs w:val="19"/>
                <w:color w:val="auto"/>
              </w:rPr>
            </w:pP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20,830</w:t>
            </w:r>
          </w:p>
        </w:tc>
        <w:tc>
          <w:tcPr>
            <w:tcW w:w="100" w:type="dxa"/>
            <w:vAlign w:val="bottom"/>
          </w:tcPr>
          <w:p>
            <w:pPr>
              <w:spacing w:after="0"/>
              <w:rPr>
                <w:sz w:val="19"/>
                <w:szCs w:val="19"/>
                <w:color w:val="auto"/>
              </w:rPr>
            </w:pP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Unearned finance income</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(859)</w:t>
            </w:r>
          </w:p>
        </w:tc>
      </w:tr>
      <w:tr>
        <w:trPr>
          <w:trHeight w:val="220"/>
        </w:trPr>
        <w:tc>
          <w:tcPr>
            <w:tcW w:w="7760" w:type="dxa"/>
            <w:vAlign w:val="bottom"/>
          </w:tcPr>
          <w:p>
            <w:pPr>
              <w:spacing w:after="0"/>
              <w:rPr>
                <w:sz w:val="20"/>
                <w:szCs w:val="20"/>
                <w:color w:val="auto"/>
              </w:rPr>
            </w:pPr>
            <w:r>
              <w:rPr>
                <w:rFonts w:ascii="Arial" w:cs="Arial" w:eastAsia="Arial" w:hAnsi="Arial"/>
                <w:sz w:val="18"/>
                <w:szCs w:val="18"/>
                <w:color w:val="auto"/>
              </w:rPr>
              <w:t>Present value of minimum payments due under sales-type leases</w:t>
            </w: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tcPr>
          <w:p>
            <w:pPr>
              <w:spacing w:after="0"/>
              <w:rPr>
                <w:sz w:val="19"/>
                <w:szCs w:val="19"/>
                <w:color w:val="auto"/>
              </w:rPr>
            </w:pP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(557)</w:t>
            </w:r>
          </w:p>
        </w:tc>
      </w:tr>
      <w:tr>
        <w:trPr>
          <w:trHeight w:val="22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investment in leases</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19,414</w:t>
            </w:r>
          </w:p>
        </w:tc>
        <w:tc>
          <w:tcPr>
            <w:tcW w:w="100" w:type="dxa"/>
            <w:vAlign w:val="bottom"/>
            <w:tcBorders>
              <w:bottom w:val="single" w:sz="8" w:color="CFF0FC"/>
            </w:tcBorders>
          </w:tcPr>
          <w:p>
            <w:pPr>
              <w:spacing w:after="0"/>
              <w:rPr>
                <w:sz w:val="19"/>
                <w:szCs w:val="19"/>
                <w:color w:val="auto"/>
              </w:rPr>
            </w:pPr>
          </w:p>
        </w:tc>
      </w:tr>
      <w:tr>
        <w:trPr>
          <w:trHeight w:val="221"/>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60" w:type="dxa"/>
            <w:vAlign w:val="bottom"/>
          </w:tcPr>
          <w:p>
            <w:pPr>
              <w:spacing w:after="0"/>
              <w:rPr>
                <w:sz w:val="20"/>
                <w:szCs w:val="20"/>
                <w:color w:val="auto"/>
              </w:rPr>
            </w:pPr>
            <w:r>
              <w:rPr>
                <w:rFonts w:ascii="Arial" w:cs="Arial" w:eastAsia="Arial" w:hAnsi="Arial"/>
                <w:sz w:val="18"/>
                <w:szCs w:val="18"/>
                <w:color w:val="auto"/>
              </w:rPr>
              <w:t>Gross minimum payments due under financed sales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149,714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150,917</w:t>
            </w:r>
          </w:p>
        </w:tc>
        <w:tc>
          <w:tcPr>
            <w:tcW w:w="100" w:type="dxa"/>
            <w:vAlign w:val="bottom"/>
          </w:tcPr>
          <w:p>
            <w:pPr>
              <w:spacing w:after="0"/>
              <w:rPr>
                <w:sz w:val="19"/>
                <w:szCs w:val="19"/>
                <w:color w:val="auto"/>
              </w:rPr>
            </w:pP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Unearned finance income</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(32,010)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(31,247)</w:t>
            </w:r>
          </w:p>
        </w:tc>
      </w:tr>
      <w:tr>
        <w:trPr>
          <w:trHeight w:val="220"/>
        </w:trPr>
        <w:tc>
          <w:tcPr>
            <w:tcW w:w="7760" w:type="dxa"/>
            <w:vAlign w:val="bottom"/>
          </w:tcPr>
          <w:p>
            <w:pPr>
              <w:spacing w:after="0"/>
              <w:rPr>
                <w:sz w:val="20"/>
                <w:szCs w:val="20"/>
                <w:color w:val="auto"/>
              </w:rPr>
            </w:pPr>
            <w:r>
              <w:rPr>
                <w:rFonts w:ascii="Arial" w:cs="Arial" w:eastAsia="Arial" w:hAnsi="Arial"/>
                <w:sz w:val="18"/>
                <w:szCs w:val="18"/>
                <w:color w:val="auto"/>
              </w:rPr>
              <w:t>Present value of minimum payments due under financed sales</w:t>
            </w: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119,670</w:t>
            </w:r>
          </w:p>
        </w:tc>
        <w:tc>
          <w:tcPr>
            <w:tcW w:w="100" w:type="dxa"/>
            <w:vAlign w:val="bottom"/>
          </w:tcPr>
          <w:p>
            <w:pPr>
              <w:spacing w:after="0"/>
              <w:rPr>
                <w:sz w:val="19"/>
                <w:szCs w:val="19"/>
                <w:color w:val="auto"/>
              </w:rPr>
            </w:pPr>
          </w:p>
        </w:tc>
      </w:tr>
      <w:tr>
        <w:trPr>
          <w:trHeight w:val="228"/>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(7,491)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(7,274)</w:t>
            </w:r>
          </w:p>
        </w:tc>
      </w:tr>
      <w:tr>
        <w:trPr>
          <w:trHeight w:val="22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financed sales receivables</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110,213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112,396</w:t>
            </w:r>
          </w:p>
        </w:tc>
        <w:tc>
          <w:tcPr>
            <w:tcW w:w="100" w:type="dxa"/>
            <w:vAlign w:val="bottom"/>
            <w:tcBorders>
              <w:bottom w:val="single" w:sz="8" w:color="CFF0FC"/>
            </w:tcBorders>
          </w:tcPr>
          <w:p>
            <w:pPr>
              <w:spacing w:after="0"/>
              <w:rPr>
                <w:sz w:val="19"/>
                <w:szCs w:val="19"/>
                <w:color w:val="auto"/>
              </w:rPr>
            </w:pPr>
          </w:p>
        </w:tc>
      </w:tr>
      <w:tr>
        <w:trPr>
          <w:trHeight w:val="22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financing receivables</w:t>
            </w: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130,836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7760" w:type="dxa"/>
            <w:vAlign w:val="bottom"/>
          </w:tcPr>
          <w:p>
            <w:pPr>
              <w:spacing w:after="0"/>
              <w:rPr>
                <w:sz w:val="20"/>
                <w:szCs w:val="20"/>
                <w:color w:val="auto"/>
              </w:rPr>
            </w:pPr>
            <w:r>
              <w:rPr>
                <w:rFonts w:ascii="Arial" w:cs="Arial" w:eastAsia="Arial" w:hAnsi="Arial"/>
                <w:sz w:val="18"/>
                <w:szCs w:val="18"/>
                <w:color w:val="auto"/>
              </w:rPr>
              <w:t>Net financed sales receivables due within one year</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32,591</w:t>
            </w:r>
          </w:p>
        </w:tc>
        <w:tc>
          <w:tcPr>
            <w:tcW w:w="120" w:type="dxa"/>
            <w:vAlign w:val="bottom"/>
          </w:tcPr>
          <w:p>
            <w:pPr>
              <w:spacing w:after="0"/>
              <w:rPr>
                <w:sz w:val="24"/>
                <w:szCs w:val="24"/>
                <w:color w:val="auto"/>
              </w:rPr>
            </w:pP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34,937</w:t>
            </w:r>
          </w:p>
        </w:tc>
        <w:tc>
          <w:tcPr>
            <w:tcW w:w="100" w:type="dxa"/>
            <w:vAlign w:val="bottom"/>
          </w:tcPr>
          <w:p>
            <w:pPr>
              <w:spacing w:after="0"/>
              <w:rPr>
                <w:sz w:val="24"/>
                <w:szCs w:val="24"/>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financed sales receivables due after one year</w:t>
            </w: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77,622</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77,459</w:t>
            </w:r>
          </w:p>
        </w:tc>
        <w:tc>
          <w:tcPr>
            <w:tcW w:w="100" w:type="dxa"/>
            <w:vAlign w:val="bottom"/>
            <w:shd w:val="clear" w:color="auto" w:fill="CFF0FC"/>
          </w:tcPr>
          <w:p>
            <w:pPr>
              <w:spacing w:after="0"/>
              <w:rPr>
                <w:sz w:val="19"/>
                <w:szCs w:val="19"/>
                <w:color w:val="auto"/>
              </w:rPr>
            </w:pPr>
          </w:p>
        </w:tc>
      </w:tr>
      <w:tr>
        <w:trPr>
          <w:trHeight w:val="220"/>
        </w:trPr>
        <w:tc>
          <w:tcPr>
            <w:tcW w:w="7760" w:type="dxa"/>
            <w:vAlign w:val="bottom"/>
          </w:tcPr>
          <w:p>
            <w:pPr>
              <w:spacing w:after="0"/>
              <w:rPr>
                <w:sz w:val="20"/>
                <w:szCs w:val="20"/>
                <w:color w:val="auto"/>
              </w:rPr>
            </w:pPr>
            <w:r>
              <w:rPr>
                <w:rFonts w:ascii="Arial" w:cs="Arial" w:eastAsia="Arial" w:hAnsi="Arial"/>
                <w:sz w:val="18"/>
                <w:szCs w:val="18"/>
                <w:color w:val="auto"/>
              </w:rPr>
              <w:t>Total financed sales receivables</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110,213</w:t>
            </w:r>
          </w:p>
        </w:tc>
        <w:tc>
          <w:tcPr>
            <w:tcW w:w="12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112,396</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March 31, 2021 and December 31, 2020, the weighted-average remaining lease term and weighted-average interest rate associated with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Company’s sales-type lease arrangements and financed sale receivables, as applicable,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500" w:type="dxa"/>
            <w:vAlign w:val="bottom"/>
          </w:tcPr>
          <w:p>
            <w:pPr>
              <w:jc w:val="right"/>
              <w:ind w:right="238"/>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9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r>
      <w:tr>
        <w:trPr>
          <w:trHeight w:val="198"/>
        </w:trPr>
        <w:tc>
          <w:tcPr>
            <w:tcW w:w="7680" w:type="dxa"/>
            <w:vAlign w:val="bottom"/>
            <w:tcBorders>
              <w:bottom w:val="single" w:sz="8" w:color="CFF0FC"/>
            </w:tcBorders>
          </w:tcPr>
          <w:p>
            <w:pPr>
              <w:spacing w:after="0"/>
              <w:rPr>
                <w:sz w:val="17"/>
                <w:szCs w:val="17"/>
                <w:color w:val="auto"/>
              </w:rPr>
            </w:pPr>
          </w:p>
        </w:tc>
        <w:tc>
          <w:tcPr>
            <w:tcW w:w="15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4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r>
      <w:tr>
        <w:trPr>
          <w:trHeight w:val="220"/>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7"/>
        </w:trPr>
        <w:tc>
          <w:tcPr>
            <w:tcW w:w="7680" w:type="dxa"/>
            <w:vAlign w:val="bottom"/>
          </w:tcPr>
          <w:p>
            <w:pPr>
              <w:spacing w:after="0"/>
              <w:rPr>
                <w:sz w:val="20"/>
                <w:szCs w:val="20"/>
                <w:color w:val="auto"/>
              </w:rPr>
            </w:pPr>
            <w:r>
              <w:rPr>
                <w:rFonts w:ascii="Arial" w:cs="Arial" w:eastAsia="Arial" w:hAnsi="Arial"/>
                <w:sz w:val="18"/>
                <w:szCs w:val="18"/>
                <w:color w:val="auto"/>
              </w:rPr>
              <w:t>Sales-type lease arrangements</w:t>
            </w:r>
          </w:p>
        </w:tc>
        <w:tc>
          <w:tcPr>
            <w:tcW w:w="150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r>
      <w:tr>
        <w:trPr>
          <w:trHeight w:val="228"/>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interest rate</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7"/>
        </w:trPr>
        <w:tc>
          <w:tcPr>
            <w:tcW w:w="7680" w:type="dxa"/>
            <w:vAlign w:val="bottom"/>
          </w:tcPr>
          <w:p>
            <w:pPr>
              <w:spacing w:after="0"/>
              <w:rPr>
                <w:sz w:val="20"/>
                <w:szCs w:val="20"/>
                <w:color w:val="auto"/>
              </w:rPr>
            </w:pPr>
            <w:r>
              <w:rPr>
                <w:rFonts w:ascii="Arial" w:cs="Arial" w:eastAsia="Arial" w:hAnsi="Arial"/>
                <w:sz w:val="18"/>
                <w:szCs w:val="18"/>
                <w:color w:val="auto"/>
              </w:rPr>
              <w:t>Sales-type lease arrangements</w:t>
            </w:r>
          </w:p>
        </w:tc>
        <w:tc>
          <w:tcPr>
            <w:tcW w:w="1500" w:type="dxa"/>
            <w:vAlign w:val="bottom"/>
          </w:tcPr>
          <w:p>
            <w:pPr>
              <w:jc w:val="right"/>
              <w:spacing w:after="0"/>
              <w:rPr>
                <w:sz w:val="20"/>
                <w:szCs w:val="20"/>
                <w:color w:val="auto"/>
              </w:rPr>
            </w:pPr>
            <w:r>
              <w:rPr>
                <w:rFonts w:ascii="Arial" w:cs="Arial" w:eastAsia="Arial" w:hAnsi="Arial"/>
                <w:sz w:val="18"/>
                <w:szCs w:val="18"/>
                <w:color w:val="auto"/>
              </w:rPr>
              <w:t>6.55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Financed sales receivables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ind w:right="20" w:firstLine="225"/>
        <w:spacing w:after="0" w:line="270" w:lineRule="auto"/>
        <w:rPr>
          <w:sz w:val="20"/>
          <w:szCs w:val="20"/>
          <w:color w:val="auto"/>
        </w:rPr>
      </w:pPr>
      <w:r>
        <w:rPr>
          <w:rFonts w:ascii="Arial" w:cs="Arial" w:eastAsia="Arial" w:hAnsi="Arial"/>
          <w:sz w:val="18"/>
          <w:szCs w:val="18"/>
          <w:color w:val="auto"/>
        </w:rPr>
        <w:t>The following tables provide information on the Company’s net investment in leases by credit quality indicator as of March 31,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As of March 31, 2021</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20" w:type="dxa"/>
            <w:vAlign w:val="bottom"/>
          </w:tcPr>
          <w:p>
            <w:pPr>
              <w:spacing w:after="0"/>
              <w:rPr>
                <w:sz w:val="19"/>
                <w:szCs w:val="19"/>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4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5,964</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14,448</w:t>
            </w: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net investment in leases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354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20" w:type="dxa"/>
            <w:vAlign w:val="bottom"/>
          </w:tcPr>
          <w:p>
            <w:pPr>
              <w:spacing w:after="0"/>
              <w:rPr>
                <w:sz w:val="19"/>
                <w:szCs w:val="19"/>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investment in leases: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In good standing</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2,143</w:t>
            </w:r>
          </w:p>
        </w:tc>
        <w:tc>
          <w:tcPr>
            <w:tcW w:w="2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1,190</w:t>
            </w:r>
          </w:p>
        </w:tc>
        <w:tc>
          <w:tcPr>
            <w:tcW w:w="4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2,730</w:t>
            </w:r>
          </w:p>
        </w:tc>
        <w:tc>
          <w:tcPr>
            <w:tcW w:w="2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1,826</w:t>
            </w:r>
          </w:p>
        </w:tc>
        <w:tc>
          <w:tcPr>
            <w:tcW w:w="2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Credit Watch</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Pre-approved transactions</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20" w:type="dxa"/>
            <w:vAlign w:val="bottom"/>
          </w:tcPr>
          <w:p>
            <w:pPr>
              <w:spacing w:after="0"/>
              <w:rPr>
                <w:sz w:val="19"/>
                <w:szCs w:val="19"/>
                <w:color w:val="auto"/>
              </w:rPr>
            </w:pPr>
          </w:p>
        </w:tc>
        <w:tc>
          <w:tcPr>
            <w:tcW w:w="3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Transactions suspended</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FF0FC"/>
          </w:tcPr>
          <w:p>
            <w:pPr>
              <w:spacing w:after="0"/>
              <w:rPr>
                <w:sz w:val="19"/>
                <w:szCs w:val="19"/>
                <w:color w:val="auto"/>
              </w:rPr>
            </w:pPr>
          </w:p>
        </w:tc>
      </w:tr>
      <w:tr>
        <w:trPr>
          <w:trHeight w:val="220"/>
        </w:trPr>
        <w:tc>
          <w:tcPr>
            <w:tcW w:w="3540" w:type="dxa"/>
            <w:vAlign w:val="bottom"/>
            <w:gridSpan w:val="3"/>
          </w:tcPr>
          <w:p>
            <w:pPr>
              <w:spacing w:after="0"/>
              <w:rPr>
                <w:sz w:val="20"/>
                <w:szCs w:val="20"/>
                <w:color w:val="auto"/>
              </w:rPr>
            </w:pPr>
            <w:r>
              <w:rPr>
                <w:rFonts w:ascii="Arial" w:cs="Arial" w:eastAsia="Arial" w:hAnsi="Arial"/>
                <w:sz w:val="18"/>
                <w:szCs w:val="18"/>
                <w:b w:val="1"/>
                <w:bCs w:val="1"/>
                <w:color w:val="auto"/>
              </w:rPr>
              <w:t>Total net investment in leases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tables provide information on the Company’s financed sale receivables by credit quality indicator as of March 31, 2021 and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of March 31, 2021</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5,255</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31,228</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78,567</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financed sales receivables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354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5,480</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5,072</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11,356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78,160</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financed sales receivables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ind w:left="240"/>
        <w:spacing w:after="0"/>
        <w:rPr>
          <w:sz w:val="20"/>
          <w:szCs w:val="20"/>
          <w:color w:val="auto"/>
        </w:rPr>
      </w:pPr>
      <w:r>
        <w:rPr>
          <w:rFonts w:ascii="Arial" w:cs="Arial" w:eastAsia="Arial" w:hAnsi="Arial"/>
          <w:sz w:val="16"/>
          <w:szCs w:val="16"/>
          <w:color w:val="auto"/>
        </w:rPr>
        <w:t>The following tables provide an aging analysis for the Company’s net investment in leases and financed sale receivables as of March 31, 2021 and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As of March 31, 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2"/>
              </w:rPr>
              <w:t>90+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1"/>
                <w:szCs w:val="11"/>
                <w:color w:val="auto"/>
              </w:rPr>
            </w:pPr>
          </w:p>
        </w:tc>
        <w:tc>
          <w:tcPr>
            <w:tcW w:w="940" w:type="dxa"/>
            <w:vAlign w:val="bottom"/>
            <w:gridSpan w:val="2"/>
          </w:tcPr>
          <w:p>
            <w:pPr>
              <w:jc w:val="center"/>
              <w:ind w:right="222"/>
              <w:spacing w:after="0" w:line="131" w:lineRule="exact"/>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2"/>
              <w:spacing w:after="0" w:line="147"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21,204</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101,787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117,704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(7,491)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110,213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(8,072</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130,836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2"/>
              </w:rPr>
              <w:t>As of December 31, 2020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2"/>
              </w:rPr>
              <w:t>90+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1"/>
                <w:szCs w:val="11"/>
                <w:color w:val="auto"/>
              </w:rPr>
            </w:pPr>
          </w:p>
        </w:tc>
        <w:tc>
          <w:tcPr>
            <w:tcW w:w="940" w:type="dxa"/>
            <w:vAlign w:val="bottom"/>
            <w:gridSpan w:val="2"/>
          </w:tcPr>
          <w:p>
            <w:pPr>
              <w:jc w:val="center"/>
              <w:ind w:right="222"/>
              <w:spacing w:after="0" w:line="131" w:lineRule="exact"/>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2"/>
              <w:spacing w:after="0" w:line="147"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19,971</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103,721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119,670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(7,274)</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112,396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(7,831</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131,810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 considers Financing Receivables with an aging between 60-89 days as indications of theaters with potential collection concerns. At this point, the Company will begin to focus its review on these Financing Receivables and increase its discussions internally and with the theater regarding payment status. Once a theater’s aging exceeds 90 days, the Company’s policy is to perform an enhanced review to assess collectibility of the theater’s past due accounts. The over 90 days past due category may be an indicator of potential impairment as up to 90 days outstanding is considered to be a reasonable time to resolve any issues. Given the potential impacts of the COVID-19 global pandemic on the Company’s customers, management has enhanced its monitoring procedures with respect to overdue receivables.</w:t>
      </w:r>
    </w:p>
    <w:p>
      <w:pPr>
        <w:spacing w:after="0" w:line="15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provides information about the Company’s net investment in leases and financed sale receivables with billed amounts past due for which it continues to accrue finance income as of March 31, 2021 and December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31, 2021</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89"/>
              </w:rPr>
              <w:t>Accrued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30-89 Days</w:t>
            </w:r>
          </w:p>
        </w:tc>
        <w:tc>
          <w:tcPr>
            <w:tcW w:w="140" w:type="dxa"/>
            <w:vAlign w:val="bottom"/>
          </w:tcPr>
          <w:p>
            <w:pPr>
              <w:spacing w:after="0"/>
              <w:rPr>
                <w:sz w:val="12"/>
                <w:szCs w:val="12"/>
                <w:color w:val="auto"/>
              </w:rPr>
            </w:pPr>
          </w:p>
        </w:tc>
        <w:tc>
          <w:tcPr>
            <w:tcW w:w="7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Billed</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Unbilled</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(2,589)</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89"/>
              </w:rPr>
              <w:t>Accrued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30-89 Days</w:t>
            </w:r>
          </w:p>
        </w:tc>
        <w:tc>
          <w:tcPr>
            <w:tcW w:w="140" w:type="dxa"/>
            <w:vAlign w:val="bottom"/>
          </w:tcPr>
          <w:p>
            <w:pPr>
              <w:spacing w:after="0"/>
              <w:rPr>
                <w:sz w:val="12"/>
                <w:szCs w:val="12"/>
                <w:color w:val="auto"/>
              </w:rPr>
            </w:pPr>
          </w:p>
        </w:tc>
        <w:tc>
          <w:tcPr>
            <w:tcW w:w="7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Billed</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Unbilled</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10,249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62,602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(4,434)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about the Company’s net investment in leases and financed sale receivables that are on nonaccrual status as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March 31, 2021</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w w:val="90"/>
              </w:rPr>
              <w:t>As of December 31, 2020</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89"/>
              </w:rPr>
              <w:t>Recorded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420"/>
              <w:spacing w:after="0" w:line="131" w:lineRule="exact"/>
              <w:rPr>
                <w:sz w:val="20"/>
                <w:szCs w:val="20"/>
                <w:color w:val="auto"/>
              </w:rPr>
            </w:pPr>
            <w:r>
              <w:rPr>
                <w:rFonts w:ascii="Arial" w:cs="Arial" w:eastAsia="Arial" w:hAnsi="Arial"/>
                <w:sz w:val="14"/>
                <w:szCs w:val="14"/>
                <w:b w:val="1"/>
                <w:bCs w:val="1"/>
                <w:color w:val="auto"/>
                <w:w w:val="89"/>
              </w:rPr>
              <w:t>Allowance</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420"/>
              <w:spacing w:after="0" w:line="131" w:lineRule="exact"/>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w w:val="98"/>
              </w:rPr>
              <w:t>for Credit</w:t>
            </w:r>
          </w:p>
        </w:tc>
        <w:tc>
          <w:tcPr>
            <w:tcW w:w="20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448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8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8"/>
              </w:rPr>
              <w:t>Receivable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3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80" w:type="dxa"/>
            <w:vAlign w:val="bottom"/>
          </w:tcPr>
          <w:p>
            <w:pPr>
              <w:spacing w:after="0"/>
              <w:rPr>
                <w:sz w:val="20"/>
                <w:szCs w:val="20"/>
                <w:color w:val="auto"/>
              </w:rPr>
            </w:pPr>
            <w:r>
              <w:rPr>
                <w:rFonts w:ascii="Arial" w:cs="Arial" w:eastAsia="Arial" w:hAnsi="Arial"/>
                <w:sz w:val="18"/>
                <w:szCs w:val="18"/>
                <w:color w:val="auto"/>
              </w:rPr>
              <w:t>Net financed sales receivables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jc w:val="both"/>
        <w:ind w:firstLine="225"/>
        <w:spacing w:after="0" w:line="253" w:lineRule="auto"/>
        <w:rPr>
          <w:sz w:val="20"/>
          <w:szCs w:val="20"/>
          <w:color w:val="auto"/>
        </w:rPr>
      </w:pPr>
      <w:r>
        <w:rPr>
          <w:rFonts w:ascii="Arial" w:cs="Arial" w:eastAsia="Arial" w:hAnsi="Arial"/>
          <w:sz w:val="18"/>
          <w:szCs w:val="18"/>
          <w:color w:val="auto"/>
        </w:rPr>
        <w:t>A theater operator that is classified within the “All Transactions Suspended” category is placed on nonaccrual status and all revenue recognitions related to the theater are stopped. While the recognition of Finance Income is suspended, payments received by a customer are applied against the outstanding balance owed. If payments are sufficient to cover any unreserved receivables, a recovery of provision taken on the billed amount, if applicable, is recorded to the extent of the residual cash received. Once the collectibility issues are resolved and the customer has returned to being in good standing, the Company will resume recognition of Finance Income.</w:t>
      </w:r>
    </w:p>
    <w:p>
      <w:pPr>
        <w:spacing w:after="0" w:line="151"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March 31, 2021, the Company recognized less than $0.1 million (2020 — $0.1 million) in Finance Income related to the net investment in leases with billed amounts past due. For the three months ended March 31, 2021, the Company recognized $1.2 million, respectively (2020 — $2.1 million) in Finance Income related to the financed sale receivables with billed amounts past due.</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activity in the allowance for credit losses related to the Company’s net investment in leases and financed sale receivables for the three months ended March 31, 2021 and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4000" w:type="dxa"/>
            <w:vAlign w:val="bottom"/>
            <w:tcBorders>
              <w:bottom w:val="single" w:sz="8" w:color="auto"/>
            </w:tcBorders>
            <w:gridSpan w:val="5"/>
          </w:tcPr>
          <w:p>
            <w:pPr>
              <w:jc w:val="right"/>
              <w:ind w:right="579"/>
              <w:spacing w:after="0"/>
              <w:rPr>
                <w:sz w:val="20"/>
                <w:szCs w:val="20"/>
                <w:color w:val="auto"/>
              </w:rPr>
            </w:pPr>
            <w:r>
              <w:rPr>
                <w:rFonts w:ascii="Arial" w:cs="Arial" w:eastAsia="Arial" w:hAnsi="Arial"/>
                <w:sz w:val="14"/>
                <w:szCs w:val="14"/>
                <w:b w:val="1"/>
                <w:bCs w:val="1"/>
                <w:color w:val="auto"/>
              </w:rPr>
              <w:t>Three Months Ended March 31, 2021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6660" w:type="dxa"/>
            <w:vAlign w:val="bottom"/>
          </w:tcPr>
          <w:p>
            <w:pPr>
              <w:spacing w:after="0"/>
              <w:rPr>
                <w:sz w:val="20"/>
                <w:szCs w:val="20"/>
                <w:color w:val="auto"/>
              </w:rPr>
            </w:pPr>
          </w:p>
        </w:tc>
        <w:tc>
          <w:tcPr>
            <w:tcW w:w="1660" w:type="dxa"/>
            <w:vAlign w:val="bottom"/>
          </w:tcPr>
          <w:p>
            <w:pPr>
              <w:jc w:val="center"/>
              <w:ind w:left="348"/>
              <w:spacing w:after="0"/>
              <w:rPr>
                <w:sz w:val="20"/>
                <w:szCs w:val="20"/>
                <w:color w:val="auto"/>
              </w:rPr>
            </w:pPr>
            <w:r>
              <w:rPr>
                <w:rFonts w:ascii="Arial" w:cs="Arial" w:eastAsia="Arial" w:hAnsi="Arial"/>
                <w:sz w:val="14"/>
                <w:szCs w:val="14"/>
                <w:b w:val="1"/>
                <w:bCs w:val="1"/>
                <w:color w:val="auto"/>
                <w:w w:val="91"/>
              </w:rPr>
              <w:t>Net Investment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center"/>
              <w:ind w:left="379"/>
              <w:spacing w:after="0"/>
              <w:rPr>
                <w:sz w:val="20"/>
                <w:szCs w:val="20"/>
                <w:color w:val="auto"/>
              </w:rPr>
            </w:pPr>
            <w:r>
              <w:rPr>
                <w:rFonts w:ascii="Arial" w:cs="Arial" w:eastAsia="Arial" w:hAnsi="Arial"/>
                <w:sz w:val="14"/>
                <w:szCs w:val="14"/>
                <w:b w:val="1"/>
                <w:bCs w:val="1"/>
                <w:color w:val="auto"/>
                <w:w w:val="91"/>
              </w:rPr>
              <w:t>Financed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66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6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7"/>
              </w:rPr>
              <w:t>in Leases</w:t>
            </w: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w w:val="85"/>
              </w:rPr>
              <w:t>Sales Receivables</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2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60" w:type="dxa"/>
            <w:vAlign w:val="bottom"/>
            <w:shd w:val="clear" w:color="auto" w:fill="CFF0FC"/>
          </w:tcPr>
          <w:p>
            <w:pPr>
              <w:jc w:val="right"/>
              <w:ind w:right="15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47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7,274</w:t>
            </w:r>
          </w:p>
        </w:tc>
        <w:tc>
          <w:tcPr>
            <w:tcW w:w="100" w:type="dxa"/>
            <w:vAlign w:val="bottom"/>
            <w:shd w:val="clear" w:color="auto" w:fill="CFF0FC"/>
          </w:tcPr>
          <w:p>
            <w:pPr>
              <w:spacing w:after="0"/>
              <w:rPr>
                <w:sz w:val="19"/>
                <w:szCs w:val="19"/>
                <w:color w:val="auto"/>
              </w:rPr>
            </w:pPr>
          </w:p>
        </w:tc>
      </w:tr>
      <w:tr>
        <w:trPr>
          <w:trHeight w:val="227"/>
        </w:trPr>
        <w:tc>
          <w:tcPr>
            <w:tcW w:w="6660" w:type="dxa"/>
            <w:vAlign w:val="bottom"/>
          </w:tcPr>
          <w:p>
            <w:pPr>
              <w:ind w:left="120"/>
              <w:spacing w:after="0"/>
              <w:rPr>
                <w:sz w:val="20"/>
                <w:szCs w:val="20"/>
                <w:color w:val="auto"/>
              </w:rPr>
            </w:pPr>
            <w:r>
              <w:rPr>
                <w:rFonts w:ascii="Arial" w:cs="Arial" w:eastAsia="Arial" w:hAnsi="Arial"/>
                <w:sz w:val="18"/>
                <w:szCs w:val="18"/>
                <w:color w:val="auto"/>
              </w:rPr>
              <w:t>Current period provision</w:t>
            </w:r>
          </w:p>
        </w:tc>
        <w:tc>
          <w:tcPr>
            <w:tcW w:w="16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r>
      <w:tr>
        <w:trPr>
          <w:trHeight w:val="227"/>
        </w:trPr>
        <w:tc>
          <w:tcPr>
            <w:tcW w:w="6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16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20"/>
        </w:trPr>
        <w:tc>
          <w:tcPr>
            <w:tcW w:w="6660" w:type="dxa"/>
            <w:vAlign w:val="bottom"/>
          </w:tcPr>
          <w:p>
            <w:pPr>
              <w:spacing w:after="0"/>
              <w:rPr>
                <w:sz w:val="20"/>
                <w:szCs w:val="20"/>
                <w:color w:val="auto"/>
              </w:rPr>
            </w:pPr>
            <w:r>
              <w:rPr>
                <w:rFonts w:ascii="Arial" w:cs="Arial" w:eastAsia="Arial" w:hAnsi="Arial"/>
                <w:sz w:val="18"/>
                <w:szCs w:val="18"/>
                <w:color w:val="auto"/>
              </w:rPr>
              <w:t>Ending balance</w:t>
            </w:r>
          </w:p>
        </w:tc>
        <w:tc>
          <w:tcPr>
            <w:tcW w:w="1660" w:type="dxa"/>
            <w:vAlign w:val="bottom"/>
            <w:tcBorders>
              <w:top w:val="single" w:sz="8" w:color="auto"/>
              <w:bottom w:val="single" w:sz="8" w:color="auto"/>
            </w:tcBorders>
          </w:tcPr>
          <w:p>
            <w:pPr>
              <w:jc w:val="right"/>
              <w:ind w:right="150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147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7,491</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6660" w:type="dxa"/>
            <w:vAlign w:val="bottom"/>
          </w:tcPr>
          <w:p>
            <w:pPr>
              <w:spacing w:after="0"/>
              <w:rPr>
                <w:sz w:val="24"/>
                <w:szCs w:val="24"/>
                <w:color w:val="auto"/>
              </w:rPr>
            </w:pPr>
          </w:p>
        </w:tc>
        <w:tc>
          <w:tcPr>
            <w:tcW w:w="4000" w:type="dxa"/>
            <w:vAlign w:val="bottom"/>
            <w:tcBorders>
              <w:bottom w:val="single" w:sz="8" w:color="auto"/>
            </w:tcBorders>
            <w:gridSpan w:val="5"/>
          </w:tcPr>
          <w:p>
            <w:pPr>
              <w:jc w:val="right"/>
              <w:ind w:right="579"/>
              <w:spacing w:after="0"/>
              <w:rPr>
                <w:sz w:val="20"/>
                <w:szCs w:val="20"/>
                <w:color w:val="auto"/>
              </w:rPr>
            </w:pPr>
            <w:r>
              <w:rPr>
                <w:rFonts w:ascii="Arial" w:cs="Arial" w:eastAsia="Arial" w:hAnsi="Arial"/>
                <w:sz w:val="14"/>
                <w:szCs w:val="14"/>
                <w:b w:val="1"/>
                <w:bCs w:val="1"/>
                <w:color w:val="auto"/>
              </w:rPr>
              <w:t>Three Months Ended March 31, 2020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6660" w:type="dxa"/>
            <w:vAlign w:val="bottom"/>
          </w:tcPr>
          <w:p>
            <w:pPr>
              <w:spacing w:after="0"/>
              <w:rPr>
                <w:sz w:val="20"/>
                <w:szCs w:val="20"/>
                <w:color w:val="auto"/>
              </w:rPr>
            </w:pPr>
          </w:p>
        </w:tc>
        <w:tc>
          <w:tcPr>
            <w:tcW w:w="1660" w:type="dxa"/>
            <w:vAlign w:val="bottom"/>
          </w:tcPr>
          <w:p>
            <w:pPr>
              <w:jc w:val="center"/>
              <w:ind w:left="348"/>
              <w:spacing w:after="0"/>
              <w:rPr>
                <w:sz w:val="20"/>
                <w:szCs w:val="20"/>
                <w:color w:val="auto"/>
              </w:rPr>
            </w:pPr>
            <w:r>
              <w:rPr>
                <w:rFonts w:ascii="Arial" w:cs="Arial" w:eastAsia="Arial" w:hAnsi="Arial"/>
                <w:sz w:val="14"/>
                <w:szCs w:val="14"/>
                <w:b w:val="1"/>
                <w:bCs w:val="1"/>
                <w:color w:val="auto"/>
                <w:w w:val="91"/>
              </w:rPr>
              <w:t>Net Investment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center"/>
              <w:ind w:left="379"/>
              <w:spacing w:after="0"/>
              <w:rPr>
                <w:sz w:val="20"/>
                <w:szCs w:val="20"/>
                <w:color w:val="auto"/>
              </w:rPr>
            </w:pPr>
            <w:r>
              <w:rPr>
                <w:rFonts w:ascii="Arial" w:cs="Arial" w:eastAsia="Arial" w:hAnsi="Arial"/>
                <w:sz w:val="14"/>
                <w:szCs w:val="14"/>
                <w:b w:val="1"/>
                <w:bCs w:val="1"/>
                <w:color w:val="auto"/>
                <w:w w:val="90"/>
              </w:rPr>
              <w:t>Net Financed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2"/>
        </w:trPr>
        <w:tc>
          <w:tcPr>
            <w:tcW w:w="66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6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7"/>
              </w:rPr>
              <w:t>in Leases</w:t>
            </w: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w w:val="85"/>
              </w:rPr>
              <w:t>Sales Receivables</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2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60" w:type="dxa"/>
            <w:vAlign w:val="bottom"/>
            <w:shd w:val="clear" w:color="auto" w:fill="CFF0FC"/>
          </w:tcPr>
          <w:p>
            <w:pPr>
              <w:jc w:val="right"/>
              <w:ind w:right="15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47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FF0FC"/>
          </w:tcPr>
          <w:p>
            <w:pPr>
              <w:spacing w:after="0"/>
              <w:rPr>
                <w:sz w:val="19"/>
                <w:szCs w:val="19"/>
                <w:color w:val="auto"/>
              </w:rPr>
            </w:pPr>
          </w:p>
        </w:tc>
      </w:tr>
      <w:tr>
        <w:trPr>
          <w:trHeight w:val="227"/>
        </w:trPr>
        <w:tc>
          <w:tcPr>
            <w:tcW w:w="66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Current period provision</w:t>
            </w:r>
          </w:p>
        </w:tc>
        <w:tc>
          <w:tcPr>
            <w:tcW w:w="1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2,642</w:t>
            </w:r>
          </w:p>
        </w:tc>
        <w:tc>
          <w:tcPr>
            <w:tcW w:w="100" w:type="dxa"/>
            <w:vAlign w:val="bottom"/>
            <w:tcBorders>
              <w:bottom w:val="single" w:sz="8" w:color="CFF0FC"/>
            </w:tcBorders>
          </w:tcPr>
          <w:p>
            <w:pPr>
              <w:spacing w:after="0"/>
              <w:rPr>
                <w:sz w:val="19"/>
                <w:szCs w:val="19"/>
                <w:color w:val="auto"/>
              </w:rPr>
            </w:pPr>
          </w:p>
        </w:tc>
      </w:tr>
      <w:tr>
        <w:trPr>
          <w:trHeight w:val="220"/>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60" w:type="dxa"/>
            <w:vAlign w:val="bottom"/>
            <w:tcBorders>
              <w:bottom w:val="single" w:sz="8" w:color="auto"/>
            </w:tcBorders>
            <w:shd w:val="clear" w:color="auto" w:fill="CFF0FC"/>
          </w:tcPr>
          <w:p>
            <w:pPr>
              <w:jc w:val="right"/>
              <w:ind w:right="15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1479"/>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3,557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For the three months ended March 31, 2021 and 2020, the Company recorded provisions for current expected credit losses related to Financing Receivables of $0.3 million and $3.0 million, respectively. The provision recorded in the prior year period reflects a reduction in the credit quality of and heightened collection risk associated with theater related Financing Receivables primarily due to the COVID-19 global pandemic. Management believes that the March 31, 2021 allowance for current expected credit losses related to Financing Receivables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Consideration Receivables</w:t>
      </w:r>
    </w:p>
    <w:p>
      <w:pPr>
        <w:spacing w:after="0" w:line="19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49"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The ability of the Company to collect its variable consideration receivables is heavily dependent on the viability and solvency of individual theater operators which is significantly influenced by consumer behavior and general economic conditions. Theater operators may experience financial difficulties, such as those imposed by the COVID-19 global pandemic, that could cause them to be unable to fulfill their payment obligations to the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 w:name="page18"/>
    <w:bookmarkEnd w:id="17"/>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utilizing historical loss rates for financed sale receivables which are then adjusted for specific receivables that are judged to have a higher than normal risk profile after taking into account management’s internal credit quality classifications, as well as macro-economic and industry risk factors.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activity in the Allowance for Credit Losses related to Variable Consideration Receivables for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tcPr>
          <w:p>
            <w:pPr>
              <w:spacing w:after="0"/>
              <w:rPr>
                <w:sz w:val="14"/>
                <w:szCs w:val="14"/>
                <w:color w:val="auto"/>
              </w:rPr>
            </w:pPr>
          </w:p>
        </w:tc>
        <w:tc>
          <w:tcPr>
            <w:tcW w:w="318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220"/>
        </w:trPr>
        <w:tc>
          <w:tcPr>
            <w:tcW w:w="7400" w:type="dxa"/>
            <w:vAlign w:val="bottom"/>
          </w:tcPr>
          <w:p>
            <w:pPr>
              <w:spacing w:after="0"/>
              <w:rPr>
                <w:sz w:val="19"/>
                <w:szCs w:val="19"/>
                <w:color w:val="auto"/>
              </w:rPr>
            </w:pPr>
          </w:p>
        </w:tc>
        <w:tc>
          <w:tcPr>
            <w:tcW w:w="1280" w:type="dxa"/>
            <w:vAlign w:val="bottom"/>
          </w:tcPr>
          <w:p>
            <w:pPr>
              <w:jc w:val="center"/>
              <w:ind w:left="408"/>
              <w:spacing w:after="0"/>
              <w:rPr>
                <w:sz w:val="20"/>
                <w:szCs w:val="20"/>
                <w:color w:val="auto"/>
              </w:rPr>
            </w:pPr>
            <w:r>
              <w:rPr>
                <w:rFonts w:ascii="Arial" w:cs="Arial" w:eastAsia="Arial" w:hAnsi="Arial"/>
                <w:sz w:val="14"/>
                <w:szCs w:val="14"/>
                <w:b w:val="1"/>
                <w:bCs w:val="1"/>
                <w:color w:val="auto"/>
                <w:w w:val="89"/>
              </w:rPr>
              <w:t>2021</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center"/>
              <w:ind w:left="289"/>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31"/>
        </w:trPr>
        <w:tc>
          <w:tcPr>
            <w:tcW w:w="7400" w:type="dxa"/>
            <w:vAlign w:val="bottom"/>
          </w:tcPr>
          <w:p>
            <w:pPr>
              <w:spacing w:after="0"/>
              <w:rPr>
                <w:sz w:val="11"/>
                <w:szCs w:val="11"/>
                <w:color w:val="auto"/>
              </w:rPr>
            </w:pPr>
          </w:p>
        </w:tc>
        <w:tc>
          <w:tcPr>
            <w:tcW w:w="1280" w:type="dxa"/>
            <w:vAlign w:val="bottom"/>
            <w:tcBorders>
              <w:top w:val="single" w:sz="8" w:color="auto"/>
            </w:tcBorders>
          </w:tcPr>
          <w:p>
            <w:pPr>
              <w:jc w:val="center"/>
              <w:ind w:left="408"/>
              <w:spacing w:after="0" w:line="131" w:lineRule="exact"/>
              <w:rPr>
                <w:sz w:val="20"/>
                <w:szCs w:val="20"/>
                <w:color w:val="auto"/>
              </w:rPr>
            </w:pPr>
            <w:r>
              <w:rPr>
                <w:rFonts w:ascii="Arial" w:cs="Arial" w:eastAsia="Arial" w:hAnsi="Arial"/>
                <w:sz w:val="14"/>
                <w:szCs w:val="14"/>
                <w:b w:val="1"/>
                <w:bCs w:val="1"/>
                <w:color w:val="auto"/>
                <w:w w:val="94"/>
              </w:rPr>
              <w:t>Theater</w:t>
            </w:r>
          </w:p>
        </w:tc>
        <w:tc>
          <w:tcPr>
            <w:tcW w:w="5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top w:val="single" w:sz="8" w:color="auto"/>
            </w:tcBorders>
          </w:tcPr>
          <w:p>
            <w:pPr>
              <w:jc w:val="center"/>
              <w:ind w:left="268"/>
              <w:spacing w:after="0" w:line="131" w:lineRule="exact"/>
              <w:rPr>
                <w:sz w:val="20"/>
                <w:szCs w:val="20"/>
                <w:color w:val="auto"/>
              </w:rPr>
            </w:pPr>
            <w:r>
              <w:rPr>
                <w:rFonts w:ascii="Arial" w:cs="Arial" w:eastAsia="Arial" w:hAnsi="Arial"/>
                <w:sz w:val="14"/>
                <w:szCs w:val="14"/>
                <w:b w:val="1"/>
                <w:bCs w:val="1"/>
                <w:color w:val="auto"/>
                <w:w w:val="94"/>
              </w:rPr>
              <w:t>Theater</w:t>
            </w:r>
          </w:p>
        </w:tc>
        <w:tc>
          <w:tcPr>
            <w:tcW w:w="3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r>
      <w:tr>
        <w:trPr>
          <w:trHeight w:val="170"/>
        </w:trPr>
        <w:tc>
          <w:tcPr>
            <w:tcW w:w="74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128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2"/>
              </w:rPr>
              <w:t>Operators</w:t>
            </w: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Operators</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r>
      <w:tr>
        <w:trPr>
          <w:trHeight w:val="22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80" w:type="dxa"/>
            <w:vAlign w:val="bottom"/>
            <w:shd w:val="clear" w:color="auto" w:fill="CFF0FC"/>
          </w:tcPr>
          <w:p>
            <w:pPr>
              <w:jc w:val="right"/>
              <w:ind w:right="112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r>
      <w:tr>
        <w:trPr>
          <w:trHeight w:val="227"/>
        </w:trPr>
        <w:tc>
          <w:tcPr>
            <w:tcW w:w="7400" w:type="dxa"/>
            <w:vAlign w:val="bottom"/>
          </w:tcPr>
          <w:p>
            <w:pPr>
              <w:ind w:left="120"/>
              <w:spacing w:after="0"/>
              <w:rPr>
                <w:sz w:val="20"/>
                <w:szCs w:val="20"/>
                <w:color w:val="auto"/>
              </w:rPr>
            </w:pPr>
            <w:r>
              <w:rPr>
                <w:rFonts w:ascii="Arial" w:cs="Arial" w:eastAsia="Arial" w:hAnsi="Arial"/>
                <w:sz w:val="18"/>
                <w:szCs w:val="18"/>
                <w:color w:val="auto"/>
              </w:rPr>
              <w:t>Current period provision</w:t>
            </w: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875</w:t>
            </w:r>
          </w:p>
        </w:tc>
        <w:tc>
          <w:tcPr>
            <w:tcW w:w="300" w:type="dxa"/>
            <w:vAlign w:val="bottom"/>
          </w:tcPr>
          <w:p>
            <w:pPr>
              <w:spacing w:after="0"/>
              <w:rPr>
                <w:sz w:val="19"/>
                <w:szCs w:val="19"/>
                <w:color w:val="auto"/>
              </w:rPr>
            </w:pPr>
          </w:p>
        </w:tc>
      </w:tr>
      <w:tr>
        <w:trPr>
          <w:trHeight w:val="227"/>
        </w:trPr>
        <w:tc>
          <w:tcPr>
            <w:tcW w:w="7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12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r>
      <w:tr>
        <w:trPr>
          <w:trHeight w:val="220"/>
        </w:trPr>
        <w:tc>
          <w:tcPr>
            <w:tcW w:w="7400" w:type="dxa"/>
            <w:vAlign w:val="bottom"/>
          </w:tcPr>
          <w:p>
            <w:pPr>
              <w:spacing w:after="0"/>
              <w:rPr>
                <w:sz w:val="20"/>
                <w:szCs w:val="20"/>
                <w:color w:val="auto"/>
              </w:rPr>
            </w:pPr>
            <w:r>
              <w:rPr>
                <w:rFonts w:ascii="Arial" w:cs="Arial" w:eastAsia="Arial" w:hAnsi="Arial"/>
                <w:sz w:val="18"/>
                <w:szCs w:val="18"/>
                <w:color w:val="auto"/>
              </w:rPr>
              <w:t>Ending balance</w:t>
            </w:r>
          </w:p>
        </w:tc>
        <w:tc>
          <w:tcPr>
            <w:tcW w:w="1280" w:type="dxa"/>
            <w:vAlign w:val="bottom"/>
            <w:tcBorders>
              <w:top w:val="single" w:sz="8" w:color="auto"/>
              <w:bottom w:val="single" w:sz="8" w:color="auto"/>
            </w:tcBorders>
          </w:tcPr>
          <w:p>
            <w:pPr>
              <w:jc w:val="right"/>
              <w:ind w:right="112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3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For the three months ended March 31, 2021 and 2020, the Company recorded provisions for current expected credit losses related to Variable Consideration Receivables of $0.2 million and $0.9 million, respectively. The provision recorded in the prior year period reflects a reduction in the credit quality of and heightened collection risk associated with Variable Consideration Receivables primarily due to the COVID-19 global pandemic. Management believes that the March 31, 2021 allowance for current expected credit losses related to Variable Consideration Receivables adequately addresses the risk of not collecting these receivables in full.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 Arrangements</w:t>
      </w:r>
    </w:p>
    <w:p>
      <w:pPr>
        <w:spacing w:after="0" w:line="331"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IMAX Corporation as a Lessee</w:t>
      </w:r>
    </w:p>
    <w:p>
      <w:pPr>
        <w:spacing w:after="0" w:line="180"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liability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ind w:firstLine="225"/>
        <w:spacing w:after="0" w:line="270" w:lineRule="auto"/>
        <w:rPr>
          <w:sz w:val="20"/>
          <w:szCs w:val="20"/>
          <w:color w:val="auto"/>
        </w:rPr>
      </w:pPr>
      <w:r>
        <w:rPr>
          <w:rFonts w:ascii="Arial" w:cs="Arial" w:eastAsia="Arial" w:hAnsi="Arial"/>
          <w:sz w:val="18"/>
          <w:szCs w:val="18"/>
          <w:color w:val="auto"/>
        </w:rPr>
        <w:t>For the three months ended March 31, 2021 and 2020, the components of lease expense recorded within Selling, General and Administrative expenses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8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March 31,</w:t>
            </w:r>
          </w:p>
        </w:tc>
      </w:tr>
      <w:tr>
        <w:trPr>
          <w:trHeight w:val="207"/>
        </w:trPr>
        <w:tc>
          <w:tcPr>
            <w:tcW w:w="46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2680" w:type="dxa"/>
            <w:vAlign w:val="bottom"/>
            <w:tcBorders>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CFF0FC"/>
            </w:tcBorders>
          </w:tcPr>
          <w:p>
            <w:pPr>
              <w:spacing w:after="0"/>
              <w:rPr>
                <w:sz w:val="18"/>
                <w:szCs w:val="18"/>
                <w:color w:val="auto"/>
              </w:rPr>
            </w:pPr>
          </w:p>
        </w:tc>
        <w:tc>
          <w:tcPr>
            <w:tcW w:w="20" w:type="dxa"/>
            <w:vAlign w:val="bottom"/>
            <w:tcBorders>
              <w:top w:val="single" w:sz="8" w:color="auto"/>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2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15"/>
                <w:szCs w:val="15"/>
                <w:color w:val="auto"/>
              </w:rPr>
              <w:t>(1)</w:t>
            </w:r>
          </w:p>
        </w:tc>
        <w:tc>
          <w:tcPr>
            <w:tcW w:w="26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r>
      <w:tr>
        <w:trPr>
          <w:trHeight w:val="227"/>
        </w:trPr>
        <w:tc>
          <w:tcPr>
            <w:tcW w:w="4680" w:type="dxa"/>
            <w:vAlign w:val="bottom"/>
            <w:gridSpan w:val="2"/>
          </w:tcPr>
          <w:p>
            <w:pPr>
              <w:spacing w:after="0"/>
              <w:rPr>
                <w:sz w:val="20"/>
                <w:szCs w:val="20"/>
                <w:color w:val="auto"/>
              </w:rPr>
            </w:pPr>
            <w:r>
              <w:rPr>
                <w:rFonts w:ascii="Arial" w:cs="Arial" w:eastAsia="Arial" w:hAnsi="Arial"/>
                <w:sz w:val="18"/>
                <w:szCs w:val="18"/>
                <w:color w:val="auto"/>
              </w:rPr>
              <w:t>Amortization of lease assets</w:t>
            </w: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r>
      <w:tr>
        <w:trPr>
          <w:trHeight w:val="228"/>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26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19"/>
                <w:szCs w:val="19"/>
                <w:color w:val="auto"/>
              </w:rPr>
            </w:pPr>
          </w:p>
        </w:tc>
      </w:tr>
      <w:tr>
        <w:trPr>
          <w:trHeight w:val="246"/>
        </w:trPr>
        <w:tc>
          <w:tcPr>
            <w:tcW w:w="4680" w:type="dxa"/>
            <w:vAlign w:val="bottom"/>
            <w:gridSpan w:val="2"/>
          </w:tcPr>
          <w:p>
            <w:pPr>
              <w:spacing w:after="0"/>
              <w:rPr>
                <w:sz w:val="20"/>
                <w:szCs w:val="20"/>
                <w:color w:val="auto"/>
              </w:rPr>
            </w:pPr>
            <w:r>
              <w:rPr>
                <w:rFonts w:ascii="Arial" w:cs="Arial" w:eastAsia="Arial" w:hAnsi="Arial"/>
                <w:sz w:val="18"/>
                <w:szCs w:val="18"/>
                <w:color w:val="auto"/>
              </w:rPr>
              <w:t>Total lease cost</w:t>
            </w:r>
          </w:p>
        </w:tc>
        <w:tc>
          <w:tcPr>
            <w:tcW w:w="308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1,162</w:t>
            </w:r>
          </w:p>
        </w:tc>
        <w:tc>
          <w:tcPr>
            <w:tcW w:w="360" w:type="dxa"/>
            <w:vAlign w:val="bottom"/>
          </w:tcPr>
          <w:p>
            <w:pPr>
              <w:spacing w:after="0"/>
              <w:rPr>
                <w:sz w:val="21"/>
                <w:szCs w:val="21"/>
                <w:color w:val="auto"/>
              </w:rPr>
            </w:pPr>
          </w:p>
        </w:tc>
        <w:tc>
          <w:tcPr>
            <w:tcW w:w="400" w:type="dxa"/>
            <w:vAlign w:val="bottom"/>
            <w:gridSpan w:val="2"/>
          </w:tcPr>
          <w:p>
            <w:pPr>
              <w:jc w:val="right"/>
              <w:ind w:right="27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159" w:lineRule="exact"/>
        <w:rPr>
          <w:sz w:val="20"/>
          <w:szCs w:val="20"/>
          <w:color w:val="auto"/>
        </w:rPr>
      </w:pPr>
    </w:p>
    <w:p>
      <w:pPr>
        <w:ind w:left="240" w:right="1540" w:hanging="233"/>
        <w:spacing w:after="0" w:line="660" w:lineRule="auto"/>
        <w:tabs>
          <w:tab w:leader="none" w:pos="389"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short-term leases and variable lease costs, which are not significant for the three months ended March 31, 2021 and 2020. For the three months ended March 31, 2021 and 2020, supplemental cash and non-cash information related to leases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6"/>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12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240" w:type="dxa"/>
            <w:vAlign w:val="bottom"/>
            <w:tcBorders>
              <w:bottom w:val="single" w:sz="8" w:color="CFF0FC"/>
            </w:tcBorders>
            <w:vMerge w:val="continue"/>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7"/>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23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March 31, 2021 and December 31, 2020, supplemental balance sheet information related to leases is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27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50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r>
      <w:tr>
        <w:trPr>
          <w:trHeight w:val="220"/>
        </w:trPr>
        <w:tc>
          <w:tcPr>
            <w:tcW w:w="2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000" w:type="dxa"/>
            <w:vAlign w:val="bottom"/>
            <w:shd w:val="clear" w:color="auto" w:fill="CFF0FC"/>
          </w:tcPr>
          <w:p>
            <w:pPr>
              <w:ind w:left="1040"/>
              <w:spacing w:after="0"/>
              <w:rPr>
                <w:sz w:val="20"/>
                <w:szCs w:val="20"/>
                <w:color w:val="auto"/>
              </w:rPr>
            </w:pPr>
            <w:r>
              <w:rPr>
                <w:rFonts w:ascii="Arial" w:cs="Arial" w:eastAsia="Arial" w:hAnsi="Arial"/>
                <w:sz w:val="18"/>
                <w:szCs w:val="18"/>
                <w:b w:val="1"/>
                <w:bCs w:val="1"/>
                <w:color w:val="auto"/>
              </w:rPr>
              <w:t>Balance Sheet Classification</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7"/>
        </w:trPr>
        <w:tc>
          <w:tcPr>
            <w:tcW w:w="2760" w:type="dxa"/>
            <w:vAlign w:val="bottom"/>
          </w:tcPr>
          <w:p>
            <w:pPr>
              <w:spacing w:after="0"/>
              <w:rPr>
                <w:sz w:val="20"/>
                <w:szCs w:val="20"/>
                <w:color w:val="auto"/>
              </w:rPr>
            </w:pPr>
            <w:r>
              <w:rPr>
                <w:rFonts w:ascii="Arial" w:cs="Arial" w:eastAsia="Arial" w:hAnsi="Arial"/>
                <w:sz w:val="18"/>
                <w:szCs w:val="18"/>
                <w:color w:val="auto"/>
              </w:rPr>
              <w:t>Right-of-Use Assets</w:t>
            </w:r>
          </w:p>
        </w:tc>
        <w:tc>
          <w:tcPr>
            <w:tcW w:w="5000" w:type="dxa"/>
            <w:vAlign w:val="bottom"/>
          </w:tcPr>
          <w:p>
            <w:pPr>
              <w:ind w:left="10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40"/>
              <w:spacing w:after="0"/>
              <w:rPr>
                <w:sz w:val="20"/>
                <w:szCs w:val="20"/>
                <w:color w:val="auto"/>
              </w:rPr>
            </w:pPr>
            <w:r>
              <w:rPr>
                <w:rFonts w:ascii="Arial" w:cs="Arial" w:eastAsia="Arial" w:hAnsi="Arial"/>
                <w:sz w:val="18"/>
                <w:szCs w:val="18"/>
                <w:color w:val="auto"/>
              </w:rPr>
              <w:t>13,331</w:t>
            </w:r>
          </w:p>
        </w:tc>
        <w:tc>
          <w:tcPr>
            <w:tcW w:w="16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40"/>
              <w:spacing w:after="0"/>
              <w:rPr>
                <w:sz w:val="20"/>
                <w:szCs w:val="20"/>
                <w:color w:val="auto"/>
              </w:rPr>
            </w:pPr>
            <w:r>
              <w:rPr>
                <w:rFonts w:ascii="Arial" w:cs="Arial" w:eastAsia="Arial" w:hAnsi="Arial"/>
                <w:sz w:val="18"/>
                <w:szCs w:val="18"/>
                <w:color w:val="auto"/>
              </w:rPr>
              <w:t>13,911</w:t>
            </w:r>
          </w:p>
        </w:tc>
      </w:tr>
      <w:tr>
        <w:trPr>
          <w:trHeight w:val="228"/>
        </w:trPr>
        <w:tc>
          <w:tcPr>
            <w:tcW w:w="2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5000" w:type="dxa"/>
            <w:vAlign w:val="bottom"/>
            <w:shd w:val="clear" w:color="auto" w:fill="CFF0FC"/>
          </w:tcPr>
          <w:p>
            <w:pPr>
              <w:ind w:left="1040"/>
              <w:spacing w:after="0"/>
              <w:rPr>
                <w:sz w:val="20"/>
                <w:szCs w:val="20"/>
                <w:color w:val="auto"/>
              </w:rPr>
            </w:pPr>
            <w:r>
              <w:rPr>
                <w:rFonts w:ascii="Arial" w:cs="Arial" w:eastAsia="Arial" w:hAnsi="Arial"/>
                <w:sz w:val="18"/>
                <w:szCs w:val="18"/>
                <w:b w:val="1"/>
                <w:bCs w:val="1"/>
                <w:color w:val="auto"/>
              </w:rPr>
              <w:t>Balance Sheet Classification</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7"/>
        </w:trPr>
        <w:tc>
          <w:tcPr>
            <w:tcW w:w="2760" w:type="dxa"/>
            <w:vAlign w:val="bottom"/>
          </w:tcPr>
          <w:p>
            <w:pPr>
              <w:spacing w:after="0"/>
              <w:rPr>
                <w:sz w:val="20"/>
                <w:szCs w:val="20"/>
                <w:color w:val="auto"/>
              </w:rPr>
            </w:pPr>
            <w:r>
              <w:rPr>
                <w:rFonts w:ascii="Arial" w:cs="Arial" w:eastAsia="Arial" w:hAnsi="Arial"/>
                <w:sz w:val="18"/>
                <w:szCs w:val="18"/>
                <w:color w:val="auto"/>
              </w:rPr>
              <w:t>Operating Leases</w:t>
            </w:r>
          </w:p>
        </w:tc>
        <w:tc>
          <w:tcPr>
            <w:tcW w:w="5000" w:type="dxa"/>
            <w:vAlign w:val="bottom"/>
          </w:tcPr>
          <w:p>
            <w:pPr>
              <w:ind w:left="1040"/>
              <w:spacing w:after="0"/>
              <w:rPr>
                <w:sz w:val="20"/>
                <w:szCs w:val="20"/>
                <w:color w:val="auto"/>
              </w:rPr>
            </w:pPr>
            <w:r>
              <w:rPr>
                <w:rFonts w:ascii="Arial" w:cs="Arial" w:eastAsia="Arial" w:hAnsi="Arial"/>
                <w:sz w:val="18"/>
                <w:szCs w:val="18"/>
                <w:color w:val="auto"/>
              </w:rPr>
              <w:t>Accrued and other liabilities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40"/>
              <w:spacing w:after="0"/>
              <w:rPr>
                <w:sz w:val="20"/>
                <w:szCs w:val="20"/>
                <w:color w:val="auto"/>
              </w:rPr>
            </w:pPr>
            <w:r>
              <w:rPr>
                <w:rFonts w:ascii="Arial" w:cs="Arial" w:eastAsia="Arial" w:hAnsi="Arial"/>
                <w:sz w:val="18"/>
                <w:szCs w:val="18"/>
                <w:color w:val="auto"/>
              </w:rPr>
              <w:t>16,009</w:t>
            </w:r>
          </w:p>
        </w:tc>
        <w:tc>
          <w:tcPr>
            <w:tcW w:w="16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40"/>
              <w:spacing w:after="0"/>
              <w:rPr>
                <w:sz w:val="20"/>
                <w:szCs w:val="20"/>
                <w:color w:val="auto"/>
              </w:rPr>
            </w:pPr>
            <w:r>
              <w:rPr>
                <w:rFonts w:ascii="Arial" w:cs="Arial" w:eastAsia="Arial" w:hAnsi="Arial"/>
                <w:sz w:val="18"/>
                <w:szCs w:val="18"/>
                <w:color w:val="auto"/>
              </w:rPr>
              <w:t>16,634</w:t>
            </w:r>
          </w:p>
        </w:tc>
      </w:tr>
    </w:tbl>
    <w:p>
      <w:pPr>
        <w:spacing w:after="0" w:line="22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March 31, 2021 and December 31, 2020, the weighted-average remaining lease term and weighted-average interest rate associated with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leases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120" w:type="dxa"/>
            <w:vAlign w:val="bottom"/>
          </w:tcPr>
          <w:p>
            <w:pPr>
              <w:ind w:left="440"/>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8"/>
        </w:trPr>
        <w:tc>
          <w:tcPr>
            <w:tcW w:w="8760" w:type="dxa"/>
            <w:vAlign w:val="bottom"/>
            <w:gridSpan w:val="2"/>
          </w:tcPr>
          <w:p>
            <w:pPr>
              <w:ind w:left="8240"/>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7.2</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6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5.93  %</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5.91  %</w:t>
            </w:r>
          </w:p>
        </w:tc>
        <w:tc>
          <w:tcPr>
            <w:tcW w:w="0" w:type="dxa"/>
            <w:vAlign w:val="bottom"/>
          </w:tcPr>
          <w:p>
            <w:pPr>
              <w:spacing w:after="0"/>
              <w:rPr>
                <w:sz w:val="1"/>
                <w:szCs w:val="1"/>
                <w:color w:val="auto"/>
              </w:rPr>
            </w:pPr>
          </w:p>
        </w:tc>
      </w:tr>
      <w:tr>
        <w:trPr>
          <w:trHeight w:val="426"/>
        </w:trPr>
        <w:tc>
          <w:tcPr>
            <w:tcW w:w="8760" w:type="dxa"/>
            <w:vAlign w:val="bottom"/>
            <w:gridSpan w:val="2"/>
          </w:tcPr>
          <w:p>
            <w:pPr>
              <w:ind w:left="240"/>
              <w:spacing w:after="0"/>
              <w:rPr>
                <w:sz w:val="20"/>
                <w:szCs w:val="20"/>
                <w:color w:val="auto"/>
              </w:rPr>
            </w:pPr>
            <w:r>
              <w:rPr>
                <w:rFonts w:ascii="Arial" w:cs="Arial" w:eastAsia="Arial" w:hAnsi="Arial"/>
                <w:sz w:val="18"/>
                <w:szCs w:val="18"/>
                <w:color w:val="auto"/>
              </w:rPr>
              <w:t>As of March 31, 2021, the maturities of the Company’s operating lease liabilities are as follows: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7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(nine months remaining)</w:t>
            </w:r>
          </w:p>
        </w:tc>
        <w:tc>
          <w:tcPr>
            <w:tcW w:w="6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27"/>
        </w:trPr>
        <w:tc>
          <w:tcPr>
            <w:tcW w:w="7640" w:type="dxa"/>
            <w:vAlign w:val="bottom"/>
          </w:tcPr>
          <w:p>
            <w:pPr>
              <w:spacing w:after="0"/>
              <w:rPr>
                <w:sz w:val="20"/>
                <w:szCs w:val="20"/>
                <w:color w:val="auto"/>
              </w:rPr>
            </w:pPr>
            <w:r>
              <w:rPr>
                <w:rFonts w:ascii="Arial" w:cs="Arial" w:eastAsia="Arial" w:hAnsi="Arial"/>
                <w:sz w:val="18"/>
                <w:szCs w:val="18"/>
                <w:color w:val="auto"/>
              </w:rPr>
              <w:t>2022</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27"/>
        </w:trPr>
        <w:tc>
          <w:tcPr>
            <w:tcW w:w="7640" w:type="dxa"/>
            <w:vAlign w:val="bottom"/>
          </w:tcPr>
          <w:p>
            <w:pPr>
              <w:spacing w:after="0"/>
              <w:rPr>
                <w:sz w:val="20"/>
                <w:szCs w:val="20"/>
                <w:color w:val="auto"/>
              </w:rPr>
            </w:pPr>
            <w:r>
              <w:rPr>
                <w:rFonts w:ascii="Arial" w:cs="Arial" w:eastAsia="Arial" w:hAnsi="Arial"/>
                <w:sz w:val="18"/>
                <w:szCs w:val="18"/>
                <w:color w:val="auto"/>
              </w:rPr>
              <w:t>2024</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27"/>
        </w:trPr>
        <w:tc>
          <w:tcPr>
            <w:tcW w:w="8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21"/>
        </w:trPr>
        <w:tc>
          <w:tcPr>
            <w:tcW w:w="8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5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20,123</w:t>
            </w:r>
          </w:p>
        </w:tc>
        <w:tc>
          <w:tcPr>
            <w:tcW w:w="0" w:type="dxa"/>
            <w:vAlign w:val="bottom"/>
          </w:tcPr>
          <w:p>
            <w:pPr>
              <w:spacing w:after="0"/>
              <w:rPr>
                <w:sz w:val="1"/>
                <w:szCs w:val="1"/>
                <w:color w:val="auto"/>
              </w:rPr>
            </w:pPr>
          </w:p>
        </w:tc>
      </w:tr>
      <w:tr>
        <w:trPr>
          <w:trHeight w:val="227"/>
        </w:trPr>
        <w:tc>
          <w:tcPr>
            <w:tcW w:w="8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interest expense</w:t>
            </w:r>
          </w:p>
        </w:tc>
        <w:tc>
          <w:tcPr>
            <w:tcW w:w="5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20"/>
        </w:trPr>
        <w:tc>
          <w:tcPr>
            <w:tcW w:w="8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Present value of operating lease liabilities</w:t>
            </w:r>
          </w:p>
        </w:tc>
        <w:tc>
          <w:tcPr>
            <w:tcW w:w="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16,009</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540"/>
              <w:spacing w:after="0"/>
              <w:rPr>
                <w:sz w:val="20"/>
                <w:szCs w:val="20"/>
                <w:color w:val="auto"/>
              </w:rPr>
            </w:pPr>
            <w:r>
              <w:rPr>
                <w:rFonts w:ascii="Arial" w:cs="Arial" w:eastAsia="Arial" w:hAnsi="Arial"/>
                <w:sz w:val="18"/>
                <w:szCs w:val="18"/>
                <w:color w:val="auto"/>
              </w:rPr>
              <w:t>19</w:t>
            </w: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6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IMAX Corporation as a Lessor</w:t>
      </w:r>
    </w:p>
    <w:p>
      <w:pPr>
        <w:spacing w:after="0" w:line="180"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Company provides IMAX Theater Systems to customers through long-term lease arrangements that for accounting purposes are classified as sales-type leases. Under these arrangements, in exchange for providing the IMAX Theater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3(n) in the Company’s 2020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Theater System commencing on the date specified in the arrangement’s shipping terms and ending on the date the IMAX Theater System is returned to the Company.</w:t>
      </w:r>
    </w:p>
    <w:p>
      <w:pPr>
        <w:spacing w:after="0" w:line="155"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Company also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Theater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Theater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4 for information related to the net investment in leases related to the Company’s sales-type lease arrangements.)</w:t>
      </w:r>
    </w:p>
    <w:p>
      <w:pPr>
        <w:spacing w:after="0" w:line="216" w:lineRule="exact"/>
        <w:rPr>
          <w:sz w:val="20"/>
          <w:szCs w:val="20"/>
          <w:color w:val="auto"/>
        </w:rPr>
      </w:pPr>
    </w:p>
    <w:p>
      <w:pPr>
        <w:ind w:left="220" w:hanging="213"/>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398"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As of March 31, 2021 and December 31, 2020, Inventories consist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6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29,652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30,096</w:t>
            </w: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3,061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3,014</w:t>
            </w:r>
          </w:p>
        </w:tc>
      </w:tr>
      <w:tr>
        <w:trPr>
          <w:trHeight w:val="22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6,406</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6,470</w:t>
            </w:r>
          </w:p>
        </w:tc>
      </w:tr>
      <w:tr>
        <w:trPr>
          <w:trHeight w:val="220"/>
        </w:trPr>
        <w:tc>
          <w:tcPr>
            <w:tcW w:w="77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39,119</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39,580</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At March 31, 2021, Inventories include finished goods of $3.3 million (December 31, 2020 — $2.1 million) for which title had passed to the customer, but the criteria for revenue recognition were not met as of the balance sheet date.</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During the three months ended March 31, 2021, the Company recognized write-downs of $0.1 million for excess and obsolete inventory based on current estimates of net realizable value. There were no write-downs recorded during the three months ended March 31, 2020.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7. Debt</w:t>
      </w:r>
    </w:p>
    <w:p>
      <w:pPr>
        <w:spacing w:after="0" w:line="19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Revolving Credit Facility Borrowings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March 31, 2021 and December 31, 2020, Revolving Credit Facility Borrowings consists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2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Credit Facility borrowings</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19"/>
                <w:szCs w:val="19"/>
                <w:color w:val="auto"/>
              </w:rPr>
            </w:pPr>
          </w:p>
        </w:tc>
      </w:tr>
      <w:tr>
        <w:trPr>
          <w:trHeight w:val="227"/>
        </w:trPr>
        <w:tc>
          <w:tcPr>
            <w:tcW w:w="7740" w:type="dxa"/>
            <w:vAlign w:val="bottom"/>
          </w:tcPr>
          <w:p>
            <w:pPr>
              <w:spacing w:after="0"/>
              <w:rPr>
                <w:sz w:val="20"/>
                <w:szCs w:val="20"/>
                <w:color w:val="auto"/>
              </w:rPr>
            </w:pPr>
            <w:r>
              <w:rPr>
                <w:rFonts w:ascii="Arial" w:cs="Arial" w:eastAsia="Arial" w:hAnsi="Arial"/>
                <w:sz w:val="18"/>
                <w:szCs w:val="18"/>
                <w:color w:val="auto"/>
              </w:rPr>
              <w:t>Working Capital Facility borrowings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7,590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7,643</w:t>
            </w:r>
          </w:p>
        </w:tc>
        <w:tc>
          <w:tcPr>
            <w:tcW w:w="100" w:type="dxa"/>
            <w:vAlign w:val="bottom"/>
          </w:tcPr>
          <w:p>
            <w:pPr>
              <w:spacing w:after="0"/>
              <w:rPr>
                <w:sz w:val="19"/>
                <w:szCs w:val="19"/>
                <w:color w:val="auto"/>
              </w:rPr>
            </w:pPr>
          </w:p>
        </w:tc>
      </w:tr>
      <w:tr>
        <w:trPr>
          <w:trHeight w:val="228"/>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(1,777)</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(1,967)</w:t>
            </w:r>
          </w:p>
        </w:tc>
      </w:tr>
      <w:tr>
        <w:trPr>
          <w:trHeight w:val="220"/>
        </w:trPr>
        <w:tc>
          <w:tcPr>
            <w:tcW w:w="7740" w:type="dxa"/>
            <w:vAlign w:val="bottom"/>
          </w:tcPr>
          <w:p>
            <w:pPr>
              <w:ind w:left="140"/>
              <w:spacing w:after="0"/>
              <w:rPr>
                <w:sz w:val="20"/>
                <w:szCs w:val="20"/>
                <w:color w:val="auto"/>
              </w:rPr>
            </w:pPr>
            <w:r>
              <w:rPr>
                <w:rFonts w:ascii="Arial" w:cs="Arial" w:eastAsia="Arial" w:hAnsi="Arial"/>
                <w:sz w:val="18"/>
                <w:szCs w:val="18"/>
                <w:color w:val="auto"/>
              </w:rPr>
              <w:t>Revolving Credit Facility Borrowings, net</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50,813</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305,676</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Agreement</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facility provided by the Credit Agreement (the “Credit Facility”) matures on June 28, 2023.</w:t>
      </w:r>
    </w:p>
    <w:p>
      <w:pPr>
        <w:spacing w:after="0" w:line="146"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45"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In the first quarter of 2020, in response to uncertainties associated with the outbreak of the COVID-19 global pandemic and its impact on the Company’s business, the Company drew down $280.0 million in available borrowing capacity under the Credit Facility, resulting in total outstanding borrowings of $300.0 million, which remained outstanding as of December 31, 2020. In the first quarter of 2021, the Company repaid $255.0 million of Credit Facility borrowings, using cash on hand following the issuance of the Convertible Notes (as discussed below). As of March 31, 2021, outstanding borrowings under the Credit Facility were $45.0 million. As of March 31, 2021 and December 31, 2020, the Company did not have any letters of credit or advance payment guarantees outstanding under the Credit Facility.</w:t>
      </w:r>
    </w:p>
    <w:p>
      <w:pPr>
        <w:spacing w:after="0" w:line="15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Credit Agreement contains a covenant that requires the Company to maintain a Senior Secured Net Leverage Ratio (as defined in the Credit Agreement), as of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65"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auto"/>
        </w:rPr>
        <w:t>On March 15, 2021, the Company entered into the Second Amendment to the Credit Agreement (as amended by the First Amendment to the Credit Agreement, dated as of June 10, 2020) (collectively, the “Amendments”). The Amendments, among other things, (i) suspend the Senior Secured Net Leverage Ratio covenant through the first quarter of 2022, (ii) re-establish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EBITDA for the corresponding quarters of 2021, (iii) add a $75.0 million minimum liquidity covenant measured at the end of each calendar month, (iv) restrict the Company’s ability to make certain restricted payments, dispositions and investments, create or assume liens and incur debt that would otherwise have been permitted by the Credit Agreement and (v) permit the issuance of the Convertible Notes (as discussed below) and related transactions, including the capped call transactions, or other unsecured debt, in an amount not to exceed $290.0 million. The modifications to the negative covenants, the minimum liquidity covenant and modifications to certain other provisions in the Credit Agreement pursuant to the Amendments are effective until the earlier of the delivery of the compliance certificate for the fourth quarter of 2022 or the date on which the Company, in its sole discretion, elects to calculate its compliance with the Senior Secured Net Leverage Ratio by using either its actual EBITDA or annualized EBITDA (the “Designated Period”). As of March 31, 2021, the Company was in compliance with all of its requirements under the Credit Agreement, as amended.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jc w:val="both"/>
        <w:ind w:firstLine="225"/>
        <w:spacing w:after="0" w:line="252" w:lineRule="auto"/>
        <w:rPr>
          <w:sz w:val="20"/>
          <w:szCs w:val="20"/>
          <w:color w:val="auto"/>
        </w:rPr>
      </w:pPr>
      <w:r>
        <w:rPr>
          <w:rFonts w:ascii="Arial" w:cs="Arial" w:eastAsia="Arial" w:hAnsi="Arial"/>
          <w:sz w:val="18"/>
          <w:szCs w:val="18"/>
          <w:color w:val="auto"/>
        </w:rPr>
        <w:t>Borrowings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provided, however, that from the effective date of the First Amendment to the Credit Agreement until the Company delivers a compliance certificate under the Credit Facility following the end of the Designated Period, the applicable margin for LIBOR borrowings will be 2.50% per annum and the applicable margin for U.S. base rate borrowings will be 1.75% per annum. The effective interest rate for the three months ended March 31, 2021 was 2.65% (2020 — 2.03%).</w:t>
      </w:r>
    </w:p>
    <w:p>
      <w:pPr>
        <w:spacing w:after="0" w:line="165"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In addition, the Credit Facility has standby fees ranging from 0.25% to 0.38% per annum, based on the Company’s Total Leverage Ratio with respect to the unused portion of the Credit Facility; provided, however, that from the effective date of the First Amendment to the Credit Agreement until the Company delivers a compliance certificate under the Credit Facility following the end of the Designated Period, the standby fee will be 0.50% per annum.</w:t>
      </w:r>
    </w:p>
    <w:p>
      <w:pPr>
        <w:spacing w:after="0" w:line="11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incurred fees of approximately $1.2 million in connection with the Amendments, which are being amortized on a straight-line basis to Interest Expense over the relevant amendment periods.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Working Capital Facility</w:t>
      </w:r>
    </w:p>
    <w:p>
      <w:pPr>
        <w:spacing w:after="0" w:line="19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On July 24, 2020, IMAX (Shanghai) Multimedia Technology Co., Ltd. (“IMAX Shanghai”), one of the Company’s majority-owned subsidiaries in China, renewed its unsecured revolving facility for up to 200.0 million Renminbi (approximately $30.4 million) to fund ongoing working capital requirements (the “Working Capital Facility”). The Working Capital Facility expires in July 2021.</w:t>
      </w:r>
    </w:p>
    <w:p>
      <w:pPr>
        <w:spacing w:after="0" w:line="145"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As of March 31, 2021 and December 31, 2020, outstanding Working Capital Facility borrowings were 49.9 million Renminbi ($7.6 million). As of March 31, 2021, the amount available for future borrowings under the Working Capital Facility was 140.1 million Renminbi ($21.3 million) and 10.0 million Renminbi ($1.5 million) was available for letters of guarantee. The amount available for future borrowings under the Working Capital Facility is not subject to a standby fee. The effective interest rate for borrowings under the Working Capital Facility for the three months ended March 31, 2021 was 4.34% (December 31, 2020 — 4.31%). Subsequent to March 31, 2021, IMAX Shanghai made a repayment of Working Capital Facility borrowings of 1.7 million Renminbi ($0.3 million).</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Wells Fargo Foreign Exchange Facility</w:t>
      </w:r>
    </w:p>
    <w:p>
      <w:pPr>
        <w:spacing w:after="0" w:line="19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Within the Credit Facility, the Company is able to enter into foreign currency forward contracts and/or other swap arrangements. As of March 31, 2021, the net unrealized gain on the Company’s outstanding foreign currency forward contracts was $1.7 million, representing the amount by which the fair value of these forward contracts exceeded their notional value (December 31, 2020 — $2.0 million). As of March 31, 2021, the notional value of the Company’s outstanding foreign currency forward contracts was $21.9 million (December 31, 2020 — $31.9 million).</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NBC Facility</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Company did not have any letters of credit or advance payment guarantees outstanding as of March 31, 2021 and December 31, 2020 under the NBC Facility.</w:t>
      </w:r>
    </w:p>
    <w:p>
      <w:pPr>
        <w:spacing w:after="0" w:line="14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Convertible Notes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March 31, 2021 and December 31, 2020, Convertible Notes consists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12"/>
        </w:trPr>
        <w:tc>
          <w:tcPr>
            <w:tcW w:w="44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33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w:t>
            </w:r>
          </w:p>
        </w:tc>
        <w:tc>
          <w:tcPr>
            <w:tcW w:w="3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40" w:type="dxa"/>
            <w:vAlign w:val="bottom"/>
          </w:tcPr>
          <w:p>
            <w:pPr>
              <w:spacing w:after="0"/>
              <w:rPr>
                <w:sz w:val="20"/>
                <w:szCs w:val="20"/>
                <w:color w:val="auto"/>
              </w:rPr>
            </w:pPr>
            <w:r>
              <w:rPr>
                <w:rFonts w:ascii="Arial" w:cs="Arial" w:eastAsia="Arial" w:hAnsi="Arial"/>
                <w:sz w:val="18"/>
                <w:szCs w:val="18"/>
                <w:color w:val="auto"/>
              </w:rPr>
              <w:t>Unamortized discounts and debt issuance costs</w:t>
            </w: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(7,514)</w:t>
            </w:r>
          </w:p>
        </w:tc>
        <w:tc>
          <w:tcPr>
            <w:tcW w:w="220" w:type="dxa"/>
            <w:vAlign w:val="bottom"/>
          </w:tcPr>
          <w:p>
            <w:pPr>
              <w:spacing w:after="0"/>
              <w:rPr>
                <w:sz w:val="19"/>
                <w:szCs w:val="19"/>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440" w:type="dxa"/>
            <w:vAlign w:val="bottom"/>
            <w:tcBorders>
              <w:top w:val="single" w:sz="8" w:color="CFF0FC"/>
              <w:bottom w:val="single" w:sz="8" w:color="CFF0FC"/>
            </w:tcBorders>
            <w:shd w:val="clear" w:color="auto" w:fill="CFF0FC"/>
          </w:tcPr>
          <w:p>
            <w:pPr>
              <w:spacing w:after="0"/>
              <w:rPr>
                <w:sz w:val="19"/>
                <w:szCs w:val="19"/>
                <w:color w:val="auto"/>
              </w:rPr>
            </w:pPr>
          </w:p>
        </w:tc>
        <w:tc>
          <w:tcPr>
            <w:tcW w:w="3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222,486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300" w:type="dxa"/>
            <w:vAlign w:val="bottom"/>
            <w:vMerge w:val="restart"/>
          </w:tcPr>
          <w:p>
            <w:pPr>
              <w:jc w:val="right"/>
              <w:ind w:right="1931"/>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4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jc w:val="both"/>
        <w:ind w:firstLine="225"/>
        <w:spacing w:after="0" w:line="252" w:lineRule="auto"/>
        <w:rPr>
          <w:sz w:val="20"/>
          <w:szCs w:val="20"/>
          <w:color w:val="auto"/>
        </w:rPr>
      </w:pPr>
      <w:r>
        <w:rPr>
          <w:rFonts w:ascii="Arial" w:cs="Arial" w:eastAsia="Arial" w:hAnsi="Arial"/>
          <w:sz w:val="18"/>
          <w:szCs w:val="18"/>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 In addition, the Company incurred $1.2 million of debt issuance costs associated with the Convertible Notes. The Company used a portion of the net proceeds from the issuance of the Convertible Notes to make a partial repayment of outstanding Credit Facility borrowings (as discussed above), and intends to use the remainder for working capital or other general corporate purposes.</w:t>
      </w:r>
    </w:p>
    <w:p>
      <w:pPr>
        <w:spacing w:after="0" w:line="16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Convertible Notes are senior unsecured obligations of the Company and bear interest at a rate of 0.500% per annum on the principal thereof, payable semi-annually in arrears on April 1 and October 1 of each year, beginning on October 1, 2021. The Convertible Notes will mature on April 1, 2026, unless they are redeemed or repurchased by the Company or converted on an earlier date.</w:t>
      </w:r>
    </w:p>
    <w:p>
      <w:pPr>
        <w:spacing w:after="0" w:line="145"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Holders of the Convertible Notes have the right to convert their notes in certain circumstances and during specified periods. Before January 1, 2026, holders of the Convertible Notes have the right to convert their notes only upon the occurrence of certain events. From and after January 1, 2026, holders of the Convertible Notes may convert their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42"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note for redemption will constitute a “make-whole fundamental change” with respect to that note, in which case the conversion rate applicable to the conversion of that note will be increased in certain circumstances if such note is converted after it is called for redemption.</w:t>
      </w:r>
    </w:p>
    <w:p>
      <w:pPr>
        <w:spacing w:after="0" w:line="16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upon the occurrence of a “fundamental change” (as defined in the indenture governing the Convertible Notes), holders may require the Company to repurchase their notes at a cash repurchase price equal to the principal amount of the notes to be repurchased, plus accrued and unpaid interest, if any.</w:t>
      </w:r>
    </w:p>
    <w:p>
      <w:pPr>
        <w:spacing w:after="0" w:line="145"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On January 1, 2021, the Company elected to early adopt ASU No. 2020-06, “Debt—Debt with Conversion and Other Options (Subtopic 470-20) and Derivatives and Hedging—Contracts in Entity’s Own Equity (Subtopic 815-40): Accounting for Convertible Instruments and Contracts in an Entity’s Own Equity” (“ASU 2020-06”). ASU 2020-06 simplifies the accounting for convertible debt that may be settled in cash. As a result, the Company recorded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ASU 2020-06 modifies the treatment of convertible debt securities that may be settled in cash or shares by requiring the use of the “if-converted” method.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44"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on March 16, 2021, and is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3" w:name="page24"/>
    <w:bookmarkEnd w:id="23"/>
    <w:p>
      <w:pPr>
        <w:jc w:val="both"/>
        <w:ind w:firstLine="225"/>
        <w:spacing w:after="0" w:line="270" w:lineRule="auto"/>
        <w:rPr>
          <w:sz w:val="20"/>
          <w:szCs w:val="20"/>
          <w:color w:val="auto"/>
        </w:rPr>
      </w:pPr>
      <w:r>
        <w:rPr>
          <w:rFonts w:ascii="Arial" w:cs="Arial" w:eastAsia="Arial" w:hAnsi="Arial"/>
          <w:sz w:val="18"/>
          <w:szCs w:val="18"/>
          <w:color w:val="auto"/>
        </w:rPr>
        <w:t>The Capped Call Transactions are separate transactions, and are not part of the terms of the Convertible Notes and will not affect any holder’s rights under the notes. Holders of the Convertible Notes will not have any rights with respect to the Capped Call Transactions.</w:t>
      </w:r>
    </w:p>
    <w:p>
      <w:pPr>
        <w:spacing w:after="0" w:line="14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Condensed Consolidated Statements of Shareholder’s Equity and Condensed Consolidated Balance Sheets.</w:t>
      </w:r>
    </w:p>
    <w:p>
      <w:pPr>
        <w:spacing w:after="0" w:line="145" w:lineRule="exact"/>
        <w:rPr>
          <w:sz w:val="20"/>
          <w:szCs w:val="20"/>
          <w:color w:val="auto"/>
        </w:rPr>
      </w:pPr>
    </w:p>
    <w:p>
      <w:pPr>
        <w:ind w:left="220" w:hanging="213"/>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w:t>
      </w:r>
    </w:p>
    <w:p>
      <w:pPr>
        <w:spacing w:after="0" w:line="18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In the ordinary course of business, the Company enters into contractual agreements with third parties that include non-cancellable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15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Contingencies and guarantees</w:t>
      </w:r>
    </w:p>
    <w:p>
      <w:pPr>
        <w:spacing w:after="0" w:line="180"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144" w:lineRule="exact"/>
        <w:rPr>
          <w:sz w:val="20"/>
          <w:szCs w:val="20"/>
          <w:color w:val="auto"/>
        </w:rPr>
      </w:pPr>
    </w:p>
    <w:p>
      <w:pPr>
        <w:jc w:val="both"/>
        <w:ind w:firstLine="231"/>
        <w:spacing w:after="0" w:line="265" w:lineRule="auto"/>
        <w:tabs>
          <w:tab w:leader="none" w:pos="1034"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consisting of past and future rents owed to the Company, plus interest and costs, as well as an additional $2,512 each day in interest from October 1, 2007 until the date the award is paid. In July 2008, E-City commenced a proceeding in Mumbai, India seeking an order that the ICC award may not be recognized in India and on June 10, 2013, the Bombay High Court ruled that it had jurisdiction over the proceeding filed by E-City. The Company appealed that ruling to the Supreme Court of India, and on March 10, 2017, the Supreme Court set aside the Bombay High Court’s judgment and dismissed E-City’s petition. On March 29, 2017, the Company filed an Execution Application in the Bombay High Court seeking to enforce the ICC award against E-City and several related parties.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October 2015,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jc w:val="both"/>
        <w:ind w:firstLine="231"/>
        <w:spacing w:after="0" w:line="281" w:lineRule="auto"/>
        <w:tabs>
          <w:tab w:leader="none" w:pos="1083"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November 11, 2013, Giencourt Investments, S.A. (“Giencourt”) initiated arbitration before the International Centre for Dispute Resolution in Miami, Florida, based on alleged breaches by the Company of its theater agreement and related license agreement with Giencourt. An arbitration hearing for witness testimony was held during the week of December 14, 2015. At the hearing, Giencourt’s expert identified monetary damages of up to approximately $10.4 million, which Giencourt sought to recover from the Company. The Company asserted a counterclaim against Giencourt for breach of contract and sought to recover lost profits in excess of $24.0 million under the agreements. Subsequently, in December 2015, Giencourt made a motion to the panel seeking to enforce a purported settlement of the matter based on negotiations between Giencourt and the Company. The panel held a final hearing with closing arguments in October 2016. On February 7, 2017, the panel issued a Partial Final Award and on July 21, 2017, the panel issued a Final Award (collectively, the “Award”), which held that the parties had reached a binding settlement, and therefore the panel did not reach the merits of the dispute. The Company strongly disputes that discussions about a potential resolution of this matter amounted to an enforceable settlement. In October 2017, the Company filed a petition to vacate the arbitration award in the United States Court for the Southern District of Florida on various grounds, including that the panel exceeded its jurisdiction, and a hearing was held on June 27, 2019. On September 27, 2019, a Magistrate Judge filed a non-binding recommendation that the Company’s petition be dismissed. On October 14, 2019, the Company filed an objection to that recommendation. The Company’s petition to vacate the arbitration award was denied by the District Judge on January 10, 2020. The Company filed an appeal of this decision on February 7, 2020 with the Eleventh Circuit Court of Appeals, but such appeal was dismissed on May 29, 2020. On December 3, 2020, the District Judge entered a Final Judgment against the Company in the total amount of $11.3 million as damages under the Award. As of March 31, 2021 and December 31, 2020, the Company’s Condensed Consolidated Balance Sheets include a liability within Accrued and Other Liabilities of $11.3 million related to the Final Judgment, consisting of $7.2 million related to amounts previously collected from or owed to Giencourt principally in respect of theater systems that were not delivered and $4.1 million recorded during the year ended December 31, 2020 in the Company’s Condensed Consolidated Statements of Operations within Legal Judgment and Arbitration Awards in respect of the remaining amounts owed under the Final Judgment. The $4.1 million recorded in the Condensed Consolidated Statements of Operations within Legal Judgment and Arbitration Awards includes $3.2 million recorded in the fourth quarter of 2020 as a result of the Final Judgment. On January 4, 2021, the Company filed an appeal of this judgment with the Eleventh Circuit Court of Appeals. In addition to the above, the Company has initiated a claim against Giencourt in the Ontario Superior Court seeking damages from Giencourt with respect to contractual claims under various terminated agreements between the parties. These proceedings are in preliminary stages, and no assurances can be given with respect to the ultimate outcome of the matter, but any amounts, if awarded to the Company under these proceedings, may reduce the Company’s overall financial obligations to Giencourt.</w:t>
      </w:r>
    </w:p>
    <w:p>
      <w:pPr>
        <w:spacing w:after="0" w:line="200" w:lineRule="exact"/>
        <w:rPr>
          <w:rFonts w:ascii="Arial" w:cs="Arial" w:eastAsia="Arial" w:hAnsi="Arial"/>
          <w:sz w:val="16"/>
          <w:szCs w:val="16"/>
          <w:color w:val="auto"/>
        </w:rPr>
      </w:pPr>
    </w:p>
    <w:p>
      <w:pPr>
        <w:spacing w:after="0" w:line="374" w:lineRule="exact"/>
        <w:rPr>
          <w:rFonts w:ascii="Arial" w:cs="Arial" w:eastAsia="Arial" w:hAnsi="Arial"/>
          <w:sz w:val="16"/>
          <w:szCs w:val="16"/>
          <w:color w:val="auto"/>
        </w:rPr>
      </w:pPr>
    </w:p>
    <w:p>
      <w:pPr>
        <w:jc w:val="both"/>
        <w:ind w:firstLine="231"/>
        <w:spacing w:after="0" w:line="259" w:lineRule="auto"/>
        <w:tabs>
          <w:tab w:leader="none" w:pos="1133"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84" w:lineRule="exact"/>
        <w:rPr>
          <w:rFonts w:ascii="Arial" w:cs="Arial" w:eastAsia="Arial" w:hAnsi="Arial"/>
          <w:sz w:val="18"/>
          <w:szCs w:val="18"/>
          <w:color w:val="auto"/>
        </w:rPr>
      </w:pPr>
    </w:p>
    <w:p>
      <w:pPr>
        <w:jc w:val="both"/>
        <w:ind w:firstLine="230"/>
        <w:spacing w:after="0" w:line="271" w:lineRule="auto"/>
        <w:tabs>
          <w:tab w:leader="none" w:pos="1122"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3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Financial Guarantees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subsidiaries of the Company have provided significant financial guarantees to third parties under the Credit Agreement.</w:t>
      </w:r>
    </w:p>
    <w:p>
      <w:pPr>
        <w:spacing w:after="0" w:line="180"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Product Warranties</w:t>
      </w:r>
    </w:p>
    <w:p>
      <w:pPr>
        <w:spacing w:after="0" w:line="180"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The Company’s accrual for product warranties, which is recorded within Accrued and Other Liabilities in the Condensed Consolidated Balance Sheets, was less than $0.1 million as of March 31, 2021 and December 31, 2020,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5" w:name="page26"/>
    <w:bookmarkEnd w:id="25"/>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4"/>
          <w:szCs w:val="14"/>
          <w:b w:val="1"/>
          <w:bCs w:val="1"/>
          <w:i w:val="1"/>
          <w:iCs w:val="1"/>
          <w:color w:val="auto"/>
        </w:rPr>
        <w:t>Director/Officer Indemnifications</w:t>
      </w:r>
    </w:p>
    <w:p>
      <w:pPr>
        <w:spacing w:after="0" w:line="18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Arial" w:cs="Arial" w:eastAsia="Arial" w:hAnsi="Arial"/>
          <w:sz w:val="16"/>
          <w:szCs w:val="16"/>
          <w:i w:val="1"/>
          <w:iCs w:val="1"/>
          <w:color w:val="auto"/>
        </w:rPr>
        <w:t>Canada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Corporations Act</w:t>
      </w:r>
      <w:r>
        <w:rPr>
          <w:rFonts w:ascii="Arial" w:cs="Arial" w:eastAsia="Arial" w:hAnsi="Arial"/>
          <w:sz w:val="16"/>
          <w:szCs w:val="16"/>
          <w:color w:val="auto"/>
        </w:rPr>
        <w:t>, against expenses (including legal fees), judgments, fines and any amounts actually and reasonably incurred by them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Company’s Condensed Consolidated Balance Sheets as of March 31, 2021 and December 31, 2020, with respect to this indemnity.</w:t>
      </w:r>
    </w:p>
    <w:p>
      <w:pPr>
        <w:spacing w:after="0" w:line="143" w:lineRule="exact"/>
        <w:rPr>
          <w:sz w:val="20"/>
          <w:szCs w:val="20"/>
          <w:color w:val="auto"/>
        </w:rPr>
      </w:pPr>
    </w:p>
    <w:p>
      <w:pPr>
        <w:ind w:left="600" w:hanging="379"/>
        <w:spacing w:after="0"/>
        <w:tabs>
          <w:tab w:leader="none" w:pos="6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Indemnification Agreements</w:t>
      </w:r>
    </w:p>
    <w:p>
      <w:pPr>
        <w:spacing w:after="0" w:line="180"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In the normal course of the Company’s operations, the Company provides indemnifications to counterparties in transactions such as: IMAX Theater Systems lease and sale agreements and the supervision of installation or servicing of IMAX Theater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Theater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38" w:lineRule="exact"/>
        <w:rPr>
          <w:sz w:val="20"/>
          <w:szCs w:val="20"/>
          <w:color w:val="auto"/>
        </w:rPr>
      </w:pPr>
    </w:p>
    <w:p>
      <w:pPr>
        <w:ind w:left="220" w:hanging="213"/>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Operations Supplemental Information</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Selling Expenses</w:t>
      </w:r>
    </w:p>
    <w:p>
      <w:pPr>
        <w:spacing w:after="0" w:line="180"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Sales commissions and other selling expenses paid prior to the recognition of the related revenue are deferred and recognized in the Condensed Consolidated Statements of Operations upon the recognition of the related theater system revenue. For the three months ended March 31, 2021, the sales commission costs recognized within Costs and Expenses Applicable to Revenues – Technology Sales are $0.1 million (2020 — $0.1 million). Direct advertising and marketing costs for each theater are expensed as incurred. For the three months ended March 31, 2021, the total of all such costs recognized within Costs and Expenses Applicable to Revenues – Technology Sales was $0.1 million (2020 — $0.1 million).</w:t>
      </w:r>
    </w:p>
    <w:p>
      <w:pPr>
        <w:spacing w:after="0" w:line="152"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Sales commissions related to joint revenue sharing arrangements accounted for operating leases are recognized as Costs and Expenses Applicable to Revenues – Technology Rentals in the month they are earned by the salesperson, which is typically the month of installation. For the three months ended March 31, 2021, sales commissions related to such joint revenue sharing arrangements totaled $0.2 million (2020 — $0.2 million). Direct advertising and marketing costs for each theater are expensed as incurred. For the three months ended March 31, 2021, the total of such costs recognized within Costs and Expenses Applicable to Revenues – Technology Rentals was $0.6 million (2020 — $0.3 million).</w:t>
      </w:r>
    </w:p>
    <w:p>
      <w:pPr>
        <w:spacing w:after="0" w:line="139"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Film exploitation costs, including advertising and marketing expense, totaled $1.2 million for the three months ended March 31, 2021 (2020 — $2.6 million), and are expensed as incurred within Costs and Expenses Applicable to Revenues – Image Enhancement and Maintenance Services.</w:t>
      </w:r>
    </w:p>
    <w:p>
      <w:pPr>
        <w:spacing w:after="0" w:line="112"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Foreign Exchange</w:t>
      </w:r>
    </w:p>
    <w:p>
      <w:pPr>
        <w:spacing w:after="0" w:line="32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Included in Selling, General and Administrative Expenses for the three months ended March 31, 2021 is a net gain of $0.6 million of (2020 — loss of $(0.7) million) resulting from changes in exchange rates related to foreign currency denominated monetary assets and liabilities. See Note 16(c) for additional information.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Collaborative Arrangements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Joint Revenue Sharing Arrangements</w:t>
      </w:r>
    </w:p>
    <w:p>
      <w:pPr>
        <w:spacing w:after="0" w:line="194"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Company provides IMAX Theater Systems to customers through joint revenue sharing arrangements. Under the traditional form of these arrangements, in exchange for providing the IMAX Theater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Theater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Theater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3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March 31, 2021, the Company has signed traditional and hybrid joint revenue sharing agreements with 41 exhibitors (2020 — 41) for a total of 1,228 IMAX Theater Systems (2020 — 1,220), of which 896 theaters (2020 — 867) were operational and included in the network as of that date. The terms of these arrangements are similar in nature, rights and obligations. The accounting policy for the Company’s joint revenue sharing arrangements is disclosed in Note 3(n) of the Company’s 2020 Form 10-K.</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Revenue attributable to transactions arising between the Company and its customers under joint revenue sharing arrangements are recorded within Revenues — Technology Sales and Revenues — Technology Rentals. For the three months ended March 31, 2021, such revenues totaled $10.1 million (2020 — $6.8 million). (See Note 13(a) for a disaggregated presentation of the Company’s revenues.)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an IMAX DMR arrangement, the Company receives a percentage of the box office receipts from a third party who owns the copyright to a film in exchange for converting the film into IMAX DMR format and distributing it through the IMAX network. In recent years,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49"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three months ended March 31, 2021, the majority of IMAX DMR revenue was earned from the exhibition of 18 IMAX DMR films (12 new and 6 carryovers) and the re-release of classic titles throughout the IMAX theater network, as compared to 13 films (9 new and 4 carryovers) in the first quarter of 2020. The accounting policy for the Company’s IMAX DMR arrangements is disclosed in Note 3(n) of the Company’s 2020 Form 10-K.</w:t>
      </w:r>
    </w:p>
    <w:p>
      <w:pPr>
        <w:spacing w:after="0" w:line="14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Revenue attributable to transactions arising between the Company and its customers under IMAX DMR arrangements are included in Revenues – Image Enhancement and Maintenance Services. For the three months ended March 31, 2021, such revenues totaled $11.9 million (2020 — $10.6 million). (See Note 13(a) for a disaggregated presentation of the Company’s revenues.)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Co-Produced Film Arrangements</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In certain film arrangements, the Company co-produces a film with a third party whereby the third party retains the copyright and rights to the film. In some cases, the Company obtains exclusive theatrical distribution rights to the film. Under these arrangements, both parties contribute funding to the Company’s partly-owned subsidiary for the production and distribution of the film and for associated exploitation costs.</w:t>
      </w:r>
    </w:p>
    <w:p>
      <w:pPr>
        <w:spacing w:after="0" w:line="142"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As of March 31, 2021, the Company has one co-produced film arrangement, which represents the VIE total assets balance of $1.6 million and liabilities balance of $0.3 million and three other co-produced film arrangements, the terms of which are similar. The accounting policies relating to co-produced film arrangements are disclosed in Notes 3(a) and 3(n) of the Company’s 2020 Form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jc w:val="both"/>
        <w:ind w:firstLine="225"/>
        <w:spacing w:after="0" w:line="259" w:lineRule="auto"/>
        <w:rPr>
          <w:sz w:val="20"/>
          <w:szCs w:val="20"/>
          <w:color w:val="auto"/>
        </w:rPr>
      </w:pPr>
      <w:r>
        <w:rPr>
          <w:rFonts w:ascii="Arial" w:cs="Arial" w:eastAsia="Arial" w:hAnsi="Arial"/>
          <w:sz w:val="18"/>
          <w:szCs w:val="18"/>
          <w:color w:val="auto"/>
        </w:rPr>
        <w:t>For the three months ended March 31, 2021, an expense of less than $0.1 million (2020 —$0.2 million) attributable to transactions between the Company and other parties involved in the production of the films have been included in Costs and Expenses Applicable to Revenues – Image Enhancement and Maintenance Services.</w:t>
      </w:r>
    </w:p>
    <w:p>
      <w:pPr>
        <w:spacing w:after="0" w:line="154" w:lineRule="exact"/>
        <w:rPr>
          <w:sz w:val="20"/>
          <w:szCs w:val="20"/>
          <w:color w:val="auto"/>
        </w:rPr>
      </w:pPr>
    </w:p>
    <w:p>
      <w:pPr>
        <w:ind w:left="320" w:hanging="313"/>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Cash Flows – Supplemental Information</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other operating assets and liabilities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4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5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Decrease (increase) in:</w:t>
            </w:r>
          </w:p>
        </w:tc>
        <w:tc>
          <w:tcPr>
            <w:tcW w:w="2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tcPr>
          <w:p>
            <w:pPr>
              <w:ind w:left="120"/>
              <w:spacing w:after="0"/>
              <w:rPr>
                <w:sz w:val="20"/>
                <w:szCs w:val="20"/>
                <w:color w:val="auto"/>
              </w:rPr>
            </w:pPr>
            <w:r>
              <w:rPr>
                <w:rFonts w:ascii="Arial" w:cs="Arial" w:eastAsia="Arial" w:hAnsi="Arial"/>
                <w:sz w:val="18"/>
                <w:szCs w:val="18"/>
                <w:color w:val="auto"/>
              </w:rPr>
              <w:t>Financing receivables</w:t>
            </w:r>
          </w:p>
        </w:tc>
        <w:tc>
          <w:tcPr>
            <w:tcW w:w="304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1,271</w:t>
            </w:r>
          </w:p>
        </w:tc>
        <w:tc>
          <w:tcPr>
            <w:tcW w:w="260" w:type="dxa"/>
            <w:vAlign w:val="bottom"/>
          </w:tcPr>
          <w:p>
            <w:pPr>
              <w:spacing w:after="0"/>
              <w:rPr>
                <w:sz w:val="19"/>
                <w:szCs w:val="19"/>
                <w:color w:val="auto"/>
              </w:rPr>
            </w:pPr>
          </w:p>
        </w:tc>
        <w:tc>
          <w:tcPr>
            <w:tcW w:w="640" w:type="dxa"/>
            <w:vAlign w:val="bottom"/>
          </w:tcPr>
          <w:p>
            <w:pPr>
              <w:jc w:val="right"/>
              <w:ind w:right="44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Prepaid expenses</w:t>
            </w:r>
          </w:p>
        </w:tc>
        <w:tc>
          <w:tcPr>
            <w:tcW w:w="2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(2,996)</w:t>
            </w: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27"/>
        </w:trPr>
        <w:tc>
          <w:tcPr>
            <w:tcW w:w="4900" w:type="dxa"/>
            <w:vAlign w:val="bottom"/>
          </w:tcPr>
          <w:p>
            <w:pPr>
              <w:ind w:left="120"/>
              <w:spacing w:after="0"/>
              <w:rPr>
                <w:sz w:val="20"/>
                <w:szCs w:val="20"/>
                <w:color w:val="auto"/>
              </w:rPr>
            </w:pPr>
            <w:r>
              <w:rPr>
                <w:rFonts w:ascii="Arial" w:cs="Arial" w:eastAsia="Arial" w:hAnsi="Arial"/>
                <w:sz w:val="18"/>
                <w:szCs w:val="18"/>
                <w:color w:val="auto"/>
              </w:rPr>
              <w:t>Variable consideration receivables</w:t>
            </w: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(569)</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assets</w:t>
            </w:r>
          </w:p>
        </w:tc>
        <w:tc>
          <w:tcPr>
            <w:tcW w:w="2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(470)</w:t>
            </w: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Increase (decrease) in:</w:t>
            </w: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(4,538)</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tcPr>
          <w:p>
            <w:pPr>
              <w:ind w:left="120"/>
              <w:spacing w:after="0"/>
              <w:rPr>
                <w:sz w:val="20"/>
                <w:szCs w:val="20"/>
                <w:color w:val="auto"/>
              </w:rPr>
            </w:pPr>
            <w:r>
              <w:rPr>
                <w:rFonts w:ascii="Arial" w:cs="Arial" w:eastAsia="Arial" w:hAnsi="Arial"/>
                <w:sz w:val="18"/>
                <w:szCs w:val="18"/>
                <w:color w:val="auto"/>
              </w:rPr>
              <w:t>Accrued and other liabilities</w:t>
            </w: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3,147</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0"/>
        </w:trPr>
        <w:tc>
          <w:tcPr>
            <w:tcW w:w="4900" w:type="dxa"/>
            <w:vAlign w:val="bottom"/>
            <w:tcBorders>
              <w:top w:val="single" w:sz="8" w:color="CFF0FC"/>
              <w:bottom w:val="single" w:sz="8" w:color="CFF0FC"/>
            </w:tcBorders>
            <w:shd w:val="clear" w:color="auto" w:fill="CFF0FC"/>
          </w:tcPr>
          <w:p>
            <w:pPr>
              <w:spacing w:after="0"/>
              <w:rPr>
                <w:sz w:val="19"/>
                <w:szCs w:val="19"/>
                <w:color w:val="auto"/>
              </w:rPr>
            </w:pPr>
          </w:p>
        </w:tc>
        <w:tc>
          <w:tcPr>
            <w:tcW w:w="25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3"/>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220"/>
              <w:spacing w:after="0"/>
              <w:rPr>
                <w:sz w:val="20"/>
                <w:szCs w:val="20"/>
                <w:color w:val="auto"/>
              </w:rPr>
            </w:pPr>
            <w:r>
              <w:rPr>
                <w:rFonts w:ascii="Arial" w:cs="Arial" w:eastAsia="Arial" w:hAnsi="Arial"/>
                <w:sz w:val="18"/>
                <w:szCs w:val="18"/>
                <w:b w:val="1"/>
                <w:bCs w:val="1"/>
                <w:i w:val="1"/>
                <w:iCs w:val="1"/>
                <w:color w:val="auto"/>
              </w:rPr>
              <w:t>(b)  Depreciation and amortization</w:t>
            </w:r>
          </w:p>
        </w:tc>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90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9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9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25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900" w:type="dxa"/>
            <w:vAlign w:val="bottom"/>
            <w:tcBorders>
              <w:bottom w:val="single" w:sz="8" w:color="CFF0FC"/>
            </w:tcBorders>
            <w:vMerge w:val="continue"/>
          </w:tcPr>
          <w:p>
            <w:pPr>
              <w:spacing w:after="0"/>
              <w:rPr>
                <w:sz w:val="13"/>
                <w:szCs w:val="13"/>
                <w:color w:val="auto"/>
              </w:rPr>
            </w:pPr>
          </w:p>
        </w:tc>
        <w:tc>
          <w:tcPr>
            <w:tcW w:w="25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6"/>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3"/>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Film assets</w:t>
            </w:r>
          </w:p>
        </w:tc>
        <w:tc>
          <w:tcPr>
            <w:tcW w:w="25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3"/>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Equipment supporting joint revenue sharing arrangements</w:t>
            </w:r>
          </w:p>
        </w:tc>
        <w:tc>
          <w:tcPr>
            <w:tcW w:w="2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5,743</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tcPr>
          <w:p>
            <w:pPr>
              <w:ind w:left="120"/>
              <w:spacing w:after="0"/>
              <w:rPr>
                <w:sz w:val="20"/>
                <w:szCs w:val="20"/>
                <w:color w:val="auto"/>
              </w:rPr>
            </w:pPr>
            <w:r>
              <w:rPr>
                <w:rFonts w:ascii="Arial" w:cs="Arial" w:eastAsia="Arial" w:hAnsi="Arial"/>
                <w:sz w:val="18"/>
                <w:szCs w:val="18"/>
                <w:color w:val="auto"/>
              </w:rPr>
              <w:t>Other property, plant and equipment</w:t>
            </w: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2,476</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2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Other assets</w:t>
            </w: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494</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25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12,986</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80" w:type="dxa"/>
            <w:vAlign w:val="bottom"/>
            <w:vMerge w:val="restart"/>
          </w:tcPr>
          <w:p>
            <w:pPr>
              <w:jc w:val="right"/>
              <w:ind w:right="1671"/>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49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Write-downs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15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960" w:type="dxa"/>
            <w:vAlign w:val="bottom"/>
            <w:tcBorders>
              <w:bottom w:val="single" w:sz="8" w:color="CFF0FC"/>
            </w:tcBorders>
            <w:gridSpan w:val="2"/>
            <w:vMerge w:val="continue"/>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7"/>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4"/>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Film assets</w:t>
            </w:r>
            <w:r>
              <w:rPr>
                <w:rFonts w:ascii="Arial" w:cs="Arial" w:eastAsia="Arial" w:hAnsi="Arial"/>
                <w:sz w:val="15"/>
                <w:szCs w:val="15"/>
                <w:color w:val="auto"/>
              </w:rPr>
              <w:t>(1)</w:t>
            </w:r>
          </w:p>
        </w:tc>
        <w:tc>
          <w:tcPr>
            <w:tcW w:w="15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gridSpan w:val="2"/>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5"/>
                <w:szCs w:val="15"/>
                <w:color w:val="auto"/>
              </w:rPr>
              <w:t>(2)</w:t>
            </w: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15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gridSpan w:val="2"/>
          </w:tcPr>
          <w:p>
            <w:pPr>
              <w:ind w:left="120"/>
              <w:spacing w:after="0"/>
              <w:rPr>
                <w:sz w:val="20"/>
                <w:szCs w:val="20"/>
                <w:color w:val="auto"/>
              </w:rPr>
            </w:pPr>
            <w:r>
              <w:rPr>
                <w:rFonts w:ascii="Arial" w:cs="Arial" w:eastAsia="Arial" w:hAnsi="Arial"/>
                <w:sz w:val="18"/>
                <w:szCs w:val="18"/>
                <w:color w:val="auto"/>
              </w:rPr>
              <w:t>Equipment supporting joint revenue sharing arrangements</w:t>
            </w:r>
            <w:r>
              <w:rPr>
                <w:rFonts w:ascii="Arial" w:cs="Arial" w:eastAsia="Arial" w:hAnsi="Arial"/>
                <w:sz w:val="15"/>
                <w:szCs w:val="15"/>
                <w:color w:val="auto"/>
              </w:rPr>
              <w:t>(3)</w:t>
            </w: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property, plant and equipment</w:t>
            </w:r>
          </w:p>
        </w:tc>
        <w:tc>
          <w:tcPr>
            <w:tcW w:w="15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gridSpan w:val="2"/>
          </w:tcPr>
          <w:p>
            <w:pPr>
              <w:spacing w:after="0"/>
              <w:rPr>
                <w:sz w:val="20"/>
                <w:szCs w:val="20"/>
                <w:color w:val="auto"/>
              </w:rPr>
            </w:pPr>
            <w:r>
              <w:rPr>
                <w:rFonts w:ascii="Arial" w:cs="Arial" w:eastAsia="Arial" w:hAnsi="Arial"/>
                <w:sz w:val="18"/>
                <w:szCs w:val="18"/>
                <w:color w:val="auto"/>
              </w:rPr>
              <w:t>Inventories</w:t>
            </w:r>
            <w:r>
              <w:rPr>
                <w:rFonts w:ascii="Arial" w:cs="Arial" w:eastAsia="Arial" w:hAnsi="Arial"/>
                <w:sz w:val="15"/>
                <w:szCs w:val="15"/>
                <w:color w:val="auto"/>
              </w:rPr>
              <w:t>(4)</w:t>
            </w: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446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380" w:hanging="373"/>
        <w:spacing w:after="0" w:line="271"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first quarter of 2020, the Company recorded impairment losses of $2.3 million in Costs and Expenses Applicable to Image Enhancement and Maintenance Services principally to write-down the carrying value of certain documentary and alternative film content due to a decrease in projected box office totals and related revenues based on management’s regular quarterly recoverability assessments. Although no such impairment losses were recorded in the first quarter of 2021, there can be no assurances that there will not be additional write-downs to the carrying values of these assets as the Company continues to assess the ongoing impact of the COVID-19 pandemic (see Notes 1 and 2).</w:t>
      </w:r>
    </w:p>
    <w:p>
      <w:pPr>
        <w:spacing w:after="0" w:line="138" w:lineRule="exact"/>
        <w:rPr>
          <w:rFonts w:ascii="Arial" w:cs="Arial" w:eastAsia="Arial" w:hAnsi="Arial"/>
          <w:sz w:val="17"/>
          <w:szCs w:val="17"/>
          <w:color w:val="auto"/>
        </w:rPr>
      </w:pPr>
    </w:p>
    <w:p>
      <w:pPr>
        <w:ind w:left="380" w:hanging="373"/>
        <w:spacing w:after="0" w:line="27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first quarter of 2020, the Company recorded a write-down of $1.0 million in Asset Impairments related to content-related assets which became impaired in the period. No such impairment loss was recorded in the first quarter of 2021.</w:t>
      </w:r>
    </w:p>
    <w:p>
      <w:pPr>
        <w:spacing w:after="0" w:line="135" w:lineRule="exact"/>
        <w:rPr>
          <w:rFonts w:ascii="Arial" w:cs="Arial" w:eastAsia="Arial" w:hAnsi="Arial"/>
          <w:sz w:val="18"/>
          <w:szCs w:val="18"/>
          <w:color w:val="auto"/>
        </w:rPr>
      </w:pPr>
    </w:p>
    <w:p>
      <w:pPr>
        <w:jc w:val="both"/>
        <w:ind w:left="380" w:hanging="373"/>
        <w:spacing w:after="0" w:line="259"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first quarter of 2021, the Company recorded charges of $0.2 million in Costs and Expenses Applicable to Technology Rentals principally related to the write-down of leased xenon-based digital systems which were taken out of service in connection with customer upgrades to laser-based digital systems.</w:t>
      </w:r>
    </w:p>
    <w:p>
      <w:pPr>
        <w:spacing w:after="0" w:line="144" w:lineRule="exact"/>
        <w:rPr>
          <w:rFonts w:ascii="Arial" w:cs="Arial" w:eastAsia="Arial" w:hAnsi="Arial"/>
          <w:sz w:val="18"/>
          <w:szCs w:val="18"/>
          <w:color w:val="auto"/>
        </w:rPr>
      </w:pPr>
    </w:p>
    <w:p>
      <w:pPr>
        <w:ind w:left="380" w:hanging="373"/>
        <w:spacing w:after="0" w:line="27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three months ended March 31, 2021, the Company recorded write-downs of $0.1 million (2020 — $nil) in Costs and Expenses Applicable to Technology Sales related to excess inventory.</w:t>
      </w:r>
    </w:p>
    <w:p>
      <w:pPr>
        <w:spacing w:after="0" w:line="135" w:lineRule="exact"/>
        <w:rPr>
          <w:rFonts w:ascii="Arial" w:cs="Arial" w:eastAsia="Arial" w:hAnsi="Arial"/>
          <w:sz w:val="18"/>
          <w:szCs w:val="18"/>
          <w:color w:val="auto"/>
        </w:rPr>
      </w:pPr>
    </w:p>
    <w:p>
      <w:pPr>
        <w:ind w:left="600" w:hanging="379"/>
        <w:spacing w:after="0"/>
        <w:tabs>
          <w:tab w:leader="none" w:pos="600" w:val="left"/>
        </w:tabs>
        <w:numPr>
          <w:ilvl w:val="1"/>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non-cash investing activities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5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19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580" w:type="dxa"/>
            <w:vAlign w:val="bottom"/>
            <w:tcBorders>
              <w:bottom w:val="single" w:sz="8" w:color="CFF0FC"/>
            </w:tcBorders>
            <w:vMerge w:val="continue"/>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9"/>
              <w:spacing w:after="0" w:line="154"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5"/>
              <w:spacing w:after="0" w:line="154"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accruals related to:</w:t>
            </w:r>
          </w:p>
        </w:tc>
        <w:tc>
          <w:tcPr>
            <w:tcW w:w="1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tcPr>
          <w:p>
            <w:pPr>
              <w:ind w:left="140"/>
              <w:spacing w:after="0"/>
              <w:rPr>
                <w:sz w:val="20"/>
                <w:szCs w:val="20"/>
                <w:color w:val="auto"/>
              </w:rPr>
            </w:pPr>
            <w:r>
              <w:rPr>
                <w:rFonts w:ascii="Arial" w:cs="Arial" w:eastAsia="Arial" w:hAnsi="Arial"/>
                <w:sz w:val="18"/>
                <w:szCs w:val="18"/>
                <w:color w:val="auto"/>
              </w:rPr>
              <w:t>Investment in joint revenue sharing arrangements</w:t>
            </w:r>
          </w:p>
        </w:tc>
        <w:tc>
          <w:tcPr>
            <w:tcW w:w="234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7"/>
        </w:trPr>
        <w:tc>
          <w:tcPr>
            <w:tcW w:w="5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Acquisition of other intangible assets</w:t>
            </w:r>
          </w:p>
        </w:tc>
        <w:tc>
          <w:tcPr>
            <w:tcW w:w="1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(858)</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1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0"/>
        </w:trPr>
        <w:tc>
          <w:tcPr>
            <w:tcW w:w="558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4"/>
          <w:szCs w:val="14"/>
          <w:b w:val="1"/>
          <w:bCs w:val="1"/>
          <w:i w:val="1"/>
          <w:iCs w:val="1"/>
          <w:color w:val="auto"/>
        </w:rPr>
        <w:t>Significant non-cash financing activities</w:t>
      </w:r>
    </w:p>
    <w:p>
      <w:pPr>
        <w:spacing w:after="0" w:line="194" w:lineRule="exact"/>
        <w:rPr>
          <w:sz w:val="20"/>
          <w:szCs w:val="20"/>
          <w:color w:val="auto"/>
        </w:rPr>
      </w:pPr>
    </w:p>
    <w:p>
      <w:pPr>
        <w:jc w:val="both"/>
        <w:ind w:firstLine="224"/>
        <w:spacing w:after="0" w:line="334" w:lineRule="auto"/>
        <w:rPr>
          <w:sz w:val="20"/>
          <w:szCs w:val="20"/>
          <w:color w:val="auto"/>
        </w:rPr>
      </w:pPr>
      <w:r>
        <w:rPr>
          <w:rFonts w:ascii="Arial" w:cs="Arial" w:eastAsia="Arial" w:hAnsi="Arial"/>
          <w:sz w:val="16"/>
          <w:szCs w:val="16"/>
          <w:color w:val="auto"/>
        </w:rPr>
        <w:t>In the first quarter of 2021, the Company incurred $1.2 million of debt issuance costs related to the Convertible Notes (see Note 7), which were not yet paid as of March 31, 2021 and are recorded on the Condensed Consolidated Balance Sheets within Accounts Payable and Accrued and Other Liabilities.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ind w:left="320" w:hanging="313"/>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4" w:lineRule="exact"/>
        <w:rPr>
          <w:rFonts w:ascii="Arial" w:cs="Arial" w:eastAsia="Arial" w:hAnsi="Arial"/>
          <w:sz w:val="18"/>
          <w:szCs w:val="18"/>
          <w:b w:val="1"/>
          <w:bCs w:val="1"/>
          <w:color w:val="auto"/>
        </w:rPr>
      </w:pPr>
    </w:p>
    <w:p>
      <w:pPr>
        <w:ind w:left="600" w:hanging="379"/>
        <w:spacing w:after="0"/>
        <w:tabs>
          <w:tab w:leader="none" w:pos="600" w:val="left"/>
        </w:tabs>
        <w:numPr>
          <w:ilvl w:val="1"/>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 Expense</w:t>
      </w:r>
    </w:p>
    <w:p>
      <w:pPr>
        <w:spacing w:after="0" w:line="180"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For the three months ended March 31, 2021, the Company recorded income tax expense of $3.1 million (2020 — $15.5 million). The Company’s effective tax rate for the three months ended March 31, 2021 of (41.1)% differs from the Canadian statutory tax rate of 26.2% primarily due to the fact that the Company recorded an additional $7.0 million valuation allowance against deferred tax assets in jurisdictions where management could not reliably forecast that future tax liabilities would arise, primarily due to the uncertainties around the long-term impact of the COVID-19 global pandemic. Accordingly, the tax benefit associated with the current period losses in these jurisdictions is not ultimately reflected in the Company’s Condensed Consolidated Statements of Operations. Also impacting the Company’s effective tax rate for the three months ended March 31, 2021 are jurisdictional tax rate differences, including a difference related to the gain on the sale of the Maoyan investment (see Note 16), as well as changes in estimated contingent liabilities related to the resolution of various tax examinations.</w:t>
      </w:r>
    </w:p>
    <w:p>
      <w:pPr>
        <w:spacing w:after="0" w:line="19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in the first quarter of 2020, the Company recognized a deferred tax liability of $19.7 million for the estimated applicable foreign withholding taxes associated with these historical earnings, which will become payable upon the repatriation of any such earnings.</w:t>
      </w:r>
    </w:p>
    <w:p>
      <w:pPr>
        <w:spacing w:after="0" w:line="165"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auto"/>
        </w:rPr>
        <w:t>As of March 31, 2021, the Company’s Condensed Consolidated Balance Sheets include net deferred income tax assets of $18.3 million, net of a valuation allowance of $38.3 million (December 31, 2020 — $18.0 million, net of a valuation allowance of $28.8 million). The $9.5 million valuation allowance recorded in the current period is reflected within Income Tax Expense in the Company’s Condensed Consolidated Statements of Operations ($7.0 million) and within Shareholder’s Equity on the Company’s Condensed Consolidated Balance Sheets ($2.5 million). The valuation allowance recorded against the Company’s deferred tax assets is primarily the result of uncertainties related to the long-term impact of the COVID-19 global pandemic. The utilization of the Company’s deferred tax assets is dependent on having a sufficient level of future tax liabilities, such as taxable income, in the jurisdictions where the deferred tax assets relate. Accordingly, the net amount recorded on the Condensed Consolidated Balance Sheets relies on management’s projections of future taxable income. The valuation allowance is expected to reverse at the point in time when management determines it is more likely than not that the Company will incur sufficient tax liabilities to allow it to utilize the deferred tax assets against which the valuation allowance is recorded. However, as discussed in Note 1, should actual results differ from management’s projections of future taxable income, an increased valuation allowance may be required. Despite the valuation allowance recorded against its deferred tax assets, the Company remains entitled to benefit from tax attributes which currently have a valuation allowance applied to them.</w:t>
      </w:r>
    </w:p>
    <w:p>
      <w:pPr>
        <w:spacing w:after="0" w:line="14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Income Tax Effect on Other Comprehensive Loss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income tax (expense) benefit related to the following items included in Other Comprehensive Loss are: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0"/>
        </w:trPr>
        <w:tc>
          <w:tcPr>
            <w:tcW w:w="8240" w:type="dxa"/>
            <w:vAlign w:val="bottom"/>
            <w:shd w:val="clear" w:color="auto" w:fill="CFF0FC"/>
          </w:tcPr>
          <w:p>
            <w:pPr>
              <w:spacing w:after="0"/>
              <w:rPr>
                <w:sz w:val="20"/>
                <w:szCs w:val="20"/>
                <w:color w:val="auto"/>
              </w:rPr>
            </w:pPr>
            <w:r>
              <w:rPr>
                <w:rFonts w:ascii="Arial" w:cs="Arial" w:eastAsia="Arial" w:hAnsi="Arial"/>
                <w:sz w:val="18"/>
                <w:szCs w:val="18"/>
                <w:color w:val="auto"/>
              </w:rPr>
              <w:t>Unrealized change in cash flow hedging instruments</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7"/>
        </w:trPr>
        <w:tc>
          <w:tcPr>
            <w:tcW w:w="8240" w:type="dxa"/>
            <w:vAlign w:val="bottom"/>
          </w:tcPr>
          <w:p>
            <w:pPr>
              <w:spacing w:after="0"/>
              <w:rPr>
                <w:sz w:val="20"/>
                <w:szCs w:val="20"/>
                <w:color w:val="auto"/>
              </w:rPr>
            </w:pPr>
            <w:r>
              <w:rPr>
                <w:rFonts w:ascii="Arial" w:cs="Arial" w:eastAsia="Arial" w:hAnsi="Arial"/>
                <w:sz w:val="18"/>
                <w:szCs w:val="18"/>
                <w:color w:val="auto"/>
              </w:rPr>
              <w:t>Realized change in cash flow hedging instruments upon settlement</w:t>
            </w:r>
          </w:p>
        </w:tc>
        <w:tc>
          <w:tcPr>
            <w:tcW w:w="28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8"/>
        </w:trPr>
        <w:tc>
          <w:tcPr>
            <w:tcW w:w="824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unrealized change in ineffective cash flow hedging instruments</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Defined benefit and postretirement benefit plans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0"/>
        </w:trPr>
        <w:tc>
          <w:tcPr>
            <w:tcW w:w="8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554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0" w:name="page31"/>
    <w:bookmarkEnd w:id="30"/>
    <w:p>
      <w:pPr>
        <w:ind w:left="320" w:hanging="313"/>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Share-Based Compensation</w:t>
      </w:r>
    </w:p>
    <w:p>
      <w:pPr>
        <w:spacing w:after="0" w:line="180" w:lineRule="exact"/>
        <w:rPr>
          <w:sz w:val="20"/>
          <w:szCs w:val="20"/>
          <w:color w:val="auto"/>
        </w:rPr>
      </w:pPr>
    </w:p>
    <w:p>
      <w:pPr>
        <w:ind w:right="20" w:firstLine="225"/>
        <w:spacing w:after="0" w:line="270" w:lineRule="auto"/>
        <w:rPr>
          <w:sz w:val="20"/>
          <w:szCs w:val="20"/>
          <w:color w:val="auto"/>
        </w:rPr>
      </w:pPr>
      <w:r>
        <w:rPr>
          <w:rFonts w:ascii="Arial" w:cs="Arial" w:eastAsia="Arial" w:hAnsi="Arial"/>
          <w:sz w:val="18"/>
          <w:szCs w:val="18"/>
          <w:color w:val="auto"/>
        </w:rPr>
        <w:t>For the three months ended March 31, 2021, share-based compensation expense totaled $5.3 million (2020 — $4.2 million) and is reflected in the following accounts in the Condensed Consolidated Statements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770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97"/>
              <w:spacing w:after="0" w:line="154"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4"/>
              <w:spacing w:after="0" w:line="154"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Cost and expenses applicable to revenues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4,944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0"/>
        </w:trPr>
        <w:tc>
          <w:tcPr>
            <w:tcW w:w="77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40"/>
              <w:spacing w:after="0"/>
              <w:rPr>
                <w:sz w:val="20"/>
                <w:szCs w:val="20"/>
                <w:color w:val="auto"/>
              </w:rPr>
            </w:pPr>
            <w:r>
              <w:rPr>
                <w:rFonts w:ascii="Arial" w:cs="Arial" w:eastAsia="Arial" w:hAnsi="Arial"/>
                <w:sz w:val="18"/>
                <w:szCs w:val="18"/>
                <w:color w:val="auto"/>
                <w:w w:val="88"/>
              </w:rPr>
              <w:t>The following table summarizes the Company’s share-based compensation expense by each award type:</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7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7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U.S. Dollars)</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770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7"/>
              <w:spacing w:after="0" w:line="154"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4"/>
              <w:spacing w:after="0" w:line="154"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351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3,151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1,014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IMAX China Stock Options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IMAX China Long Term Incentive Plan Restricted Share Units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632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7"/>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IMAX China Long Term Incentive Plan Performance Stock Units</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103</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0"/>
        </w:trPr>
        <w:tc>
          <w:tcPr>
            <w:tcW w:w="77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5,307</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ind w:right="42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Included in the above table is an expense of $nil in the three months ended March 31, 2021 (2020 — $0.1 million) related to restricted share units granted to a certain advisor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Summary</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activity under the Company’s Stock Option Plan (“SOP”) and IMAX Corporation Second Amended and Restated Long-Term Incentive Plan (as may be amended, “IMAX LTIP”) for the three months ended March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360" w:type="dxa"/>
            <w:vAlign w:val="bottom"/>
            <w:gridSpan w:val="3"/>
            <w:vMerge w:val="restart"/>
          </w:tcPr>
          <w:p>
            <w:pPr>
              <w:jc w:val="right"/>
              <w:ind w:right="593"/>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89"/>
              </w:rPr>
              <w:t>Weighted Average Exercise</w:t>
            </w:r>
          </w:p>
        </w:tc>
        <w:tc>
          <w:tcPr>
            <w:tcW w:w="0" w:type="dxa"/>
            <w:vAlign w:val="bottom"/>
          </w:tcPr>
          <w:p>
            <w:pPr>
              <w:spacing w:after="0"/>
              <w:rPr>
                <w:sz w:val="1"/>
                <w:szCs w:val="1"/>
                <w:color w:val="auto"/>
              </w:rPr>
            </w:pPr>
          </w:p>
        </w:tc>
      </w:tr>
      <w:tr>
        <w:trPr>
          <w:trHeight w:val="170"/>
        </w:trPr>
        <w:tc>
          <w:tcPr>
            <w:tcW w:w="608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Price Per Share</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 beginning of period</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4,892,962</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5,732,209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26.81</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21.26</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(44,362)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(14,876)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23.12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(885,698)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(772,665)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28.31</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27"/>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(10,917)</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jc w:val="right"/>
              <w:ind w:right="36"/>
              <w:spacing w:after="0"/>
              <w:rPr>
                <w:sz w:val="20"/>
                <w:szCs w:val="20"/>
                <w:color w:val="auto"/>
              </w:rPr>
            </w:pPr>
            <w:r>
              <w:rPr>
                <w:rFonts w:ascii="Arial" w:cs="Arial" w:eastAsia="Arial" w:hAnsi="Arial"/>
                <w:sz w:val="18"/>
                <w:szCs w:val="18"/>
                <w:color w:val="auto"/>
              </w:rPr>
              <w:t>27.20</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jc w:val="right"/>
              <w:ind w:right="33"/>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outstanding, end of period</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3,913,231</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4,944,077</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26.56</w:t>
            </w: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Stock options exercisable, end of period</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vMerge w:val="restart"/>
          </w:tcPr>
          <w:p>
            <w:pPr>
              <w:jc w:val="right"/>
              <w:ind w:right="36"/>
              <w:spacing w:after="0"/>
              <w:rPr>
                <w:sz w:val="20"/>
                <w:szCs w:val="20"/>
                <w:color w:val="auto"/>
              </w:rPr>
            </w:pPr>
            <w:r>
              <w:rPr>
                <w:rFonts w:ascii="Arial" w:cs="Arial" w:eastAsia="Arial" w:hAnsi="Arial"/>
                <w:sz w:val="18"/>
                <w:szCs w:val="18"/>
                <w:color w:val="auto"/>
              </w:rPr>
              <w:t>26.93</w:t>
            </w: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line="20" w:lineRule="exact"/>
              <w:rPr>
                <w:sz w:val="1"/>
                <w:szCs w:val="1"/>
                <w:color w:val="auto"/>
              </w:rPr>
            </w:pPr>
          </w:p>
        </w:tc>
      </w:tr>
      <w:tr>
        <w:trPr>
          <w:trHeight w:val="207"/>
        </w:trPr>
        <w:tc>
          <w:tcPr>
            <w:tcW w:w="608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3,615,079</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4,331,193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options are no longer granted under the Company’s previously approved SOP.</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Restricted Share Units (“RSU”) Summary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activity in respect of RSUs issued under the IMAX LTIP for the three months ended March 31, 2021 and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360" w:type="dxa"/>
            <w:vAlign w:val="bottom"/>
            <w:gridSpan w:val="3"/>
            <w:vMerge w:val="restart"/>
          </w:tcPr>
          <w:p>
            <w:pPr>
              <w:jc w:val="right"/>
              <w:ind w:right="574"/>
              <w:spacing w:after="0"/>
              <w:rPr>
                <w:sz w:val="20"/>
                <w:szCs w:val="20"/>
                <w:color w:val="auto"/>
              </w:rPr>
            </w:pPr>
            <w:r>
              <w:rPr>
                <w:rFonts w:ascii="Arial" w:cs="Arial" w:eastAsia="Arial" w:hAnsi="Arial"/>
                <w:sz w:val="14"/>
                <w:szCs w:val="14"/>
                <w:b w:val="1"/>
                <w:bCs w:val="1"/>
                <w:color w:val="auto"/>
              </w:rPr>
              <w:t>Number of Awards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70"/>
        </w:trPr>
        <w:tc>
          <w:tcPr>
            <w:tcW w:w="608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RSUs outstanding, beginning of period</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1,564,838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1,065,347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18.33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754,778</w:t>
            </w:r>
          </w:p>
        </w:tc>
        <w:tc>
          <w:tcPr>
            <w:tcW w:w="1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937,303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Vested and settled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(523,573)</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(295,063)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18.82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27"/>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(60,329)</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(15,521)</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ind w:right="38"/>
              <w:spacing w:after="0"/>
              <w:rPr>
                <w:sz w:val="20"/>
                <w:szCs w:val="20"/>
                <w:color w:val="auto"/>
              </w:rPr>
            </w:pPr>
            <w:r>
              <w:rPr>
                <w:rFonts w:ascii="Arial" w:cs="Arial" w:eastAsia="Arial" w:hAnsi="Arial"/>
                <w:sz w:val="18"/>
                <w:szCs w:val="18"/>
                <w:color w:val="auto"/>
              </w:rPr>
              <w:t>20.08</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34"/>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end of period</w:t>
            </w:r>
          </w:p>
        </w:tc>
        <w:tc>
          <w:tcPr>
            <w:tcW w:w="11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1,735,714</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1,692,066</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19.26</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 Summary</w:t>
      </w:r>
    </w:p>
    <w:p>
      <w:pPr>
        <w:spacing w:after="0" w:line="18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Company grants awards for two types of performance stock units (“PSUs”),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The grant date fair value of PSUs with EBITDA-based targets is equal to the closing price of the Company’s common stock on the date of grant or the average closing price of the Company’s common stock for five days prior to the date of grant. The grant date fair value of PSUs with TSR targets is determined on the grant date using a Monte Carlo simulation, which is a valuation model that takes into account the likelihood of achieving the TSR targets embedded in the award (“Monte Carlo Model”). The compensation expense attributable to each type of PSU is recognized on a straight-line basis over the requisite service period.</w:t>
      </w:r>
    </w:p>
    <w:p>
      <w:pPr>
        <w:spacing w:after="0" w:line="12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fair value determined by the Monte Carlo Model is affected by the Company’s stock price, as well as assumptions regarding a number of highly complex and subjective variables. These variables include, but are not limited to, market conditions as of the grant date, the Company’s expected stock price volatility over the term of the awards, and other relevant data. The compensation expense is fixed on the date of grant based on the fair value of the PSUs granted.</w:t>
      </w:r>
    </w:p>
    <w:p>
      <w:pPr>
        <w:spacing w:after="0" w:line="162"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three months ended March 31, 2021, includes adjustments reflecting management’s estimate of the number of PSUs with EBITDA-based targets expected to vest.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activity in respect of PSUs issued under the IMAX LTIP for the three months ended March 31, 2021 and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720" w:type="dxa"/>
            <w:vAlign w:val="bottom"/>
            <w:gridSpan w:val="5"/>
            <w:vMerge w:val="restart"/>
          </w:tcPr>
          <w:p>
            <w:pPr>
              <w:jc w:val="right"/>
              <w:ind w:right="931"/>
              <w:spacing w:after="0"/>
              <w:rPr>
                <w:sz w:val="20"/>
                <w:szCs w:val="20"/>
                <w:color w:val="auto"/>
              </w:rPr>
            </w:pPr>
            <w:r>
              <w:rPr>
                <w:rFonts w:ascii="Arial" w:cs="Arial" w:eastAsia="Arial" w:hAnsi="Arial"/>
                <w:sz w:val="14"/>
                <w:szCs w:val="14"/>
                <w:b w:val="1"/>
                <w:bCs w:val="1"/>
                <w:color w:val="auto"/>
              </w:rPr>
              <w:t>Number of Awards</w:t>
            </w:r>
          </w:p>
        </w:tc>
        <w:tc>
          <w:tcPr>
            <w:tcW w:w="24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Weighted Average Grant Date</w:t>
            </w:r>
          </w:p>
        </w:tc>
        <w:tc>
          <w:tcPr>
            <w:tcW w:w="0" w:type="dxa"/>
            <w:vAlign w:val="bottom"/>
          </w:tcPr>
          <w:p>
            <w:pPr>
              <w:spacing w:after="0"/>
              <w:rPr>
                <w:sz w:val="1"/>
                <w:szCs w:val="1"/>
                <w:color w:val="auto"/>
              </w:rPr>
            </w:pPr>
          </w:p>
        </w:tc>
      </w:tr>
      <w:tr>
        <w:trPr>
          <w:trHeight w:val="170"/>
        </w:trPr>
        <w:tc>
          <w:tcPr>
            <w:tcW w:w="608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PSUs outstanding, beginning of period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361,844</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308,438</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359,784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(2,526)</w:t>
            </w:r>
          </w:p>
        </w:tc>
        <w:tc>
          <w:tcPr>
            <w:tcW w:w="1480" w:type="dxa"/>
            <w:vAlign w:val="bottom"/>
            <w:gridSpan w:val="3"/>
            <w:shd w:val="clear" w:color="auto" w:fill="CFF0FC"/>
          </w:tcPr>
          <w:p>
            <w:pPr>
              <w:jc w:val="right"/>
              <w:ind w:right="39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080" w:type="dxa"/>
            <w:vAlign w:val="bottom"/>
          </w:tcPr>
          <w:p>
            <w:pPr>
              <w:spacing w:after="0"/>
              <w:rPr>
                <w:sz w:val="20"/>
                <w:szCs w:val="20"/>
                <w:color w:val="auto"/>
              </w:rPr>
            </w:pPr>
            <w:r>
              <w:rPr>
                <w:rFonts w:ascii="Arial" w:cs="Arial" w:eastAsia="Arial" w:hAnsi="Arial"/>
                <w:sz w:val="18"/>
                <w:szCs w:val="18"/>
                <w:color w:val="auto"/>
              </w:rPr>
              <w:t>PSUs outstanding, end of period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667,756</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359,784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As of March 31, 2021, the maximum number of shares of common stock that may be issued with respect to PSUs outstanding is 1,168,573, assuming full achievement of the EBITDA and TSR targets.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Issuer Purchases of Equity Securities</w:t>
      </w:r>
    </w:p>
    <w:p>
      <w:pPr>
        <w:spacing w:after="0" w:line="18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In June 2020, the Company’s Board of Directors approved a 12-month extension to its share repurchase program, through June 30, 2021. The extension authorized the Company to repurchase up to approximately $89.4 million worth of common shares, the remaining amount available of the original $200.0 million initially authorized under the share-repurchase program when it commenced on July 1, 2017. Subsequent to March 31, 2021, the Company’s Board of Directors approved a further 12-month extension of the current share repurchase program through June 30, 2022.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w:t>
      </w:r>
    </w:p>
    <w:p>
      <w:pPr>
        <w:spacing w:after="0" w:line="14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did not repurchase any common shares during the three months ended March 31, 2021. During the three months ended March 31, 2020, the Company repurchased 2,484,123 common shares at an average price of $14.72 per share, excluding commissions. The total number of shares purchased during the three months ended March 31, 2020 does not include the 200,000 common shares purchased in the administration of employee share-based compensation plans, at an average price of $15.43 per share.</w:t>
      </w:r>
    </w:p>
    <w:p>
      <w:pPr>
        <w:spacing w:after="0" w:line="149"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As of March 31, 2021 and December 31, 2020, the IMAX LTIP trustee held 723 shares purchased for less than $0.1 million, respectively, in the open market to be issued upon the settlement of RSUs and certain stock options. The shares held with the trustee are recorded at cost and are reported as a reduction against Capital Stock on the Company’s Condensed Consolidated Balance Sheets.</w:t>
      </w:r>
    </w:p>
    <w:p>
      <w:pPr>
        <w:spacing w:after="0" w:line="145"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8"/>
          <w:szCs w:val="18"/>
          <w:color w:val="auto"/>
        </w:rPr>
        <w:t>In 2020, IMAX China announced that its shareholders granted its Board of Directors a general mandate authorizing the Board, subject to applicable laws, to repurchase of shares of IMAX China not to exceed 10% of the total number of issued shares as of June 11, 2020 (34,848,398 shares). This program will be valid until the 2021 Annual General Meeting of IMAX China, which is scheduled for May 6, 2021. The repurchases may be made in the open market or through other means permitted by applicable laws. IMAX China has no obligation to repurchase its shares and the share repurchase program may be suspended or discontinued by IMAX China at any time. IMAX China did not repurchase any common shares during the three months ended March 31, 2021. During the three months ended March 31, 2020, IMAX China repurchased 480,600 common shares at an average price of HKD $14.42 per share (U.S. $1.85 per share).</w:t>
      </w:r>
    </w:p>
    <w:p>
      <w:pPr>
        <w:spacing w:after="0" w:line="16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Basic and Diluted Weighted Average Shares Outstanding</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reconciles the denominator of the basic and diluted weighted average share computations:</w:t>
      </w:r>
    </w:p>
    <w:p>
      <w:pPr>
        <w:spacing w:after="0" w:line="29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spacing w:after="0" w:line="53"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5715</wp:posOffset>
            </wp:positionV>
            <wp:extent cx="206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6121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0" w:type="dxa"/>
            <w:vAlign w:val="bottom"/>
            <w:gridSpan w:val="2"/>
          </w:tcPr>
          <w:p>
            <w:pPr>
              <w:ind w:left="846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20"/>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(In thousands)</w:t>
            </w:r>
          </w:p>
        </w:tc>
        <w:tc>
          <w:tcPr>
            <w:tcW w:w="9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8800" w:type="dxa"/>
            <w:vAlign w:val="bottom"/>
            <w:gridSpan w:val="2"/>
          </w:tcPr>
          <w:p>
            <w:pPr>
              <w:spacing w:after="0"/>
              <w:rPr>
                <w:sz w:val="20"/>
                <w:szCs w:val="20"/>
                <w:color w:val="auto"/>
              </w:rPr>
            </w:pPr>
            <w:r>
              <w:rPr>
                <w:rFonts w:ascii="Arial" w:cs="Arial" w:eastAsia="Arial" w:hAnsi="Arial"/>
                <w:sz w:val="18"/>
                <w:szCs w:val="18"/>
                <w:color w:val="auto"/>
              </w:rPr>
              <w:t>Issued and outstanding, beginning of period</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58,921</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61,176</w:t>
            </w:r>
          </w:p>
        </w:tc>
        <w:tc>
          <w:tcPr>
            <w:tcW w:w="120" w:type="dxa"/>
            <w:vAlign w:val="bottom"/>
          </w:tcPr>
          <w:p>
            <w:pPr>
              <w:spacing w:after="0"/>
              <w:rPr>
                <w:sz w:val="19"/>
                <w:szCs w:val="19"/>
                <w:color w:val="auto"/>
              </w:rPr>
            </w:pPr>
          </w:p>
        </w:tc>
      </w:tr>
      <w:tr>
        <w:trPr>
          <w:trHeight w:val="228"/>
        </w:trPr>
        <w:tc>
          <w:tcPr>
            <w:tcW w:w="8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number of shares issued (repurchased), net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(758)</w:t>
            </w:r>
          </w:p>
        </w:tc>
      </w:tr>
      <w:tr>
        <w:trPr>
          <w:trHeight w:val="220"/>
        </w:trPr>
        <w:tc>
          <w:tcPr>
            <w:tcW w:w="78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9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59,012</w:t>
            </w:r>
          </w:p>
        </w:tc>
        <w:tc>
          <w:tcPr>
            <w:tcW w:w="3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60,418</w:t>
            </w:r>
          </w:p>
        </w:tc>
        <w:tc>
          <w:tcPr>
            <w:tcW w:w="120" w:type="dxa"/>
            <w:vAlign w:val="bottom"/>
          </w:tcPr>
          <w:p>
            <w:pPr>
              <w:spacing w:after="0"/>
              <w:rPr>
                <w:sz w:val="19"/>
                <w:szCs w:val="19"/>
                <w:color w:val="auto"/>
              </w:rPr>
            </w:pPr>
          </w:p>
        </w:tc>
      </w:tr>
      <w:tr>
        <w:trPr>
          <w:trHeight w:val="228"/>
        </w:trPr>
        <w:tc>
          <w:tcPr>
            <w:tcW w:w="8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effect of potential common shares, if dilutive</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7880" w:type="dxa"/>
            <w:vAlign w:val="bottom"/>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9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59,012</w:t>
            </w:r>
          </w:p>
        </w:tc>
        <w:tc>
          <w:tcPr>
            <w:tcW w:w="3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60,418</w:t>
            </w:r>
          </w:p>
        </w:tc>
        <w:tc>
          <w:tcPr>
            <w:tcW w:w="12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calculation of diluted weighted average shares outstanding excludes 6,494,829 shares (2020 — 6,995,927 shares) that are issuable upon the vesting or exercise of share-based compensation including: (i) 1,735,714 RSUs (2020 — 1,692,066 RSUs), (ii) 845,884 PSUs (2020 — 359,784 PSUs) and (iii) 3,913,231 stock options (2020 — 4,944,077 stock options), as the effect would be anti-dilutive.</w:t>
      </w:r>
    </w:p>
    <w:p>
      <w:pPr>
        <w:spacing w:after="0" w:line="145"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The calculation of diluted weighted average shares outstanding for the three months ended March 31, 2021 also excludes any shares potentially issuable upon the conversion of the Convertible Notes as the average market price of the Company’s common stock during the period of time they were outstanding was less than the conversion price of the Convertible Notes. (See Note 7(b).)</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ind w:left="320" w:hanging="313"/>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Disaggregated Information About Revenue</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tables summarize the Company’s revenues by type and reportable segment for the three months ended March 31, 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center"/>
              <w:ind w:left="353"/>
              <w:spacing w:after="0"/>
              <w:rPr>
                <w:sz w:val="20"/>
                <w:szCs w:val="20"/>
                <w:color w:val="auto"/>
              </w:rPr>
            </w:pPr>
            <w:r>
              <w:rPr>
                <w:rFonts w:ascii="Arial" w:cs="Arial" w:eastAsia="Arial" w:hAnsi="Arial"/>
                <w:sz w:val="14"/>
                <w:szCs w:val="14"/>
                <w:b w:val="1"/>
                <w:bCs w:val="1"/>
                <w:color w:val="auto"/>
                <w:w w:val="94"/>
              </w:rPr>
              <w:t>Three Months Ended March 31, 2021</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Revenue from</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8"/>
              </w:rPr>
              <w:t>Contracts with Customers</w:t>
            </w:r>
          </w:p>
        </w:tc>
        <w:tc>
          <w:tcPr>
            <w:tcW w:w="12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Revenue from</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74"/>
              <w:spacing w:after="0" w:line="131" w:lineRule="exact"/>
              <w:rPr>
                <w:sz w:val="20"/>
                <w:szCs w:val="20"/>
                <w:color w:val="auto"/>
              </w:rPr>
            </w:pPr>
            <w:r>
              <w:rPr>
                <w:rFonts w:ascii="Arial" w:cs="Arial" w:eastAsia="Arial" w:hAnsi="Arial"/>
                <w:sz w:val="14"/>
                <w:szCs w:val="14"/>
                <w:b w:val="1"/>
                <w:bCs w:val="1"/>
                <w:color w:val="auto"/>
              </w:rPr>
              <w:t>Fixed</w:t>
            </w: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73"/>
              <w:spacing w:after="0" w:line="131" w:lineRule="exact"/>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85"/>
              </w:rPr>
              <w:t>Lease</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Finance Income</w:t>
            </w:r>
          </w:p>
        </w:tc>
        <w:tc>
          <w:tcPr>
            <w:tcW w:w="220" w:type="dxa"/>
            <w:vAlign w:val="bottom"/>
          </w:tcPr>
          <w:p>
            <w:pPr>
              <w:spacing w:after="0"/>
              <w:rPr>
                <w:sz w:val="11"/>
                <w:szCs w:val="11"/>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70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0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7"/>
              </w:rPr>
              <w:t>Consideration</w:t>
            </w:r>
          </w:p>
        </w:tc>
        <w:tc>
          <w:tcPr>
            <w:tcW w:w="280" w:type="dxa"/>
            <w:vAlign w:val="bottom"/>
          </w:tcPr>
          <w:p>
            <w:pPr>
              <w:spacing w:after="0"/>
              <w:rPr>
                <w:sz w:val="14"/>
                <w:szCs w:val="14"/>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Consideration</w:t>
            </w: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Arrangements</w:t>
            </w:r>
          </w:p>
        </w:tc>
        <w:tc>
          <w:tcPr>
            <w:tcW w:w="13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gridSpan w:val="2"/>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w:t>
            </w: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838</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1,080</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1,376</w:t>
            </w:r>
          </w:p>
        </w:tc>
        <w:tc>
          <w:tcPr>
            <w:tcW w:w="280" w:type="dxa"/>
            <w:vAlign w:val="bottom"/>
          </w:tcPr>
          <w:p>
            <w:pPr>
              <w:spacing w:after="0"/>
              <w:rPr>
                <w:sz w:val="19"/>
                <w:szCs w:val="19"/>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gridSpan w:val="2"/>
          </w:tcPr>
          <w:p>
            <w:pPr>
              <w:spacing w:after="0"/>
              <w:rPr>
                <w:sz w:val="20"/>
                <w:szCs w:val="20"/>
                <w:color w:val="auto"/>
              </w:rPr>
            </w:pPr>
            <w:r>
              <w:rPr>
                <w:rFonts w:ascii="Arial" w:cs="Arial" w:eastAsia="Arial" w:hAnsi="Arial"/>
                <w:sz w:val="18"/>
                <w:szCs w:val="18"/>
                <w:color w:val="auto"/>
              </w:rPr>
              <w:t>Other Theater Business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2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3,114</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gridSpan w:val="2"/>
          </w:tcPr>
          <w:p>
            <w:pPr>
              <w:spacing w:after="0"/>
              <w:rPr>
                <w:sz w:val="20"/>
                <w:szCs w:val="20"/>
                <w:color w:val="auto"/>
              </w:rPr>
            </w:pPr>
            <w:r>
              <w:rPr>
                <w:rFonts w:ascii="Arial" w:cs="Arial" w:eastAsia="Arial" w:hAnsi="Arial"/>
                <w:sz w:val="18"/>
                <w:szCs w:val="18"/>
                <w:color w:val="auto"/>
              </w:rPr>
              <w:t>IMAX DMR</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11,944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gridSpan w:val="2"/>
          </w:tcPr>
          <w:p>
            <w:pPr>
              <w:spacing w:after="0"/>
              <w:rPr>
                <w:sz w:val="20"/>
                <w:szCs w:val="20"/>
                <w:color w:val="auto"/>
              </w:rPr>
            </w:pPr>
            <w:r>
              <w:rPr>
                <w:rFonts w:ascii="Arial" w:cs="Arial" w:eastAsia="Arial" w:hAnsi="Arial"/>
                <w:sz w:val="18"/>
                <w:szCs w:val="18"/>
                <w:color w:val="auto"/>
              </w:rPr>
              <w:t>Film Post-Production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1"/>
        </w:trPr>
        <w:tc>
          <w:tcPr>
            <w:tcW w:w="47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9,497</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12,118</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Technology rentals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Joint Revenue Sharing Arrangements, contingent rent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8,359</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Finance income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gridSpan w:val="2"/>
          </w:tcPr>
          <w:p>
            <w:pPr>
              <w:spacing w:after="0"/>
              <w:rPr>
                <w:sz w:val="20"/>
                <w:szCs w:val="20"/>
                <w:color w:val="auto"/>
              </w:rPr>
            </w:pPr>
            <w:r>
              <w:rPr>
                <w:rFonts w:ascii="Arial" w:cs="Arial" w:eastAsia="Arial" w:hAnsi="Arial"/>
                <w:sz w:val="18"/>
                <w:szCs w:val="18"/>
                <w:color w:val="auto"/>
              </w:rPr>
              <w:t>IMAX Systems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hanging="373"/>
        <w:spacing w:after="0" w:line="27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earned from sales or sales-type lease arrangements involving new and upgraded IMAX Theater Systems, as well as the impact on revenue of renewals and amendments to existing theater system arrangements.</w:t>
      </w:r>
    </w:p>
    <w:p>
      <w:pPr>
        <w:spacing w:after="0" w:line="135" w:lineRule="exact"/>
        <w:rPr>
          <w:rFonts w:ascii="Arial" w:cs="Arial" w:eastAsia="Arial" w:hAnsi="Arial"/>
          <w:sz w:val="18"/>
          <w:szCs w:val="18"/>
          <w:color w:val="auto"/>
        </w:rPr>
      </w:pPr>
    </w:p>
    <w:p>
      <w:pPr>
        <w:ind w:left="380" w:hanging="37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sales include revenues associated with New Business Initiatives.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77"/>
              <w:spacing w:after="0"/>
              <w:rPr>
                <w:sz w:val="20"/>
                <w:szCs w:val="20"/>
                <w:color w:val="auto"/>
              </w:rPr>
            </w:pPr>
            <w:r>
              <w:rPr>
                <w:rFonts w:ascii="Arial" w:cs="Arial" w:eastAsia="Arial" w:hAnsi="Arial"/>
                <w:sz w:val="14"/>
                <w:szCs w:val="14"/>
                <w:b w:val="1"/>
                <w:bCs w:val="1"/>
                <w:color w:val="auto"/>
              </w:rPr>
              <w:t>Three Months Ended March 31, 2020</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Revenue from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9"/>
              </w:rPr>
              <w:t>Contracts with Customers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Revenue from</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92"/>
              </w:rPr>
              <w:t>Fixed</w:t>
            </w:r>
          </w:p>
        </w:tc>
        <w:tc>
          <w:tcPr>
            <w:tcW w:w="180" w:type="dxa"/>
            <w:vAlign w:val="bottom"/>
          </w:tcPr>
          <w:p>
            <w:pPr>
              <w:spacing w:after="0"/>
              <w:rPr>
                <w:sz w:val="11"/>
                <w:szCs w:val="11"/>
                <w:color w:val="auto"/>
              </w:rPr>
            </w:pPr>
          </w:p>
        </w:tc>
        <w:tc>
          <w:tcPr>
            <w:tcW w:w="860" w:type="dxa"/>
            <w:vAlign w:val="bottom"/>
          </w:tcPr>
          <w:p>
            <w:pPr>
              <w:jc w:val="right"/>
              <w:ind w:right="173"/>
              <w:spacing w:after="0" w:line="131" w:lineRule="exact"/>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400"/>
              <w:spacing w:after="0" w:line="131" w:lineRule="exact"/>
              <w:rPr>
                <w:sz w:val="20"/>
                <w:szCs w:val="20"/>
                <w:color w:val="auto"/>
              </w:rPr>
            </w:pPr>
            <w:r>
              <w:rPr>
                <w:rFonts w:ascii="Arial" w:cs="Arial" w:eastAsia="Arial" w:hAnsi="Arial"/>
                <w:sz w:val="14"/>
                <w:szCs w:val="14"/>
                <w:b w:val="1"/>
                <w:bCs w:val="1"/>
                <w:color w:val="auto"/>
                <w:w w:val="90"/>
              </w:rPr>
              <w:t>Lease</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Finance Income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2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44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Consideration</w:t>
            </w:r>
          </w:p>
        </w:tc>
        <w:tc>
          <w:tcPr>
            <w:tcW w:w="10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Consideration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Arrangements</w:t>
            </w:r>
          </w:p>
        </w:tc>
        <w:tc>
          <w:tcPr>
            <w:tcW w:w="10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gridSpan w:val="2"/>
          </w:tcPr>
          <w:p>
            <w:pPr>
              <w:spacing w:after="0"/>
              <w:rPr>
                <w:sz w:val="20"/>
                <w:szCs w:val="20"/>
                <w:color w:val="auto"/>
              </w:rPr>
            </w:pPr>
            <w:r>
              <w:rPr>
                <w:rFonts w:ascii="Arial" w:cs="Arial" w:eastAsia="Arial" w:hAnsi="Arial"/>
                <w:sz w:val="18"/>
                <w:szCs w:val="18"/>
                <w:color w:val="auto"/>
              </w:rPr>
              <w:t>IMAX Systems</w:t>
            </w:r>
            <w:r>
              <w:rPr>
                <w:rFonts w:ascii="Arial" w:cs="Arial" w:eastAsia="Arial" w:hAnsi="Arial"/>
                <w:sz w:val="15"/>
                <w:szCs w:val="15"/>
                <w:color w:val="auto"/>
              </w:rPr>
              <w:t>(1)(3)</w:t>
            </w:r>
          </w:p>
        </w:tc>
        <w:tc>
          <w:tcPr>
            <w:tcW w:w="6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1,097</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1,146</w:t>
            </w:r>
          </w:p>
        </w:tc>
        <w:tc>
          <w:tcPr>
            <w:tcW w:w="280" w:type="dxa"/>
            <w:vAlign w:val="bottom"/>
          </w:tcPr>
          <w:p>
            <w:pPr>
              <w:spacing w:after="0"/>
              <w:rPr>
                <w:sz w:val="19"/>
                <w:szCs w:val="19"/>
                <w:color w:val="auto"/>
              </w:rPr>
            </w:pPr>
          </w:p>
        </w:tc>
        <w:tc>
          <w:tcPr>
            <w:tcW w:w="460" w:type="dxa"/>
            <w:vAlign w:val="bottom"/>
          </w:tcPr>
          <w:p>
            <w:pPr>
              <w:jc w:val="right"/>
              <w:ind w:right="27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gridSpan w:val="2"/>
          </w:tcPr>
          <w:p>
            <w:pPr>
              <w:spacing w:after="0"/>
              <w:rPr>
                <w:sz w:val="20"/>
                <w:szCs w:val="20"/>
                <w:color w:val="auto"/>
              </w:rPr>
            </w:pPr>
            <w:r>
              <w:rPr>
                <w:rFonts w:ascii="Arial" w:cs="Arial" w:eastAsia="Arial" w:hAnsi="Arial"/>
                <w:sz w:val="18"/>
                <w:szCs w:val="18"/>
                <w:color w:val="auto"/>
              </w:rPr>
              <w:t>Other Theater Business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(2)</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gridSpan w:val="2"/>
          </w:tcPr>
          <w:p>
            <w:pPr>
              <w:spacing w:after="0"/>
              <w:rPr>
                <w:sz w:val="20"/>
                <w:szCs w:val="20"/>
                <w:color w:val="auto"/>
              </w:rPr>
            </w:pPr>
            <w:r>
              <w:rPr>
                <w:rFonts w:ascii="Arial" w:cs="Arial" w:eastAsia="Arial" w:hAnsi="Arial"/>
                <w:sz w:val="18"/>
                <w:szCs w:val="18"/>
                <w:color w:val="auto"/>
              </w:rPr>
              <w:t>IMAX DMR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10,629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gridSpan w:val="2"/>
          </w:tcPr>
          <w:p>
            <w:pPr>
              <w:spacing w:after="0"/>
              <w:rPr>
                <w:sz w:val="20"/>
                <w:szCs w:val="20"/>
                <w:color w:val="auto"/>
              </w:rPr>
            </w:pPr>
            <w:r>
              <w:rPr>
                <w:rFonts w:ascii="Arial" w:cs="Arial" w:eastAsia="Arial" w:hAnsi="Arial"/>
                <w:sz w:val="18"/>
                <w:szCs w:val="18"/>
                <w:color w:val="auto"/>
              </w:rPr>
              <w:t>Film Post-Production</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gridSpan w:val="2"/>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8,981</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11,740</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Technology rentals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Joint Revenue Sharing Arrangements, contingent rent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Finance income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gridSpan w:val="2"/>
          </w:tcPr>
          <w:p>
            <w:pPr>
              <w:spacing w:after="0"/>
              <w:rPr>
                <w:sz w:val="20"/>
                <w:szCs w:val="20"/>
                <w:color w:val="auto"/>
              </w:rPr>
            </w:pPr>
            <w:r>
              <w:rPr>
                <w:rFonts w:ascii="Arial" w:cs="Arial" w:eastAsia="Arial" w:hAnsi="Arial"/>
                <w:sz w:val="18"/>
                <w:szCs w:val="18"/>
                <w:color w:val="auto"/>
              </w:rPr>
              <w:t>IMAX Systems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7"/>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80" w:hanging="373"/>
        <w:spacing w:after="0" w:line="270"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earned from sales or sales-type lease arrangements involving new and upgraded IMAX Theater Systems, as well as the impact on revenue of renewals and amendments to existing theater system arrangements.</w:t>
      </w:r>
    </w:p>
    <w:p>
      <w:pPr>
        <w:spacing w:after="0" w:line="135" w:lineRule="exact"/>
        <w:rPr>
          <w:rFonts w:ascii="Arial" w:cs="Arial" w:eastAsia="Arial" w:hAnsi="Arial"/>
          <w:sz w:val="18"/>
          <w:szCs w:val="18"/>
          <w:color w:val="auto"/>
        </w:rPr>
      </w:pPr>
    </w:p>
    <w:p>
      <w:pPr>
        <w:ind w:left="380" w:hanging="37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sales include revenues associated with New Business Initiatives.</w:t>
      </w:r>
    </w:p>
    <w:p>
      <w:pPr>
        <w:spacing w:after="0" w:line="180" w:lineRule="exact"/>
        <w:rPr>
          <w:rFonts w:ascii="Arial" w:cs="Arial" w:eastAsia="Arial" w:hAnsi="Arial"/>
          <w:sz w:val="18"/>
          <w:szCs w:val="18"/>
          <w:color w:val="auto"/>
        </w:rPr>
      </w:pPr>
    </w:p>
    <w:p>
      <w:pPr>
        <w:ind w:left="380" w:hanging="373"/>
        <w:spacing w:after="0" w:line="270"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period comparatives have been revised to appropriately classify $1.1 million of fixed consideration under revenue from contracts with customers to revenue from lease arrangements.</w:t>
      </w:r>
    </w:p>
    <w:p>
      <w:pPr>
        <w:spacing w:after="0" w:line="13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Deferred Revenue</w:t>
      </w:r>
    </w:p>
    <w:p>
      <w:pPr>
        <w:spacing w:after="0" w:line="180"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IMAX Theater System sale and lease arrangements include a requirement for the Company to provide maintenance services over the life of the arrangement, subject to a consumer price index adjustment each year. In circumstances where customers prepay the entire term’s maintenance fee, additional payments are due to the Company for the years after its extended warranty and maintenance obligations expire. Payments upon renewal each year are either prepaid or made in arrears and can vary in frequency from monthly to annually. At March 31, 2021, $24.3 million of consideration has been deferred in relation to outstanding maintenance services to be provided on existing maintenance contracts (December 31, 2020 — $21.6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14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Recognition dates are variable and depend on numerous factors, including some outside of the Company’s control.</w:t>
      </w:r>
    </w:p>
    <w:p>
      <w:pPr>
        <w:spacing w:after="0" w:line="151" w:lineRule="exact"/>
        <w:rPr>
          <w:sz w:val="20"/>
          <w:szCs w:val="20"/>
          <w:color w:val="auto"/>
        </w:rPr>
      </w:pPr>
    </w:p>
    <w:p>
      <w:pPr>
        <w:jc w:val="both"/>
        <w:ind w:right="20" w:firstLine="225"/>
        <w:spacing w:after="0" w:line="270" w:lineRule="auto"/>
        <w:rPr>
          <w:sz w:val="20"/>
          <w:szCs w:val="20"/>
          <w:color w:val="auto"/>
        </w:rPr>
      </w:pPr>
      <w:r>
        <w:rPr>
          <w:rFonts w:ascii="Arial" w:cs="Arial" w:eastAsia="Arial" w:hAnsi="Arial"/>
          <w:sz w:val="18"/>
          <w:szCs w:val="18"/>
          <w:color w:val="auto"/>
        </w:rPr>
        <w:t>(See Note 2 for information on the current impacts of and uncertainties relating to the COVID-19 global pandemic which are impacting Company’s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14. Segment Reporting</w:t>
      </w:r>
    </w:p>
    <w:p>
      <w:pPr>
        <w:spacing w:after="0" w:line="224" w:lineRule="exact"/>
        <w:rPr>
          <w:sz w:val="20"/>
          <w:szCs w:val="20"/>
          <w:color w:val="auto"/>
        </w:rPr>
      </w:pPr>
    </w:p>
    <w:p>
      <w:pPr>
        <w:jc w:val="both"/>
        <w:ind w:firstLine="208"/>
        <w:spacing w:after="0" w:line="275" w:lineRule="auto"/>
        <w:rPr>
          <w:sz w:val="20"/>
          <w:szCs w:val="20"/>
          <w:color w:val="auto"/>
        </w:rPr>
      </w:pPr>
      <w:r>
        <w:rPr>
          <w:rFonts w:ascii="Arial" w:cs="Arial" w:eastAsia="Arial" w:hAnsi="Arial"/>
          <w:sz w:val="17"/>
          <w:szCs w:val="17"/>
          <w:color w:val="auto"/>
        </w:rPr>
        <w:t>The Company’s Chief Executive Officer (“CEO”) is its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 assets, provisions for (recoveries of) current expected credit losses, certain write-downs, interest income, interest expense and income tax (expense) benefit are not allocated to the Company’s segments.</w:t>
      </w:r>
    </w:p>
    <w:p>
      <w:pPr>
        <w:spacing w:after="0" w:line="13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has the following reportable segments: (i) IMAX DMR; (ii) Joint Revenue Sharing Arrangements; (iii) IMAX Systems, (iv) IMAX Maintenance; (v) Other Theater Business; (vi) New Business Initiatives; (vii) Film Distribution; and (viii) Film Post-Production. The Company organizes its reportable segments into the following four categories, identified by the nature of the product sold or service provided:</w:t>
      </w:r>
    </w:p>
    <w:p>
      <w:pPr>
        <w:spacing w:after="0" w:line="185" w:lineRule="exact"/>
        <w:rPr>
          <w:sz w:val="20"/>
          <w:szCs w:val="20"/>
          <w:color w:val="auto"/>
        </w:rPr>
      </w:pPr>
    </w:p>
    <w:p>
      <w:pPr>
        <w:ind w:left="1120" w:hanging="739"/>
        <w:spacing w:after="0" w:line="27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IMAX Technology Network, which earns revenue based on contingent box office receipts and includes the IMAX DMR segment and contingent rent from the Joint Revenue Sharing Arrangement (“JRSA”) segment;</w:t>
      </w:r>
    </w:p>
    <w:p>
      <w:pPr>
        <w:spacing w:after="0" w:line="175" w:lineRule="exact"/>
        <w:rPr>
          <w:rFonts w:ascii="Arial" w:cs="Arial" w:eastAsia="Arial" w:hAnsi="Arial"/>
          <w:sz w:val="18"/>
          <w:szCs w:val="18"/>
          <w:color w:val="auto"/>
        </w:rPr>
      </w:pPr>
    </w:p>
    <w:p>
      <w:pPr>
        <w:ind w:left="1120" w:hanging="739"/>
        <w:spacing w:after="0" w:line="27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IMAX Technology Sales and Maintenance, which includes results from the IMAX Systems, IMAX Maintenance and Other Theater Business segments, as well as fixed revenues from the JRSA segment;</w:t>
      </w:r>
    </w:p>
    <w:p>
      <w:pPr>
        <w:spacing w:after="0" w:line="175" w:lineRule="exact"/>
        <w:rPr>
          <w:rFonts w:ascii="Arial" w:cs="Arial" w:eastAsia="Arial" w:hAnsi="Arial"/>
          <w:sz w:val="18"/>
          <w:szCs w:val="18"/>
          <w:color w:val="auto"/>
        </w:rPr>
      </w:pPr>
    </w:p>
    <w:p>
      <w:pPr>
        <w:ind w:left="1120" w:hanging="739"/>
        <w:spacing w:after="0" w:line="27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Business Initiatives, which is a segment that includes activities related to the exploration of new lines of business and new initiatives outside of the Company’s core business; and</w:t>
      </w:r>
    </w:p>
    <w:p>
      <w:pPr>
        <w:spacing w:after="0" w:line="175" w:lineRule="exact"/>
        <w:rPr>
          <w:rFonts w:ascii="Arial" w:cs="Arial" w:eastAsia="Arial" w:hAnsi="Arial"/>
          <w:sz w:val="18"/>
          <w:szCs w:val="18"/>
          <w:color w:val="auto"/>
        </w:rPr>
      </w:pPr>
    </w:p>
    <w:p>
      <w:pPr>
        <w:jc w:val="both"/>
        <w:ind w:left="1120" w:hanging="739"/>
        <w:spacing w:after="0" w:line="259"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Film Distribution and Post-Production, which includes activities related to the licensing of film content, and the distribution of films primarily for the Company’s institutional theater partners (through the Film Distribution segment) and the provision of film post-production and quality control services (through the Film Post-Production segment).</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Company is presenting information at a disaggregated level to provide more relevant information to readers.</w:t>
      </w:r>
    </w:p>
    <w:p>
      <w:pPr>
        <w:spacing w:after="0" w:line="220"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Transactions between the IMAX DMR segment and the Film Post-Production segment are valued at exchange value. Inter-segment profits are eliminated upon consolidation, as well as for the disclosures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6" w:name="page37"/>
    <w:bookmarkEnd w:id="36"/>
    <w:p>
      <w:pPr>
        <w:ind w:left="240"/>
        <w:spacing w:after="0"/>
        <w:rPr>
          <w:sz w:val="20"/>
          <w:szCs w:val="20"/>
          <w:color w:val="auto"/>
        </w:rPr>
      </w:pPr>
      <w:r>
        <w:rPr>
          <w:rFonts w:ascii="Arial" w:cs="Arial" w:eastAsia="Arial" w:hAnsi="Arial"/>
          <w:sz w:val="17"/>
          <w:szCs w:val="17"/>
          <w:color w:val="auto"/>
        </w:rPr>
        <w:t>The following table presents the breakdown of revenue and gross margin (loss) by category for the three months ended March 31, 2021 and 2020:</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2"/>
                <w:szCs w:val="12"/>
                <w:b w:val="1"/>
                <w:bCs w:val="1"/>
                <w:color w:val="auto"/>
              </w:rPr>
              <w:t>(1)</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7"/>
              </w:rPr>
              <w:t xml:space="preserve">Gross Margin (Margin Loss) </w:t>
            </w:r>
            <w:r>
              <w:rPr>
                <w:rFonts w:ascii="Arial" w:cs="Arial" w:eastAsia="Arial" w:hAnsi="Arial"/>
                <w:sz w:val="12"/>
                <w:szCs w:val="12"/>
                <w:b w:val="1"/>
                <w:bCs w:val="1"/>
                <w:color w:val="auto"/>
                <w:w w:val="97"/>
              </w:rPr>
              <w:t>(4)</w:t>
            </w:r>
          </w:p>
        </w:tc>
      </w:tr>
      <w:tr>
        <w:trPr>
          <w:trHeight w:val="207"/>
        </w:trPr>
        <w:tc>
          <w:tcPr>
            <w:tcW w:w="48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0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2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4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12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11,944</w:t>
            </w:r>
          </w:p>
        </w:tc>
        <w:tc>
          <w:tcPr>
            <w:tcW w:w="2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10,629</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8,251</w:t>
            </w:r>
          </w:p>
        </w:tc>
        <w:tc>
          <w:tcPr>
            <w:tcW w:w="240" w:type="dxa"/>
            <w:vAlign w:val="bottom"/>
          </w:tcPr>
          <w:p>
            <w:pPr>
              <w:spacing w:after="0"/>
              <w:rPr>
                <w:sz w:val="19"/>
                <w:szCs w:val="19"/>
                <w:color w:val="auto"/>
              </w:rPr>
            </w:pPr>
          </w:p>
        </w:tc>
        <w:tc>
          <w:tcPr>
            <w:tcW w:w="260" w:type="dxa"/>
            <w:vAlign w:val="bottom"/>
            <w:gridSpan w:val="2"/>
          </w:tcPr>
          <w:p>
            <w:pPr>
              <w:jc w:val="right"/>
              <w:ind w:right="8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9"/>
                <w:szCs w:val="19"/>
                <w:color w:val="auto"/>
              </w:rPr>
            </w:pPr>
          </w:p>
        </w:tc>
      </w:tr>
      <w:tr>
        <w:trPr>
          <w:trHeight w:val="227"/>
        </w:trPr>
        <w:tc>
          <w:tcPr>
            <w:tcW w:w="4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(1,618)</w:t>
            </w:r>
          </w:p>
        </w:tc>
      </w:tr>
      <w:tr>
        <w:trPr>
          <w:trHeight w:val="220"/>
        </w:trPr>
        <w:tc>
          <w:tcPr>
            <w:tcW w:w="1500" w:type="dxa"/>
            <w:vAlign w:val="bottom"/>
            <w:tcBorders>
              <w:bottom w:val="single" w:sz="8" w:color="CFF0FC"/>
            </w:tcBorders>
          </w:tcPr>
          <w:p>
            <w:pPr>
              <w:spacing w:after="0"/>
              <w:rPr>
                <w:sz w:val="19"/>
                <w:szCs w:val="19"/>
                <w:color w:val="auto"/>
              </w:rPr>
            </w:pPr>
          </w:p>
        </w:tc>
        <w:tc>
          <w:tcPr>
            <w:tcW w:w="33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20,303</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16,600</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FF0FC"/>
            </w:tcBorders>
          </w:tcPr>
          <w:p>
            <w:pPr>
              <w:spacing w:after="0"/>
              <w:rPr>
                <w:sz w:val="19"/>
                <w:szCs w:val="19"/>
                <w:color w:val="auto"/>
              </w:rPr>
            </w:pPr>
          </w:p>
        </w:tc>
      </w:tr>
      <w:tr>
        <w:trPr>
          <w:trHeight w:val="221"/>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40" w:type="dxa"/>
            <w:vAlign w:val="bottom"/>
            <w:gridSpan w:val="2"/>
          </w:tcPr>
          <w:p>
            <w:pPr>
              <w:ind w:left="120"/>
              <w:spacing w:after="0"/>
              <w:rPr>
                <w:sz w:val="20"/>
                <w:szCs w:val="20"/>
                <w:color w:val="auto"/>
              </w:rPr>
            </w:pPr>
            <w:r>
              <w:rPr>
                <w:rFonts w:ascii="Arial" w:cs="Arial" w:eastAsia="Arial" w:hAnsi="Arial"/>
                <w:sz w:val="18"/>
                <w:szCs w:val="18"/>
                <w:color w:val="auto"/>
              </w:rPr>
              <w:t xml:space="preserve">IMAX Systems </w:t>
            </w:r>
            <w:r>
              <w:rPr>
                <w:rFonts w:ascii="Arial" w:cs="Arial" w:eastAsia="Arial" w:hAnsi="Arial"/>
                <w:sz w:val="15"/>
                <w:szCs w:val="15"/>
                <w:color w:val="auto"/>
              </w:rPr>
              <w:t>(2)</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9"/>
                <w:szCs w:val="19"/>
                <w:color w:val="auto"/>
              </w:rPr>
            </w:pPr>
          </w:p>
        </w:tc>
      </w:tr>
      <w:tr>
        <w:trPr>
          <w:trHeight w:val="227"/>
        </w:trPr>
        <w:tc>
          <w:tcPr>
            <w:tcW w:w="4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19"/>
                <w:szCs w:val="19"/>
                <w:color w:val="auto"/>
              </w:rPr>
            </w:pPr>
          </w:p>
        </w:tc>
      </w:tr>
      <w:tr>
        <w:trPr>
          <w:trHeight w:val="227"/>
        </w:trPr>
        <w:tc>
          <w:tcPr>
            <w:tcW w:w="4840" w:type="dxa"/>
            <w:vAlign w:val="bottom"/>
            <w:gridSpan w:val="2"/>
          </w:tcPr>
          <w:p>
            <w:pPr>
              <w:ind w:left="120"/>
              <w:spacing w:after="0"/>
              <w:rPr>
                <w:sz w:val="20"/>
                <w:szCs w:val="20"/>
                <w:color w:val="auto"/>
              </w:rPr>
            </w:pPr>
            <w:r>
              <w:rPr>
                <w:rFonts w:ascii="Arial" w:cs="Arial" w:eastAsia="Arial" w:hAnsi="Arial"/>
                <w:sz w:val="18"/>
                <w:szCs w:val="18"/>
                <w:color w:val="auto"/>
              </w:rPr>
              <w:t>IMAX Maintenance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r>
      <w:tr>
        <w:trPr>
          <w:trHeight w:val="227"/>
        </w:trPr>
        <w:tc>
          <w:tcPr>
            <w:tcW w:w="4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Other Theater Business </w:t>
            </w:r>
            <w:r>
              <w:rPr>
                <w:rFonts w:ascii="Arial" w:cs="Arial" w:eastAsia="Arial" w:hAnsi="Arial"/>
                <w:sz w:val="15"/>
                <w:szCs w:val="15"/>
                <w:color w:val="auto"/>
              </w:rPr>
              <w:t>(3)</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FF0FC"/>
          </w:tcPr>
          <w:p>
            <w:pPr>
              <w:spacing w:after="0"/>
              <w:rPr>
                <w:sz w:val="19"/>
                <w:szCs w:val="19"/>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33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7,054</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FF0FC"/>
            </w:tcBorders>
          </w:tcPr>
          <w:p>
            <w:pPr>
              <w:spacing w:after="0"/>
              <w:rPr>
                <w:sz w:val="19"/>
                <w:szCs w:val="19"/>
                <w:color w:val="auto"/>
              </w:rPr>
            </w:pPr>
          </w:p>
        </w:tc>
      </w:tr>
      <w:tr>
        <w:trPr>
          <w:trHeight w:val="221"/>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Film Distribution</w:t>
            </w:r>
            <w:r>
              <w:rPr>
                <w:rFonts w:ascii="Arial" w:cs="Arial" w:eastAsia="Arial" w:hAnsi="Arial"/>
                <w:sz w:val="15"/>
                <w:szCs w:val="15"/>
                <w:color w:val="auto"/>
              </w:rPr>
              <w:t>(5)</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(2,158)</w:t>
            </w:r>
          </w:p>
        </w:tc>
      </w:tr>
      <w:tr>
        <w:trPr>
          <w:trHeight w:val="227"/>
        </w:trPr>
        <w:tc>
          <w:tcPr>
            <w:tcW w:w="484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Post-Production</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FF0FC"/>
            </w:tcBorders>
          </w:tcPr>
          <w:p>
            <w:pPr>
              <w:spacing w:after="0"/>
              <w:rPr>
                <w:sz w:val="19"/>
                <w:szCs w:val="19"/>
                <w:color w:val="auto"/>
              </w:rPr>
            </w:pPr>
          </w:p>
        </w:tc>
      </w:tr>
      <w:tr>
        <w:trPr>
          <w:trHeight w:val="221"/>
        </w:trPr>
        <w:tc>
          <w:tcPr>
            <w:tcW w:w="1500" w:type="dxa"/>
            <w:vAlign w:val="bottom"/>
            <w:shd w:val="clear" w:color="auto" w:fill="CFF0FC"/>
          </w:tcPr>
          <w:p>
            <w:pPr>
              <w:spacing w:after="0"/>
              <w:rPr>
                <w:sz w:val="19"/>
                <w:szCs w:val="19"/>
                <w:color w:val="auto"/>
              </w:rPr>
            </w:pPr>
          </w:p>
        </w:tc>
        <w:tc>
          <w:tcPr>
            <w:tcW w:w="3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5,975</w:t>
            </w:r>
          </w:p>
        </w:tc>
        <w:tc>
          <w:tcPr>
            <w:tcW w:w="100" w:type="dxa"/>
            <w:vAlign w:val="bottom"/>
          </w:tcPr>
          <w:p>
            <w:pPr>
              <w:spacing w:after="0"/>
              <w:rPr>
                <w:sz w:val="19"/>
                <w:szCs w:val="19"/>
                <w:color w:val="auto"/>
              </w:rPr>
            </w:pPr>
          </w:p>
        </w:tc>
      </w:tr>
      <w:tr>
        <w:trPr>
          <w:trHeight w:val="228"/>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(889)</w:t>
            </w:r>
          </w:p>
        </w:tc>
      </w:tr>
      <w:tr>
        <w:trPr>
          <w:trHeight w:val="220"/>
        </w:trPr>
        <w:tc>
          <w:tcPr>
            <w:tcW w:w="4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38,754</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34,902</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7"/>
        </w:trPr>
        <w:tc>
          <w:tcPr>
            <w:tcW w:w="150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159" w:lineRule="exact"/>
        <w:rPr>
          <w:sz w:val="20"/>
          <w:szCs w:val="20"/>
          <w:color w:val="auto"/>
        </w:rPr>
      </w:pPr>
    </w:p>
    <w:p>
      <w:pPr>
        <w:jc w:val="both"/>
        <w:ind w:left="380" w:hanging="373"/>
        <w:spacing w:after="0" w:line="259"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largest customer represents 31.2% of total Revenues for the three months ended March 31, 2021 (2020 — 14.4%) and 15.9% of total Accounts Receivable as of March 31, 2021. No single customer comprises more than 10% of the Company’s total Accounts Receivable as of December 31, 2020.</w:t>
      </w:r>
    </w:p>
    <w:p>
      <w:pPr>
        <w:spacing w:after="0" w:line="144" w:lineRule="exact"/>
        <w:rPr>
          <w:rFonts w:ascii="Arial" w:cs="Arial" w:eastAsia="Arial" w:hAnsi="Arial"/>
          <w:sz w:val="18"/>
          <w:szCs w:val="18"/>
          <w:color w:val="auto"/>
        </w:rPr>
      </w:pPr>
    </w:p>
    <w:p>
      <w:pPr>
        <w:jc w:val="both"/>
        <w:ind w:left="380" w:hanging="373"/>
        <w:spacing w:after="0" w:line="259"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initial upfront payments and the present value of fixed minimum payments from sales and sales-type lease arrangements of IMAX Theater Systems, and the present value of estimated variable consideration from sales of IMAX Theater Systems. To a lesser extent, also includes finance income associated with these revenue streams.</w:t>
      </w:r>
    </w:p>
    <w:p>
      <w:pPr>
        <w:spacing w:after="0" w:line="144" w:lineRule="exact"/>
        <w:rPr>
          <w:rFonts w:ascii="Arial" w:cs="Arial" w:eastAsia="Arial" w:hAnsi="Arial"/>
          <w:sz w:val="18"/>
          <w:szCs w:val="18"/>
          <w:color w:val="auto"/>
        </w:rPr>
      </w:pPr>
    </w:p>
    <w:p>
      <w:pPr>
        <w:ind w:left="380" w:hanging="37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Principally includes after-market sales of IMAX projection system parts and 3D glasses.</w:t>
      </w:r>
    </w:p>
    <w:p>
      <w:pPr>
        <w:spacing w:after="0" w:line="180" w:lineRule="exact"/>
        <w:rPr>
          <w:rFonts w:ascii="Arial" w:cs="Arial" w:eastAsia="Arial" w:hAnsi="Arial"/>
          <w:sz w:val="18"/>
          <w:szCs w:val="18"/>
          <w:color w:val="auto"/>
        </w:rPr>
      </w:pPr>
    </w:p>
    <w:p>
      <w:pPr>
        <w:jc w:val="both"/>
        <w:ind w:left="380" w:hanging="373"/>
        <w:spacing w:after="0" w:line="25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IMAX DMR gross margin includes marketing costs of $1.1 million for the three months ended March 31, 2021 (2020 — $2.4 million). JRSA gross margin includes advertising, marketing and commission expense of $0.8 million for the three months ended March 31, 2021 (2020 — $0.5 million). IMAX Systems gross margin includes marketing and commission costs of $0.2 million for the three months ended March 31, 2021 (2020 — $0.2 million). Film Distribution segment gross margin includes a marketing recovery of less than $0.1 million for the three months ended March 31, 2021 (2020 — expense of $0.2 million).</w:t>
      </w:r>
    </w:p>
    <w:p>
      <w:pPr>
        <w:spacing w:after="0" w:line="151" w:lineRule="exact"/>
        <w:rPr>
          <w:rFonts w:ascii="Arial" w:cs="Arial" w:eastAsia="Arial" w:hAnsi="Arial"/>
          <w:sz w:val="18"/>
          <w:szCs w:val="18"/>
          <w:color w:val="auto"/>
        </w:rPr>
      </w:pPr>
    </w:p>
    <w:p>
      <w:pPr>
        <w:jc w:val="both"/>
        <w:ind w:left="380" w:hanging="373"/>
        <w:spacing w:after="0" w:line="306"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the three months ended March 31, 2020, Film Distribution segment results include impairment losses of $2.3 million to write-down the carrying value of certain documentary and alternative content film assets due to a decrease in projected box office totals and related revenues based on management’s regular quarterly recoverability assessments. No such charges were incurred in the three months ended March 31, 2021.</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Revenue by geographic area is based on the location of the customer. Revenue related to IMAX DMR is presented based upon the geographic location of the theaters that exhibit the remastered films. IMAX DMR revenue is generated through contractual relationships with studios and other third parties and these may not be in the same geographical location as the theater.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120" w:type="dxa"/>
            <w:vAlign w:val="bottom"/>
          </w:tcPr>
          <w:p>
            <w:pPr>
              <w:spacing w:after="0"/>
              <w:rPr>
                <w:sz w:val="16"/>
                <w:szCs w:val="16"/>
                <w:color w:val="auto"/>
              </w:rPr>
            </w:pPr>
          </w:p>
        </w:tc>
      </w:tr>
      <w:tr>
        <w:trPr>
          <w:trHeight w:val="212"/>
        </w:trPr>
        <w:tc>
          <w:tcPr>
            <w:tcW w:w="15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8"/>
                <w:szCs w:val="18"/>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6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2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7"/>
        </w:trPr>
        <w:tc>
          <w:tcPr>
            <w:tcW w:w="772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w w:val="98"/>
              </w:rPr>
              <w:t>25,518</w:t>
            </w:r>
          </w:p>
        </w:tc>
        <w:tc>
          <w:tcPr>
            <w:tcW w:w="180" w:type="dxa"/>
            <w:vAlign w:val="bottom"/>
          </w:tcPr>
          <w:p>
            <w:pPr>
              <w:spacing w:after="0"/>
              <w:rPr>
                <w:sz w:val="19"/>
                <w:szCs w:val="19"/>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5,269</w:t>
            </w:r>
          </w:p>
        </w:tc>
      </w:tr>
      <w:tr>
        <w:trPr>
          <w:trHeight w:val="228"/>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Asia (excluding China)</w:t>
            </w: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4,302</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5,860</w:t>
            </w:r>
          </w:p>
        </w:tc>
      </w:tr>
      <w:tr>
        <w:trPr>
          <w:trHeight w:val="227"/>
        </w:trPr>
        <w:tc>
          <w:tcPr>
            <w:tcW w:w="77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980" w:type="dxa"/>
            <w:vAlign w:val="bottom"/>
          </w:tcPr>
          <w:p>
            <w:pPr>
              <w:spacing w:after="0"/>
              <w:rPr>
                <w:sz w:val="19"/>
                <w:szCs w:val="19"/>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3,699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12,965</w:t>
            </w:r>
          </w:p>
        </w:tc>
      </w:tr>
      <w:tr>
        <w:trPr>
          <w:trHeight w:val="228"/>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Russia &amp; the CIS</w:t>
            </w: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1,886</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1,566</w:t>
            </w:r>
          </w:p>
        </w:tc>
      </w:tr>
      <w:tr>
        <w:trPr>
          <w:trHeight w:val="227"/>
        </w:trPr>
        <w:tc>
          <w:tcPr>
            <w:tcW w:w="7720" w:type="dxa"/>
            <w:vAlign w:val="bottom"/>
            <w:gridSpan w:val="2"/>
          </w:tcPr>
          <w:p>
            <w:pPr>
              <w:spacing w:after="0"/>
              <w:rPr>
                <w:sz w:val="20"/>
                <w:szCs w:val="20"/>
                <w:color w:val="auto"/>
              </w:rPr>
            </w:pPr>
            <w:r>
              <w:rPr>
                <w:rFonts w:ascii="Arial" w:cs="Arial" w:eastAsia="Arial" w:hAnsi="Arial"/>
                <w:sz w:val="18"/>
                <w:szCs w:val="18"/>
                <w:color w:val="auto"/>
              </w:rPr>
              <w:t>Western Europe</w:t>
            </w:r>
          </w:p>
        </w:tc>
        <w:tc>
          <w:tcPr>
            <w:tcW w:w="980" w:type="dxa"/>
            <w:vAlign w:val="bottom"/>
          </w:tcPr>
          <w:p>
            <w:pPr>
              <w:spacing w:after="0"/>
              <w:rPr>
                <w:sz w:val="19"/>
                <w:szCs w:val="19"/>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1,369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4,557</w:t>
            </w:r>
          </w:p>
        </w:tc>
      </w:tr>
      <w:tr>
        <w:trPr>
          <w:trHeight w:val="228"/>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Latin America</w:t>
            </w: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1,527</w:t>
            </w:r>
          </w:p>
        </w:tc>
      </w:tr>
      <w:tr>
        <w:trPr>
          <w:trHeight w:val="227"/>
        </w:trPr>
        <w:tc>
          <w:tcPr>
            <w:tcW w:w="7720" w:type="dxa"/>
            <w:vAlign w:val="bottom"/>
            <w:gridSpan w:val="2"/>
          </w:tcPr>
          <w:p>
            <w:pPr>
              <w:spacing w:after="0"/>
              <w:rPr>
                <w:sz w:val="20"/>
                <w:szCs w:val="20"/>
                <w:color w:val="auto"/>
              </w:rPr>
            </w:pPr>
            <w:r>
              <w:rPr>
                <w:rFonts w:ascii="Arial" w:cs="Arial" w:eastAsia="Arial" w:hAnsi="Arial"/>
                <w:sz w:val="18"/>
                <w:szCs w:val="18"/>
                <w:color w:val="auto"/>
              </w:rPr>
              <w:t>Canada</w:t>
            </w:r>
            <w:r>
              <w:rPr>
                <w:rFonts w:ascii="Arial" w:cs="Arial" w:eastAsia="Arial" w:hAnsi="Arial"/>
                <w:sz w:val="15"/>
                <w:szCs w:val="15"/>
                <w:color w:val="auto"/>
              </w:rPr>
              <w:t>(1)</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931</w:t>
            </w:r>
          </w:p>
        </w:tc>
      </w:tr>
      <w:tr>
        <w:trPr>
          <w:trHeight w:val="228"/>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 of the World</w:t>
            </w:r>
          </w:p>
        </w:tc>
        <w:tc>
          <w:tcPr>
            <w:tcW w:w="9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2,480</w:t>
            </w: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2,227</w:t>
            </w: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8"/>
              </w:rPr>
              <w:t>38,754</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34,902</w:t>
            </w:r>
          </w:p>
        </w:tc>
      </w:tr>
      <w:tr>
        <w:trPr>
          <w:trHeight w:val="20"/>
        </w:trPr>
        <w:tc>
          <w:tcPr>
            <w:tcW w:w="1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7"/>
        </w:trPr>
        <w:tc>
          <w:tcPr>
            <w:tcW w:w="1500" w:type="dxa"/>
            <w:vAlign w:val="bottom"/>
            <w:tcBorders>
              <w:bottom w:val="single" w:sz="8" w:color="auto"/>
            </w:tcBorders>
          </w:tcPr>
          <w:p>
            <w:pPr>
              <w:spacing w:after="0"/>
              <w:rPr>
                <w:sz w:val="11"/>
                <w:szCs w:val="11"/>
                <w:color w:val="auto"/>
              </w:rPr>
            </w:pPr>
          </w:p>
        </w:tc>
        <w:tc>
          <w:tcPr>
            <w:tcW w:w="6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159" w:lineRule="exact"/>
        <w:rPr>
          <w:sz w:val="20"/>
          <w:szCs w:val="20"/>
          <w:color w:val="auto"/>
        </w:rPr>
      </w:pPr>
    </w:p>
    <w:p>
      <w:pPr>
        <w:ind w:left="380" w:hanging="373"/>
        <w:spacing w:after="0" w:line="270"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three months ended March 31, 2021, the amount attributable to Canada includes a $0.5 million reversal of previously recorded revenue and a corresponding reduction in the net investment in lease as a result of a lease modification entered into in the period.</w:t>
      </w:r>
    </w:p>
    <w:p>
      <w:pPr>
        <w:spacing w:after="0" w:line="135"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No single country in the Rest of the World, Western Europe, Latin America and Asia (excluding Greater China) comprises more than 10% of the Company’s total revenue in the three months ended March 31, 2021.</w:t>
      </w:r>
    </w:p>
    <w:p>
      <w:pPr>
        <w:spacing w:after="0" w:line="131"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Pension and Postretirement Benefits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Defined Benefit Plan</w:t>
      </w:r>
    </w:p>
    <w:p>
      <w:pPr>
        <w:spacing w:after="0" w:line="18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November 1, 2019, the term of Mr. Gelfond’s employment was extended through December 31, 2022, although Mr. Gelfond has not informed the Company that he intends to retire at that time. Under the terms of this amendment to his employment agreement, the total benefit payable to Mr. Gelfond under the SERP was fixed at $20.3 million.</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March 31, 2021 and December 31, 2020, the Company’s projected benefit obligation and unfunded status related to the SERP are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46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2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2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Obligation, beginning of period</w:t>
            </w:r>
          </w:p>
        </w:tc>
        <w:tc>
          <w:tcPr>
            <w:tcW w:w="23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20,116</w:t>
            </w:r>
          </w:p>
        </w:tc>
        <w:tc>
          <w:tcPr>
            <w:tcW w:w="14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18,840</w:t>
            </w:r>
          </w:p>
        </w:tc>
      </w:tr>
      <w:tr>
        <w:trPr>
          <w:trHeight w:val="227"/>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cost</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379</w:t>
            </w:r>
          </w:p>
        </w:tc>
      </w:tr>
      <w:tr>
        <w:trPr>
          <w:trHeight w:val="22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Actuarial gain</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897</w:t>
            </w:r>
          </w:p>
        </w:tc>
      </w:tr>
      <w:tr>
        <w:trPr>
          <w:trHeight w:val="220"/>
        </w:trPr>
        <w:tc>
          <w:tcPr>
            <w:tcW w:w="566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Obligation, end of period and unfunded status</w:t>
            </w:r>
            <w:r>
              <w:rPr>
                <w:rFonts w:ascii="Arial" w:cs="Arial" w:eastAsia="Arial" w:hAnsi="Arial"/>
                <w:sz w:val="15"/>
                <w:szCs w:val="15"/>
                <w:color w:val="auto"/>
              </w:rPr>
              <w:t>(1)</w:t>
            </w:r>
          </w:p>
        </w:tc>
        <w:tc>
          <w:tcPr>
            <w:tcW w:w="2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20,134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20,116</w:t>
            </w:r>
          </w:p>
        </w:tc>
      </w:tr>
      <w:tr>
        <w:trPr>
          <w:trHeight w:val="20"/>
        </w:trPr>
        <w:tc>
          <w:tcPr>
            <w:tcW w:w="15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r>
    </w:tbl>
    <w:p>
      <w:pPr>
        <w:spacing w:after="0" w:line="173" w:lineRule="exact"/>
        <w:rPr>
          <w:sz w:val="20"/>
          <w:szCs w:val="20"/>
          <w:color w:val="auto"/>
        </w:rPr>
      </w:pPr>
    </w:p>
    <w:p>
      <w:pPr>
        <w:ind w:left="5540" w:right="1880" w:hanging="5533"/>
        <w:spacing w:after="0" w:line="750" w:lineRule="auto"/>
        <w:tabs>
          <w:tab w:leader="none" w:pos="3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accumulated benefit obligation for the SERP was $20.1 million at March 31, 2021 (December 31, 2020 —$20.1 million).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8" w:name="page39"/>
    <w:bookmarkEnd w:id="38"/>
    <w:p>
      <w:pPr>
        <w:jc w:val="both"/>
        <w:ind w:firstLine="224"/>
        <w:spacing w:after="0" w:line="259" w:lineRule="auto"/>
        <w:rPr>
          <w:sz w:val="20"/>
          <w:szCs w:val="20"/>
          <w:color w:val="auto"/>
        </w:rPr>
      </w:pPr>
      <w:r>
        <w:rPr>
          <w:rFonts w:ascii="Arial" w:cs="Arial" w:eastAsia="Arial" w:hAnsi="Arial"/>
          <w:sz w:val="18"/>
          <w:szCs w:val="18"/>
          <w:color w:val="auto"/>
        </w:rPr>
        <w:t>For the three months ended March 31, 2021, the Company recorded interest costs of less than $0.1 million (2020 — $0.1 million) related to the SERP. The Company expects to recognize additional interest costs of $0.1 million related to the SERP during the remainder of 2021. No contributions are expected to be made to the SERP in 2021.</w:t>
      </w:r>
    </w:p>
    <w:p>
      <w:pPr>
        <w:spacing w:after="0" w:line="15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Defined Contribution Pension Plan</w:t>
      </w:r>
    </w:p>
    <w:p>
      <w:pPr>
        <w:spacing w:after="0" w:line="180"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7"/>
          <w:szCs w:val="17"/>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months ended March 31, 2021, the Company contributed and recorded expense of $0.3 million (2020 — $0.3 million) to its Canadian defined contribution plan and $0.2 million (2020 — $0.2 million) to its defined contribution employee plan under Section 401(k) of the U.S. Internal Revenue Code.</w:t>
      </w:r>
    </w:p>
    <w:p>
      <w:pPr>
        <w:spacing w:after="0" w:line="133"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Postretirement Benefits – Executives</w:t>
      </w:r>
    </w:p>
    <w:p>
      <w:pPr>
        <w:spacing w:after="0" w:line="180"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8"/>
          <w:szCs w:val="18"/>
          <w:color w:val="auto"/>
        </w:rPr>
        <w:t>The Company has an unfunded postretirement plan for Mr. Gelfond and Bradley J. Wechsler, Chairman of the Company’s Board of Directors. The plan provides that the Company will maintain health benefits for Messrs. Gelfond and Wechsler until they become eligible for Medicare and, thereafter, the Company will provide Medicare supplemental coverage as selected by Messrs. Gelfond and Wechsler. As of March 31, 2021, the Company’s postretirement benefits obligation under this plan is $0.7 million (December 31, 2020 — $0.7 million). For the three months ended March 31, 2021, the Company has recorded an expense of less than $0.1 million (2020 — less than $0.1 million) related to this plan. In the first quarter of 2021, Mr. Wechsler notified the Company’s Board of Directors that he will not stand for re-election as a director at the Company’s annual meeting of shareholders on June 9, 2021. Upon his departure, the Company will maintain Mr. Wechsler’s current health benefits through December 31, 2021, and thereafter will provide him with Medicare supplemental coverage.</w:t>
      </w:r>
    </w:p>
    <w:p>
      <w:pPr>
        <w:spacing w:after="0" w:line="15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Postretirement Benefits – Canadian Employees</w:t>
      </w:r>
    </w:p>
    <w:p>
      <w:pPr>
        <w:spacing w:after="0" w:line="180"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The Company has an unfunded postretirement plan for its Canadian employees meeting specific eligibility requirements. The Company will provide eligible participants, upon retirement, with health and welfare benefits. As of March 31, 2021, the Company’s postretirement benefits obligation under this plan is $1.8 million (December 31, 2020 — $1.9 million). For the three months ended March 31, 2021, the Company has recorded expense of less than $0.1 million (2020 — $0.1 million) related to this plan.</w:t>
      </w:r>
    </w:p>
    <w:p>
      <w:pPr>
        <w:spacing w:after="0" w:line="16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4"/>
          <w:szCs w:val="14"/>
          <w:b w:val="1"/>
          <w:bCs w:val="1"/>
          <w:i w:val="1"/>
          <w:iCs w:val="1"/>
          <w:color w:val="auto"/>
        </w:rPr>
        <w:t>Deferred Compensation Benefit Plan</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the fourth quarter of 2018, the executive incurred a separation from service from the Company, and as such, the Retirement Plan benefits became fully vested as of December 31, 2018 and the accelerated costs were recognized and reflected in Executive Transition Costs in the Consolidated Statements of Operations.</w:t>
      </w:r>
    </w:p>
    <w:p>
      <w:pPr>
        <w:spacing w:after="0" w:line="15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March 31, 2021, the benefit obligation related to the Retirement Plan was $3.7 million (December 31, 2020 — $3.7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Expenses.</w:t>
      </w:r>
    </w:p>
    <w:p>
      <w:pPr>
        <w:spacing w:after="0" w:line="149" w:lineRule="exact"/>
        <w:rPr>
          <w:sz w:val="20"/>
          <w:szCs w:val="20"/>
          <w:color w:val="auto"/>
        </w:rPr>
      </w:pPr>
    </w:p>
    <w:p>
      <w:pPr>
        <w:jc w:val="both"/>
        <w:ind w:firstLine="225"/>
        <w:spacing w:after="0" w:line="287" w:lineRule="auto"/>
        <w:rPr>
          <w:sz w:val="20"/>
          <w:szCs w:val="20"/>
          <w:color w:val="auto"/>
        </w:rPr>
      </w:pPr>
      <w:r>
        <w:rPr>
          <w:rFonts w:ascii="Arial" w:cs="Arial" w:eastAsia="Arial" w:hAnsi="Arial"/>
          <w:sz w:val="16"/>
          <w:szCs w:val="16"/>
          <w:color w:val="auto"/>
        </w:rPr>
        <w:t>The Retirement Plan is funded by an investment in company-owned life insurance (“COLI”), which is recorded at its fair value on the Company’s Condensed Consolidated Balance Sheets within Prepaid Expenses. As of March 31, 2021, fair value of the COLI asset was $3.2 million (December 31, 2020</w:t>
      </w:r>
    </w:p>
    <w:p>
      <w:pPr>
        <w:ind w:right="20"/>
        <w:spacing w:after="0" w:line="255" w:lineRule="auto"/>
        <w:rPr>
          <w:sz w:val="20"/>
          <w:szCs w:val="20"/>
          <w:color w:val="auto"/>
        </w:rPr>
      </w:pPr>
      <w:r>
        <w:rPr>
          <w:rFonts w:ascii="Arial" w:cs="Arial" w:eastAsia="Arial" w:hAnsi="Arial"/>
          <w:sz w:val="18"/>
          <w:szCs w:val="18"/>
          <w:color w:val="auto"/>
        </w:rPr>
        <w:t>— $3.2 million). Gains and losses resulting from changes in the cash surrender value of the COLI asset are recognized in the Condensed Consolidated Statements of Operations within Realized and Unrealized Investment Gains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ind w:left="320" w:hanging="313"/>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Instruments</w:t>
      </w:r>
    </w:p>
    <w:p>
      <w:pPr>
        <w:spacing w:after="0" w:line="180"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The Company maintains cash with various major financial institutions. The Company’s cash is invested with highly rated financial institutions. The Company’s $267.8 million balance of cash and cash equivalents as of March 31, 2021 includes $115.1 million in cash held outside of Canada (December 31, 2020 — $89.9 million), of which $84.2 million was held in the People’s Republic of China (the “PRC”) (December 31, 2020 — $76.7 million).</w:t>
      </w:r>
    </w:p>
    <w:p>
      <w:pPr>
        <w:spacing w:after="0" w:line="111"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Fair Value Measurements</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As of March 31, 2021</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080" w:type="dxa"/>
            <w:vAlign w:val="bottom"/>
          </w:tcPr>
          <w:p>
            <w:pPr>
              <w:jc w:val="right"/>
              <w:ind w:right="294"/>
              <w:spacing w:after="0" w:line="131"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335"/>
              <w:spacing w:after="0" w:line="131"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294"/>
              <w:spacing w:after="0" w:line="131"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0"/>
        </w:trPr>
        <w:tc>
          <w:tcPr>
            <w:tcW w:w="5000" w:type="dxa"/>
            <w:vAlign w:val="bottom"/>
            <w:gridSpan w:val="4"/>
          </w:tcPr>
          <w:p>
            <w:pPr>
              <w:spacing w:after="0"/>
              <w:rPr>
                <w:sz w:val="20"/>
                <w:szCs w:val="20"/>
                <w:color w:val="auto"/>
              </w:rPr>
            </w:pPr>
            <w:r>
              <w:rPr>
                <w:rFonts w:ascii="Arial" w:cs="Arial" w:eastAsia="Arial" w:hAnsi="Arial"/>
                <w:sz w:val="14"/>
                <w:szCs w:val="14"/>
                <w:i w:val="1"/>
                <w:iCs w:val="1"/>
                <w:color w:val="auto"/>
              </w:rPr>
              <w:t>(In thousands of U.S. Dollars)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08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5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Borders>
              <w:top w:val="single" w:sz="8" w:color="CFF0FC"/>
            </w:tcBorders>
            <w:gridSpan w:val="3"/>
            <w:shd w:val="clear" w:color="auto" w:fill="CFF0FC"/>
          </w:tcPr>
          <w:p>
            <w:pPr>
              <w:spacing w:after="0" w:line="181" w:lineRule="exact"/>
              <w:rPr>
                <w:sz w:val="20"/>
                <w:szCs w:val="20"/>
                <w:color w:val="auto"/>
              </w:rPr>
            </w:pPr>
            <w:r>
              <w:rPr>
                <w:rFonts w:ascii="Arial" w:cs="Arial" w:eastAsia="Arial" w:hAnsi="Arial"/>
                <w:sz w:val="18"/>
                <w:szCs w:val="18"/>
                <w:color w:val="auto"/>
              </w:rPr>
              <w:t>Level 1</w:t>
            </w:r>
          </w:p>
        </w:tc>
        <w:tc>
          <w:tcPr>
            <w:tcW w:w="8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5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267,794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267,794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317,379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317,379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securities</w:t>
            </w:r>
            <w:r>
              <w:rPr>
                <w:rFonts w:ascii="Arial" w:cs="Arial" w:eastAsia="Arial" w:hAnsi="Arial"/>
                <w:sz w:val="15"/>
                <w:szCs w:val="15"/>
                <w:color w:val="auto"/>
              </w:rPr>
              <w:t>(2)</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1,086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13,633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80" w:type="dxa"/>
            <w:vAlign w:val="bottom"/>
            <w:gridSpan w:val="3"/>
          </w:tcPr>
          <w:p>
            <w:pPr>
              <w:spacing w:after="0" w:line="187" w:lineRule="exact"/>
              <w:rPr>
                <w:sz w:val="20"/>
                <w:szCs w:val="20"/>
                <w:color w:val="auto"/>
              </w:rPr>
            </w:pPr>
            <w:r>
              <w:rPr>
                <w:rFonts w:ascii="Arial" w:cs="Arial" w:eastAsia="Arial" w:hAnsi="Arial"/>
                <w:sz w:val="18"/>
                <w:szCs w:val="18"/>
                <w:color w:val="auto"/>
              </w:rPr>
              <w:t>Level 2</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financed sales receivables</w:t>
            </w:r>
            <w:r>
              <w:rPr>
                <w:rFonts w:ascii="Arial" w:cs="Arial" w:eastAsia="Arial" w:hAnsi="Arial"/>
                <w:sz w:val="15"/>
                <w:szCs w:val="15"/>
                <w:color w:val="auto"/>
              </w:rPr>
              <w:t>(3)</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110,213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110,163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112,396</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112,603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Net investment in sales-type leases</w:t>
            </w:r>
            <w:r>
              <w:rPr>
                <w:rFonts w:ascii="Arial" w:cs="Arial" w:eastAsia="Arial" w:hAnsi="Arial"/>
                <w:sz w:val="15"/>
                <w:szCs w:val="15"/>
                <w:color w:val="auto"/>
              </w:rPr>
              <w:t>(3)</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20,623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20,729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19,414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securities</w:t>
            </w:r>
            <w:r>
              <w:rPr>
                <w:rFonts w:ascii="Arial" w:cs="Arial" w:eastAsia="Arial" w:hAnsi="Arial"/>
                <w:sz w:val="15"/>
                <w:szCs w:val="15"/>
                <w:color w:val="auto"/>
              </w:rPr>
              <w:t>(1)</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COLI</w:t>
            </w:r>
            <w:r>
              <w:rPr>
                <w:rFonts w:ascii="Arial" w:cs="Arial" w:eastAsia="Arial" w:hAnsi="Arial"/>
                <w:sz w:val="15"/>
                <w:szCs w:val="15"/>
                <w:color w:val="auto"/>
              </w:rPr>
              <w:t>(4)</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3,184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exchange contracts — designated forwards</w:t>
            </w:r>
            <w:r>
              <w:rPr>
                <w:rFonts w:ascii="Arial" w:cs="Arial" w:eastAsia="Arial" w:hAnsi="Arial"/>
                <w:sz w:val="15"/>
                <w:szCs w:val="15"/>
                <w:color w:val="auto"/>
              </w:rPr>
              <w:t>(3)</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1,682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Foreign exchange contracts — non-designated forwards</w:t>
            </w:r>
            <w:r>
              <w:rPr>
                <w:rFonts w:ascii="Arial" w:cs="Arial" w:eastAsia="Arial" w:hAnsi="Arial"/>
                <w:sz w:val="15"/>
                <w:szCs w:val="15"/>
                <w:color w:val="auto"/>
              </w:rPr>
              <w:t>(3)</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Working Capital Facility borrowings</w:t>
            </w:r>
            <w:r>
              <w:rPr>
                <w:rFonts w:ascii="Arial" w:cs="Arial" w:eastAsia="Arial" w:hAnsi="Arial"/>
                <w:sz w:val="15"/>
                <w:szCs w:val="15"/>
                <w:color w:val="auto"/>
              </w:rPr>
              <w:t>(1)</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Credit Facility borrowings</w:t>
            </w:r>
            <w:r>
              <w:rPr>
                <w:rFonts w:ascii="Arial" w:cs="Arial" w:eastAsia="Arial" w:hAnsi="Arial"/>
                <w:sz w:val="15"/>
                <w:szCs w:val="15"/>
                <w:color w:val="auto"/>
              </w:rPr>
              <w:t>(1)</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Convertible Notes</w:t>
            </w:r>
            <w:r>
              <w:rPr>
                <w:rFonts w:ascii="Arial" w:cs="Arial" w:eastAsia="Arial" w:hAnsi="Arial"/>
                <w:sz w:val="15"/>
                <w:szCs w:val="15"/>
                <w:color w:val="auto"/>
              </w:rPr>
              <w:t>(5)</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(232,654)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80" w:hanging="37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Recorded at cost, which approximates fair value.</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Fair value is determined using quoted prices in active markets.</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Fair value is estimated based on discounting future cash flows at currently available interest rates with comparable terms.</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Measured at cash surrender value, which approximates fair value.</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Fair value is determined using quoted market prices that are observable in the market or that could be derived from observable market data.</w:t>
      </w:r>
    </w:p>
    <w:p>
      <w:pPr>
        <w:spacing w:after="0" w:line="19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When a determination is made to classify an asset or liability within Level 3, the determination is based upon the significance of the unobservable inputs to the overall fair value measurement. There were no transfers in or out of the Company’s Level 3 assets during the three months ended March 31, 2021 and 2020.</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0" w:name="page41"/>
    <w:bookmarkEnd w:id="40"/>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Foreign Exchange Risk Management</w:t>
      </w:r>
    </w:p>
    <w:p>
      <w:pPr>
        <w:spacing w:after="0" w:line="18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Company is exposed to market risk from changes in foreign currency rates. A majority of the Company’s revenues is denominated in U.S. Dollars while a substantial portion of its costs and expenses is denominated in Canadian Dollars. A portion of the net U.S. Dollar cash flows of the Company is periodically converted to Canadian Dollars to fund Canadian Dollar expenses through the spot market. In China and Japan, the Company has ongoing operating expenses related to its operations in Chinese Renminbi and Japanese Yen, respectively. Net cash flows are converted to and from U.S. Dollars through the spot market. The Company also has cash receipts under leases denominated in Chinese Renminbi, Japanese Yen, Canadian Dollars and Euros which are converted to U.S. Dollars through the spot market. In addition, because IMAX films generate box office in 84 different countries, unfavourable exchange rates between applicable local currencies and the U.S. Dollar affect the Company’s reported gross box-office receipts and revenues, further impacting the Company’s results of operations. The Company’s policy is to not use any financial instruments for trading or other speculative purposes.</w:t>
      </w:r>
    </w:p>
    <w:p>
      <w:pPr>
        <w:spacing w:after="0" w:line="143"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at March 31, 2021 (the “Foreign Currency Hedges”), with settlement dates throughout 2021.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and Inventories. For foreign currency cash flow hedging instruments related to Selling, General and Administrative Expenses, the effective portion of the gain or loss in a hedge of a forecasted transaction is reported in Other Comprehensive Income (Loss) and reclassified to the Condensed Consolidated Statements of Operations when the forecasted transaction occurs. For foreign currency cash flow hedging instruments related to Inventories, the effective portion of the gain or loss in a hedge of a forecasted transaction is reported in Other Comprehensive Income (Loss) and reclassified to Inventories in the Condensed Consolidated Balance Sheets when the forecasted transaction occurs. Any ineffective portion is recognized immediately in the Condensed Consolidated Statements of Operations.</w:t>
      </w:r>
    </w:p>
    <w:p>
      <w:pPr>
        <w:spacing w:after="0" w:line="14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tabular disclosures reflect the impact that derivative instruments and hedging activities have on the Company’s Condensed Consolidated Financial Statements: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Notional value of foreign exchange contracts</w:t>
      </w:r>
      <w:r>
        <w:rPr>
          <w:rFonts w:ascii="Arial" w:cs="Arial" w:eastAsia="Arial" w:hAnsi="Arial"/>
          <w:sz w:val="18"/>
          <w:szCs w:val="18"/>
          <w:color w:val="auto"/>
        </w:rPr>
        <w: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25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8"/>
        </w:trPr>
        <w:tc>
          <w:tcPr>
            <w:tcW w:w="456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380" w:type="dxa"/>
            <w:vAlign w:val="bottom"/>
            <w:tcBorders>
              <w:bottom w:val="single" w:sz="8" w:color="CFF0FC"/>
            </w:tcBorders>
          </w:tcPr>
          <w:p>
            <w:pPr>
              <w:spacing w:after="0"/>
              <w:rPr>
                <w:sz w:val="17"/>
                <w:szCs w:val="17"/>
                <w:color w:val="auto"/>
              </w:rPr>
            </w:pPr>
          </w:p>
        </w:tc>
        <w:tc>
          <w:tcPr>
            <w:tcW w:w="27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0"/>
        </w:trPr>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Derivatives designated as hedging instruments:</w:t>
            </w:r>
          </w:p>
        </w:tc>
        <w:tc>
          <w:tcPr>
            <w:tcW w:w="38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gridSpan w:val="3"/>
          </w:tcPr>
          <w:p>
            <w:pPr>
              <w:ind w:left="120"/>
              <w:spacing w:after="0"/>
              <w:rPr>
                <w:sz w:val="20"/>
                <w:szCs w:val="20"/>
                <w:color w:val="auto"/>
              </w:rPr>
            </w:pPr>
            <w:r>
              <w:rPr>
                <w:rFonts w:ascii="Arial" w:cs="Arial" w:eastAsia="Arial" w:hAnsi="Arial"/>
                <w:sz w:val="18"/>
                <w:szCs w:val="18"/>
                <w:color w:val="auto"/>
              </w:rPr>
              <w:t>Foreign exchange contracts — Forwards</w:t>
            </w:r>
          </w:p>
        </w:tc>
        <w:tc>
          <w:tcPr>
            <w:tcW w:w="3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21,515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26,358</w:t>
            </w:r>
          </w:p>
        </w:tc>
        <w:tc>
          <w:tcPr>
            <w:tcW w:w="0" w:type="dxa"/>
            <w:vAlign w:val="bottom"/>
          </w:tcPr>
          <w:p>
            <w:pPr>
              <w:spacing w:after="0"/>
              <w:rPr>
                <w:sz w:val="1"/>
                <w:szCs w:val="1"/>
                <w:color w:val="auto"/>
              </w:rPr>
            </w:pPr>
          </w:p>
        </w:tc>
      </w:tr>
      <w:tr>
        <w:trPr>
          <w:trHeight w:val="228"/>
        </w:trPr>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Derivatives not designated as hedging instruments:</w:t>
            </w:r>
          </w:p>
        </w:tc>
        <w:tc>
          <w:tcPr>
            <w:tcW w:w="38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tcBorders>
              <w:bottom w:val="single" w:sz="8" w:color="CFF0FC"/>
            </w:tcBorders>
            <w:gridSpan w:val="3"/>
          </w:tcPr>
          <w:p>
            <w:pPr>
              <w:ind w:left="120"/>
              <w:spacing w:after="0"/>
              <w:rPr>
                <w:sz w:val="20"/>
                <w:szCs w:val="20"/>
                <w:color w:val="auto"/>
              </w:rPr>
            </w:pPr>
            <w:r>
              <w:rPr>
                <w:rFonts w:ascii="Arial" w:cs="Arial" w:eastAsia="Arial" w:hAnsi="Arial"/>
                <w:sz w:val="18"/>
                <w:szCs w:val="18"/>
                <w:color w:val="auto"/>
              </w:rPr>
              <w:t>Foreign exchange contracts — Forwards</w:t>
            </w:r>
          </w:p>
        </w:tc>
        <w:tc>
          <w:tcPr>
            <w:tcW w:w="380" w:type="dxa"/>
            <w:vAlign w:val="bottom"/>
            <w:tcBorders>
              <w:bottom w:val="single" w:sz="8" w:color="CFF0FC"/>
            </w:tcBorders>
          </w:tcPr>
          <w:p>
            <w:pPr>
              <w:spacing w:after="0"/>
              <w:rPr>
                <w:sz w:val="19"/>
                <w:szCs w:val="19"/>
                <w:color w:val="auto"/>
              </w:rPr>
            </w:pPr>
          </w:p>
        </w:tc>
        <w:tc>
          <w:tcPr>
            <w:tcW w:w="27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416</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20"/>
        </w:trPr>
        <w:tc>
          <w:tcPr>
            <w:tcW w:w="240" w:type="dxa"/>
            <w:vAlign w:val="bottom"/>
            <w:tcBorders>
              <w:bottom w:val="single" w:sz="8" w:color="CFF0FC"/>
            </w:tcBorders>
            <w:shd w:val="clear" w:color="auto" w:fill="CFF0FC"/>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7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28"/>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21,931</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31,910</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ind w:left="240"/>
              <w:spacing w:after="0"/>
              <w:rPr>
                <w:sz w:val="20"/>
                <w:szCs w:val="20"/>
                <w:color w:val="auto"/>
              </w:rPr>
            </w:pPr>
            <w:r>
              <w:rPr>
                <w:rFonts w:ascii="Arial" w:cs="Arial" w:eastAsia="Arial" w:hAnsi="Arial"/>
                <w:sz w:val="18"/>
                <w:szCs w:val="18"/>
                <w:color w:val="auto"/>
                <w:w w:val="98"/>
              </w:rPr>
              <w:t>Fair value of derivatives in foreign exchange contracts:</w:t>
            </w:r>
          </w:p>
        </w:tc>
        <w:tc>
          <w:tcPr>
            <w:tcW w:w="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5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0" w:type="dxa"/>
            <w:vAlign w:val="bottom"/>
          </w:tcPr>
          <w:p>
            <w:pPr>
              <w:spacing w:after="0"/>
              <w:rPr>
                <w:sz w:val="22"/>
                <w:szCs w:val="22"/>
                <w:color w:val="auto"/>
              </w:rPr>
            </w:pPr>
          </w:p>
        </w:tc>
        <w:tc>
          <w:tcPr>
            <w:tcW w:w="388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3"/>
          </w:tcPr>
          <w:p>
            <w:pPr>
              <w:ind w:left="2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center"/>
              <w:ind w:right="25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12"/>
        </w:trPr>
        <w:tc>
          <w:tcPr>
            <w:tcW w:w="456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w:t>
            </w:r>
          </w:p>
        </w:tc>
        <w:tc>
          <w:tcPr>
            <w:tcW w:w="308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61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23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0"/>
        </w:trPr>
        <w:tc>
          <w:tcPr>
            <w:tcW w:w="45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Derivatives designated as hedging instruments:</w:t>
            </w:r>
          </w:p>
        </w:tc>
        <w:tc>
          <w:tcPr>
            <w:tcW w:w="380" w:type="dxa"/>
            <w:vAlign w:val="bottom"/>
            <w:tcBorders>
              <w:top w:val="single" w:sz="8" w:color="CFF0FC"/>
            </w:tcBorders>
            <w:shd w:val="clear" w:color="auto" w:fill="CFF0FC"/>
          </w:tcPr>
          <w:p>
            <w:pPr>
              <w:spacing w:after="0"/>
              <w:rPr>
                <w:sz w:val="19"/>
                <w:szCs w:val="19"/>
                <w:color w:val="auto"/>
              </w:rPr>
            </w:pPr>
          </w:p>
        </w:tc>
        <w:tc>
          <w:tcPr>
            <w:tcW w:w="2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gridSpan w:val="3"/>
          </w:tcPr>
          <w:p>
            <w:pPr>
              <w:ind w:left="120"/>
              <w:spacing w:after="0"/>
              <w:rPr>
                <w:sz w:val="20"/>
                <w:szCs w:val="20"/>
                <w:color w:val="auto"/>
              </w:rPr>
            </w:pPr>
            <w:r>
              <w:rPr>
                <w:rFonts w:ascii="Arial" w:cs="Arial" w:eastAsia="Arial" w:hAnsi="Arial"/>
                <w:sz w:val="18"/>
                <w:szCs w:val="18"/>
                <w:color w:val="auto"/>
              </w:rPr>
              <w:t>Foreign exchange contracts — Forwards</w:t>
            </w:r>
          </w:p>
        </w:tc>
        <w:tc>
          <w:tcPr>
            <w:tcW w:w="308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40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1,682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8"/>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8"/>
        </w:trPr>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Derivatives not designated as hedging instruments:</w:t>
            </w:r>
          </w:p>
        </w:tc>
        <w:tc>
          <w:tcPr>
            <w:tcW w:w="38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tcBorders>
              <w:bottom w:val="single" w:sz="8" w:color="CFF0FC"/>
            </w:tcBorders>
            <w:gridSpan w:val="3"/>
          </w:tcPr>
          <w:p>
            <w:pPr>
              <w:ind w:left="120"/>
              <w:spacing w:after="0"/>
              <w:rPr>
                <w:sz w:val="20"/>
                <w:szCs w:val="20"/>
                <w:color w:val="auto"/>
              </w:rPr>
            </w:pPr>
            <w:r>
              <w:rPr>
                <w:rFonts w:ascii="Arial" w:cs="Arial" w:eastAsia="Arial" w:hAnsi="Arial"/>
                <w:sz w:val="18"/>
                <w:szCs w:val="18"/>
                <w:color w:val="auto"/>
              </w:rPr>
              <w:t>Foreign exchange contracts — Forwards</w:t>
            </w:r>
          </w:p>
        </w:tc>
        <w:tc>
          <w:tcPr>
            <w:tcW w:w="30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0"/>
        </w:trPr>
        <w:tc>
          <w:tcPr>
            <w:tcW w:w="240" w:type="dxa"/>
            <w:vAlign w:val="bottom"/>
            <w:tcBorders>
              <w:bottom w:val="single" w:sz="8" w:color="CFF0FC"/>
            </w:tcBorders>
            <w:shd w:val="clear" w:color="auto" w:fill="CFF0FC"/>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7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1,704</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2"/>
            <w:vMerge w:val="restart"/>
          </w:tcPr>
          <w:p>
            <w:pPr>
              <w:jc w:val="right"/>
              <w:ind w:right="19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u w:val="single" w:color="auto"/>
          <w:color w:val="auto"/>
        </w:rPr>
        <w:t>Derivatives in foreign currency hedging relationships are as follows</w:t>
      </w:r>
      <w:r>
        <w:rPr>
          <w:rFonts w:ascii="Arial" w:cs="Arial" w:eastAsia="Arial" w:hAnsi="Arial"/>
          <w:sz w:val="18"/>
          <w:szCs w:val="18"/>
          <w:color w:val="auto"/>
        </w:rPr>
        <w: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6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8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40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820" w:type="dxa"/>
            <w:vAlign w:val="bottom"/>
            <w:tcBorders>
              <w:top w:val="single" w:sz="8" w:color="CFF0FC"/>
            </w:tcBorders>
            <w:shd w:val="clear" w:color="auto" w:fill="CFF0FC"/>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 Gain (Loss)</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6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82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Recognized in OCI</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(Effective Portion)</w:t>
            </w:r>
          </w:p>
        </w:tc>
        <w:tc>
          <w:tcPr>
            <w:tcW w:w="1400" w:type="dxa"/>
            <w:vAlign w:val="bottom"/>
            <w:gridSpan w:val="3"/>
            <w:shd w:val="clear" w:color="auto" w:fill="CFF0FC"/>
          </w:tcPr>
          <w:p>
            <w:pPr>
              <w:jc w:val="right"/>
              <w:ind w:right="100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295</w:t>
            </w:r>
          </w:p>
        </w:tc>
        <w:tc>
          <w:tcPr>
            <w:tcW w:w="2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89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3660" w:type="dxa"/>
            <w:vAlign w:val="bottom"/>
            <w:tcBorders>
              <w:top w:val="single" w:sz="8" w:color="CFF0FC"/>
              <w:bottom w:val="single" w:sz="8" w:color="CFF0FC"/>
            </w:tcBorders>
            <w:vMerge w:val="restart"/>
          </w:tcPr>
          <w:p>
            <w:pPr>
              <w:jc w:val="center"/>
              <w:spacing w:after="0"/>
              <w:rPr>
                <w:sz w:val="20"/>
                <w:szCs w:val="20"/>
                <w:color w:val="auto"/>
              </w:rPr>
            </w:pPr>
            <w:r>
              <w:rPr>
                <w:rFonts w:ascii="Arial" w:cs="Arial" w:eastAsia="Arial" w:hAnsi="Arial"/>
                <w:sz w:val="14"/>
                <w:szCs w:val="14"/>
                <w:b w:val="1"/>
                <w:bCs w:val="1"/>
                <w:color w:val="auto"/>
                <w:w w:val="92"/>
              </w:rPr>
              <w:t>Location of Derivative Gain (Loss)</w:t>
            </w: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Reclassified from AOCI</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6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8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 Portion)</w:t>
            </w:r>
          </w:p>
        </w:tc>
        <w:tc>
          <w:tcPr>
            <w:tcW w:w="1400" w:type="dxa"/>
            <w:vAlign w:val="bottom"/>
            <w:gridSpan w:val="3"/>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820" w:type="dxa"/>
            <w:vAlign w:val="bottom"/>
            <w:tcBorders>
              <w:top w:val="single" w:sz="8" w:color="CFF0FC"/>
            </w:tcBorders>
            <w:shd w:val="clear" w:color="auto" w:fill="CFF0FC"/>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6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82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administrative expenses</w:t>
            </w:r>
          </w:p>
        </w:tc>
        <w:tc>
          <w:tcPr>
            <w:tcW w:w="1400" w:type="dxa"/>
            <w:vAlign w:val="bottom"/>
            <w:gridSpan w:val="3"/>
          </w:tcPr>
          <w:p>
            <w:pPr>
              <w:jc w:val="right"/>
              <w:ind w:right="100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1300" w:type="dxa"/>
            <w:vAlign w:val="bottom"/>
            <w:gridSpan w:val="3"/>
          </w:tcPr>
          <w:p>
            <w:pPr>
              <w:jc w:val="right"/>
              <w:ind w:right="89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7"/>
        </w:trPr>
        <w:tc>
          <w:tcPr>
            <w:tcW w:w="2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0"/>
        </w:trPr>
        <w:tc>
          <w:tcPr>
            <w:tcW w:w="2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bottom w:val="single" w:sz="8" w:color="auto"/>
            </w:tcBorders>
          </w:tcPr>
          <w:p>
            <w:pPr>
              <w:jc w:val="right"/>
              <w:ind w:right="100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8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400" w:type="dxa"/>
            <w:vAlign w:val="bottom"/>
            <w:gridSpan w:val="3"/>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4480" w:type="dxa"/>
            <w:vAlign w:val="bottom"/>
            <w:tcBorders>
              <w:top w:val="single" w:sz="8" w:color="CFF0FC"/>
            </w:tcBorders>
            <w:gridSpan w:val="2"/>
            <w:shd w:val="clear" w:color="auto" w:fill="CFF0FC"/>
          </w:tcPr>
          <w:p>
            <w:pPr>
              <w:ind w:left="800"/>
              <w:spacing w:after="0"/>
              <w:rPr>
                <w:sz w:val="20"/>
                <w:szCs w:val="20"/>
                <w:color w:val="auto"/>
              </w:rPr>
            </w:pPr>
            <w:r>
              <w:rPr>
                <w:rFonts w:ascii="Arial" w:cs="Arial" w:eastAsia="Arial" w:hAnsi="Arial"/>
                <w:sz w:val="18"/>
                <w:szCs w:val="18"/>
                <w:color w:val="auto"/>
              </w:rPr>
              <w:t>Derivative Loss Recognized In</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6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82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and Out of OCI</w:t>
            </w:r>
          </w:p>
        </w:tc>
        <w:tc>
          <w:tcPr>
            <w:tcW w:w="1400" w:type="dxa"/>
            <w:vAlign w:val="bottom"/>
            <w:gridSpan w:val="3"/>
          </w:tcPr>
          <w:p>
            <w:pPr>
              <w:jc w:val="right"/>
              <w:ind w:right="1029"/>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93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Non-designated derivatives in foreign currency relationships are as follows</w:t>
      </w:r>
      <w:r>
        <w:rPr>
          <w:rFonts w:ascii="Arial" w:cs="Arial" w:eastAsia="Arial" w:hAnsi="Arial"/>
          <w:sz w:val="18"/>
          <w:szCs w:val="18"/>
          <w:color w:val="auto"/>
        </w:rPr>
        <w: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March 31,</w:t>
            </w:r>
          </w:p>
        </w:tc>
      </w:tr>
      <w:tr>
        <w:trPr>
          <w:trHeight w:val="220"/>
        </w:trPr>
        <w:tc>
          <w:tcPr>
            <w:tcW w:w="356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Location of Derivative Gain</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0"/>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3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6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3900" w:type="dxa"/>
            <w:vAlign w:val="bottom"/>
            <w:gridSpan w:val="2"/>
          </w:tcPr>
          <w:p>
            <w:pPr>
              <w:ind w:left="120"/>
              <w:spacing w:after="0"/>
              <w:rPr>
                <w:sz w:val="20"/>
                <w:szCs w:val="20"/>
                <w:color w:val="auto"/>
              </w:rPr>
            </w:pPr>
            <w:r>
              <w:rPr>
                <w:rFonts w:ascii="Arial" w:cs="Arial" w:eastAsia="Arial" w:hAnsi="Arial"/>
                <w:sz w:val="18"/>
                <w:szCs w:val="18"/>
                <w:color w:val="auto"/>
              </w:rPr>
              <w:t>administrative expenses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720" w:type="dxa"/>
            <w:vAlign w:val="bottom"/>
            <w:gridSpan w:val="2"/>
          </w:tcPr>
          <w:p>
            <w:pPr>
              <w:jc w:val="right"/>
              <w:ind w:right="211"/>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20"/>
        </w:trPr>
        <w:tc>
          <w:tcPr>
            <w:tcW w:w="3560" w:type="dxa"/>
            <w:vAlign w:val="bottom"/>
            <w:tcBorders>
              <w:top w:val="single" w:sz="8" w:color="CFF0FC"/>
              <w:bottom w:val="single" w:sz="8" w:color="CFF0FC"/>
            </w:tcBorders>
            <w:shd w:val="clear" w:color="auto" w:fill="CFF0FC"/>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1"/>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Company's estimated net amount of the existing gains as of March 31, 2021 is $1.7 million, which is expected to be reclassified to earnings within the next twelve months.</w:t>
      </w:r>
    </w:p>
    <w:p>
      <w:pPr>
        <w:spacing w:after="0" w:line="14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Investments in Equity Securities</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As of March 31, 2021, the Condensed Consolidated Balance Sheets includes $1.1 million (December 31, 2020 — $13.6 million) of investments in equity securities.</w:t>
      </w:r>
    </w:p>
    <w:p>
      <w:pPr>
        <w:spacing w:after="0" w:line="135"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On January 17, 2019, IMAX China (Hong Kong), Limited, a wholly-owned subsidiary of IMAX China, as an investor entered into a cornerstone investment agreement with Maoyan Entertainment (“Maoyan”) (as the issuer) and Morgan Stanley Asia Limited (as a sponsor, underwriter and the underwriters’ representative). Pursuant to this agreement, IMAX China (Hong Kong), Limited agreed to invest $15.2 million to subscribe for a certain number of shares of Maoyan at the final offer price pursuant to the global offering of the share capital of Maoyan, and this investment would be subject to a lock-up period of six months following the date of the global offering. On February 4, 2019, Maoyan completed its global offering, upon which, IMAX China (Hong Kong), Limited became a less than 1% shareholder in Maoyan. In February 2021, IMAX China (Hong Kong), Limited sold all of its 7,949,000 shares of Maoyan for gross proceeds of $17.8 million, which represents a $2.6 million gain relative to the Company’s acquisition cost and a $5.2 million gain compared to the fair value of the investment as of December 31, 2020. Prior to this sale, the Company accounted for its investment in Maoyan at fair value with any changes in fair value recorded to the Condensed Consolidated Statements of Operations. For the three months ended March 31, 2020, the fair value of the Company’s investment in Maoyan experienced an unrealized loss of $4.5 million. As of December 31, 2020, the value of the Company’s investment in Maoyan was $12.6 million.</w:t>
      </w:r>
    </w:p>
    <w:p>
      <w:pPr>
        <w:spacing w:after="0" w:line="14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has an investment of $1.1 million (December 31, 2020 — $1.1 million) in the shares of an exchange traded fund. This investment is classified as an equity investment.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2" w:name="page43"/>
    <w:bookmarkEnd w:id="42"/>
    <w:p>
      <w:pPr>
        <w:jc w:val="both"/>
        <w:ind w:firstLine="225"/>
        <w:spacing w:after="0" w:line="259" w:lineRule="auto"/>
        <w:rPr>
          <w:sz w:val="20"/>
          <w:szCs w:val="20"/>
          <w:color w:val="auto"/>
        </w:rPr>
      </w:pPr>
      <w:r>
        <w:rPr>
          <w:rFonts w:ascii="Arial" w:cs="Arial" w:eastAsia="Arial" w:hAnsi="Arial"/>
          <w:sz w:val="18"/>
          <w:szCs w:val="18"/>
          <w:color w:val="auto"/>
        </w:rPr>
        <w:t>As of March 31, 2021, the Company held investments in the preferred shares of enterprises which meet the criteria for classification as an equity security under FASB ASC 321, carried at historical cost, net of impairment charges. The carrying value of these equity security investments was $1.0 million at March 31, 2021 (December 31, 2020 — $1.0 million) and is recorded in Other Assets.</w:t>
      </w:r>
    </w:p>
    <w:p>
      <w:pPr>
        <w:spacing w:after="0" w:line="154" w:lineRule="exact"/>
        <w:rPr>
          <w:sz w:val="20"/>
          <w:szCs w:val="20"/>
          <w:color w:val="auto"/>
        </w:rPr>
      </w:pPr>
    </w:p>
    <w:p>
      <w:pPr>
        <w:ind w:left="320" w:hanging="313"/>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IMAX China Non-Controlling Interest</w:t>
      </w:r>
    </w:p>
    <w:p>
      <w:pPr>
        <w:spacing w:after="0" w:line="180"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Company indirectly owns 69.83% of IMAX China Holding, Inc. (“IMAX China”), whose shares trade on the Hong Kong Stock Exchange. IMAX China remains a consolidated subsidiary of the Company. As of March 31, 2021, the balance of the Company’s non-controlling interest in IMAX China is $82.2 million. For the three months ended March 31, 2021, the net income attributable to the non-controlling interest in IMAX China is $4.3 million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net loss of $(9.6) million).</w:t>
      </w:r>
    </w:p>
    <w:p>
      <w:pPr>
        <w:spacing w:after="0" w:line="167" w:lineRule="exact"/>
        <w:rPr>
          <w:sz w:val="20"/>
          <w:szCs w:val="20"/>
          <w:color w:val="auto"/>
        </w:rPr>
      </w:pPr>
    </w:p>
    <w:p>
      <w:pPr>
        <w:ind w:left="600" w:hanging="379"/>
        <w:spacing w:after="0"/>
        <w:tabs>
          <w:tab w:leader="none" w:pos="600" w:val="left"/>
        </w:tabs>
        <w:numPr>
          <w:ilvl w:val="1"/>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Non-Controlling Interest</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As of March 31, 2021,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6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Non-Controlling Interest in Temporary Equity</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movement of the non-controlling interest in temporary equity related to the Original Film Fund for the three months ended March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Balance of at December 31, 2020</w:t>
            </w:r>
          </w:p>
        </w:tc>
        <w:tc>
          <w:tcPr>
            <w:tcW w:w="84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759</w:t>
            </w:r>
          </w:p>
        </w:tc>
      </w:tr>
      <w:tr>
        <w:trPr>
          <w:trHeight w:val="227"/>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0"/>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2021</w:t>
            </w:r>
          </w:p>
        </w:tc>
        <w:tc>
          <w:tcPr>
            <w:tcW w:w="840" w:type="dxa"/>
            <w:vAlign w:val="bottom"/>
            <w:tcBorders>
              <w:bottom w:val="single" w:sz="8" w:color="auto"/>
            </w:tcBorders>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750</w:t>
            </w:r>
          </w:p>
        </w:tc>
      </w:tr>
      <w:tr>
        <w:trPr>
          <w:trHeight w:val="20"/>
        </w:trPr>
        <w:tc>
          <w:tcPr>
            <w:tcW w:w="9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184"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On April 24, 2021, Patrick McClymont, the Company’s Chief Financial Officer, notified the Company that he would be resigning his position effective May 14, 2021, to pursue other career and personal interests. Joseph Sparacio, Mr. McClymont’s immediate predecessor as Chief Financial Officer, has agreed to serve as the Company’s interim Chief Financial Officer, reporting to Richard L. Gelfond, the Company’s CEO, beginning on June 1, 2021, until the sooner of December 31, 2021 or when a permanent replacement is named. The terms of Mr. Sparacio’s compensation have not yet been finalized.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98"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Presented below is Management's Discussion and Analysis of Financial Condition and Results of Operations (or "MD&amp;A") for IMAX Corporation and its consolidated subsidiaries (“IMAX” or the “Company”) for the three months ended March 31, 2021 and 2020. MD&amp;A should be read in conjunction with Note 14, "Segment Reporting" in the accompanying Condensed Consolidated Financial Statements in Item 1.</w:t>
      </w:r>
    </w:p>
    <w:p>
      <w:pPr>
        <w:spacing w:after="0" w:line="12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As of March 31, 2021, the Company indirectly owns 69.83% of IMAX China Holding, Inc. (“IMAX China”), whose shares trade on the Hong Kong Stock Exchange. IMAX China is a consolidated subsidiary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98" w:lineRule="exact"/>
        <w:rPr>
          <w:sz w:val="20"/>
          <w:szCs w:val="20"/>
          <w:color w:val="auto"/>
        </w:rPr>
      </w:pPr>
    </w:p>
    <w:p>
      <w:pPr>
        <w:jc w:val="both"/>
        <w:ind w:firstLine="224"/>
        <w:spacing w:after="0" w:line="281" w:lineRule="auto"/>
        <w:rPr>
          <w:sz w:val="20"/>
          <w:szCs w:val="20"/>
          <w:color w:val="auto"/>
        </w:rPr>
      </w:pPr>
      <w:r>
        <w:rPr>
          <w:rFonts w:ascii="Arial" w:cs="Arial" w:eastAsia="Arial" w:hAnsi="Arial"/>
          <w:sz w:val="16"/>
          <w:szCs w:val="16"/>
          <w:color w:val="auto"/>
        </w:rPr>
        <w:t>Certain statements included in this quarterly report may constitute "forward-looking statements" within the meaning of the United States Private Securities Litigation Reform Act of 1995.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related to the adverse impact of the COVID-19 pandemic; risks associated with investments and operations in foreign jurisdictions and any future international expansion, including those related to economic, political and regulatory policies of local governments and laws and policies of the United States and Canada; risks related to the Company’s growth and operations in China; the performance of IMAX DMR</w:t>
      </w:r>
      <w:r>
        <w:rPr>
          <w:rFonts w:ascii="Arial" w:cs="Arial" w:eastAsia="Arial" w:hAnsi="Arial"/>
          <w:sz w:val="13"/>
          <w:szCs w:val="13"/>
          <w:color w:val="auto"/>
        </w:rPr>
        <w:t>®</w:t>
      </w:r>
      <w:r>
        <w:rPr>
          <w:rFonts w:ascii="Arial" w:cs="Arial" w:eastAsia="Arial" w:hAnsi="Arial"/>
          <w:sz w:val="16"/>
          <w:szCs w:val="16"/>
          <w:color w:val="auto"/>
        </w:rPr>
        <w:t xml:space="preserve"> films; the signing of theater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recent consolidation among commercial exhibitors and studios; risks related to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related to the Company’s indebtedness and compliance with its debt agreement; general economic, market or business conditions; the failure to convert theater system backlog into revenue; changes in laws or regulations; the failure to fully realize the projected cost savings and benefits from any of the Company’s restructuring initiatives; any statements of belief and any statements of assumptions underlying any of the foregoing; other factors and risks outlined in the Company’s periodic filings with the Securities and Exchange Commission;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349" w:lineRule="exact"/>
        <w:rPr>
          <w:sz w:val="20"/>
          <w:szCs w:val="20"/>
          <w:color w:val="auto"/>
        </w:rPr>
      </w:pPr>
    </w:p>
    <w:p>
      <w:pPr>
        <w:jc w:val="both"/>
        <w:ind w:firstLine="224"/>
        <w:spacing w:after="0" w:line="271" w:lineRule="auto"/>
        <w:rPr>
          <w:sz w:val="20"/>
          <w:szCs w:val="20"/>
          <w:color w:val="auto"/>
        </w:rPr>
      </w:pPr>
      <w:r>
        <w:rPr>
          <w:rFonts w:ascii="Arial" w:cs="Arial" w:eastAsia="Arial" w:hAnsi="Arial"/>
          <w:sz w:val="17"/>
          <w:szCs w:val="17"/>
          <w:color w:val="auto"/>
        </w:rPr>
        <w:t>The Company makes available, free of charge, its Annual Reports on Form 10-K, Quarterly Reports on Form 10-Q and Current Reports on Form 8-K, and any amendments to such reports, as soon as reasonably practicable after such filings have been made with the United States Securities and Exchange Commission (the “SEC”). Reports may be obtained free of charge through the SEC’s website at www.sec.gov and through the Company’s website at www.imax.com or by calling the Company’s Investor Relations Department at 212-821-0100. No information included on the Company's website shall be deemed included or otherwise incorporated into this filing, except where expressly indicated.</w:t>
      </w:r>
    </w:p>
    <w:p>
      <w:pPr>
        <w:spacing w:after="0" w:line="139"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information posted on the Company’s corporate and Investor Relations websites may be deemed material to investors. Accordingly, investors, media and others interested in the Company should monitor the Company’s websites in addition to the Company’s press releases, SEC filings and public conference calls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IMAX</w:t>
      </w:r>
      <w:r>
        <w:rPr>
          <w:rFonts w:ascii="Arial" w:cs="Arial" w:eastAsia="Arial" w:hAnsi="Arial"/>
          <w:sz w:val="15"/>
          <w:szCs w:val="15"/>
          <w:color w:val="auto"/>
        </w:rPr>
        <w:t>®</w:t>
      </w:r>
      <w:r>
        <w:rPr>
          <w:rFonts w:ascii="Arial" w:cs="Arial" w:eastAsia="Arial" w:hAnsi="Arial"/>
          <w:sz w:val="18"/>
          <w:szCs w:val="18"/>
          <w:color w:val="auto"/>
        </w:rPr>
        <w:t>, IMAX</w:t>
      </w:r>
      <w:r>
        <w:rPr>
          <w:rFonts w:ascii="Arial" w:cs="Arial" w:eastAsia="Arial" w:hAnsi="Arial"/>
          <w:sz w:val="15"/>
          <w:szCs w:val="15"/>
          <w:color w:val="auto"/>
        </w:rPr>
        <w:t>®</w:t>
      </w:r>
      <w:r>
        <w:rPr>
          <w:rFonts w:ascii="Arial" w:cs="Arial" w:eastAsia="Arial" w:hAnsi="Arial"/>
          <w:sz w:val="18"/>
          <w:szCs w:val="18"/>
          <w:color w:val="auto"/>
        </w:rPr>
        <w:t xml:space="preserve"> Dome, IMAX</w:t>
      </w:r>
      <w:r>
        <w:rPr>
          <w:rFonts w:ascii="Arial" w:cs="Arial" w:eastAsia="Arial" w:hAnsi="Arial"/>
          <w:sz w:val="15"/>
          <w:szCs w:val="15"/>
          <w:color w:val="auto"/>
        </w:rPr>
        <w:t>®</w:t>
      </w:r>
      <w:r>
        <w:rPr>
          <w:rFonts w:ascii="Arial" w:cs="Arial" w:eastAsia="Arial" w:hAnsi="Arial"/>
          <w:sz w:val="18"/>
          <w:szCs w:val="18"/>
          <w:color w:val="auto"/>
        </w:rPr>
        <w:t xml:space="preserve"> 3D, IMAX</w:t>
      </w:r>
      <w:r>
        <w:rPr>
          <w:rFonts w:ascii="Arial" w:cs="Arial" w:eastAsia="Arial" w:hAnsi="Arial"/>
          <w:sz w:val="15"/>
          <w:szCs w:val="15"/>
          <w:color w:val="auto"/>
        </w:rPr>
        <w:t>®</w:t>
      </w:r>
      <w:r>
        <w:rPr>
          <w:rFonts w:ascii="Arial" w:cs="Arial" w:eastAsia="Arial" w:hAnsi="Arial"/>
          <w:sz w:val="18"/>
          <w:szCs w:val="18"/>
          <w:color w:val="auto"/>
        </w:rPr>
        <w:t xml:space="preserve"> 3D Dome, Experience It In IMAX</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3D</w:t>
      </w:r>
      <w:r>
        <w:rPr>
          <w:rFonts w:ascii="Arial" w:cs="Arial" w:eastAsia="Arial" w:hAnsi="Arial"/>
          <w:sz w:val="18"/>
          <w:szCs w:val="18"/>
          <w:color w:val="auto"/>
        </w:rPr>
        <w:t xml:space="preserve">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IMAX DMR</w:t>
      </w:r>
      <w:r>
        <w:rPr>
          <w:rFonts w:ascii="Arial" w:cs="Arial" w:eastAsia="Arial" w:hAnsi="Arial"/>
          <w:sz w:val="15"/>
          <w:szCs w:val="15"/>
          <w:color w:val="auto"/>
        </w:rPr>
        <w:t>®</w:t>
      </w:r>
      <w:r>
        <w:rPr>
          <w:rFonts w:ascii="Arial" w:cs="Arial" w:eastAsia="Arial" w:hAnsi="Arial"/>
          <w:sz w:val="18"/>
          <w:szCs w:val="18"/>
          <w:color w:val="auto"/>
        </w:rPr>
        <w:t>, DMR</w:t>
      </w:r>
      <w:r>
        <w:rPr>
          <w:rFonts w:ascii="Arial" w:cs="Arial" w:eastAsia="Arial" w:hAnsi="Arial"/>
          <w:sz w:val="15"/>
          <w:szCs w:val="15"/>
          <w:color w:val="auto"/>
        </w:rPr>
        <w:t>®</w:t>
      </w:r>
      <w:r>
        <w:rPr>
          <w:rFonts w:ascii="Arial" w:cs="Arial" w:eastAsia="Arial" w:hAnsi="Arial"/>
          <w:sz w:val="18"/>
          <w:szCs w:val="18"/>
          <w:color w:val="auto"/>
        </w:rPr>
        <w:t>, IMAX nXos</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Films to the Fullest</w:t>
      </w:r>
      <w:r>
        <w:rPr>
          <w:rFonts w:ascii="Arial" w:cs="Arial" w:eastAsia="Arial" w:hAnsi="Arial"/>
          <w:sz w:val="15"/>
          <w:szCs w:val="15"/>
          <w:color w:val="auto"/>
        </w:rPr>
        <w:t>®</w:t>
      </w:r>
      <w:r>
        <w:rPr>
          <w:rFonts w:ascii="Arial" w:cs="Arial" w:eastAsia="Arial" w:hAnsi="Arial"/>
          <w:sz w:val="18"/>
          <w:szCs w:val="18"/>
          <w:color w:val="auto"/>
        </w:rPr>
        <w:t>, are trademarks and trade names of the Company or its subsidiaries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or otherwise protected under laws of various jurisdictions.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IMAX is one of the world’s leading entertainment technology companies, specializing in technological innovations powering the presentation of some of today’s most immersive entertainment experiences. Through its proprietary software, theater architecture, patented intellectual property and specialized equipment, IMAX offers a unique end-to-end cinematic solution to create the highest-quality, most immersive motion picture and other entertainment event experiences for which the IMAX</w:t>
      </w:r>
      <w:r>
        <w:rPr>
          <w:rFonts w:ascii="Arial" w:cs="Arial" w:eastAsia="Arial" w:hAnsi="Arial"/>
          <w:sz w:val="14"/>
          <w:szCs w:val="14"/>
          <w:color w:val="auto"/>
        </w:rPr>
        <w:t>®</w:t>
      </w:r>
      <w:r>
        <w:rPr>
          <w:rFonts w:ascii="Arial" w:cs="Arial" w:eastAsia="Arial" w:hAnsi="Arial"/>
          <w:sz w:val="17"/>
          <w:szCs w:val="17"/>
          <w:color w:val="auto"/>
        </w:rPr>
        <w:t xml:space="preserve"> brand has become known globally. Top filmmakers and movie studios utilize the cutting-edge visual and sound technology of IMAX to connect with audiences in innovative ways, and, as a result, the IMAX network is among the most important and successful distribution platforms for major films and other events around the world.</w:t>
      </w:r>
    </w:p>
    <w:p>
      <w:pPr>
        <w:spacing w:after="0" w:line="137"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6"/>
          <w:szCs w:val="16"/>
          <w:color w:val="auto"/>
        </w:rPr>
        <w:t>The Company leverages its proprietary technology and engineering in all aspects of its core business, which principally consists of the digital remastering of films and other presentations into the IMAX format (“IMAX DMR”) and the sale or lease of premium IMAX theater systems (“IMAX Theater Systems”).</w:t>
      </w:r>
    </w:p>
    <w:p>
      <w:pPr>
        <w:spacing w:after="0" w:line="8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IMAX Theater Systems are based on proprietary and patented image, audio and other technology developed over the course of the Company’s 53-year history. The Company’s customers are theater exhibitors that operate commercial theaters (particularly multiplexes), museums, science centers, or destination entertainment sites. The Company generally does not own the theaters in the IMAX network, but sells or leases the IMAX Theater System along with a license to use its trademarks.</w:t>
      </w:r>
    </w:p>
    <w:p>
      <w:pPr>
        <w:spacing w:after="0" w:line="16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March 31, 2021, there were 1,652 IMAX Theater Systems operating in 84 countries and territories, including 1,567 commercial multiplexes, 12 commercial destinations and 73 institutional locations. This compares to 1,616 IMAX Theater Systems operating in 81 countries and territories as of March 31, 2020 including 1,526 commercial multiplexes, 14 commercial destinations and 76 institutional locations. (See the table below under “IMAX Network and Backlog” for additional information on the composition of the IMAX network.)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IMAX Theater System provides the Company’s exhibitor customers with a combination of the following benefits:</w:t>
      </w:r>
    </w:p>
    <w:p>
      <w:pPr>
        <w:spacing w:after="0" w:line="180" w:lineRule="exact"/>
        <w:rPr>
          <w:sz w:val="20"/>
          <w:szCs w:val="20"/>
          <w:color w:val="auto"/>
        </w:rPr>
      </w:pPr>
    </w:p>
    <w:p>
      <w:pPr>
        <w:ind w:left="600" w:right="20" w:hanging="379"/>
        <w:spacing w:after="0" w:line="270"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exhibit content that has undergone the IMAX DMR</w:t>
      </w:r>
      <w:r>
        <w:rPr>
          <w:rFonts w:ascii="Arial" w:cs="Arial" w:eastAsia="Arial" w:hAnsi="Arial"/>
          <w:sz w:val="15"/>
          <w:szCs w:val="15"/>
          <w:color w:val="auto"/>
        </w:rPr>
        <w:t>®</w:t>
      </w:r>
      <w:r>
        <w:rPr>
          <w:rFonts w:ascii="Arial" w:cs="Arial" w:eastAsia="Arial" w:hAnsi="Arial"/>
          <w:sz w:val="18"/>
          <w:szCs w:val="18"/>
          <w:color w:val="auto"/>
        </w:rPr>
        <w:t xml:space="preserve"> conversion process, which results in higher image and sound fidelity than conventional cinema experiences;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advanced, high-resolution projectors with specialized equipment and automated theater control systems, which generate significantly more contrast and brightness than conventional theater systems;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advanced sound system components, which deliver more expansive sound imagery and pinpointed origination of sound to any specific spot in an IMAX theater;</w:t>
      </w:r>
    </w:p>
    <w:p>
      <w:pPr>
        <w:spacing w:after="0" w:line="135" w:lineRule="exact"/>
        <w:rPr>
          <w:rFonts w:ascii="Arial" w:cs="Arial" w:eastAsia="Arial" w:hAnsi="Arial"/>
          <w:sz w:val="18"/>
          <w:szCs w:val="18"/>
          <w:color w:val="auto"/>
        </w:rPr>
      </w:pPr>
    </w:p>
    <w:p>
      <w:pPr>
        <w:ind w:left="600" w:hanging="379"/>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specialized theater acoustics, which result in a four-fold reduction in background noise; and</w:t>
      </w:r>
    </w:p>
    <w:p>
      <w:pPr>
        <w:spacing w:after="0" w:line="180" w:lineRule="exact"/>
        <w:rPr>
          <w:rFonts w:ascii="Arial" w:cs="Arial" w:eastAsia="Arial" w:hAnsi="Arial"/>
          <w:sz w:val="18"/>
          <w:szCs w:val="18"/>
          <w:color w:val="auto"/>
        </w:rPr>
      </w:pPr>
    </w:p>
    <w:p>
      <w:pPr>
        <w:ind w:left="600" w:hanging="379"/>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license to the globally recognized IMAX brand.</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certain movies shown in IMAX theaters are filmed using proprietary IMAX film and IMAX certified digital cameras, which offer filmmakers customized guidance and a workflow process to provide further enhanced and differentiated image quality and a film aspect ratio that delivers up to 26% more image onto a movie screen.</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Together these components cause audiences in IMAX theaters to feel as if they are a part of the on-screen action, creating a more intense, immersive and exciting experience than a traditional theater.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5" w:name="page46"/>
    <w:bookmarkEnd w:id="45"/>
    <w:p>
      <w:pPr>
        <w:jc w:val="both"/>
        <w:ind w:firstLine="225"/>
        <w:spacing w:after="0" w:line="271" w:lineRule="auto"/>
        <w:rPr>
          <w:sz w:val="20"/>
          <w:szCs w:val="20"/>
          <w:color w:val="auto"/>
        </w:rPr>
      </w:pPr>
      <w:r>
        <w:rPr>
          <w:rFonts w:ascii="Arial" w:cs="Arial" w:eastAsia="Arial" w:hAnsi="Arial"/>
          <w:sz w:val="17"/>
          <w:szCs w:val="17"/>
          <w:color w:val="auto"/>
        </w:rPr>
        <w:t xml:space="preserve">As a result of the engineering and scientific achievements that are a hallmark of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4"/>
          <w:szCs w:val="14"/>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Company’s exhibitor customers typically charge a premium for IMAX DMR films over films exhibited in their other auditoriums. The premium pricing, combined with the higher attendance levels associated with IMAX DMR films, generates incremental box office for the Company’s exhibitor customers and for the movie studios releasing their films to the IMAX network. The incremental box office generated by IMAX DMR films has helped establish IMAX as a key premium distribution and marketing platform for Hollywood blockbuster films and foreign local language movie studios.</w:t>
      </w:r>
    </w:p>
    <w:p>
      <w:pPr>
        <w:spacing w:after="0" w:line="152"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As one of the world’s leaders in entertainment technology, the Company strives to remain at the forefront of advancements in cinema technology. In 2018, the Company introduced IMAX with Laser, a laser projection system designed for IMAX theaters in commercial multiplexes, which represents a further evolution of IMAX’s proprietary technology. The Company believes that IMAX with Laser delivers increased resolution, sharper and brighter images, deeper contrast and the widest range of colors available to filmmakers today. The Company further believes that IMAX with Laser is helping facilitate the next major lease renewal and upgrade cycle for the global IMAX network.</w:t>
      </w:r>
    </w:p>
    <w:p>
      <w:pPr>
        <w:spacing w:after="0" w:line="13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is also experimenting with new technologies and new content as a way to deepen consumer engagement and brand loyalty, which includes curating unique, differentiated alternative content to be exhibited in IMAX theaters, particularly during those periods when Hollywood blockbuster film content is not available.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98"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On April 24, 2021, Patrick McClymont, the Company’s Chief Financial Officer, notified the Company that he would be resigning his position effective May 14, 2021, to pursue other career and personal interests. Joseph Sparacio, Mr. McClymont’s immediate predecessor as Chief Financial Officer, has agreed to serve as the Company’s interim Chief Financial Officer, reporting to Richard L. Gelfond, the Company’s CEO, beginning on June 1, 2021, until the sooner of December 31, 2021 or when a permanent replacement is named. The terms of Mr. Sparacio’s compensation have not yet been finalized.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84" w:lineRule="exact"/>
        <w:rPr>
          <w:sz w:val="20"/>
          <w:szCs w:val="20"/>
          <w:color w:val="auto"/>
        </w:rPr>
      </w:pPr>
    </w:p>
    <w:p>
      <w:pPr>
        <w:jc w:val="both"/>
        <w:ind w:firstLine="225"/>
        <w:spacing w:after="0" w:line="282" w:lineRule="auto"/>
        <w:rPr>
          <w:sz w:val="20"/>
          <w:szCs w:val="20"/>
          <w:color w:val="auto"/>
        </w:rPr>
      </w:pPr>
      <w:r>
        <w:rPr>
          <w:rFonts w:ascii="Arial" w:cs="Arial" w:eastAsia="Arial" w:hAnsi="Arial"/>
          <w:sz w:val="16"/>
          <w:szCs w:val="16"/>
          <w:color w:val="auto"/>
        </w:rPr>
        <w:t>In late January 2020, in response to the public health risks associated with the novel coronavirus and the disease that it causes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movie studios postponed the theatrical release of most films originally scheduled for release in 2020 and early 2021, including many scheduled to be shown in IMAX theaters, while several other films were released directly or concurrently to streaming platforms. More recently, stay-at-home orders have been lifted in many countries and movie theaters throughout the IMAX network gradually reopened in the third quarter of 2020 with reduced capacities, physical distancing requirements, and other safety measures. As of March 31, 2021, 77% of the theaters in the global IMAX commercial multiplex network were open, spanning 41 countries. This included 66% of the theaters in Domestic (i.e., United States and Canada) locations, 97% of the theaters in Greater China and 52% of the theaters in Rest of World markets. In many parts of Asia, audiences have returned to theaters, particularly IMAX theaters, in numbers approximating pre-pandemic attendance levels despite the continued delay of Hollywood theatrical releases, which typically account for 70% of box office ticket sales in those regions. Management believes this indicates that moviegoers are eager to return to cinemas where and when theaters are open and they feel safe. However, ticket sales have been significantly lower than normal levels in theaters outside of Asia due in significant part to continued delays in the Hollywood theatrical release schedule. As a result, during the first quarter of 2021, certain theater chains have remained closed or operated with capacity restrictions and reduced operating hours.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jc w:val="both"/>
        <w:ind w:firstLine="225"/>
        <w:spacing w:after="0" w:line="266" w:lineRule="auto"/>
        <w:rPr>
          <w:sz w:val="20"/>
          <w:szCs w:val="20"/>
          <w:color w:val="auto"/>
        </w:rPr>
      </w:pPr>
      <w:r>
        <w:rPr>
          <w:rFonts w:ascii="Arial" w:cs="Arial" w:eastAsia="Arial" w:hAnsi="Arial"/>
          <w:sz w:val="17"/>
          <w:szCs w:val="17"/>
          <w:color w:val="auto"/>
        </w:rPr>
        <w:t>The impact of the COVID-19 global pandemic has resulted in significantly lower levels of revenues, earnings and operating cash flows during 2020 and through the end of the first quarter of 2021, when compared to periods prior to the onset of the pandemic, as gross box office (“GBO”) results from the Company’s theater customers declined significantly, the installation of certain theater systems was delayed, and maintenance services were generally suspended for theaters that were closed. Even as the pandemic has receded in many markets around the world, there continues to be few new films released by Hollywood movie studios and a significant number of theaters in the IMAX network remain either closed or operating with capacity restrictions. The Company continues to experience a significant decline in earnings and operating cash flows as it is generating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been, and may continue to be delayed. However, with approximately 77% of the Company’s global theater network open as of March 31, 2021 (including substantially all of the theaters in Greater China), GBO receipts generated by IMAX DMR films and joint revenue sharing arrangements increased in the current quarter, leading to improvement in the Company’s segment results, when compared to the prior year period.</w:t>
      </w:r>
    </w:p>
    <w:p>
      <w:pPr>
        <w:spacing w:after="0" w:line="155"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addition, as a result of the financial difficulties faced by certain of the Company’s exhibition customers as a result of theater closures during the pandemic, the Company has experienced and may continue to experience delays in collecting payments due under existing theater sale or lease arrangements. In response, the Company has provided temporary relief to exhibitor customers by waiving or reducing maintenance fees during periods when theaters are closed or operating with reduced capacities and, in certain situations, by providing extended payment terms on annual minimum payment obligations in exchange for a corresponding or longer extension of the term of the underlying sale or lease arrangement.</w:t>
      </w:r>
    </w:p>
    <w:p>
      <w:pPr>
        <w:spacing w:after="0" w:line="139"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 xml:space="preserve">Management is encouraged by recent box office results in markets like China, Japan and South Korea where the virus is better controlled and audiences have demonstrated a willingness to return to cinema. In addition, vaccine distribution is accelerating in the United States and the pipeline of Hollywood movies scheduled for the second half of 2021 appears strong. However, the Company may </w:t>
      </w:r>
      <w:r>
        <w:rPr>
          <w:rFonts w:ascii="Arial" w:cs="Arial" w:eastAsia="Arial" w:hAnsi="Arial"/>
          <w:sz w:val="17"/>
          <w:szCs w:val="17"/>
          <w:color w:val="212529"/>
        </w:rPr>
        <w:t>continue to be significantly impacted by the COVID-19 global</w:t>
      </w:r>
      <w:r>
        <w:rPr>
          <w:rFonts w:ascii="Arial" w:cs="Arial" w:eastAsia="Arial" w:hAnsi="Arial"/>
          <w:sz w:val="17"/>
          <w:szCs w:val="17"/>
          <w:color w:val="auto"/>
        </w:rPr>
        <w:t xml:space="preserve"> </w:t>
      </w:r>
      <w:r>
        <w:rPr>
          <w:rFonts w:ascii="Arial" w:cs="Arial" w:eastAsia="Arial" w:hAnsi="Arial"/>
          <w:sz w:val="17"/>
          <w:szCs w:val="17"/>
          <w:color w:val="212529"/>
        </w:rPr>
        <w:t>pandemic even after theaters reopen and resume normal operations. The global economic impact of COVID-19 has led to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consumer behavior normalizes and consumer spending recovers.</w:t>
      </w:r>
    </w:p>
    <w:p>
      <w:pPr>
        <w:spacing w:after="0" w:line="142"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In response to uncertainties associated with the COVID-19 global pandemic, in the first quarter of 2021, the Company continued to take significant steps to preserve cash by eliminating non-essential costs, keeping certain employees on a temporary furlough, reducing the working hours of other employees and reducing all non-essential capital expenditures to minimum levels. The Company has also implemented an active cash management process, which, among other things, requires senior management approval of all outgoing payments.</w:t>
      </w:r>
    </w:p>
    <w:p>
      <w:pPr>
        <w:spacing w:after="0" w:line="146"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In the first quarter of 2021, the Company issued $230.0 million of Convertible Notes. The net proceeds from the issuance of the Convertible Notes were approximately $223.7 million, after deducting the initial purchasers’ discounts and commissions, which were used in part to repay a portion of outstanding borrowings under the Credit Facility provided by the Company’s Credit Agreement with Wells Fargo. In addition, during the first quarter of 2021, the Company entered into the Second Amendment to the Credit Agreement which, among other things, suspends the Senior Secured Net Leverage Ratio financial covenant in the Credit Agreement through the first quarter of 2022 and, once re-established, permits the Company to use EBITDA from the third and fourth quarters of 2019 in lieu of EBITDA for the corresponding quarters of 2021. As of March 31, 2021, the Company was in compliance with all of its requirements under the Credit Agreement, as amended. (Each defined term used, but not defined in this paragraph is defined in “Liquidity and Capital Resources”.) (See “Liquidity and Capital Resources” and Note 7 of Notes to Condensed Consolidated Financial Statements in Part I, Item 1.)</w:t>
      </w:r>
    </w:p>
    <w:p>
      <w:pPr>
        <w:spacing w:after="0" w:line="13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Company has applied for and received $8.6 million to date in wage subsidies, tax credits and other financial support under COVID-19 relief legislation that has been enacted in the countries in which it operates. During the three months ended March 31, 2021, the Company recognized $1.5 million under the Canada Emergency Wage Subsidy (“CEWS”) program as reductions to Selling, General and Administrative Expenses ($1.2 million) and Costs and Expenses Applicable to Revenues ($0.3 million) in the Condensed Consolidated Statements of Operations. The CEWS program has been extended to September 2021. The Company will continue to review for the availability of additional subsidies and credits for the remaining terms of these programs, where applicable, although there are no guarantees that the Company will ultimately apply for or receive any such additional benefits. (See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in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SOURCES OF REVENUE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presentation of MD&amp;A, the Company has organized its reportable segments into the following four categories: (i) IMAX Technology Network;</w:t>
      </w:r>
    </w:p>
    <w:p>
      <w:pPr>
        <w:spacing w:after="0" w:line="43" w:lineRule="exact"/>
        <w:rPr>
          <w:sz w:val="20"/>
          <w:szCs w:val="20"/>
          <w:color w:val="auto"/>
        </w:rPr>
      </w:pPr>
    </w:p>
    <w:p>
      <w:pPr>
        <w:jc w:val="both"/>
        <w:ind w:firstLine="7"/>
        <w:spacing w:after="0" w:line="278" w:lineRule="auto"/>
        <w:tabs>
          <w:tab w:leader="none" w:pos="274"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IMAX Technology Sales and Maintenance; (iii) New Business Initiatives; and (iv) Film Distribution and Post-Production. Within these four categories are the Company’s following reportable segments: (i) IMAX DMR; (ii) Joint Revenue Sharing Arrangements; (iii) IMAX Systems; (iv) IMAX Maintenance;</w:t>
      </w:r>
    </w:p>
    <w:p>
      <w:pPr>
        <w:spacing w:after="0" w:line="1" w:lineRule="exact"/>
        <w:rPr>
          <w:rFonts w:ascii="Arial" w:cs="Arial" w:eastAsia="Arial" w:hAnsi="Arial"/>
          <w:sz w:val="16"/>
          <w:szCs w:val="16"/>
          <w:color w:val="auto"/>
        </w:rPr>
      </w:pPr>
    </w:p>
    <w:p>
      <w:pPr>
        <w:ind w:firstLine="7"/>
        <w:spacing w:after="0" w:line="255"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Theater Business; (vi) New Business Initiatives; (vii) Film Distribution; and (viii) Film Post-Production. For additional details regarding the Company’s sources of revenue, refer to its Form 10-K for the year ended December 31, 2020 (the “2020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Network</w:t>
      </w:r>
    </w:p>
    <w:p>
      <w:pPr>
        <w:spacing w:after="0" w:line="184"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6"/>
          <w:szCs w:val="16"/>
          <w:color w:val="auto"/>
        </w:rPr>
        <w:t>The IMAX Technology Network category earns revenue based on contingent box office receipts. Included in the IMAX Technology Network category are the IMAX DMR segment and contingent rent from the Joint Revenue Sharing Arrangement (“JRSA”) segment, each as described in more detail below.</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 has developed IMAX DMR, a proprietary technology that digitally remasters films into IMAX formats. In a typical IMAX DMR film arrangement, the Company receives a percentage of the box office receipts from a movie studio in exchange for converting a commercial film into IMAX DMR format and distributing it through the IMAX network. In recent years,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51"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 xml:space="preserve">IMAX DMR digitally enhances the image resolution of motion picture films for projection on IMAX screens while maintaining or enhancing the visual clarity and sound quality to levels for which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xml:space="preserve"> is known. In addition, the original soundtrack of a film to be exhibited in IMAX theaters is remastered for IMAX digital sound systems in connection with the IMAX DMR release of the film.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52"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 xml:space="preserve">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movie screen. </w:t>
      </w:r>
      <w:r>
        <w:rPr>
          <w:rFonts w:ascii="Arial" w:cs="Arial" w:eastAsia="Arial" w:hAnsi="Arial"/>
          <w:sz w:val="16"/>
          <w:szCs w:val="16"/>
          <w:i w:val="1"/>
          <w:iCs w:val="1"/>
          <w:color w:val="auto"/>
        </w:rPr>
        <w:t>Detective Chinatown 3</w:t>
      </w:r>
      <w:r>
        <w:rPr>
          <w:rFonts w:ascii="Arial" w:cs="Arial" w:eastAsia="Arial" w:hAnsi="Arial"/>
          <w:sz w:val="16"/>
          <w:szCs w:val="16"/>
          <w:color w:val="auto"/>
        </w:rPr>
        <w:t xml:space="preserve"> and </w:t>
      </w:r>
      <w:r>
        <w:rPr>
          <w:rFonts w:ascii="Arial" w:cs="Arial" w:eastAsia="Arial" w:hAnsi="Arial"/>
          <w:sz w:val="16"/>
          <w:szCs w:val="16"/>
          <w:i w:val="1"/>
          <w:iCs w:val="1"/>
          <w:color w:val="auto"/>
        </w:rPr>
        <w:t>A Writer’s Odyssey</w:t>
      </w:r>
      <w:r>
        <w:rPr>
          <w:rFonts w:ascii="Arial" w:cs="Arial" w:eastAsia="Arial" w:hAnsi="Arial"/>
          <w:sz w:val="16"/>
          <w:szCs w:val="16"/>
          <w:color w:val="auto"/>
        </w:rPr>
        <w:t>, which were released in China in the first quarter of 2021, were filmed with IMAX cameras.</w:t>
      </w:r>
    </w:p>
    <w:p>
      <w:pPr>
        <w:spacing w:after="0" w:line="123"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Management believes that growth in international box office remains an important driver of growth for the Company. To support continued growth in international markets, the Company has sought to bolster its international film strategy, supplementing the Company’s film slate of Hollywood DMR titles with appealing local IMAX DMR releases in select markets, particularly in China. During 2020, 17 local language IMAX DMR films were released to the IMAX network, including ten in China, three in Russia, three in Japan, and one in South Korea. During the three months ended March 31, 2021, six local language IMAX DMR films were released to the IMAX network, including four in China and two in Japan. The Company expects to announce additional local language IMAX DMR films to be released to the IMAX network in the remainder of 2021.</w:t>
      </w:r>
    </w:p>
    <w:p>
      <w:pPr>
        <w:spacing w:after="0" w:line="137"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 remains in active negotiations with all major Hollywood studios for additional films to fill out its short and long-term film slate for the IMAX network. However, as a result of the theater closures associated with the COVID-19 global pandemic, Hollywood movie studios have postponed the theatrical release of most films originally scheduled for release in early 2021, including many scheduled to be shown in IMAX theaters, while several other films have been released directly or concurrently to streaming platforms. Accordingly, as of the filing of this report, there remains uncertainty around the release dates of certain major films.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94"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JRSA segment provides IMAX Theater Systems to exhibitors through joint revenue sharing arrangements. Under the traditional form of these arrangements, IMAX provides the IMAX projection and sound system under a long-term lease in which the Company assumes the majority of the equipment and installation costs. In exchange for its upfront investment, the Company earns rent based on a percentage of contingent box office receipts and, in some cases, concession revenues, rather than requiring the customer to pay a fixed upfront fee or annual minimum payments. Rental payments from the customer are required throughout the term of the arrangement and are due either monthly or quarterly. The Company retains title to the IMAX Theater System equipment components throughout the lease term, and the equipment is returned to the Company at the conclusion of the arrangement.</w:t>
      </w:r>
    </w:p>
    <w:p>
      <w:pPr>
        <w:spacing w:after="0" w:line="127"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Under certain other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For hybrid joint revenue sharing arrangements that take the form of a lease, the contingent rent is reported within the IMAX Technology Network, while the fixed upfront payment is recorded as revenue within IMAX Technology Sales and Maintenance, as discussed below. For hybrid joint revenue sharing arrangements that take the form of a sale, see the discussion below under IMAX Technology Sales and Maintenance.</w:t>
      </w:r>
    </w:p>
    <w:p>
      <w:pPr>
        <w:spacing w:after="0" w:line="142"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2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revenue earned from customers under the Company’s joint revenue sharing arrangements can vary from quarter-to-quarter and year-to-year based on a number of factors including film performance, the mix of theater system configurations, the timing of installation of IMAX Theater Systems, the nature of the arrangement, the location, size and management of the theater and other factors specific to individual arrangements.</w:t>
      </w:r>
    </w:p>
    <w:p>
      <w:pPr>
        <w:spacing w:after="0" w:line="128"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Joint revenue sharing arrangements also require IMAX to provide maintenance and extended warranty services to the customer over the term of the lease in exchange for a separate fixed annual fee. These fees are reported within IMAX Technology Sales and Maintenance, as discussed below.</w:t>
      </w:r>
    </w:p>
    <w:p>
      <w:pPr>
        <w:spacing w:after="0" w:line="112"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The introduction of joint revenue sharing arrangements has been an important factor in the expansion of the Company’s commercial theater network. Joint revenue sharing arrangements allow commercial theater exhibitors to install IMAX Theater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joint revenue sharing arrangements through cash flows from operations. As of March 31, 2021, the Company had 896 theaters in operation under joint revenue sharing arrangements, a 3.3% increase as compared to the 867 theaters in operation under joint revenue sharing arrangements as of March 31, 2020. The Company also had contracts in backlog for 332 theaters under joint revenue sharing arrangements as of March 31, 2021, including 84 upgrades to existing theater locations and 248 new theater locations.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Sales and Maintenance</w:t>
      </w:r>
    </w:p>
    <w:p>
      <w:pPr>
        <w:spacing w:after="0" w:line="18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IMAX Technology Sales and Maintenance category earns revenue principally from the sale or sales-type lease of IMAX Theater Systems, as well as from the maintenance of IMAX Theater Systems. To the lesser extent, the IMAX Technology Sales and Maintenance category earns revenue from certain ancillary theater business activities and revenues from hybrid joint revenue sharing arrangements. These activities are described in more detail below under each of their respective segments.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IMAX Systems</w:t>
      </w:r>
    </w:p>
    <w:p>
      <w:pPr>
        <w:spacing w:after="0" w:line="194"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IMAX Systems segment provides IMAX Theater Systems to exhibitors through sale arrangements or long-term lease arrangements that for accounting purposes are classified as sales-type leases. Under these arrangements, in exchange for providing the IMAX Theater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theater.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In addition, in sale arrangements, an estimate of the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w:t>
      </w:r>
    </w:p>
    <w:p>
      <w:pPr>
        <w:spacing w:after="0" w:line="13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sale arrangements, title to the IMAX Theater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Theater System equipment remains with the Company. The Company has the right to remove the equipment for non-payment or other defaults by the customer.</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revenue earned from customers under the Company’s theater system sales or lease agreements varies from quarter-to-quarter and year-to-year based on a number of factors, including the number and mix of theater system configurations sold or leased, the timing of installation of the IMAX Theater Systems, the nature of the arrangement and other factors specific to individual contracts.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Fixed Fees</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Under certain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For hybrid joint revenue sharing arrangements that take the form of a lease, the contingent rent is reported within the IMAX Technology Network, as discussed above, while the fixed upfront payment is reported within IMAX Technology Sales and Maintenance.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94"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For all IMAX theaters, theater owners or operators are also responsible for paying the Company an annual maintenance and extended warranty fee. Under these arrangements, the Company provides proactive and emergency maintenance services to every theater in its network to ensure that each presentation is up to the highest IMAX quality standard. Annual maintenance fees are paid throughout the duration of the term of the theater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Theater Business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Other Theater Business segment principally includes after-market sales of IMAX projection system parts and 3D glasses.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Initiatives and Other</w:t>
      </w:r>
    </w:p>
    <w:p>
      <w:pPr>
        <w:spacing w:after="0" w:line="18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 xml:space="preserve">The New Business Initiatives segment includes activities related to the </w:t>
      </w:r>
      <w:r>
        <w:rPr>
          <w:rFonts w:ascii="Arial" w:cs="Arial" w:eastAsia="Arial" w:hAnsi="Arial"/>
          <w:sz w:val="18"/>
          <w:szCs w:val="18"/>
          <w:color w:val="212529"/>
        </w:rPr>
        <w:t>exploration of new lines of business and new initiatives outside of the Company’s</w:t>
      </w:r>
      <w:r>
        <w:rPr>
          <w:rFonts w:ascii="Arial" w:cs="Arial" w:eastAsia="Arial" w:hAnsi="Arial"/>
          <w:sz w:val="18"/>
          <w:szCs w:val="18"/>
          <w:color w:val="auto"/>
        </w:rPr>
        <w:t xml:space="preserve"> </w:t>
      </w:r>
      <w:r>
        <w:rPr>
          <w:rFonts w:ascii="Arial" w:cs="Arial" w:eastAsia="Arial" w:hAnsi="Arial"/>
          <w:sz w:val="18"/>
          <w:szCs w:val="18"/>
          <w:color w:val="212529"/>
        </w:rPr>
        <w:t>core business, which seek to leverage its proprietary, innovative technologies, its leadership position in the entertainment technology space and its unique relationship with content creators.</w:t>
      </w:r>
    </w:p>
    <w:p>
      <w:pPr>
        <w:spacing w:after="0" w:line="14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addition, through its Connected Theaters initiative, the Company is currently exploring new technologies and forms of content as a way to deepen consumer engagement and brand loyalty, including new technologies to further connect the IMAX network and to facilitate bringing more unique content, including live events, to IMAX theater audiences. The Company believes such additional connectivity can provide more innovative content to the IMAX network and in turn permit the Company to engage audiences in new ways.</w:t>
      </w:r>
    </w:p>
    <w:p>
      <w:pPr>
        <w:spacing w:after="0" w:line="16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continues to believe that the IMAX network serves as a valuable platform to launch and distribute original content, especially during periods between peak and off-peak seasons, known as "shoulder periods".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Film Distribution and Post-Production</w:t>
      </w:r>
    </w:p>
    <w:p>
      <w:pPr>
        <w:spacing w:after="0" w:line="198"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Through the Film Distribution segment, the Company licenses film content and distributes large-format films, primarily for its institutional theater partners. The Company receives as its distribution fee either a fixed amount or fixed percentage of the theater box office receipts and, following the Company’s recoupment of its costs, is typically entitled to receive an additional percentage of gross revenues as participation revenues.</w:t>
      </w:r>
    </w:p>
    <w:p>
      <w:pPr>
        <w:spacing w:after="0" w:line="12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Film Post-Production segment provides film post-production and quality control services for large-format films (whether produced by IMAX or third parties), and digital post-production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NETWORK AND BACKLOG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Network</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detailed information about the IMAX network by type and geographic location as of March 31, 2021 and 2020:</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March 31, 2021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March 31, 2020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Commercial</w:t>
            </w: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Institutional</w:t>
            </w: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Institutional</w:t>
            </w:r>
          </w:p>
        </w:tc>
        <w:tc>
          <w:tcPr>
            <w:tcW w:w="10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Multiplex</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Destination</w:t>
            </w:r>
          </w:p>
        </w:tc>
        <w:tc>
          <w:tcPr>
            <w:tcW w:w="10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Multiplex</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Destination</w:t>
            </w:r>
          </w:p>
        </w:tc>
        <w:tc>
          <w:tcPr>
            <w:tcW w:w="10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United States</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365</w:t>
            </w: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Arial" w:cs="Arial" w:eastAsia="Arial" w:hAnsi="Arial"/>
                <w:sz w:val="16"/>
                <w:szCs w:val="16"/>
                <w:color w:val="auto"/>
              </w:rPr>
              <w:t>Canada</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FF0FC"/>
          </w:tcPr>
          <w:p>
            <w:pPr>
              <w:spacing w:after="0" w:line="227" w:lineRule="exact"/>
              <w:rPr>
                <w:sz w:val="20"/>
                <w:szCs w:val="20"/>
                <w:color w:val="auto"/>
              </w:rPr>
            </w:pPr>
            <w:r>
              <w:rPr>
                <w:rFonts w:ascii="Arial" w:cs="Arial" w:eastAsia="Arial" w:hAnsi="Arial"/>
                <w:sz w:val="16"/>
                <w:szCs w:val="16"/>
                <w:color w:val="auto"/>
              </w:rPr>
              <w:t>Greater China</w:t>
            </w:r>
            <w:r>
              <w:rPr>
                <w:rFonts w:ascii="Arial" w:cs="Arial" w:eastAsia="Arial" w:hAnsi="Arial"/>
                <w:sz w:val="26"/>
                <w:szCs w:val="26"/>
                <w:color w:val="auto"/>
                <w:vertAlign w:val="superscript"/>
              </w:rPr>
              <w:t>(1)</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Arial" w:cs="Arial" w:eastAsia="Arial" w:hAnsi="Arial"/>
                <w:sz w:val="16"/>
                <w:szCs w:val="16"/>
                <w:color w:val="auto"/>
              </w:rPr>
              <w:t>Western Europe</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Asia (excluding Greater China)</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Arial" w:cs="Arial" w:eastAsia="Arial" w:hAnsi="Arial"/>
                <w:sz w:val="16"/>
                <w:szCs w:val="16"/>
                <w:color w:val="auto"/>
              </w:rPr>
              <w:t>Russia &amp; the CIS</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FF0FC"/>
          </w:tcPr>
          <w:p>
            <w:pPr>
              <w:spacing w:after="0" w:line="227" w:lineRule="exact"/>
              <w:rPr>
                <w:sz w:val="20"/>
                <w:szCs w:val="20"/>
                <w:color w:val="auto"/>
              </w:rPr>
            </w:pPr>
            <w:r>
              <w:rPr>
                <w:rFonts w:ascii="Arial" w:cs="Arial" w:eastAsia="Arial" w:hAnsi="Arial"/>
                <w:sz w:val="16"/>
                <w:szCs w:val="16"/>
                <w:color w:val="auto"/>
              </w:rPr>
              <w:t>Latin America</w:t>
            </w:r>
            <w:r>
              <w:rPr>
                <w:rFonts w:ascii="Arial" w:cs="Arial" w:eastAsia="Arial" w:hAnsi="Arial"/>
                <w:sz w:val="26"/>
                <w:szCs w:val="26"/>
                <w:color w:val="auto"/>
                <w:vertAlign w:val="superscript"/>
              </w:rPr>
              <w:t>(2)</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Arial" w:cs="Arial" w:eastAsia="Arial" w:hAnsi="Arial"/>
                <w:sz w:val="16"/>
                <w:szCs w:val="16"/>
                <w:color w:val="auto"/>
              </w:rPr>
              <w:t>Rest of the World</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1"/>
        </w:trPr>
        <w:tc>
          <w:tcPr>
            <w:tcW w:w="2820" w:type="dxa"/>
            <w:vAlign w:val="bottom"/>
            <w:tcBorders>
              <w:top w:val="single" w:sz="8" w:color="CFF0FC"/>
              <w:bottom w:val="single" w:sz="8" w:color="CFF0FC"/>
            </w:tcBorders>
            <w:gridSpan w:val="2"/>
            <w:shd w:val="clear" w:color="auto" w:fill="CFF0FC"/>
          </w:tcPr>
          <w:p>
            <w:pPr>
              <w:spacing w:after="0" w:line="221" w:lineRule="exact"/>
              <w:rPr>
                <w:sz w:val="20"/>
                <w:szCs w:val="20"/>
                <w:color w:val="auto"/>
              </w:rPr>
            </w:pPr>
            <w:r>
              <w:rPr>
                <w:rFonts w:ascii="Arial" w:cs="Arial" w:eastAsia="Arial" w:hAnsi="Arial"/>
                <w:sz w:val="15"/>
                <w:szCs w:val="15"/>
                <w:color w:val="auto"/>
              </w:rPr>
              <w:t>Total</w:t>
            </w:r>
            <w:r>
              <w:rPr>
                <w:rFonts w:ascii="Arial" w:cs="Arial" w:eastAsia="Arial" w:hAnsi="Arial"/>
                <w:sz w:val="25"/>
                <w:szCs w:val="25"/>
                <w:color w:val="auto"/>
                <w:vertAlign w:val="superscript"/>
              </w:rPr>
              <w:t>(3)</w:t>
            </w: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80" w:hanging="373"/>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Greater China includes China, Hong Kong, Taiwan and Macau.</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Latin America includes South America, Central America and Mexico.</w:t>
      </w:r>
    </w:p>
    <w:p>
      <w:pPr>
        <w:spacing w:after="0" w:line="180" w:lineRule="exact"/>
        <w:rPr>
          <w:rFonts w:ascii="Arial" w:cs="Arial" w:eastAsia="Arial" w:hAnsi="Arial"/>
          <w:sz w:val="18"/>
          <w:szCs w:val="18"/>
          <w:color w:val="auto"/>
        </w:rPr>
      </w:pPr>
    </w:p>
    <w:p>
      <w:pPr>
        <w:ind w:left="380" w:hanging="373"/>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Period-to-period changes in the tables above are reported net of the effect of permanently closed theaters.</w:t>
      </w:r>
    </w:p>
    <w:p>
      <w:pPr>
        <w:spacing w:after="0" w:line="180"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currently believes that over time its commercial multiplex network could grow to approximately 3,318 IMAX theaters worldwide from the 1,567 operating as of March 31, 2021. The Company believes that the majority of its future growth will come from international markets. As of March 31, 2021, 73.2% of IMAX Theater Systems in operation were located within international markets (defined as all countries other than the United States and Canada), compared to 72.0% as of March 31, 2020. Revenues and gross box office derived from international markets continue to exceed revenues and gross box office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 Item 1A of the Company’s 2020 Form 10-K.</w:t>
      </w:r>
    </w:p>
    <w:p>
      <w:pPr>
        <w:spacing w:after="0" w:line="142"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Greater China is the Company’s largest market, measured by revenues, with approximately 38% and 31% of overall revenues generated from its Greater China operations in the years ended December 31, 2020 and 2019, respectively. For the three months ended March 31, 2021, this percentage increased to 66% as the pace and extent of the reopening of IMAX theaters in Greater China has exceeded that of theaters in Domestic and Rest of World markets. As of March 31, 2021, the Company had 750 theaters operating in Greater China with an additional 248 theaters in backlog that are scheduled to be installed by 2028. The Company’s backlog in Greater China represents 47.6% of its total current backlog, including upgrades in system type. The Company’s largest single international partnership is in China with Wanda Film (“Wanda”). Wanda’s total commitment to the Company is for 361 IMAX Theater Systems in Greater China (of which 355 IMAX Theater Systems are under the parties’ joint revenue sharing arrangement).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1" w:name="page52"/>
    <w:bookmarkEnd w:id="51"/>
    <w:p>
      <w:pPr>
        <w:jc w:val="both"/>
        <w:ind w:firstLine="225"/>
        <w:spacing w:after="0" w:line="281" w:lineRule="auto"/>
        <w:rPr>
          <w:sz w:val="20"/>
          <w:szCs w:val="20"/>
          <w:color w:val="auto"/>
        </w:rPr>
      </w:pPr>
      <w:r>
        <w:rPr>
          <w:rFonts w:ascii="Arial" w:cs="Arial" w:eastAsia="Arial" w:hAnsi="Arial"/>
          <w:sz w:val="17"/>
          <w:szCs w:val="17"/>
          <w:color w:val="auto"/>
        </w:rPr>
        <w:t>(See “Risk Factors – The Company faces risks in connection with its significant presence in China and the continues expansion of its business there” and “Risk Factors – General political, social and economic conditions can affect the Company’s business by reducing both revenues generated from existing IMAX Theater Systems and the demand for new IMAX Theater Systems” in Part I, Item 1A of the Company’s 2020 Form 10-K.)</w:t>
      </w:r>
    </w:p>
    <w:p>
      <w:pPr>
        <w:spacing w:after="0" w:line="142"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report.)</w:t>
      </w:r>
    </w:p>
    <w:p>
      <w:pPr>
        <w:spacing w:after="0" w:line="111"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tables provide detailed information about the Commercial Multiplex theaters in operation within the IMAX network by arrangement type and geographic location as of March 31, 2021 and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4"/>
              </w:rPr>
              <w:t>March 31, 2021</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5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4380" w:type="dxa"/>
            <w:vAlign w:val="bottom"/>
            <w:tcBorders>
              <w:bottom w:val="single" w:sz="8" w:color="auto"/>
            </w:tcBorders>
            <w:gridSpan w:val="7"/>
          </w:tcPr>
          <w:p>
            <w:pPr>
              <w:jc w:val="center"/>
              <w:ind w:left="835"/>
              <w:spacing w:after="0" w:line="154" w:lineRule="exact"/>
              <w:rPr>
                <w:sz w:val="20"/>
                <w:szCs w:val="20"/>
                <w:color w:val="auto"/>
              </w:rPr>
            </w:pPr>
            <w:r>
              <w:rPr>
                <w:rFonts w:ascii="Arial" w:cs="Arial" w:eastAsia="Arial" w:hAnsi="Arial"/>
                <w:sz w:val="14"/>
                <w:szCs w:val="14"/>
                <w:b w:val="1"/>
                <w:bCs w:val="1"/>
                <w:color w:val="auto"/>
                <w:w w:val="96"/>
              </w:rPr>
              <w:t>Commercial Multiplex Theaters in IMAX Network</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9"/>
              </w:rPr>
              <w:t>Hybrid</w:t>
            </w:r>
          </w:p>
        </w:tc>
        <w:tc>
          <w:tcPr>
            <w:tcW w:w="1640" w:type="dxa"/>
            <w:vAlign w:val="bottom"/>
            <w:gridSpan w:val="3"/>
          </w:tcPr>
          <w:p>
            <w:pPr>
              <w:jc w:val="center"/>
              <w:ind w:right="520"/>
              <w:spacing w:after="0" w:line="131" w:lineRule="exact"/>
              <w:rPr>
                <w:sz w:val="20"/>
                <w:szCs w:val="20"/>
                <w:color w:val="auto"/>
              </w:rPr>
            </w:pPr>
            <w:r>
              <w:rPr>
                <w:rFonts w:ascii="Arial" w:cs="Arial" w:eastAsia="Arial" w:hAnsi="Arial"/>
                <w:sz w:val="14"/>
                <w:szCs w:val="14"/>
                <w:b w:val="1"/>
                <w:bCs w:val="1"/>
                <w:color w:val="auto"/>
                <w:w w:val="88"/>
              </w:rPr>
              <w:t>Sale / Sales-</w:t>
            </w: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JRSA</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JRSA</w:t>
            </w: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124</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0"/>
        </w:trPr>
        <w:tc>
          <w:tcPr>
            <w:tcW w:w="58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7"/>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7"/>
        </w:trPr>
        <w:tc>
          <w:tcPr>
            <w:tcW w:w="5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7"/>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5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7"/>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Rest of the World</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1"/>
        </w:trPr>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478</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547</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0"/>
        </w:trPr>
        <w:tc>
          <w:tcPr>
            <w:tcW w:w="5820" w:type="dxa"/>
            <w:vAlign w:val="bottom"/>
            <w:gridSpan w:val="2"/>
          </w:tcPr>
          <w:p>
            <w:pPr>
              <w:spacing w:after="0"/>
              <w:rPr>
                <w:sz w:val="20"/>
                <w:szCs w:val="20"/>
                <w:color w:val="auto"/>
              </w:rPr>
            </w:pPr>
            <w:r>
              <w:rPr>
                <w:rFonts w:ascii="Arial" w:cs="Arial" w:eastAsia="Arial" w:hAnsi="Arial"/>
                <w:sz w:val="18"/>
                <w:szCs w:val="18"/>
                <w:color w:val="auto"/>
              </w:rPr>
              <w:t>Worldwide Total</w:t>
            </w:r>
            <w:r>
              <w:rPr>
                <w:rFonts w:ascii="Arial" w:cs="Arial" w:eastAsia="Arial" w:hAnsi="Arial"/>
                <w:sz w:val="15"/>
                <w:szCs w:val="15"/>
                <w:color w:val="auto"/>
              </w:rPr>
              <w:t>(1)</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753</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1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4"/>
              </w:rPr>
              <w:t>March 31, 2020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380" w:type="dxa"/>
            <w:vAlign w:val="bottom"/>
            <w:tcBorders>
              <w:bottom w:val="single" w:sz="8" w:color="auto"/>
            </w:tcBorders>
            <w:gridSpan w:val="7"/>
          </w:tcPr>
          <w:p>
            <w:pPr>
              <w:jc w:val="center"/>
              <w:ind w:left="835"/>
              <w:spacing w:after="0"/>
              <w:rPr>
                <w:sz w:val="20"/>
                <w:szCs w:val="20"/>
                <w:color w:val="auto"/>
              </w:rPr>
            </w:pPr>
            <w:r>
              <w:rPr>
                <w:rFonts w:ascii="Arial" w:cs="Arial" w:eastAsia="Arial" w:hAnsi="Arial"/>
                <w:sz w:val="14"/>
                <w:szCs w:val="14"/>
                <w:b w:val="1"/>
                <w:bCs w:val="1"/>
                <w:color w:val="auto"/>
                <w:w w:val="96"/>
              </w:rPr>
              <w:t>Commercial Multiplex Theaters in IMAX Network</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9"/>
              </w:rPr>
              <w:t>Hybrid</w:t>
            </w:r>
          </w:p>
        </w:tc>
        <w:tc>
          <w:tcPr>
            <w:tcW w:w="1640" w:type="dxa"/>
            <w:vAlign w:val="bottom"/>
            <w:gridSpan w:val="3"/>
          </w:tcPr>
          <w:p>
            <w:pPr>
              <w:jc w:val="center"/>
              <w:ind w:right="520"/>
              <w:spacing w:after="0" w:line="131" w:lineRule="exact"/>
              <w:rPr>
                <w:sz w:val="20"/>
                <w:szCs w:val="20"/>
                <w:color w:val="auto"/>
              </w:rPr>
            </w:pPr>
            <w:r>
              <w:rPr>
                <w:rFonts w:ascii="Arial" w:cs="Arial" w:eastAsia="Arial" w:hAnsi="Arial"/>
                <w:sz w:val="14"/>
                <w:szCs w:val="14"/>
                <w:b w:val="1"/>
                <w:bCs w:val="1"/>
                <w:color w:val="auto"/>
                <w:w w:val="88"/>
              </w:rPr>
              <w:t>Sale / Sales-</w:t>
            </w: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JRSA</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JRSA</w:t>
            </w: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278</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0"/>
        </w:trPr>
        <w:tc>
          <w:tcPr>
            <w:tcW w:w="58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7"/>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7"/>
        </w:trPr>
        <w:tc>
          <w:tcPr>
            <w:tcW w:w="5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7"/>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5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7"/>
        </w:trPr>
        <w:tc>
          <w:tcPr>
            <w:tcW w:w="5820" w:type="dxa"/>
            <w:vAlign w:val="bottom"/>
            <w:gridSpan w:val="2"/>
          </w:tcPr>
          <w:p>
            <w:pPr>
              <w:ind w:left="120"/>
              <w:spacing w:after="0"/>
              <w:rPr>
                <w:sz w:val="20"/>
                <w:szCs w:val="20"/>
                <w:color w:val="auto"/>
              </w:rPr>
            </w:pPr>
            <w:r>
              <w:rPr>
                <w:rFonts w:ascii="Arial" w:cs="Arial" w:eastAsia="Arial" w:hAnsi="Arial"/>
                <w:sz w:val="18"/>
                <w:szCs w:val="18"/>
                <w:color w:val="auto"/>
              </w:rPr>
              <w:t>Rest of the World</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1"/>
        </w:trPr>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453</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131</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532</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0"/>
        </w:trPr>
        <w:tc>
          <w:tcPr>
            <w:tcW w:w="5820" w:type="dxa"/>
            <w:vAlign w:val="bottom"/>
            <w:gridSpan w:val="2"/>
          </w:tcPr>
          <w:p>
            <w:pPr>
              <w:spacing w:after="0"/>
              <w:rPr>
                <w:sz w:val="20"/>
                <w:szCs w:val="20"/>
                <w:color w:val="auto"/>
              </w:rPr>
            </w:pPr>
            <w:r>
              <w:rPr>
                <w:rFonts w:ascii="Arial" w:cs="Arial" w:eastAsia="Arial" w:hAnsi="Arial"/>
                <w:sz w:val="18"/>
                <w:szCs w:val="18"/>
                <w:color w:val="auto"/>
              </w:rPr>
              <w:t>Worldwide Total</w:t>
            </w:r>
            <w:r>
              <w:rPr>
                <w:rFonts w:ascii="Arial" w:cs="Arial" w:eastAsia="Arial" w:hAnsi="Arial"/>
                <w:sz w:val="15"/>
                <w:szCs w:val="15"/>
                <w:color w:val="auto"/>
              </w:rPr>
              <w:t>(1)</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5540" w:right="3360" w:hanging="5533"/>
        <w:spacing w:after="0" w:line="750" w:lineRule="auto"/>
        <w:tabs>
          <w:tab w:leader="none" w:pos="3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Period-to-period changes in the tables above are reported net of the effect of permanently closed theaters.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Backlog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Company’s backlog as of March 31, 2021 and 2020:</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09"/>
        </w:trPr>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gridSpan w:val="3"/>
          </w:tcPr>
          <w:p>
            <w:pPr>
              <w:jc w:val="center"/>
              <w:ind w:right="17"/>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8"/>
                <w:szCs w:val="18"/>
                <w:color w:val="auto"/>
              </w:rPr>
            </w:pPr>
          </w:p>
        </w:tc>
        <w:tc>
          <w:tcPr>
            <w:tcW w:w="18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Dollar Value</w:t>
            </w:r>
          </w:p>
        </w:tc>
        <w:tc>
          <w:tcPr>
            <w:tcW w:w="300" w:type="dxa"/>
            <w:vAlign w:val="bottom"/>
          </w:tcPr>
          <w:p>
            <w:pPr>
              <w:spacing w:after="0"/>
              <w:rPr>
                <w:sz w:val="18"/>
                <w:szCs w:val="18"/>
                <w:color w:val="auto"/>
              </w:rPr>
            </w:pPr>
          </w:p>
        </w:tc>
        <w:tc>
          <w:tcPr>
            <w:tcW w:w="1760" w:type="dxa"/>
            <w:vAlign w:val="bottom"/>
            <w:gridSpan w:val="3"/>
          </w:tcPr>
          <w:p>
            <w:pPr>
              <w:jc w:val="center"/>
              <w:ind w:right="17"/>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8"/>
                <w:szCs w:val="18"/>
                <w:color w:val="auto"/>
              </w:rPr>
            </w:pPr>
          </w:p>
        </w:tc>
        <w:tc>
          <w:tcPr>
            <w:tcW w:w="18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Dollar Value</w:t>
            </w:r>
          </w:p>
        </w:tc>
        <w:tc>
          <w:tcPr>
            <w:tcW w:w="200" w:type="dxa"/>
            <w:vAlign w:val="bottom"/>
          </w:tcPr>
          <w:p>
            <w:pPr>
              <w:spacing w:after="0"/>
              <w:rPr>
                <w:sz w:val="18"/>
                <w:szCs w:val="18"/>
                <w:color w:val="auto"/>
              </w:rPr>
            </w:pPr>
          </w:p>
        </w:tc>
      </w:tr>
      <w:tr>
        <w:trPr>
          <w:trHeight w:val="198"/>
        </w:trPr>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right="37"/>
              <w:spacing w:after="0"/>
              <w:rPr>
                <w:sz w:val="20"/>
                <w:szCs w:val="20"/>
                <w:color w:val="auto"/>
              </w:rPr>
            </w:pPr>
            <w:r>
              <w:rPr>
                <w:rFonts w:ascii="Arial" w:cs="Arial" w:eastAsia="Arial" w:hAnsi="Arial"/>
                <w:sz w:val="14"/>
                <w:szCs w:val="14"/>
                <w:b w:val="1"/>
                <w:bCs w:val="1"/>
                <w:color w:val="auto"/>
                <w:w w:val="83"/>
              </w:rPr>
              <w:t>Systems</w:t>
            </w:r>
          </w:p>
        </w:tc>
        <w:tc>
          <w:tcPr>
            <w:tcW w:w="300" w:type="dxa"/>
            <w:vAlign w:val="bottom"/>
          </w:tcPr>
          <w:p>
            <w:pPr>
              <w:spacing w:after="0"/>
              <w:rPr>
                <w:sz w:val="17"/>
                <w:szCs w:val="17"/>
                <w:color w:val="auto"/>
              </w:rPr>
            </w:pPr>
          </w:p>
        </w:tc>
        <w:tc>
          <w:tcPr>
            <w:tcW w:w="18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right="37"/>
              <w:spacing w:after="0"/>
              <w:rPr>
                <w:sz w:val="20"/>
                <w:szCs w:val="20"/>
                <w:color w:val="auto"/>
              </w:rPr>
            </w:pPr>
            <w:r>
              <w:rPr>
                <w:rFonts w:ascii="Arial" w:cs="Arial" w:eastAsia="Arial" w:hAnsi="Arial"/>
                <w:sz w:val="14"/>
                <w:szCs w:val="14"/>
                <w:b w:val="1"/>
                <w:bCs w:val="1"/>
                <w:color w:val="auto"/>
                <w:w w:val="83"/>
              </w:rPr>
              <w:t>Systems</w:t>
            </w:r>
          </w:p>
        </w:tc>
        <w:tc>
          <w:tcPr>
            <w:tcW w:w="300" w:type="dxa"/>
            <w:vAlign w:val="bottom"/>
          </w:tcPr>
          <w:p>
            <w:pPr>
              <w:spacing w:after="0"/>
              <w:rPr>
                <w:sz w:val="17"/>
                <w:szCs w:val="17"/>
                <w:color w:val="auto"/>
              </w:rPr>
            </w:pPr>
          </w:p>
        </w:tc>
        <w:tc>
          <w:tcPr>
            <w:tcW w:w="18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r>
      <w:tr>
        <w:trPr>
          <w:trHeight w:val="194"/>
        </w:trPr>
        <w:tc>
          <w:tcPr>
            <w:tcW w:w="1500" w:type="dxa"/>
            <w:vAlign w:val="bottom"/>
            <w:tcBorders>
              <w:bottom w:val="single" w:sz="8" w:color="CFF0FC"/>
            </w:tcBorders>
          </w:tcPr>
          <w:p>
            <w:pPr>
              <w:spacing w:after="0"/>
              <w:rPr>
                <w:sz w:val="16"/>
                <w:szCs w:val="16"/>
                <w:color w:val="auto"/>
              </w:rPr>
            </w:pPr>
          </w:p>
        </w:tc>
        <w:tc>
          <w:tcPr>
            <w:tcW w:w="140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5"/>
              </w:rPr>
              <w:t>Upgrade</w:t>
            </w:r>
          </w:p>
        </w:tc>
        <w:tc>
          <w:tcPr>
            <w:tcW w:w="200" w:type="dxa"/>
            <w:vAlign w:val="bottom"/>
            <w:tcBorders>
              <w:bottom w:val="single" w:sz="8" w:color="CFF0FC"/>
            </w:tcBorders>
          </w:tcPr>
          <w:p>
            <w:pPr>
              <w:spacing w:after="0"/>
              <w:rPr>
                <w:sz w:val="16"/>
                <w:szCs w:val="16"/>
                <w:color w:val="auto"/>
              </w:rPr>
            </w:pPr>
          </w:p>
        </w:tc>
      </w:tr>
      <w:tr>
        <w:trPr>
          <w:trHeight w:val="206"/>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sales-type lease</w:t>
            </w: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arrangements</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$ 206,238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$ 13,135</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$ 206,317</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5"/>
              </w:rPr>
              <w:t>$ 14,518</w:t>
            </w:r>
          </w:p>
        </w:tc>
        <w:tc>
          <w:tcPr>
            <w:tcW w:w="200" w:type="dxa"/>
            <w:vAlign w:val="bottom"/>
            <w:shd w:val="clear" w:color="auto" w:fill="CFF0FC"/>
          </w:tcPr>
          <w:p>
            <w:pPr>
              <w:spacing w:after="0"/>
              <w:rPr>
                <w:sz w:val="19"/>
                <w:szCs w:val="19"/>
                <w:color w:val="auto"/>
              </w:rPr>
            </w:pPr>
          </w:p>
        </w:tc>
      </w:tr>
      <w:tr>
        <w:trPr>
          <w:trHeight w:val="213"/>
        </w:trPr>
        <w:tc>
          <w:tcPr>
            <w:tcW w:w="2900" w:type="dxa"/>
            <w:vAlign w:val="bottom"/>
            <w:gridSpan w:val="2"/>
          </w:tcPr>
          <w:p>
            <w:pPr>
              <w:spacing w:after="0"/>
              <w:rPr>
                <w:sz w:val="20"/>
                <w:szCs w:val="20"/>
                <w:color w:val="auto"/>
              </w:rPr>
            </w:pPr>
            <w:r>
              <w:rPr>
                <w:rFonts w:ascii="Arial" w:cs="Arial" w:eastAsia="Arial" w:hAnsi="Arial"/>
                <w:sz w:val="18"/>
                <w:szCs w:val="18"/>
                <w:color w:val="auto"/>
              </w:rPr>
              <w:t>Hybrid joint revenue sharing</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7"/>
        </w:trPr>
        <w:tc>
          <w:tcPr>
            <w:tcW w:w="2900" w:type="dxa"/>
            <w:vAlign w:val="bottom"/>
            <w:gridSpan w:val="2"/>
          </w:tcPr>
          <w:p>
            <w:pPr>
              <w:spacing w:after="0"/>
              <w:rPr>
                <w:sz w:val="20"/>
                <w:szCs w:val="20"/>
                <w:color w:val="auto"/>
              </w:rPr>
            </w:pPr>
            <w:r>
              <w:rPr>
                <w:rFonts w:ascii="Arial" w:cs="Arial" w:eastAsia="Arial" w:hAnsi="Arial"/>
                <w:sz w:val="18"/>
                <w:szCs w:val="18"/>
                <w:color w:val="auto"/>
              </w:rPr>
              <w:t>arrangements</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98,423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4,785</w:t>
            </w:r>
          </w:p>
        </w:tc>
        <w:tc>
          <w:tcPr>
            <w:tcW w:w="30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96,650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5,560</w:t>
            </w:r>
          </w:p>
        </w:tc>
        <w:tc>
          <w:tcPr>
            <w:tcW w:w="200" w:type="dxa"/>
            <w:vAlign w:val="bottom"/>
          </w:tcPr>
          <w:p>
            <w:pPr>
              <w:spacing w:after="0"/>
              <w:rPr>
                <w:sz w:val="19"/>
                <w:szCs w:val="19"/>
                <w:color w:val="auto"/>
              </w:rPr>
            </w:pPr>
          </w:p>
        </w:tc>
      </w:tr>
      <w:tr>
        <w:trPr>
          <w:trHeight w:val="214"/>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Traditional joint revenue sharing</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arrangements</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FF0FC"/>
          </w:tcPr>
          <w:p>
            <w:pPr>
              <w:jc w:val="center"/>
              <w:ind w:right="44"/>
              <w:spacing w:after="0"/>
              <w:rPr>
                <w:sz w:val="20"/>
                <w:szCs w:val="20"/>
                <w:color w:val="auto"/>
              </w:rPr>
            </w:pPr>
            <w:r>
              <w:rPr>
                <w:rFonts w:ascii="Arial" w:cs="Arial" w:eastAsia="Arial" w:hAnsi="Arial"/>
                <w:sz w:val="15"/>
                <w:szCs w:val="15"/>
                <w:color w:val="auto"/>
                <w:w w:val="97"/>
              </w:rPr>
              <w:t>(1)</w:t>
            </w: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87"/>
              </w:rPr>
              <w:t>(1)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5,500</w:t>
            </w:r>
          </w:p>
        </w:tc>
        <w:tc>
          <w:tcPr>
            <w:tcW w:w="3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87"/>
              </w:rPr>
              <w:t>(2)</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FF0FC"/>
          </w:tcPr>
          <w:p>
            <w:pPr>
              <w:jc w:val="center"/>
              <w:ind w:right="44"/>
              <w:spacing w:after="0"/>
              <w:rPr>
                <w:sz w:val="20"/>
                <w:szCs w:val="20"/>
                <w:color w:val="auto"/>
              </w:rPr>
            </w:pPr>
            <w:r>
              <w:rPr>
                <w:rFonts w:ascii="Arial" w:cs="Arial" w:eastAsia="Arial" w:hAnsi="Arial"/>
                <w:sz w:val="15"/>
                <w:szCs w:val="15"/>
                <w:color w:val="auto"/>
                <w:w w:val="97"/>
              </w:rPr>
              <w:t>(1)</w:t>
            </w: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87"/>
              </w:rPr>
              <w:t>(1)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(2)</w:t>
            </w:r>
          </w:p>
        </w:tc>
      </w:tr>
      <w:tr>
        <w:trPr>
          <w:trHeight w:val="220"/>
        </w:trPr>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427</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$ 304,861</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85"/>
              </w:rPr>
              <w:t>$ 23,420</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$ 303,267</w:t>
            </w: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82"/>
              </w:rPr>
              <w:t>$ 25,578</w:t>
            </w:r>
          </w:p>
        </w:tc>
        <w:tc>
          <w:tcPr>
            <w:tcW w:w="2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159" w:lineRule="exact"/>
        <w:rPr>
          <w:sz w:val="20"/>
          <w:szCs w:val="20"/>
          <w:color w:val="auto"/>
        </w:rPr>
      </w:pPr>
    </w:p>
    <w:p>
      <w:pPr>
        <w:ind w:left="380" w:hanging="373"/>
        <w:spacing w:after="0" w:line="270"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44 IMAX Theater Systems (2020 — 46) where the customer has the option to convert from a joint revenue sharing arrangement to a sales arrangement.</w:t>
      </w:r>
    </w:p>
    <w:p>
      <w:pPr>
        <w:spacing w:after="0" w:line="135" w:lineRule="exact"/>
        <w:rPr>
          <w:rFonts w:ascii="Arial" w:cs="Arial" w:eastAsia="Arial" w:hAnsi="Arial"/>
          <w:sz w:val="18"/>
          <w:szCs w:val="18"/>
          <w:color w:val="auto"/>
        </w:rPr>
      </w:pPr>
    </w:p>
    <w:p>
      <w:pPr>
        <w:ind w:left="380" w:hanging="373"/>
        <w:spacing w:after="0"/>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contractual upfront payments. Future contingent payments are not reflected as these are based on negotiated shares of box office results.</w:t>
      </w:r>
    </w:p>
    <w:p>
      <w:pPr>
        <w:spacing w:after="0" w:line="203" w:lineRule="exact"/>
        <w:rPr>
          <w:sz w:val="20"/>
          <w:szCs w:val="20"/>
          <w:color w:val="auto"/>
        </w:rPr>
      </w:pPr>
    </w:p>
    <w:p>
      <w:pPr>
        <w:jc w:val="both"/>
        <w:ind w:firstLine="225"/>
        <w:spacing w:after="0" w:line="250" w:lineRule="auto"/>
        <w:rPr>
          <w:sz w:val="20"/>
          <w:szCs w:val="20"/>
          <w:color w:val="auto"/>
        </w:rPr>
      </w:pPr>
      <w:r>
        <w:rPr>
          <w:rFonts w:ascii="Arial" w:cs="Arial" w:eastAsia="Arial" w:hAnsi="Arial"/>
          <w:sz w:val="18"/>
          <w:szCs w:val="18"/>
          <w:color w:val="auto"/>
        </w:rPr>
        <w:t>The number of IMAX Theater Systems in the backlog reflects the minimum number of commitments under signed contracts. The dollar value fluctuates depending on the number of new arrangements signed from year-to-year, which adds to backlog and the installation and acceptance of IMAX Theater Systems and the settlement of contracts, both of which reduce backlog. Backlog typically represents the fixed contracted revenue under signed IMAX Theater System sale and lease agreements that the Company believes will be recognized as revenue upon installation and acceptance of the associated system, as well as an estimate of variable consideration in sales arrangements, however it excludes amounts allocated to maintenance and extended warranty revenues. The value of backlog does not include revenue from theaters in which the Company has an equity interest, operating leases and long-term conditional theater commitments. Theaters under joint revenue sharing arrangements do not usually have dollar value in backlog, although certain IMAX Theater Systems under joint revenue sharing arrangements provide for contracted upfront payments and therefore carry a backlog value based on those payments. The Company believes that the contractual obligations for IMAX Theater System installations that are listed in backlog are valid and binding commitments.</w:t>
      </w:r>
    </w:p>
    <w:p>
      <w:pPr>
        <w:spacing w:after="0" w:line="168"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51" w:lineRule="exact"/>
        <w:rPr>
          <w:sz w:val="20"/>
          <w:szCs w:val="20"/>
          <w:color w:val="auto"/>
        </w:rPr>
      </w:pPr>
    </w:p>
    <w:p>
      <w:pPr>
        <w:jc w:val="both"/>
        <w:ind w:firstLine="224"/>
        <w:spacing w:after="0" w:line="334" w:lineRule="auto"/>
        <w:rPr>
          <w:sz w:val="20"/>
          <w:szCs w:val="20"/>
          <w:color w:val="auto"/>
        </w:rPr>
      </w:pPr>
      <w:r>
        <w:rPr>
          <w:rFonts w:ascii="Arial" w:cs="Arial" w:eastAsia="Arial" w:hAnsi="Arial"/>
          <w:sz w:val="16"/>
          <w:szCs w:val="16"/>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ind w:firstLine="224"/>
        <w:spacing w:after="0" w:line="270" w:lineRule="auto"/>
        <w:rPr>
          <w:sz w:val="20"/>
          <w:szCs w:val="20"/>
          <w:color w:val="auto"/>
        </w:rPr>
      </w:pPr>
      <w:r>
        <w:rPr>
          <w:rFonts w:ascii="Arial" w:cs="Arial" w:eastAsia="Arial" w:hAnsi="Arial"/>
          <w:sz w:val="18"/>
          <w:szCs w:val="18"/>
          <w:color w:val="auto"/>
        </w:rPr>
        <w:t>The following tables provide detailed information about the Company’s backlog by arrangement type and geographic location as of March 31, 2021 and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4"/>
              </w:rPr>
              <w:t>March 31, 2021</w:t>
            </w:r>
          </w:p>
        </w:tc>
        <w:tc>
          <w:tcPr>
            <w:tcW w:w="1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5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4"/>
          </w:tcPr>
          <w:p>
            <w:pPr>
              <w:jc w:val="center"/>
              <w:ind w:right="240"/>
              <w:spacing w:after="0" w:line="154" w:lineRule="exact"/>
              <w:rPr>
                <w:sz w:val="20"/>
                <w:szCs w:val="20"/>
                <w:color w:val="auto"/>
              </w:rPr>
            </w:pPr>
            <w:r>
              <w:rPr>
                <w:rFonts w:ascii="Arial" w:cs="Arial" w:eastAsia="Arial" w:hAnsi="Arial"/>
                <w:sz w:val="14"/>
                <w:szCs w:val="14"/>
                <w:b w:val="1"/>
                <w:bCs w:val="1"/>
                <w:color w:val="auto"/>
                <w:w w:val="95"/>
              </w:rPr>
              <w:t>IMAX Theater System Backlog</w:t>
            </w:r>
          </w:p>
        </w:tc>
        <w:tc>
          <w:tcPr>
            <w:tcW w:w="11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9"/>
              </w:rPr>
              <w:t>Hybrid</w:t>
            </w: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Sale / Lease</w:t>
            </w: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JRSA</w:t>
            </w:r>
          </w:p>
        </w:tc>
        <w:tc>
          <w:tcPr>
            <w:tcW w:w="13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Asia (excluding Greater China)</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Rest of the World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5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4"/>
              </w:rPr>
              <w:t>March 31, 2020</w:t>
            </w:r>
          </w:p>
        </w:tc>
        <w:tc>
          <w:tcPr>
            <w:tcW w:w="11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5"/>
              </w:rPr>
              <w:t>IMAX Theater System Backlog</w:t>
            </w:r>
          </w:p>
        </w:tc>
        <w:tc>
          <w:tcPr>
            <w:tcW w:w="1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9"/>
              </w:rPr>
              <w:t>Hybrid</w:t>
            </w: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Sale / Lease</w:t>
            </w: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JRSA</w:t>
            </w:r>
          </w:p>
        </w:tc>
        <w:tc>
          <w:tcPr>
            <w:tcW w:w="13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Asia (excluding Greater China)</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Rest of the World</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50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hanging="373"/>
        <w:spacing w:after="0" w:line="270"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149 new IMAX with Laser projection system configurations and 92 upgrades of existing locations to IMAX with Laser projection system configurations.</w:t>
      </w:r>
    </w:p>
    <w:p>
      <w:pPr>
        <w:spacing w:after="0" w:line="135" w:lineRule="exact"/>
        <w:rPr>
          <w:rFonts w:ascii="Arial" w:cs="Arial" w:eastAsia="Arial" w:hAnsi="Arial"/>
          <w:sz w:val="18"/>
          <w:szCs w:val="18"/>
          <w:color w:val="auto"/>
        </w:rPr>
      </w:pPr>
    </w:p>
    <w:p>
      <w:pPr>
        <w:ind w:left="380" w:hanging="373"/>
        <w:spacing w:after="0" w:line="270"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147 new IMAX with Laser projection system configurations and 94 upgrades of existing locations to IMAX with Laser projection system configurations.</w:t>
      </w:r>
    </w:p>
    <w:p>
      <w:pPr>
        <w:spacing w:after="0" w:line="13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Approximately 74.9% of IMAX Theater System arrangements in backlog as of March 31, 2021 are scheduled to be installed in international markets (2020 — 74.1%).</w:t>
      </w:r>
    </w:p>
    <w:p>
      <w:pPr>
        <w:spacing w:after="0" w:line="135"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report.)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Signings and Installations</w:t>
      </w:r>
    </w:p>
    <w:p>
      <w:pPr>
        <w:spacing w:after="0" w:line="19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tables provide detailed information about IMAX Theater System signings and installations for the three months ended March 31, 2021 and 2020:</w:t>
      </w:r>
    </w:p>
    <w:p>
      <w:pPr>
        <w:spacing w:after="0" w:line="247"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For the Three Months Ended</w:t>
      </w:r>
    </w:p>
    <w:p>
      <w:pPr>
        <w:spacing w:after="0" w:line="1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4924425</wp:posOffset>
            </wp:positionH>
            <wp:positionV relativeFrom="paragraph">
              <wp:posOffset>-3810</wp:posOffset>
            </wp:positionV>
            <wp:extent cx="21463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4630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80" w:type="dxa"/>
            <w:vAlign w:val="bottom"/>
            <w:gridSpan w:val="2"/>
          </w:tcPr>
          <w:p>
            <w:pPr>
              <w:ind w:left="8380"/>
              <w:spacing w:after="0"/>
              <w:rPr>
                <w:sz w:val="20"/>
                <w:szCs w:val="20"/>
                <w:color w:val="auto"/>
              </w:rPr>
            </w:pPr>
            <w:r>
              <w:rPr>
                <w:rFonts w:ascii="Arial" w:cs="Arial" w:eastAsia="Arial" w:hAnsi="Arial"/>
                <w:sz w:val="14"/>
                <w:szCs w:val="14"/>
                <w:b w:val="1"/>
                <w:bCs w:val="1"/>
                <w:color w:val="auto"/>
              </w:rPr>
              <w:t>2021</w:t>
            </w:r>
          </w:p>
        </w:tc>
        <w:tc>
          <w:tcPr>
            <w:tcW w:w="1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Theater System Signings:</w:t>
            </w:r>
          </w:p>
        </w:tc>
        <w:tc>
          <w:tcPr>
            <w:tcW w:w="11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8880" w:type="dxa"/>
            <w:vAlign w:val="bottom"/>
            <w:gridSpan w:val="2"/>
          </w:tcPr>
          <w:p>
            <w:pPr>
              <w:spacing w:after="0"/>
              <w:rPr>
                <w:sz w:val="20"/>
                <w:szCs w:val="20"/>
                <w:color w:val="auto"/>
              </w:rPr>
            </w:pPr>
            <w:r>
              <w:rPr>
                <w:rFonts w:ascii="Arial" w:cs="Arial" w:eastAsia="Arial" w:hAnsi="Arial"/>
                <w:sz w:val="18"/>
                <w:szCs w:val="18"/>
                <w:color w:val="auto"/>
              </w:rPr>
              <w:t>New IMAX Theater Systems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8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sales-type lease arrangements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7"/>
        </w:trPr>
        <w:tc>
          <w:tcPr>
            <w:tcW w:w="8880" w:type="dxa"/>
            <w:vAlign w:val="bottom"/>
            <w:gridSpan w:val="2"/>
          </w:tcPr>
          <w:p>
            <w:pPr>
              <w:ind w:left="120"/>
              <w:spacing w:after="0"/>
              <w:rPr>
                <w:sz w:val="20"/>
                <w:szCs w:val="20"/>
                <w:color w:val="auto"/>
              </w:rPr>
            </w:pPr>
            <w:r>
              <w:rPr>
                <w:rFonts w:ascii="Arial" w:cs="Arial" w:eastAsia="Arial" w:hAnsi="Arial"/>
                <w:sz w:val="18"/>
                <w:szCs w:val="18"/>
                <w:color w:val="auto"/>
              </w:rPr>
              <w:t>Hybrid joint revenue sharing lease arrangements</w:t>
            </w:r>
          </w:p>
        </w:tc>
        <w:tc>
          <w:tcPr>
            <w:tcW w:w="1840" w:type="dxa"/>
            <w:vAlign w:val="bottom"/>
            <w:gridSpan w:val="3"/>
          </w:tcPr>
          <w:p>
            <w:pPr>
              <w:jc w:val="right"/>
              <w:ind w:right="14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8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Traditional joint revenue sharing arrangements</w:t>
            </w:r>
          </w:p>
        </w:tc>
        <w:tc>
          <w:tcPr>
            <w:tcW w:w="1840" w:type="dxa"/>
            <w:vAlign w:val="bottom"/>
            <w:gridSpan w:val="3"/>
            <w:shd w:val="clear" w:color="auto" w:fill="CFF0FC"/>
          </w:tcPr>
          <w:p>
            <w:pPr>
              <w:jc w:val="right"/>
              <w:ind w:right="1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0"/>
        </w:trPr>
        <w:tc>
          <w:tcPr>
            <w:tcW w:w="7760" w:type="dxa"/>
            <w:vAlign w:val="bottom"/>
          </w:tcPr>
          <w:p>
            <w:pPr>
              <w:ind w:left="220"/>
              <w:spacing w:after="0"/>
              <w:rPr>
                <w:sz w:val="20"/>
                <w:szCs w:val="20"/>
                <w:color w:val="auto"/>
              </w:rPr>
            </w:pPr>
            <w:r>
              <w:rPr>
                <w:rFonts w:ascii="Arial" w:cs="Arial" w:eastAsia="Arial" w:hAnsi="Arial"/>
                <w:sz w:val="18"/>
                <w:szCs w:val="18"/>
                <w:color w:val="auto"/>
              </w:rPr>
              <w:t>Total new IMAX Theater Systems</w:t>
            </w:r>
          </w:p>
        </w:tc>
        <w:tc>
          <w:tcPr>
            <w:tcW w:w="1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8"/>
        </w:trPr>
        <w:tc>
          <w:tcPr>
            <w:tcW w:w="8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Upgrades of IMAX Theater Systems</w:t>
            </w:r>
          </w:p>
        </w:tc>
        <w:tc>
          <w:tcPr>
            <w:tcW w:w="1840" w:type="dxa"/>
            <w:vAlign w:val="bottom"/>
            <w:gridSpan w:val="3"/>
            <w:shd w:val="clear" w:color="auto" w:fill="CFF0FC"/>
          </w:tcPr>
          <w:p>
            <w:pPr>
              <w:jc w:val="right"/>
              <w:ind w:right="1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20"/>
        </w:trPr>
        <w:tc>
          <w:tcPr>
            <w:tcW w:w="7760" w:type="dxa"/>
            <w:vAlign w:val="bottom"/>
          </w:tcPr>
          <w:p>
            <w:pPr>
              <w:ind w:left="220"/>
              <w:spacing w:after="0"/>
              <w:rPr>
                <w:sz w:val="20"/>
                <w:szCs w:val="20"/>
                <w:color w:val="auto"/>
              </w:rPr>
            </w:pPr>
            <w:r>
              <w:rPr>
                <w:rFonts w:ascii="Arial" w:cs="Arial" w:eastAsia="Arial" w:hAnsi="Arial"/>
                <w:sz w:val="18"/>
                <w:szCs w:val="18"/>
                <w:color w:val="auto"/>
              </w:rPr>
              <w:t>Total IMAX Theater System signings</w:t>
            </w:r>
          </w:p>
        </w:tc>
        <w:tc>
          <w:tcPr>
            <w:tcW w:w="1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2"/>
        </w:trPr>
        <w:tc>
          <w:tcPr>
            <w:tcW w:w="7760" w:type="dxa"/>
            <w:vAlign w:val="bottom"/>
          </w:tcPr>
          <w:p>
            <w:pPr>
              <w:spacing w:after="0"/>
              <w:rPr>
                <w:sz w:val="24"/>
                <w:szCs w:val="24"/>
                <w:color w:val="auto"/>
              </w:rPr>
            </w:pPr>
          </w:p>
        </w:tc>
        <w:tc>
          <w:tcPr>
            <w:tcW w:w="29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77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7"/>
        </w:trPr>
        <w:tc>
          <w:tcPr>
            <w:tcW w:w="8880" w:type="dxa"/>
            <w:vAlign w:val="bottom"/>
            <w:gridSpan w:val="2"/>
          </w:tcPr>
          <w:p>
            <w:pPr>
              <w:ind w:left="8380"/>
              <w:spacing w:after="0"/>
              <w:rPr>
                <w:sz w:val="20"/>
                <w:szCs w:val="20"/>
                <w:color w:val="auto"/>
              </w:rPr>
            </w:pPr>
            <w:r>
              <w:rPr>
                <w:rFonts w:ascii="Arial" w:cs="Arial" w:eastAsia="Arial" w:hAnsi="Arial"/>
                <w:sz w:val="14"/>
                <w:szCs w:val="14"/>
                <w:b w:val="1"/>
                <w:bCs w:val="1"/>
                <w:color w:val="auto"/>
              </w:rPr>
              <w:t>2021</w:t>
            </w:r>
          </w:p>
        </w:tc>
        <w:tc>
          <w:tcPr>
            <w:tcW w:w="1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Theater System Installations:</w:t>
            </w:r>
          </w:p>
        </w:tc>
        <w:tc>
          <w:tcPr>
            <w:tcW w:w="11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8880" w:type="dxa"/>
            <w:vAlign w:val="bottom"/>
            <w:gridSpan w:val="2"/>
          </w:tcPr>
          <w:p>
            <w:pPr>
              <w:spacing w:after="0"/>
              <w:rPr>
                <w:sz w:val="20"/>
                <w:szCs w:val="20"/>
                <w:color w:val="auto"/>
              </w:rPr>
            </w:pPr>
            <w:r>
              <w:rPr>
                <w:rFonts w:ascii="Arial" w:cs="Arial" w:eastAsia="Arial" w:hAnsi="Arial"/>
                <w:sz w:val="18"/>
                <w:szCs w:val="18"/>
                <w:color w:val="auto"/>
              </w:rPr>
              <w:t>New IMAX Theater Systems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8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sales-type lease arrangements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7"/>
        </w:trPr>
        <w:tc>
          <w:tcPr>
            <w:tcW w:w="8880" w:type="dxa"/>
            <w:vAlign w:val="bottom"/>
            <w:gridSpan w:val="2"/>
          </w:tcPr>
          <w:p>
            <w:pPr>
              <w:ind w:left="120"/>
              <w:spacing w:after="0"/>
              <w:rPr>
                <w:sz w:val="20"/>
                <w:szCs w:val="20"/>
                <w:color w:val="auto"/>
              </w:rPr>
            </w:pPr>
            <w:r>
              <w:rPr>
                <w:rFonts w:ascii="Arial" w:cs="Arial" w:eastAsia="Arial" w:hAnsi="Arial"/>
                <w:sz w:val="18"/>
                <w:szCs w:val="18"/>
                <w:color w:val="auto"/>
              </w:rPr>
              <w:t>Hybrid joint revenue sharing lease arrangements</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7"/>
        </w:trPr>
        <w:tc>
          <w:tcPr>
            <w:tcW w:w="8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Traditional joint revenue sharing arrangements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0"/>
        </w:trPr>
        <w:tc>
          <w:tcPr>
            <w:tcW w:w="7760" w:type="dxa"/>
            <w:vAlign w:val="bottom"/>
          </w:tcPr>
          <w:p>
            <w:pPr>
              <w:ind w:left="220"/>
              <w:spacing w:after="0"/>
              <w:rPr>
                <w:sz w:val="20"/>
                <w:szCs w:val="20"/>
                <w:color w:val="auto"/>
              </w:rPr>
            </w:pPr>
            <w:r>
              <w:rPr>
                <w:rFonts w:ascii="Arial" w:cs="Arial" w:eastAsia="Arial" w:hAnsi="Arial"/>
                <w:sz w:val="18"/>
                <w:szCs w:val="18"/>
                <w:color w:val="auto"/>
              </w:rPr>
              <w:t>Total new IMAX Theater Systems</w:t>
            </w:r>
          </w:p>
        </w:tc>
        <w:tc>
          <w:tcPr>
            <w:tcW w:w="1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8"/>
        </w:trPr>
        <w:tc>
          <w:tcPr>
            <w:tcW w:w="8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Upgrades of IMAX Theater Systems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0"/>
        </w:trPr>
        <w:tc>
          <w:tcPr>
            <w:tcW w:w="7760" w:type="dxa"/>
            <w:vAlign w:val="bottom"/>
          </w:tcPr>
          <w:p>
            <w:pPr>
              <w:ind w:left="220"/>
              <w:spacing w:after="0"/>
              <w:rPr>
                <w:sz w:val="20"/>
                <w:szCs w:val="20"/>
                <w:color w:val="auto"/>
              </w:rPr>
            </w:pPr>
            <w:r>
              <w:rPr>
                <w:rFonts w:ascii="Arial" w:cs="Arial" w:eastAsia="Arial" w:hAnsi="Arial"/>
                <w:sz w:val="18"/>
                <w:szCs w:val="18"/>
                <w:color w:val="auto"/>
              </w:rPr>
              <w:t>Total IMAX Theater System installations</w:t>
            </w:r>
          </w:p>
        </w:tc>
        <w:tc>
          <w:tcPr>
            <w:tcW w:w="1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55"/>
        <w:spacing w:after="0" w:line="306"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report.)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AI JOINT VENTURE</w:t>
      </w:r>
    </w:p>
    <w:p>
      <w:pPr>
        <w:spacing w:after="0" w:line="198"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In March 2021, the Company and Maximus Technologies Limited (“Maximus”), a next-generation visual effects company, established a joint venture, IMAX AI, to deliver A.I.-based solutions for Ultra High Definition (UHD) 4K enhancement across smart devices, new and library content, and real-time enhancement of live entertainment and sports. IMAX and Maximus each own 50% of IMAX AI. In connection with the formation of the joint venture, IMAX and Maximus are each contributing $250,000 in cash, as well as certain intellectual property assets. The intellectual property assets contributed by the Company had a nominal carrying value. The Company is using the equity method to account this investment as IMAX AI is jointly controlled.</w:t>
      </w:r>
    </w:p>
    <w:p>
      <w:pPr>
        <w:spacing w:after="0" w:line="123"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Included in the intellectual property assets contributed by IMAX is IMAX Enhanced, a home entertainment licensing and certification program. IMAX Enhanced was launched in September 2018, along with audio leader DTS (an Xperi subsidiary) to capitalize on the companies’ decades of combined expertise in image and sound science. IMAX Enhanced brings IMAX digitally re-mastered 4K high dynamic range (HDR) content and DTS audio technologies to premier streaming platforms and best-in-class consumer electronics devices worldwide, offering consumers high-fidelity sight and sound experiences for the home.</w:t>
      </w:r>
    </w:p>
    <w:p>
      <w:pPr>
        <w:spacing w:after="0" w:line="151"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To be certified, leading consumer electronics manufacturers spanning 4K/8K televisions, projectors, A/V receivers, loudspeakers, subwoofers and soundbars must meet a carefully prescribed set of audio and video performance standards, set by a certification committee of IMAX and DTS engineers and some of Hollywood’s leading technical specialists.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jc w:val="both"/>
        <w:ind w:firstLine="225"/>
        <w:spacing w:after="0" w:line="255" w:lineRule="auto"/>
        <w:rPr>
          <w:sz w:val="20"/>
          <w:szCs w:val="20"/>
          <w:color w:val="auto"/>
        </w:rPr>
      </w:pPr>
      <w:r>
        <w:rPr>
          <w:rFonts w:ascii="Arial" w:cs="Arial" w:eastAsia="Arial" w:hAnsi="Arial"/>
          <w:sz w:val="18"/>
          <w:szCs w:val="18"/>
          <w:color w:val="auto"/>
        </w:rPr>
        <w:t>IMAX Enhanced global device partners include Sony Electronics, Hisense, TCL, Phillips, Xiaomi, and Sound United, among others. IMAX Enhanced has an estimated six million certified devices in-market. IMAX Enhanced content is now available on six streaming platforms worldwide, with partners that include Sony Pictures Entertainment, Paramount Pictures, Huayi Brothers, Bona Film Group, Tencent Video, iQIYI and FandangoNOW, with more on the way.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4"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 xml:space="preserve">The Company’s business and future prospects are evaluated by Richard L. Gelfond, its Chief Executive Officer (“CEO”), using a variety of factors and financial and operational metrics including: (i) the signing, installation and financial performance of theater system arrangements, particularly joint revenue sharing arrangements and those involving laser-based projection systems; (ii) film performance and the securing of new film projects, particularly IMAX DMR films; (iii) the continuing ability to invest in and improve the Company’s technology to enhance the differentiation of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xml:space="preserve"> versus other cinematic experiences; (iv) revenues and gross margins earned by the Company’s segments, as discussed below; (v) consolidated earnings from operations, as adjusted for unusual items; (vi) the overall execution, reliability and consumer acceptance of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(vii) the success of new business initiatives; and (viii) short- and long-term cash flow projections.</w:t>
      </w:r>
    </w:p>
    <w:p>
      <w:pPr>
        <w:spacing w:after="0" w:line="14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CEO is the Company’s Chief Operating Decision Maker (“CODM”), as such term is defined under United States Generally Accepted Accounting Principles (“U.S. GAAP”). The CODM, along with other members of management, assess segment performance based on segment revenues and gross margins. Selling, general and administrative expenses, research and development costs, the amortization of intangible assets, provisions for (recoveries of) current expected credit losses, certain write-downs, interest income, interest expense and income tax (expense) benefit are not allocated to the Company’s segments.</w:t>
      </w:r>
    </w:p>
    <w:p>
      <w:pPr>
        <w:spacing w:after="0" w:line="165"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The Company’s reportable segments are organized into the following four categories: (i) IMAX Technology Network; (ii) IMAX Technology Sales and Maintenance; (iii) New Business Initiatives; and (iv) Film Distribution and Post-Production. Within these categories are the Company’s following reportable segments: (i) IMAX DMR; (ii) Joint Revenue Sharing Arrangements; (iii) IMAX Systems, (iv) IMAX Maintenance; (v) Other Theater Business; (vi) New Business Initiatives; (vii) Film Distribution; and (viii) Film Post-Production, each of which are described above under “Sources of Revenue.” This categorization is consistent with how the CODM reviews the financial performance of the Company and makes strategic decisions regarding resource allocation and investments to meet long-term business goals. Management believes that a discussion and analysis based on the four categories listed above is significantly more relevant and useful to readers, as the Company’s Condensed Consolidated Statements of Operations captions combine results from several segments.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Results of Operations for the Three Months Ended March 31, 2021 and March 31, 2020</w:t>
      </w:r>
    </w:p>
    <w:p>
      <w:pPr>
        <w:spacing w:after="0" w:line="198"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For the three months ended March 31, 2021, the Company reported a net loss attributable to common shareholders of $(14.8) million, or $(0.25) per diluted share, as compared to net loss attributable to common shareholders of $(49.4) million, or $(0.82) per diluted share, for the same period in 2020. For the three months ended March 31, 2021, the Company reported an adjusted net loss attributable to common shareholders* of $(14.8) million, or $(0.25) per basic and diluted share*, as compared to adjusted net loss attributable to common shareholders* of $(28.7) million, or $(0.48) per diluted share*, for the same period in 2020.</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Company’s revenue and gross margin (margin loss) by category and reportable segment for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Revenue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Gross Margin (Margin Loss)</w:t>
            </w:r>
          </w:p>
        </w:tc>
      </w:tr>
      <w:tr>
        <w:trPr>
          <w:trHeight w:val="207"/>
        </w:trPr>
        <w:tc>
          <w:tcPr>
            <w:tcW w:w="48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0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20"/>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2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12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11,944</w:t>
            </w:r>
          </w:p>
        </w:tc>
        <w:tc>
          <w:tcPr>
            <w:tcW w:w="140" w:type="dxa"/>
            <w:vAlign w:val="bottom"/>
          </w:tcPr>
          <w:p>
            <w:pPr>
              <w:spacing w:after="0"/>
              <w:rPr>
                <w:sz w:val="19"/>
                <w:szCs w:val="19"/>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10,629</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8,251</w:t>
            </w:r>
          </w:p>
        </w:tc>
        <w:tc>
          <w:tcPr>
            <w:tcW w:w="180" w:type="dxa"/>
            <w:vAlign w:val="bottom"/>
          </w:tcPr>
          <w:p>
            <w:pPr>
              <w:spacing w:after="0"/>
              <w:rPr>
                <w:sz w:val="19"/>
                <w:szCs w:val="19"/>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9"/>
                <w:szCs w:val="19"/>
                <w:color w:val="auto"/>
              </w:rPr>
            </w:pPr>
          </w:p>
        </w:tc>
      </w:tr>
      <w:tr>
        <w:trPr>
          <w:trHeight w:val="227"/>
        </w:trPr>
        <w:tc>
          <w:tcPr>
            <w:tcW w:w="4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(1,618)</w:t>
            </w:r>
          </w:p>
        </w:tc>
      </w:tr>
      <w:tr>
        <w:trPr>
          <w:trHeight w:val="220"/>
        </w:trPr>
        <w:tc>
          <w:tcPr>
            <w:tcW w:w="1500" w:type="dxa"/>
            <w:vAlign w:val="bottom"/>
            <w:tcBorders>
              <w:bottom w:val="single" w:sz="8" w:color="CFF0FC"/>
            </w:tcBorders>
          </w:tcPr>
          <w:p>
            <w:pPr>
              <w:spacing w:after="0"/>
              <w:rPr>
                <w:sz w:val="19"/>
                <w:szCs w:val="19"/>
                <w:color w:val="auto"/>
              </w:rPr>
            </w:pPr>
          </w:p>
        </w:tc>
        <w:tc>
          <w:tcPr>
            <w:tcW w:w="3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16,600</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FF0FC"/>
            </w:tcBorders>
          </w:tcPr>
          <w:p>
            <w:pPr>
              <w:spacing w:after="0"/>
              <w:rPr>
                <w:sz w:val="19"/>
                <w:szCs w:val="19"/>
                <w:color w:val="auto"/>
              </w:rPr>
            </w:pPr>
          </w:p>
        </w:tc>
      </w:tr>
      <w:tr>
        <w:trPr>
          <w:trHeight w:val="221"/>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20" w:type="dxa"/>
            <w:vAlign w:val="bottom"/>
            <w:gridSpan w:val="2"/>
          </w:tcPr>
          <w:p>
            <w:pPr>
              <w:ind w:left="120"/>
              <w:spacing w:after="0"/>
              <w:rPr>
                <w:sz w:val="20"/>
                <w:szCs w:val="20"/>
                <w:color w:val="auto"/>
              </w:rPr>
            </w:pPr>
            <w:r>
              <w:rPr>
                <w:rFonts w:ascii="Arial" w:cs="Arial" w:eastAsia="Arial" w:hAnsi="Arial"/>
                <w:sz w:val="18"/>
                <w:szCs w:val="18"/>
                <w:color w:val="auto"/>
              </w:rPr>
              <w:t xml:space="preserve">IMAX Systems </w:t>
            </w:r>
            <w:r>
              <w:rPr>
                <w:rFonts w:ascii="Arial" w:cs="Arial" w:eastAsia="Arial" w:hAnsi="Arial"/>
                <w:sz w:val="15"/>
                <w:szCs w:val="15"/>
                <w:color w:val="auto"/>
              </w:rPr>
              <w:t>(1)</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9"/>
                <w:szCs w:val="19"/>
                <w:color w:val="auto"/>
              </w:rPr>
            </w:pPr>
          </w:p>
        </w:tc>
      </w:tr>
      <w:tr>
        <w:trPr>
          <w:trHeight w:val="227"/>
        </w:trPr>
        <w:tc>
          <w:tcPr>
            <w:tcW w:w="4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19"/>
                <w:szCs w:val="19"/>
                <w:color w:val="auto"/>
              </w:rPr>
            </w:pPr>
          </w:p>
        </w:tc>
      </w:tr>
      <w:tr>
        <w:trPr>
          <w:trHeight w:val="227"/>
        </w:trPr>
        <w:tc>
          <w:tcPr>
            <w:tcW w:w="4820" w:type="dxa"/>
            <w:vAlign w:val="bottom"/>
            <w:gridSpan w:val="2"/>
          </w:tcPr>
          <w:p>
            <w:pPr>
              <w:ind w:left="120"/>
              <w:spacing w:after="0"/>
              <w:rPr>
                <w:sz w:val="20"/>
                <w:szCs w:val="20"/>
                <w:color w:val="auto"/>
              </w:rPr>
            </w:pPr>
            <w:r>
              <w:rPr>
                <w:rFonts w:ascii="Arial" w:cs="Arial" w:eastAsia="Arial" w:hAnsi="Arial"/>
                <w:sz w:val="18"/>
                <w:szCs w:val="18"/>
                <w:color w:val="auto"/>
              </w:rPr>
              <w:t>IMAX Maintenance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r>
      <w:tr>
        <w:trPr>
          <w:trHeight w:val="227"/>
        </w:trPr>
        <w:tc>
          <w:tcPr>
            <w:tcW w:w="48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Other Theater Business </w:t>
            </w:r>
            <w:r>
              <w:rPr>
                <w:rFonts w:ascii="Arial" w:cs="Arial" w:eastAsia="Arial" w:hAnsi="Arial"/>
                <w:sz w:val="15"/>
                <w:szCs w:val="15"/>
                <w:color w:val="auto"/>
              </w:rPr>
              <w:t>(2)</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FF0FC"/>
          </w:tcPr>
          <w:p>
            <w:pPr>
              <w:spacing w:after="0"/>
              <w:rPr>
                <w:sz w:val="19"/>
                <w:szCs w:val="19"/>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3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FF0FC"/>
            </w:tcBorders>
          </w:tcPr>
          <w:p>
            <w:pPr>
              <w:spacing w:after="0"/>
              <w:rPr>
                <w:sz w:val="19"/>
                <w:szCs w:val="19"/>
                <w:color w:val="auto"/>
              </w:rPr>
            </w:pPr>
          </w:p>
        </w:tc>
      </w:tr>
      <w:tr>
        <w:trPr>
          <w:trHeight w:val="221"/>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FF0FC"/>
          </w:tcPr>
          <w:p>
            <w:pPr>
              <w:spacing w:after="0"/>
              <w:rPr>
                <w:sz w:val="19"/>
                <w:szCs w:val="19"/>
                <w:color w:val="auto"/>
              </w:rPr>
            </w:pPr>
          </w:p>
        </w:tc>
      </w:tr>
      <w:tr>
        <w:trPr>
          <w:trHeight w:val="227"/>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(1,935)</w:t>
            </w:r>
          </w:p>
        </w:tc>
      </w:tr>
      <w:tr>
        <w:trPr>
          <w:trHeight w:val="220"/>
        </w:trPr>
        <w:tc>
          <w:tcPr>
            <w:tcW w:w="4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r>
      <w:tr>
        <w:trPr>
          <w:trHeight w:val="220"/>
        </w:trPr>
        <w:tc>
          <w:tcPr>
            <w:tcW w:w="4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173" w:lineRule="exact"/>
        <w:rPr>
          <w:sz w:val="20"/>
          <w:szCs w:val="20"/>
          <w:color w:val="auto"/>
        </w:rPr>
      </w:pPr>
    </w:p>
    <w:p>
      <w:pPr>
        <w:jc w:val="both"/>
        <w:ind w:left="380" w:hanging="373"/>
        <w:spacing w:after="0" w:line="259"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initial upfront payments and the present value of fixed minimum payments from sale and sales-type lease arrangements of IMAX Theater Systems, and the present value of estimated variable consideration from sales of IMAX Theater Systems. To a lesser extent, this line item also includes finance income associated with these revenue streams.</w:t>
      </w:r>
    </w:p>
    <w:p>
      <w:pPr>
        <w:spacing w:after="0" w:line="144" w:lineRule="exact"/>
        <w:rPr>
          <w:rFonts w:ascii="Arial" w:cs="Arial" w:eastAsia="Arial" w:hAnsi="Arial"/>
          <w:sz w:val="18"/>
          <w:szCs w:val="18"/>
          <w:color w:val="auto"/>
        </w:rPr>
      </w:pPr>
    </w:p>
    <w:p>
      <w:pPr>
        <w:ind w:left="380" w:hanging="373"/>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Principally includes after-market sales of IMAX projection system parts and 3D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573405</wp:posOffset>
            </wp:positionV>
            <wp:extent cx="949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80" w:hanging="373"/>
        <w:spacing w:after="0" w:line="270"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7" w:name="page58"/>
    <w:bookmarkEnd w:id="57"/>
    <w:p>
      <w:pPr>
        <w:ind w:left="10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94"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In the first quarter of 2020, due to the outbreak of the COVID-19 global pandemic, substantially all of the theaters in the IMAX network were closed for some period of the time, with the theaters in Greater China closing in late-January 2020 and the remainder of the Company’s theaters closing in mid-to-late March 2020. Since that time, stay-at-home orders have been lifted in many countries and movie theaters throughout the IMAX network have gradually reopened with reduced capacities, physical distancing requirements, and other safety measures. As of March 31, 2021, 77% of the theaters in the global IMAX commercial multiplex network were open, including substantially all of the theaters in Greater China. As a result, GBO receipts generated by IMAX DMR films and joint revenue sharing arrangements increased during the current quarter, leading to improvement in the Company’s segment results, when compared to the prior year. See the captioned sections below for a discussion of the Company’s segment results.</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46"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For the three months ended March 31, 2021, IMAX Technology Network revenues and gross margin increased by $3.7 million (22%) and $7.3 million (259%), respectively, when compared to the same period in 2020. See below for separate discussions of IMAX DMR and JRSA contingent rent results for the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For the three months ended March 31, 2021, IMAX DMR revenues and gross margin increased by $1.3 million (12%) and $3.8 million (86%), respectively, when compared to the same period in 2020. These increases are primarily due to a $15.0 million (16%) increase in GBO receipts generated by IMAX DMR films in the first quarter of 2021, from $95.2 million to $110.2 million. In the first quarter of 2021, GBO was generated by the exhibition of 18 films (12 new and 6 carryovers), including four local language films in China, and the re-release of classic titles. In the first quarter of 2020, GBO was generated by the exhibition of 13 films (9 new and 4 carryovers).</w:t>
      </w:r>
    </w:p>
    <w:p>
      <w:pPr>
        <w:spacing w:after="0" w:line="165"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In addition to the level of revenues, IMAX DMR gross margin is also influenced by the costs associated with the films exhibited in the period, and can vary from period-to-period, particularly with respect to marketing expenses. For the three months ended March 31, 2021, marketing expenses were $1.1 million, as compared to $2.4 million during the same period of 2020. The lower level of marketing expenses and other cost of sales in the current period is a reflection of the number and mix of films exhibited in the first quarter of 2021 relative to the same period in the prior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For the three months ended March 31, 2021, JRSA contingent rent revenue and gross margin increased by $2.4 million (40%) and $3.5 million (216%), respectively, when compared to the same period in 2020. These increases are largely due to a $21.2 million (48%) increase in GBO generated by theaters under joint revenue sharing arrangements in the first quarter of 2021 when compared to the same period in the prior year, from $44.6 million to $65.8 million. As of March 31, 2021, 896 theaters were operating under joint revenue sharing arrangements, as compared to 867 theaters as of March 31, 2020, an increase of 3%.</w:t>
      </w:r>
    </w:p>
    <w:p>
      <w:pPr>
        <w:spacing w:after="0" w:line="165"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addition to the level of revenues, JRSA contingent rent margin is also influenced by the level of costs associated with such arrangements, such as depreciation expense related to the underlying theater systems and costs incurred to upgrade theater systems from digital xenon to IMAX with Laser, as well as advertising, marketing and commission costs primarily for the launch of new theaters. The level of depreciation expense in a period relative to the prior year is a function of the growth of the theater network and the mix of theater system configurations in the network. For the three months ended March 31, 2021, JRSA gross margin included depreciation expense of $5.7 million, which represents a $1.2 million decrease as compared to $6.9 million recorded in the same period of the prior year. The lower level of depreciation expense in the current period is due, in part, to the effect of lease term extensions entered into with exhibitor customers as a result of the COVID-19 global pandemic, partially offset by the 3% increase in the number of theaters operating under joint revenue sharing arrangements. For the three months ended March 31, 2021, JRSA gross margin includes advertising, marketing and commission costs of $0.8 million, as compared to $0.5 million in the same period of the prior year.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8" w:name="page59"/>
    <w:bookmarkEnd w:id="58"/>
    <w:p>
      <w:pPr>
        <w:ind w:left="100"/>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9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primary drivers of IMAX Technology Sales and Maintenance results are the number of IMAX Theater Systems installed in a year,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33"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For the three months ended March 31, 2021, IMAX Technology Sales and Maintenance revenue and gross margin increased by $1.9 million (13%) and $2.3 million (49%), respectively, when compared to the same period in the prior year. IMAX Maintenance segment revenues and gross margin increased by $1.5 million (21%) and $3.1 million (404%), respectively, when compared to the same period in the prior year, due to the continued reopening of the IMAX network. Maintenance margins vary depending on the mix of theater system configurations in the theater network, volume-pricing related to larger relationships and the timing and the date(s) of installation and/or service.</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detailed information about the mix of IMAX Theater System installed and recognized during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Three Months Ended March 31,</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Revenue</w:t>
            </w:r>
          </w:p>
        </w:tc>
        <w:tc>
          <w:tcPr>
            <w:tcW w:w="13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1"/>
                <w:szCs w:val="11"/>
                <w:color w:val="auto"/>
              </w:rPr>
            </w:pPr>
          </w:p>
        </w:tc>
        <w:tc>
          <w:tcPr>
            <w:tcW w:w="10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0"/>
        </w:trPr>
        <w:tc>
          <w:tcPr>
            <w:tcW w:w="5840" w:type="dxa"/>
            <w:vAlign w:val="bottom"/>
            <w:gridSpan w:val="3"/>
          </w:tcPr>
          <w:p>
            <w:pPr>
              <w:spacing w:after="0"/>
              <w:rPr>
                <w:sz w:val="20"/>
                <w:szCs w:val="20"/>
                <w:color w:val="auto"/>
              </w:rPr>
            </w:pPr>
            <w:r>
              <w:rPr>
                <w:rFonts w:ascii="Arial" w:cs="Arial" w:eastAsia="Arial" w:hAnsi="Arial"/>
                <w:sz w:val="14"/>
                <w:szCs w:val="14"/>
                <w:i w:val="1"/>
                <w:iCs w:val="1"/>
                <w:color w:val="auto"/>
              </w:rPr>
              <w:t>(In thousands of U.S. Dollars, except number of systems)</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Systems</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New IMAX Theater Systems</w:t>
            </w: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Sales and sales-types lease arrangements</w:t>
            </w:r>
            <w:r>
              <w:rPr>
                <w:rFonts w:ascii="Arial" w:cs="Arial" w:eastAsia="Arial" w:hAnsi="Arial"/>
                <w:sz w:val="15"/>
                <w:szCs w:val="15"/>
                <w:color w:val="auto"/>
              </w:rPr>
              <w:t>(1)</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2,979</w:t>
            </w:r>
          </w:p>
        </w:tc>
        <w:tc>
          <w:tcPr>
            <w:tcW w:w="16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Joint revenue sharing arrangements — hybrid</w:t>
            </w:r>
          </w:p>
        </w:tc>
        <w:tc>
          <w:tcPr>
            <w:tcW w:w="12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1,504</w:t>
            </w:r>
          </w:p>
        </w:tc>
        <w:tc>
          <w:tcPr>
            <w:tcW w:w="16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bottom w:val="single" w:sz="8" w:color="CFF0FC"/>
            </w:tcBorders>
            <w:gridSpan w:val="2"/>
          </w:tcPr>
          <w:p>
            <w:pPr>
              <w:ind w:left="200"/>
              <w:spacing w:after="0"/>
              <w:rPr>
                <w:sz w:val="20"/>
                <w:szCs w:val="20"/>
                <w:color w:val="auto"/>
              </w:rPr>
            </w:pPr>
            <w:r>
              <w:rPr>
                <w:rFonts w:ascii="Arial" w:cs="Arial" w:eastAsia="Arial" w:hAnsi="Arial"/>
                <w:sz w:val="18"/>
                <w:szCs w:val="18"/>
                <w:color w:val="auto"/>
              </w:rPr>
              <w:t>Total new IMAX Theater Systems</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4,483</w:t>
            </w:r>
          </w:p>
        </w:tc>
        <w:tc>
          <w:tcPr>
            <w:tcW w:w="1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IMAX theater system upgrades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Joint revenue sharing arrangements — hybrid</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775</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820" w:type="dxa"/>
            <w:vAlign w:val="bottom"/>
            <w:gridSpan w:val="2"/>
          </w:tcPr>
          <w:p>
            <w:pPr>
              <w:ind w:left="62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5,258</w:t>
            </w:r>
          </w:p>
        </w:tc>
        <w:tc>
          <w:tcPr>
            <w:tcW w:w="16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380" w:hanging="373"/>
        <w:spacing w:after="0" w:line="259"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4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average revenue per IMAX Theater System under sales and sales-type lease arrangements varies depending upon the number of IMAX Theater System commitments with a single respective exhibitor, an exhibitor’s location and various other factors. The average revenue per full (i.e., not hybrid), new IMAX Theater System under sales and sales-type lease arrangements was $1.5 million for the three months ended March 31, 2021, as compared to $1.0 million during the same period of the prior year.</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Film Distribution and Post-Production</w:t>
      </w:r>
    </w:p>
    <w:p>
      <w:pPr>
        <w:spacing w:after="0" w:line="194"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For the three months ended March 31, 2021, Film Distribution and Post-Production revenue and margin loss decreased by $1.7 million (67%) and $1.9 million, respectively, when compared to the same period in the prior year. The comparison to the prior year period is significantly influenced by $2.3 million of impairment losses recorded in the first quarter of 2020 principally to write-down the carrying value of certain documentary and alternative content film assets due to a decrease in projected box office totals and related revenues. No such impairment losses were recorded in the first quarter of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9" w:name="page60"/>
    <w:bookmarkEnd w:id="59"/>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4"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For the three months ended March 31, 2021, total Selling, General and Administrative Expenses decreased by $3.4 million (12%), when compared to the same period in 2020. For the three months ended March 31, 2021, Selling, General and Administrative Expenses, excluding the impact of share-based compensation of $4.9 million, were $20.3 million, as compared to $24.9 million in the same period in the prior year, excluding share-based compensation expense of $3.7 million, representing a decrease of $4.6 million (18%). A portion of share-based compensation expense is recognized within Cost and Expenses Applicable to Revenue and Research and Development. (See Note 12 of Notes to Condensed Consolidated Financial Statements.)</w:t>
      </w:r>
    </w:p>
    <w:p>
      <w:pPr>
        <w:spacing w:after="0" w:line="123"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The comparison to the prior year is influenced by COVID-19 government relief that the Company became entitled to receive during the period under the CEWS, of which $1.2 million was recognized as a reduction to Selling, General and Administrative Expenses. There were no comparable amounts recognized in the prior year. Also impacting the comparison to the prior year are management’s cost control efforts and lower business activity amidst the COVID-19 global pandemic resulting in lower staff costs, travel, facilities and marketing related expenses, among others. These factors are partially offset by a $4.0 million (35%) decrease in labor and other costs capitalized to inventory, film assets, and joint venture theater equipment or allocated to costs applicable to revenues, due to the lower level of production during the COVID-19 global pandemic.</w:t>
      </w:r>
    </w:p>
    <w:p>
      <w:pPr>
        <w:spacing w:after="0" w:line="13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response to uncertainties associated with the COVID-19 global pandemic, in the first quarter of 2021, the Company continued to take significant steps to preserve cash by eliminating non-essential costs, keeping certain employees on a temporary furlough, reducing the working hours of other employees and deferring all non-essential capital expenditures to minimum levels.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A significant portion of the Company’s research and development efforts over the past several years have been focused on IMAX with Laser, the Company’s laser-based projection system, which the Company believes delivers increased resolution, sharper and brighter images, deeper contrast as well as the widest range of colors available to filmmakers today.</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three months ended March 31, 2021, Research and Development expenses decreased by $0.7 million (33%), when compared to the prior year.</w:t>
      </w:r>
    </w:p>
    <w:p>
      <w:pPr>
        <w:spacing w:after="0" w:line="217"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 intends to continue research and development in other areas considered important to the Company’s continued commercial success, including further improving the reliability of its projectors, certifying more IMAX cameras, enhancing the Company’s image quality, expanding the applicability of the Company’s digital technology in both theater and home entertainment and improvements to the DMR process.</w:t>
      </w:r>
    </w:p>
    <w:p>
      <w:pPr>
        <w:spacing w:after="0" w:line="12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in the first quarter of 2021, the Company used time and resources to work on leveraging and developing technologies and systems to help bring additional interactivity to its theater network, better manage certain of the Company’s internal workflows and better organize and codify certain of the Company’s data.</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Credit Loss Expense</w:t>
      </w:r>
    </w:p>
    <w:p>
      <w:pPr>
        <w:spacing w:after="0" w:line="194"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For the three months ended March 31, 2021, the Company recorded a provision for current expected credit losses of $0.3 million, as compared to $10.2 million in the same period of the prior year. The credit losses recorded in the first quarter of 2020 reflect the judgments made by management at the onset of the COVID-19 global pandemic regarding the credit quality of Company’s theater and studio related receivable balances. Management’s judgments regarding expected credit losses are based on the facts available to management at the time that the Condensed Consolidated Financial Statements are prepared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1 and 4 of Notes to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80" w:lineRule="exact"/>
        <w:rPr>
          <w:sz w:val="20"/>
          <w:szCs w:val="20"/>
          <w:color w:val="auto"/>
        </w:rPr>
      </w:pPr>
    </w:p>
    <w:p>
      <w:pPr>
        <w:jc w:val="both"/>
        <w:ind w:right="20" w:firstLine="225"/>
        <w:spacing w:after="0" w:line="334" w:lineRule="auto"/>
        <w:rPr>
          <w:sz w:val="20"/>
          <w:szCs w:val="20"/>
          <w:color w:val="auto"/>
        </w:rPr>
      </w:pPr>
      <w:r>
        <w:rPr>
          <w:rFonts w:ascii="Arial" w:cs="Arial" w:eastAsia="Arial" w:hAnsi="Arial"/>
          <w:sz w:val="16"/>
          <w:szCs w:val="16"/>
          <w:color w:val="auto"/>
        </w:rPr>
        <w:t>For the three months ended March 31, 2020, the Company recorded asset impairments of $1.2 million principally related to the write-down of content-related assets which became impaired in the period. There were no such impairments recorded during the three months ended March 31, 2021.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Realized and Unrealized Investment Gains (Losses)</w:t>
      </w:r>
    </w:p>
    <w:p>
      <w:pPr>
        <w:spacing w:after="0" w:line="194"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In the first quarter of 2019, IMAX China (Hong Kong), Limited, a wholly-owned subsidiary of IMAX China, entered into a cornerstone investment agreement with Maoyan Entertainment (“Maoyan”) and purchased equity securities for $15.2 million. In February 2021, IMAX China (Hong Kong), Limited sold all of its 7,949,000 shares of Maoyan for gross proceeds of $17.8 million, which represents a $2.6 million gain relative to the Company’s acquisition cost and a $5.2 million gain compared to the fair value of the investment as of December 31, 2020. Prior to this sale, the Company accounted for its investment in Maoyan at fair value with any changes in fair value recorded to the Condensed Consolidated Statements of Operations. For the three months ended March 31, 2020, the fair value of the Company’s investment in Maoyan experienced an unrealized loss of $4.5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three months ended March 31, 2021, interest expense was $2.3 million, as compared to $0.6 million during the same period of the prior year. The increase in interest expense versus the prior year is due to a higher level of revolving credit facility borrowings coupled with a higher interest rate applicable during the designated amendment period. (See Note 7 of Notes to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For the three months ended March 31, 2021, the Company recorded income tax expense of $3.1 million (2020 — $15.5 million). The Company’s effective tax rate for the three months ended March 31, 2021 of (41.1)% differs from the Canadian statutory tax rate of 26.2% primarily due to the fact that the Company recorded an additional $7.0 million valuation allowance against deferred tax assets in jurisdictions where management could not reliably forecast that future tax liabilities would arise, primarily due to the uncertainties around the long-term impact of the COVID-19 global pandemic. Accordingly, the tax benefit associated with the current period losses in these jurisdictions is not ultimately reflected in the Company’s Condensed Consolidated Statements of Operations. Also impacting the Company’s effective tax rate for the three months ended March 31, 2021 are jurisdictional tax rate differences, including a difference related to the gain on the sale of the Maoyan investment (see “Realized and Unrealized Investment Gains (Losses)” above), as well as changes in estimated contingent liabilities related to the resolution of various tax examinations.</w:t>
      </w:r>
    </w:p>
    <w:p>
      <w:pPr>
        <w:spacing w:after="0" w:line="18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in the first quarter of 2020, the Company recognized a deferred tax liability of $19.7 million for the estimated applicable foreign withholding taxes associated with these historical earnings, which will become payable upon the repatriation of any such earnings.</w:t>
      </w:r>
    </w:p>
    <w:p>
      <w:pPr>
        <w:spacing w:after="0" w:line="151"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As of March 31, 2021, the Company’s Condensed Consolidated Balance Sheets include net deferred income tax assets of $18.3 million, net of a valuation allowance of $38.3 million (December 31, 2020 — $18.0 million, net of a valuation allowance of $28.8 million). The $9.5 million valuation allowance recorded in the current period is reflected within Income Tax Expense in the Company’s Condensed Consolidated Statements of Operations ($7.0 million) and within Shareholder’s Equity on the Company’s Condensed Consolidated Balance Sheets ($2.5 million). The valuation allowance recorded against the Company’s deferred tax assets is primarily the result of uncertainties related to the long-term impact of the COVID-19 global pandemic. The utilization of the Company’s deferred tax assets is dependent on having a sufficient level of future tax liabilities, such as taxable income, in the jurisdictions where the deferred tax assets relate. Accordingly, the net amount recorded on the Condensed Consolidated Balance Sheets relies on management’s projections of future taxable income. The valuation allowance is expected to reverse at the point in time when management determines it is more likely than not that the Company will incur sufficient tax liabilities to allow it to utilize the deferred tax assets against which the valuation allowance is recorded. However, as discussed in Note 1 of Notes to Condensed Consolidated Financial Statements, should actual results differ from management’s projections of future taxable income, an increased valuation allowance may be required. Despite the valuation allowance recorded against its deferred tax assets, the Company remains entitled to benefit from tax attributes which currently have a valuation allowance applied to them.</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9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Company’s Condensed Consolidated Financial Statements primarily include the non-controlling interest in the net income (loss) of IMAX China, as well as the impact of non-controlling interests in the activity of its Original Film Fund subsidiary. For the three months ended March 31, 2021, the net income attributable to non-controlling interests of the Company’s subsidiaries was $4.3 million (2020 ─ net loss of $(10.1) million ).</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CASH FLOWS FOR THE THREE MONTHS ENDED MARCH 31, 2021 AND 2020</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net cash used in or provided by the Company’s operating activities is affected by a number of factors, including: (i) the level of cash collections from customers in respect of existing IMAX Theater System sale and lease agreements, (ii) the amount of upfront payments collected in respect of IMAX Theater System sale and lease agreements in backlog, (iii) the box-office performance of films distributed by the Company and/or released to IMAX theaters, (iv) the level of inventory purchases and (v) the level of the Company’s operating expenses, including expenses for research and development and new business initiatives.</w:t>
      </w:r>
    </w:p>
    <w:p>
      <w:pPr>
        <w:spacing w:after="0" w:line="151"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For the three months ended March 31, 2021, net cash used in the Company’s operating activities totaled $11.0 million, as compared to net cash provided by operating activities of $6.0 million in the same period of the prior year. For the three months ended March 31, 2021, the net cash used in the Company’s operating activities is principally due to an increase in Accounts Receivable of $13.7 million as a result of theaters reopening amidst the early stages of recovery from the COVID-19 global pandemic, partially offset by cash collected in respect of IMAX Theater System sale and lease agreements in backlog and cash collected in advance of providing maintenance services.</w:t>
      </w:r>
    </w:p>
    <w:p>
      <w:pPr>
        <w:spacing w:after="0" w:line="16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months ended March 31, 2020, net cash provided by operating activities was primarily driven by a decrease in Accounts Receivable of $28.2 million, which reflects cash receipts reduced by amounts billed, partially offset by an increase in inventories of $18.3 million resulting from a slowdown in manufacturing, shipments and installation of IMAX Theater Systems at customer sites due to government restrictions in various countries limiting public gatherings as a result of the outbreak of the COVID-19 global pandemic.</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80" w:lineRule="exact"/>
        <w:rPr>
          <w:sz w:val="20"/>
          <w:szCs w:val="20"/>
          <w:color w:val="auto"/>
        </w:rPr>
      </w:pPr>
    </w:p>
    <w:p>
      <w:pPr>
        <w:jc w:val="both"/>
        <w:ind w:firstLine="224"/>
        <w:spacing w:after="0" w:line="267" w:lineRule="auto"/>
        <w:rPr>
          <w:sz w:val="20"/>
          <w:szCs w:val="20"/>
          <w:color w:val="auto"/>
        </w:rPr>
      </w:pPr>
      <w:r>
        <w:rPr>
          <w:rFonts w:ascii="Arial" w:cs="Arial" w:eastAsia="Arial" w:hAnsi="Arial"/>
          <w:sz w:val="17"/>
          <w:szCs w:val="17"/>
          <w:color w:val="auto"/>
        </w:rPr>
        <w:t>For the three months ended March 31, 2021, net cash provided by investing activities totaled $14.3 million, as compared to net cash used in investing activities of $2.7 million in the same period of the prior year. For the three months ended March 31, 2021, the net cash provided by investing activities is primarily driven by $17.8 million in cash proceeds received from the sale of the Company’s investment in Maoyan (see “Management’s Discussion and Analysis of Financial Condition and Results of Operations – Realized and Unrealized Investment Gains (Losses)”). This cash inflow is partially offset by $1.5 million invested in equipment to be used in the Company’s joint revenue sharing arrangements with exhibitors, $1.5 million of intangible assets acquired, principally related to the purchase or development of software (2020 — $0.9 million), and $0.5 million for the purchase of property, plant and equipment (2020 — $0.3 million). Based on management’s current operating plan for 2021, the Company expects to continue to use cash to deploy additional IMAX Theater Systems under joint revenue sharing arrangements.</w:t>
      </w:r>
    </w:p>
    <w:p>
      <w:pPr>
        <w:spacing w:after="0" w:line="15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Capital expenditures, including the Company’s investment in joint revenue sharing equipment, purchase of property, plant and equipment, other intangible assets and investments in film assets were $5.7 million for the three months ended March 31, 2021, as compared to $5.8 million for the three months ended March 31, 2020.</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For the three months ended March 31, 2021, net cash used in financing activities totaled $52.6 million, as compared to $239.2 million provided by financing activities in the same period of the prior year. In the first quarter of 2021, the net cash used in financing activities is principally due to $255.0 million in repayments of Credit Facility borrowings, which were funded in part with a portion of the $223.7 million in net proceeds received from the issuance of the Convertible Notes (as defined in “Liquidity and Capital Resources”). The net cash used in financing activities for the current period is also the result of the $19.1 million purchase of capped calls related to the Convertible Notes. (See Note 7 of Notes to Condensed Consolidated Financial Statements in Part I, Item 1 for additional information on the issuance of the Convertible Notes and the related capped call transactions.)</w:t>
      </w:r>
    </w:p>
    <w:p>
      <w:pPr>
        <w:spacing w:after="0" w:line="15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For the three months ended March 31, 2020, net cash provided by financing activities was principally due to the $280.0 million in revolving credit facility borrowings drawn in the period, partially offset by $36.6 million paid to repurchase common shares under the Company’s share repurchase program, $3.1 million paid to purchase treasury stock for the settlement of restricted share units and related taxes, $0.9 million for the repurchase of common shares under the IMAX China share repurchase program, and $0.2 million of taxes withheld and paid on vested employee stock awards.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8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facility provided by the Credit Agreement (the “Credit Facility”) matures on June 28, 2023.</w:t>
      </w:r>
    </w:p>
    <w:p>
      <w:pPr>
        <w:spacing w:after="0" w:line="13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58"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In the first quarter of 2020, in response to uncertainties associated with the outbreak of the COVID-19 global pandemic and its impact on the Company’s business, the Company drew down $280.0 million in available borrowing capacity under the Credit Facility, resulting in total outstanding borrowings of $300.0 million, which remained outstanding as of December 31, 2020. In the first quarter of 2021, the Company repaid $255.0 million of Credit Facility borrowings, using cash on hand following the issuance of the Convertible Notes (as discussed below). As of March 31, 2021, outstanding borrowings under the Credit Facility were $45.0 million. As of March 31, 2021, and December 31, 2020, the Company did not have any letters of credit or advance payment guarantees outstanding under the Credit Facility.</w:t>
      </w:r>
    </w:p>
    <w:p>
      <w:pPr>
        <w:spacing w:after="0" w:line="15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Credit Agreement contains a covenant that requires the Company to maintain a Senior Secured Net Leverage Ratio (as defined in the Credit Agreement), as of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51"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auto"/>
        </w:rPr>
        <w:t>On March 15, 2021, the Company entered into the Second Amendment to the Credit Agreement (as amended by the First Amendment to the Credit Agreement, dated as of June 10, 2020), (collectively, the “Amendments”). The Amendments, among other things, (i) suspend the Senior Secured Net Leverage Ratio covenant through the first quarter of 2022, (ii) re-establish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EBITDA for the corresponding quarters of 2021, (iii) add a $75.0 million minimum liquidity covenant measured at the end of each calendar month, (iv) restrict the Company’s ability to make certain restricted payments, dispositions and investments, create or assume liens and incur debt that would otherwise have been permitted by the Credit Agreement and (v) permit the issuance of the Convertible Notes (as discussed below) and related transactions, including the capped call transactions, or other unsecured debt, in an amount not to exceed $290.0 million. The modifications to the negative covenants, the minimum liquidity covenant and modifications to certain other provisions in the Credit Agreement pursuant to the Amendments are effective until the earlier of the delivery of the compliance certificate for the fourth quarter of 2022 or the date on which the Company, in its sole discretion, elects to calculate its compliance with the Senior Secured Net Leverage Ratio by using either its actual EBITDA or annualized EBITDA (the “Designated Period”). As of March 31, 2021, the Company was in compliance with all of its requirements under the Credit Agreement, as amended.</w:t>
      </w:r>
    </w:p>
    <w:p>
      <w:pPr>
        <w:spacing w:after="0" w:line="160"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Borrowings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provided, however, that from the effective date of the First Amendment to the Credit Agreement until the Company delivers a compliance certificate under the Credit Facility following the end of the Designated Period, the applicable margin for LIBOR borrowings will be 2.50% per annum and the applicable margin for U.S. base rate borrowings will be 1.75% per annum. The effective interest rate for the three months ended March 31, 2021 was 2.65% (2020 ― 2.03%).</w:t>
      </w:r>
    </w:p>
    <w:p>
      <w:pPr>
        <w:spacing w:after="0" w:line="152"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In addition, the Credit Facility has standby fees ranging from 0.25% to 0.38% per annum, based on the Company’s Total Leverage Ratio with respect to the unused portion of the Credit Facility; provided, however, that from the effective date of the First Amendment to the Credit Agreement until the Company delivers a compliance certificate under the Credit Facility following the end of the Designated Period, the standby fee will be 0.50% per annum.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3" w:name="page64"/>
    <w:bookmarkEnd w:id="63"/>
    <w:p>
      <w:pPr>
        <w:jc w:val="both"/>
        <w:ind w:firstLine="225"/>
        <w:spacing w:after="0" w:line="270" w:lineRule="auto"/>
        <w:rPr>
          <w:sz w:val="20"/>
          <w:szCs w:val="20"/>
          <w:color w:val="auto"/>
        </w:rPr>
      </w:pPr>
      <w:r>
        <w:rPr>
          <w:rFonts w:ascii="Arial" w:cs="Arial" w:eastAsia="Arial" w:hAnsi="Arial"/>
          <w:sz w:val="18"/>
          <w:szCs w:val="18"/>
          <w:color w:val="auto"/>
        </w:rPr>
        <w:t>The Company incurred fees of approximately $1.2 million in connection with the Amendments, which are being amortized on a straight-line basis to Interest Expense over the relevant amendment periods.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Facility</w:t>
      </w:r>
    </w:p>
    <w:p>
      <w:pPr>
        <w:spacing w:after="0" w:line="18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On July 24, 2020, IMAX (Shanghai) Multimedia Technology Co., Ltd. (“IMAX Shanghai”), one of the Company’s majority-owned subsidiaries in China, renewed its unsecured revolving facility for up to 200.0 million Renminbi (approximately $30.4 million) to fund ongoing working capital requirements (the “Working Capital Facility”). The Working Capital Facility expires in July 2021.</w:t>
      </w:r>
    </w:p>
    <w:p>
      <w:pPr>
        <w:spacing w:after="0" w:line="145"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As of March 31, 2021 and December 31, 2020, outstanding Working Capital Facility borrowings were 49.9 million Renminbi ($7.6 million). As of March 31, 2021, the amount available for future borrowings under the Working Capital Facility was 140.1 million Renminbi ($21.3 million) and 10.0 million Renminbi ($1.5 million) was available for letters of guarantee. The amount available for future borrowings under the Working Capital Facility is not subject to a standby fee. The effective interest rate for borrowings under the Working Capital Facility for the three months ended March 31, 2021 was 4.34% (December 31, 2020 ― 4.31%). Subsequent to March 31, 2021, IMAX Shanghai made a repayment of Working Capital Facility borrowings of 1.7 million Renminbi ($0.3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Foreign Exchange Facility</w:t>
      </w:r>
    </w:p>
    <w:p>
      <w:pPr>
        <w:spacing w:after="0" w:line="184"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7"/>
          <w:szCs w:val="17"/>
          <w:color w:val="auto"/>
        </w:rPr>
        <w:t>Within the Credit Facility, the Company is able to enter into foreign currency forward contracts and/or other swap arrangements. As of March 31, 2021, the net unrealized gain on the Company’s outstanding foreign currency forward contracts was $1.7 million, representing the amount by which the fair value of these forward contracts exceeded their notional value (December 31, 2020 ― $2.0 million). As of March 31, 2021, the notional value of the Company’s outstanding foreign currency forward contracts was $21.9 million (December 31, 2020 ― $31.9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 Facility</w:t>
      </w:r>
    </w:p>
    <w:p>
      <w:pPr>
        <w:spacing w:after="0" w:line="198" w:lineRule="exact"/>
        <w:rPr>
          <w:sz w:val="20"/>
          <w:szCs w:val="20"/>
          <w:color w:val="auto"/>
        </w:rPr>
      </w:pPr>
    </w:p>
    <w:p>
      <w:pPr>
        <w:jc w:val="both"/>
        <w:ind w:firstLine="224"/>
        <w:spacing w:after="0" w:line="281" w:lineRule="auto"/>
        <w:rPr>
          <w:sz w:val="20"/>
          <w:szCs w:val="20"/>
          <w:color w:val="auto"/>
        </w:rPr>
      </w:pPr>
      <w:r>
        <w:rPr>
          <w:rFonts w:ascii="Arial" w:cs="Arial" w:eastAsia="Arial" w:hAnsi="Arial"/>
          <w:sz w:val="17"/>
          <w:szCs w:val="17"/>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Company did not have any letters of credit or advance payment guarantees outstanding as of March 31, 2021 and December 31, 2020 under the NBC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84"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 In addition, the Company incurred $1.2 million of debt issuance costs associated with the Convertible Notes. The Company used a portion of the net proceeds from the issuance of the Convertible Notes to make a partial repayment of outstanding Credit Facility borrowings (as discussed above), and intends to use the remainder for working capital or other general corporate purposes.</w:t>
      </w:r>
    </w:p>
    <w:p>
      <w:pPr>
        <w:spacing w:after="0" w:line="136"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Convertible Notes are senior unsecured obligations of the Company and bear interest at a rate of 0.500% per annum on the principal thereof, payable semi-annually in arrears on April 1 and October 1 of each year, beginning on October 1, 2021. The Convertible Notes will mature on April 1, 2026, unless they are redeemed or repurchased by the Company or converted on an earlier date.</w:t>
      </w:r>
    </w:p>
    <w:p>
      <w:pPr>
        <w:spacing w:after="0" w:line="145"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Holders of the Convertible Notes have the right to convert their notes in certain circumstances and during specified periods. Before January 1, 2026, holders of the Convertible Notes have the right to convert their notes only upon the occurrence of certain events. From and after January 1, 2026, holders of the Convertible Notes may convert their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4" w:name="page65"/>
    <w:bookmarkEnd w:id="64"/>
    <w:p>
      <w:pPr>
        <w:jc w:val="both"/>
        <w:ind w:firstLine="225"/>
        <w:spacing w:after="0" w:line="252" w:lineRule="auto"/>
        <w:rPr>
          <w:sz w:val="20"/>
          <w:szCs w:val="20"/>
          <w:color w:val="auto"/>
        </w:rPr>
      </w:pPr>
      <w:r>
        <w:rPr>
          <w:rFonts w:ascii="Arial" w:cs="Arial" w:eastAsia="Arial" w:hAnsi="Arial"/>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note for redemption will constitute a “make-whole fundamental change” with respect to that note, in which case the conversion rate applicable to the conversion of that note will be increased in certain circumstances if such note is converted after it is called for redemption.</w:t>
      </w:r>
    </w:p>
    <w:p>
      <w:pPr>
        <w:spacing w:after="0" w:line="16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upon the occurrence of a “fundamental change” (as defined in the indenture governing the Convertible Notes), holders may require the Company to repurchase their notes at a cash repurchase price equal to the principal amount of the notes to be repurchased, plus accrued and unpaid interest, if any.</w:t>
      </w:r>
    </w:p>
    <w:p>
      <w:pPr>
        <w:spacing w:after="0" w:line="145"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On January 1, 2021, the Company elected to early adopt ASU No. 2020-06, “Debt—Debt with Conversion and Other Options (Subtopic 470-20) and Derivatives and Hedging—Contracts in Entity’s Own Equity (Subtopic 815-40): Accounting for Convertible Instruments and Contracts in an Entity’s Own Equity” (“ASU 2020-06”). ASU 2020-06 simplifies the accounting for convertible debt that may be settled in cash. As a result, the Company recorded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ASU 2020-06 modifies the treatment of convertible debt securities that may be settled in cash or shares by requiring the use of the “if-converted” method.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44"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on March 16, 2021, and is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53"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Capped Call Transactions are separate transactions, and are not part of the terms of the Convertible Notes and will not affect any holder’s rights under the notes. Holders of the Convertible Notes will not have any rights with respect to the Capped Call Transactions.</w:t>
      </w:r>
    </w:p>
    <w:p>
      <w:pPr>
        <w:spacing w:after="0" w:line="13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Condensed Consolidated Statements of Shareholder’s Equity and Condensed Consolidated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 of Liquidity and Capital Requirements</w:t>
      </w:r>
    </w:p>
    <w:p>
      <w:pPr>
        <w:spacing w:after="0" w:line="198"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As of March 31, 2021, the Company’s principal sources of liquidity included: (i) its balances of cash and cash equivalents ($267.8 million); (ii) the anticipated collection of trade accounts receivable, which includes amounts owed under joint revenue sharing arrangements and DMR agreements with movie studios; (iii) the anticipated collection of financing receivables due in the next 12 months; and (iv) installment payments expected in the next 12 months on its existing sales and sales and sales-type lease arrangements in backlog.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jc w:val="both"/>
        <w:ind w:firstLine="225"/>
        <w:spacing w:after="0" w:line="251" w:lineRule="auto"/>
        <w:rPr>
          <w:sz w:val="20"/>
          <w:szCs w:val="20"/>
          <w:color w:val="auto"/>
        </w:rPr>
      </w:pPr>
      <w:r>
        <w:rPr>
          <w:rFonts w:ascii="Arial" w:cs="Arial" w:eastAsia="Arial" w:hAnsi="Arial"/>
          <w:sz w:val="18"/>
          <w:szCs w:val="18"/>
          <w:color w:val="auto"/>
        </w:rPr>
        <w:t>The Company’s $267.8 million balance of cash and cash equivalents as of March 31, 2021 includes $115.1 million in cash held outside of Canada (December 31, 2020 — $89.9 million), of which $84.2 million was held in the People’s Republic of China (the “PRC”) (December 31, 2020 — $76.7 million). 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in the first quarter of 2020, the Company recognized a deferred tax liability of $19.7 million for the applicable foreign withholding taxes associated with these historical earnings, which will become payable upon the repatriation of any such earnings.</w:t>
      </w:r>
    </w:p>
    <w:p>
      <w:pPr>
        <w:spacing w:after="0" w:line="168"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8"/>
          <w:szCs w:val="18"/>
          <w:color w:val="auto"/>
        </w:rPr>
        <w:t>The Company’s operating cash flows will be adversely affected if management’s projections of future signings of IMAX Theater Systems and film performance, theater installations and film productions are not realized. The Company forecasts its short-term liquidity requirements on a quarterly and annual basis. Since the Company’s future cash flows are based on estimates and there may be factors that are outside of the Company’s control (see “Risk Factors” in Item 1A in the Company’s 2020 Form 10-K), there is no guarantee that the Company will continue to be able to fund its operations through cash flows from operations. Under the terms of the Company’s typical sale and sales-type lease agreements, the Company receives substantial cash payments before the Company completes the performance of its obligations. Similarly, the Company receives cash payments for some of its film productions in advance of related cash expenditures.</w:t>
      </w:r>
    </w:p>
    <w:p>
      <w:pPr>
        <w:spacing w:after="0" w:line="154"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impact of the COVID-19 global pandemic has resulted in significantly lower levels of revenues, earnings and operating cash flows during 2020 and through the end of the first quarter of 2021, when compared to periods prior to the onset of the pandemic, as GBO results from the Company’s theater customers declined significantly, the installation of certain theater systems was delayed, and maintenance services were generally suspended for theaters that were closed. Even as the pandemic has receded in many markets around the world, there continues to be few new films released by Hollywood movie studios and a significant number of theaters in the IMAX network remain either closed or operating with capacity restrictions. The Company continues to experience a significant decline in earnings and operating cash flows as it is generating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been, and may continue to be delayed. However, with approximately 77% of the Company’s global theater network open as of March 31, 2021 (including substantially all of the theaters in Greater China), GBO receipts generated by IMAX DMR films and joint revenue sharing arrangements increased in the current quarter, leading to improvement in the Company’s segment results, when compared to the prior year period.</w:t>
      </w:r>
    </w:p>
    <w:p>
      <w:pPr>
        <w:spacing w:after="0" w:line="142"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addition, as a result of the financial difficulties faced by certain of the Company’s exhibition customers as a result of theater closures during the pandemic, the Company has experienced and may continue to experience delays in collecting payments due under existing theater sale or lease arrangements. In response, the Company has provided temporary relief to exhibitor partners by waiving or reducing maintenance fees during periods when theaters are closed or operational with reduced capacities and, in certain situations, by providing extended payment terms on annual minimum payment obligations in exchange for a corresponding or longer extension of the term of the underlying sale or lease arrangement.</w:t>
      </w:r>
    </w:p>
    <w:p>
      <w:pPr>
        <w:spacing w:after="0" w:line="15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Based on the Company’s current cash balances and operating cash flows, management expects to have sufficient capital and liquidity to fund its anticipated operating needs and capital requirements during the next twelve month period following the date of this report.</w:t>
      </w:r>
    </w:p>
    <w:p>
      <w:pPr>
        <w:spacing w:after="0" w:line="135" w:lineRule="exact"/>
        <w:rPr>
          <w:sz w:val="20"/>
          <w:szCs w:val="20"/>
          <w:color w:val="auto"/>
        </w:rPr>
      </w:pPr>
    </w:p>
    <w:p>
      <w:pPr>
        <w:jc w:val="both"/>
        <w:ind w:firstLine="224"/>
        <w:spacing w:after="0" w:line="306" w:lineRule="auto"/>
        <w:rPr>
          <w:sz w:val="20"/>
          <w:szCs w:val="20"/>
          <w:color w:val="auto"/>
        </w:rPr>
      </w:pPr>
      <w:r>
        <w:rPr>
          <w:rFonts w:ascii="Arial" w:cs="Arial" w:eastAsia="Arial" w:hAnsi="Arial"/>
          <w:sz w:val="16"/>
          <w:szCs w:val="16"/>
          <w:color w:val="auto"/>
        </w:rPr>
        <w:t>(See “Management’s Discussion and Analysis of Financial Condition and Results of Operations – Impact of COVID-19 Pandemic”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CONTRACTUAL OBLIGATIONS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Payments to be made by the Company under contractual obligations as of March 31, 2021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w w:val="90"/>
              </w:rPr>
              <w:t>Payments Due by Period</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5"/>
              </w:rPr>
              <w:t>Total</w:t>
            </w:r>
          </w:p>
        </w:tc>
        <w:tc>
          <w:tcPr>
            <w:tcW w:w="9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1"/>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0"/>
              </w:rPr>
              <w:t>1 to 3 years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to 5 years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170"/>
        </w:trPr>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Obligation</w:t>
            </w:r>
          </w:p>
        </w:tc>
        <w:tc>
          <w:tcPr>
            <w:tcW w:w="22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29,366</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27,799</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color w:val="auto"/>
              </w:rPr>
              <w:t>Pension obligations</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20,298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20,264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4,228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color w:val="auto"/>
              </w:rPr>
              <w:t>Credit Facility</w:t>
            </w:r>
            <w:r>
              <w:rPr>
                <w:rFonts w:ascii="Arial" w:cs="Arial" w:eastAsia="Arial" w:hAnsi="Arial"/>
                <w:sz w:val="15"/>
                <w:szCs w:val="15"/>
                <w:color w:val="auto"/>
              </w:rPr>
              <w:t>(4)</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45,000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Working Capital Facility</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7,590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color w:val="auto"/>
              </w:rPr>
              <w:t>Convertible Notes</w:t>
            </w:r>
            <w:r>
              <w:rPr>
                <w:rFonts w:ascii="Arial" w:cs="Arial" w:eastAsia="Arial" w:hAnsi="Arial"/>
                <w:sz w:val="15"/>
                <w:szCs w:val="15"/>
                <w:color w:val="auto"/>
              </w:rPr>
              <w:t>(5)</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235,750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230,575</w:t>
            </w:r>
          </w:p>
        </w:tc>
        <w:tc>
          <w:tcPr>
            <w:tcW w:w="0" w:type="dxa"/>
            <w:vAlign w:val="bottom"/>
          </w:tcPr>
          <w:p>
            <w:pPr>
              <w:spacing w:after="0"/>
              <w:rPr>
                <w:sz w:val="1"/>
                <w:szCs w:val="1"/>
                <w:color w:val="auto"/>
              </w:rPr>
            </w:pPr>
          </w:p>
        </w:tc>
      </w:tr>
      <w:tr>
        <w:trPr>
          <w:trHeight w:val="228"/>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Postretirement benefits obligations</w:t>
            </w: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3,295</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361,563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39,324</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74,382</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6,804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241,053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right="20" w:hanging="373"/>
        <w:spacing w:after="0" w:line="270"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total payments to be made under binding commitments with suppliers and outstanding payments to be made for supplies ordered, but yet to be invoiced.</w:t>
      </w:r>
    </w:p>
    <w:p>
      <w:pPr>
        <w:spacing w:after="0" w:line="135" w:lineRule="exact"/>
        <w:rPr>
          <w:rFonts w:ascii="Arial" w:cs="Arial" w:eastAsia="Arial" w:hAnsi="Arial"/>
          <w:sz w:val="18"/>
          <w:szCs w:val="18"/>
          <w:color w:val="auto"/>
        </w:rPr>
      </w:pPr>
    </w:p>
    <w:p>
      <w:pPr>
        <w:jc w:val="both"/>
        <w:ind w:left="380" w:hanging="373"/>
        <w:spacing w:after="0" w:line="275" w:lineRule="auto"/>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has an unfunded defined benefit pension plan, the Supplemental Executive Retirement Plan (the “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2022, in accordance with the terms of the SERP, although Mr. Gelfond has not informed the Company that he intends to retire at that time.</w:t>
      </w:r>
    </w:p>
    <w:p>
      <w:pPr>
        <w:spacing w:after="0" w:line="132" w:lineRule="exact"/>
        <w:rPr>
          <w:rFonts w:ascii="Arial" w:cs="Arial" w:eastAsia="Arial" w:hAnsi="Arial"/>
          <w:sz w:val="17"/>
          <w:szCs w:val="17"/>
          <w:color w:val="auto"/>
        </w:rPr>
      </w:pPr>
    </w:p>
    <w:p>
      <w:pPr>
        <w:ind w:left="380" w:hanging="373"/>
        <w:spacing w:after="0" w:line="270"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total minimum annual rental payments due under the Company’s operating leases, which almost entirely consist of rent at the Company’s leased office space in New York.</w:t>
      </w:r>
    </w:p>
    <w:p>
      <w:pPr>
        <w:spacing w:after="0" w:line="135" w:lineRule="exact"/>
        <w:rPr>
          <w:rFonts w:ascii="Arial" w:cs="Arial" w:eastAsia="Arial" w:hAnsi="Arial"/>
          <w:sz w:val="18"/>
          <w:szCs w:val="18"/>
          <w:color w:val="auto"/>
        </w:rPr>
      </w:pPr>
    </w:p>
    <w:p>
      <w:pPr>
        <w:ind w:left="380" w:hanging="373"/>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is not required to make any minimum payments on the Credit Facility, which matures on June 28, 2023.</w:t>
      </w:r>
    </w:p>
    <w:p>
      <w:pPr>
        <w:spacing w:after="0" w:line="180" w:lineRule="exact"/>
        <w:rPr>
          <w:rFonts w:ascii="Arial" w:cs="Arial" w:eastAsia="Arial" w:hAnsi="Arial"/>
          <w:sz w:val="18"/>
          <w:szCs w:val="18"/>
          <w:color w:val="auto"/>
        </w:rPr>
      </w:pPr>
    </w:p>
    <w:p>
      <w:pPr>
        <w:jc w:val="both"/>
        <w:ind w:left="380" w:hanging="373"/>
        <w:spacing w:after="0" w:line="259"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Convertible Notes bear interest at a rate of 0.500% per annum on the principal of $230.0 million, payable semi-annually in arrears on April 1 and October 1 of each year, beginning on October 1, 2021. The Convertible Notes will mature on April 1, 2026, unless earlier repurchased, redeemed or converted.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Obligations</w:t>
      </w:r>
    </w:p>
    <w:p>
      <w:pPr>
        <w:spacing w:after="0" w:line="198"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The Company has an unfunded defined benefit pension plan, the SERP, covering the Company’s CEO, Mr. Gelfond. Under the terms of the SERP, if Mr. Gelfond’s employment is terminated other than for cause (as defined in his employment agreement), he is entitled to receive SERP benefits in the form of a lump sum payment. SERP benefit payments to Mr. Gelfond are subject to a deferral of six months after the termination of his employment, at which time Mr. Gelfond will be entitled to receive interest on the deferred amount credited at the applicable federate rate for short-term obligations. Pursuant to an amendment to his employment agreement dated November 1, 2019, the term of Mr. Gelfond’s employment was extended through December through December 31, 2022, although Mr. Gelfond has not informed the Company that he intends to retire at that time. Under the terms of this amendment to his employment agreement, the total benefit payable to Mr. Gelfond under the SERP has been fixed at $20.3 million. As of March 31, 2021, the Company’s Condensed Consolidated Balance Sheets include the present value of the related SERP benefit obligation of approximately $20.1 million recorded within Accrued and Other Liabilities (December 31, 2020— $20.1 million).</w:t>
      </w:r>
    </w:p>
    <w:p>
      <w:pPr>
        <w:spacing w:after="0" w:line="14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has a postretirement plan to provide health and welfare benefits to Canadian employees meeting certain eligibility requirements. As of March 31, 2021, the Company’s Condensed Consolidated Balance Sheets include an unfunded benefit obligation of $1.8 million within Accrued and Other Liabilities related to this plan (December 31, 2020 — $1.9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7" w:name="page68"/>
    <w:bookmarkEnd w:id="67"/>
    <w:p>
      <w:pPr>
        <w:jc w:val="both"/>
        <w:ind w:firstLine="225"/>
        <w:spacing w:after="0" w:line="252" w:lineRule="auto"/>
        <w:rPr>
          <w:sz w:val="20"/>
          <w:szCs w:val="20"/>
          <w:color w:val="auto"/>
        </w:rPr>
      </w:pPr>
      <w:r>
        <w:rPr>
          <w:rFonts w:ascii="Arial" w:cs="Arial" w:eastAsia="Arial" w:hAnsi="Arial"/>
          <w:sz w:val="18"/>
          <w:szCs w:val="18"/>
          <w:color w:val="auto"/>
        </w:rPr>
        <w:t>In July 2000, the Company agreed to maintain health benefits for Messrs. Gelfond and Bradley J. Wechsler, the Company’s former Co-CEO and current Chairman of its Board of Directors, upon retirement. As of March 31, 2021, the Company’s Condensed Consolidated Balance Sheets include an unfunded benefit obligation of $0.7 million within Accrued and Other Liabilities (December 31, 2020 — $0.7 million). In the first quarter of 2021, Mr. Wechsler notified the Company’s Board of Directors that he will not stand for re-election as a director at the Company’s annual meeting of shareholders on June 9, 2021. Upon his departure, the Company will maintain Mr. Wechsler’s current health benefits through December 31, 2021, and thereafter will provide him with Medicare supplemental coverage.</w:t>
      </w:r>
    </w:p>
    <w:p>
      <w:pPr>
        <w:spacing w:after="0" w:line="165"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the fourth quarter of 2018, the executive incurred a separation from service from the Company, and as such, the Retirement Plan benefits became fully vested as of December 31, 2018 and the accelerated costs were recognized and reflected in Executive Transition Costs in the Consolidated Statements of Operations.</w:t>
      </w:r>
    </w:p>
    <w:p>
      <w:pPr>
        <w:spacing w:after="0" w:line="151"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of March 31, 2021, the benefit obligation related to the Retirement Plan was $3.7 million (December 31, 2020 — $3.7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Expenses.</w:t>
      </w:r>
    </w:p>
    <w:p>
      <w:pPr>
        <w:spacing w:after="0" w:line="149" w:lineRule="exact"/>
        <w:rPr>
          <w:sz w:val="20"/>
          <w:szCs w:val="20"/>
          <w:color w:val="auto"/>
        </w:rPr>
      </w:pPr>
    </w:p>
    <w:p>
      <w:pPr>
        <w:jc w:val="both"/>
        <w:ind w:firstLine="225"/>
        <w:spacing w:after="0" w:line="287" w:lineRule="auto"/>
        <w:rPr>
          <w:sz w:val="20"/>
          <w:szCs w:val="20"/>
          <w:color w:val="auto"/>
        </w:rPr>
      </w:pPr>
      <w:r>
        <w:rPr>
          <w:rFonts w:ascii="Arial" w:cs="Arial" w:eastAsia="Arial" w:hAnsi="Arial"/>
          <w:sz w:val="16"/>
          <w:szCs w:val="16"/>
          <w:color w:val="auto"/>
        </w:rPr>
        <w:t>The Retirement Plan is funded by an investment in company-owned life insurance (“COLI”), which is recorded at its fair value on the Company’s Condensed Consolidated Balance Sheets within Prepaid Expenses. As of March 31, 2021, fair value of the COLI asset was $3.2 million (December 31, 2020</w:t>
      </w:r>
    </w:p>
    <w:p>
      <w:pPr>
        <w:ind w:right="20"/>
        <w:spacing w:after="0" w:line="255" w:lineRule="auto"/>
        <w:rPr>
          <w:sz w:val="20"/>
          <w:szCs w:val="20"/>
          <w:color w:val="auto"/>
        </w:rPr>
      </w:pPr>
      <w:r>
        <w:rPr>
          <w:rFonts w:ascii="Arial" w:cs="Arial" w:eastAsia="Arial" w:hAnsi="Arial"/>
          <w:sz w:val="18"/>
          <w:szCs w:val="18"/>
          <w:color w:val="auto"/>
        </w:rPr>
        <w:t>— $3.2 million). Gains and losses resulting from changes in the cash surrender value of the COLI asset are recognized in the Condensed Consolidated Statements of Operations within Realized and Unrealized Investment Gains (Losses).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4" w:lineRule="exact"/>
        <w:rPr>
          <w:sz w:val="20"/>
          <w:szCs w:val="20"/>
          <w:color w:val="auto"/>
        </w:rPr>
      </w:pPr>
    </w:p>
    <w:p>
      <w:pPr>
        <w:ind w:right="660"/>
        <w:spacing w:after="0" w:line="270" w:lineRule="auto"/>
        <w:rPr>
          <w:sz w:val="20"/>
          <w:szCs w:val="20"/>
          <w:color w:val="auto"/>
        </w:rPr>
      </w:pPr>
      <w:r>
        <w:rPr>
          <w:rFonts w:ascii="Arial" w:cs="Arial" w:eastAsia="Arial" w:hAnsi="Arial"/>
          <w:sz w:val="18"/>
          <w:szCs w:val="18"/>
          <w:color w:val="auto"/>
        </w:rPr>
        <w:t>There are currently no off-balance sheet arrangements that have or are reasonably likely to have a current or future material effect on the Company’s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GAAP refers to generally accepted accounting principles in the United States of America. In this report, the Company presents financial measures in accordance with GAAP and also on a non-GAAP basis under U.S. Securities and Exchange Commission rules. Specifically, the Company presents the following non-GAAP financial measures as supplemental measures of its performance:</w:t>
      </w:r>
    </w:p>
    <w:p>
      <w:pPr>
        <w:spacing w:after="0" w:line="185" w:lineRule="exact"/>
        <w:rPr>
          <w:sz w:val="20"/>
          <w:szCs w:val="20"/>
          <w:color w:val="auto"/>
        </w:rPr>
      </w:pPr>
    </w:p>
    <w:p>
      <w:pPr>
        <w:ind w:left="580" w:hanging="359"/>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net loss attributable to common shareholders;</w:t>
      </w:r>
    </w:p>
    <w:p>
      <w:pPr>
        <w:spacing w:after="0" w:line="247" w:lineRule="exact"/>
        <w:rPr>
          <w:rFonts w:ascii="Arial" w:cs="Arial" w:eastAsia="Arial" w:hAnsi="Arial"/>
          <w:sz w:val="18"/>
          <w:szCs w:val="18"/>
          <w:color w:val="auto"/>
        </w:rPr>
      </w:pPr>
    </w:p>
    <w:p>
      <w:pPr>
        <w:ind w:left="580" w:hanging="359"/>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net loss attributable to common shareholders per basic and diluted share;</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EBITDA; and</w:t>
      </w:r>
    </w:p>
    <w:p>
      <w:pPr>
        <w:spacing w:after="0" w:line="247" w:lineRule="exact"/>
        <w:rPr>
          <w:rFonts w:ascii="Arial" w:cs="Arial" w:eastAsia="Arial" w:hAnsi="Arial"/>
          <w:sz w:val="18"/>
          <w:szCs w:val="18"/>
          <w:color w:val="auto"/>
        </w:rPr>
      </w:pPr>
    </w:p>
    <w:p>
      <w:pPr>
        <w:ind w:left="580" w:hanging="359"/>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per Credit Facility.</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Adjusted net loss attributable to common shareholders and adjusted net loss attributable to common shareholders per basic and diluted share exclude, where applicable: (i) share-based compensation; (ii) COVID-19 government relief benefits; (iii) realized and unrealized investment gains or losses, as well as the related tax impact of these adjustments, and (iv) income taxes resulting from management’s decision to no longer indefinitely reinvest the historical earnings of certain foreign subsidiaries.</w:t>
      </w:r>
    </w:p>
    <w:p>
      <w:pPr>
        <w:spacing w:after="0" w:line="16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 xml:space="preserve">The Company believes that these non-GAAP financial measures are important supplemental measures that allow management and users of the Company’s financial statements to </w:t>
      </w:r>
      <w:r>
        <w:rPr>
          <w:rFonts w:ascii="Arial" w:cs="Arial" w:eastAsia="Arial" w:hAnsi="Arial"/>
          <w:sz w:val="18"/>
          <w:szCs w:val="18"/>
          <w:color w:val="212529"/>
        </w:rPr>
        <w:t>view operating trends and analyze controllable operating performance on a comparable basis between periods without the</w:t>
      </w:r>
      <w:r>
        <w:rPr>
          <w:rFonts w:ascii="Arial" w:cs="Arial" w:eastAsia="Arial" w:hAnsi="Arial"/>
          <w:sz w:val="18"/>
          <w:szCs w:val="18"/>
          <w:color w:val="auto"/>
        </w:rPr>
        <w:t xml:space="preserve"> </w:t>
      </w:r>
      <w:r>
        <w:rPr>
          <w:rFonts w:ascii="Arial" w:cs="Arial" w:eastAsia="Arial" w:hAnsi="Arial"/>
          <w:sz w:val="18"/>
          <w:szCs w:val="18"/>
          <w:color w:val="212529"/>
        </w:rPr>
        <w:t xml:space="preserve">after-tax impact of share-based compensation and </w:t>
      </w:r>
      <w:r>
        <w:rPr>
          <w:rFonts w:ascii="Arial" w:cs="Arial" w:eastAsia="Arial" w:hAnsi="Arial"/>
          <w:sz w:val="18"/>
          <w:szCs w:val="18"/>
          <w:color w:val="000000"/>
        </w:rPr>
        <w:t>certain unusual items included in net loss attributable to common shareholders</w:t>
      </w:r>
      <w:r>
        <w:rPr>
          <w:rFonts w:ascii="Arial" w:cs="Arial" w:eastAsia="Arial" w:hAnsi="Arial"/>
          <w:sz w:val="18"/>
          <w:szCs w:val="18"/>
          <w:color w:val="212529"/>
        </w:rPr>
        <w:t xml:space="preserve">. </w:t>
      </w:r>
      <w:r>
        <w:rPr>
          <w:rFonts w:ascii="Arial" w:cs="Arial" w:eastAsia="Arial" w:hAnsi="Arial"/>
          <w:sz w:val="18"/>
          <w:szCs w:val="18"/>
          <w:color w:val="000000"/>
        </w:rPr>
        <w:t>Although share-based</w:t>
      </w:r>
      <w:r>
        <w:rPr>
          <w:rFonts w:ascii="Arial" w:cs="Arial" w:eastAsia="Arial" w:hAnsi="Arial"/>
          <w:sz w:val="18"/>
          <w:szCs w:val="18"/>
          <w:color w:val="212529"/>
        </w:rPr>
        <w:t xml:space="preserve"> </w:t>
      </w:r>
      <w:r>
        <w:rPr>
          <w:rFonts w:ascii="Arial" w:cs="Arial" w:eastAsia="Arial" w:hAnsi="Arial"/>
          <w:sz w:val="18"/>
          <w:szCs w:val="18"/>
          <w:color w:val="000000"/>
        </w:rPr>
        <w:t>compensation is an important aspect of the Company’s employee and executive compensation packages, it is a non-cash expense and is excluded from certain internal business performance measures.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8" w:name="page69"/>
    <w:bookmarkEnd w:id="68"/>
    <w:p>
      <w:pPr>
        <w:ind w:firstLine="224"/>
        <w:spacing w:after="0" w:line="270" w:lineRule="auto"/>
        <w:rPr>
          <w:sz w:val="20"/>
          <w:szCs w:val="20"/>
          <w:color w:val="auto"/>
        </w:rPr>
      </w:pPr>
      <w:r>
        <w:rPr>
          <w:rFonts w:ascii="Arial" w:cs="Arial" w:eastAsia="Arial" w:hAnsi="Arial"/>
          <w:sz w:val="18"/>
          <w:szCs w:val="18"/>
          <w:color w:val="auto"/>
        </w:rPr>
        <w:t>A reconciliation of net loss attributable to common shareholders and the associated per share amounts to adjusted net loss attributable to common shareholders and adjusted net loss attributable to common shareholders per diluted share is presented in the table below.</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2"/>
        </w:trPr>
        <w:tc>
          <w:tcPr>
            <w:tcW w:w="6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5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282"/>
              <w:spacing w:after="0"/>
              <w:rPr>
                <w:sz w:val="20"/>
                <w:szCs w:val="20"/>
                <w:color w:val="auto"/>
              </w:rPr>
            </w:pPr>
            <w:r>
              <w:rPr>
                <w:rFonts w:ascii="Arial" w:cs="Arial" w:eastAsia="Arial" w:hAnsi="Arial"/>
                <w:sz w:val="14"/>
                <w:szCs w:val="14"/>
                <w:b w:val="1"/>
                <w:bCs w:val="1"/>
                <w:color w:val="auto"/>
                <w:w w:val="91"/>
              </w:rPr>
              <w:t>Net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362"/>
              <w:spacing w:after="0"/>
              <w:rPr>
                <w:sz w:val="20"/>
                <w:szCs w:val="20"/>
                <w:color w:val="auto"/>
              </w:rPr>
            </w:pPr>
            <w:r>
              <w:rPr>
                <w:rFonts w:ascii="Arial" w:cs="Arial" w:eastAsia="Arial" w:hAnsi="Arial"/>
                <w:sz w:val="14"/>
                <w:szCs w:val="14"/>
                <w:b w:val="1"/>
                <w:bCs w:val="1"/>
                <w:color w:val="auto"/>
                <w:w w:val="94"/>
              </w:rPr>
              <w:t>Net Loss</w:t>
            </w:r>
          </w:p>
        </w:tc>
        <w:tc>
          <w:tcPr>
            <w:tcW w:w="120" w:type="dxa"/>
            <w:vAlign w:val="bottom"/>
          </w:tcPr>
          <w:p>
            <w:pPr>
              <w:spacing w:after="0"/>
              <w:rPr>
                <w:sz w:val="14"/>
                <w:szCs w:val="14"/>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Reported net loss attributable to common shareholders</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(49,354)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(1)</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tcPr>
          <w:p>
            <w:pPr>
              <w:ind w:left="240"/>
              <w:spacing w:after="0"/>
              <w:rPr>
                <w:sz w:val="20"/>
                <w:szCs w:val="20"/>
                <w:color w:val="auto"/>
              </w:rPr>
            </w:pPr>
            <w:r>
              <w:rPr>
                <w:rFonts w:ascii="Arial" w:cs="Arial" w:eastAsia="Arial" w:hAnsi="Arial"/>
                <w:sz w:val="18"/>
                <w:szCs w:val="18"/>
                <w:color w:val="auto"/>
              </w:rPr>
              <w:t>COVID-19 government relief benefits</w:t>
            </w: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(1,484)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Realized and unrealized investment (gains) losses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color w:val="auto"/>
              </w:rPr>
              <w:t>(3,677)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20" w:type="dxa"/>
            <w:vAlign w:val="bottom"/>
            <w:gridSpan w:val="2"/>
          </w:tcPr>
          <w:p>
            <w:pPr>
              <w:ind w:left="240"/>
              <w:spacing w:after="0"/>
              <w:rPr>
                <w:sz w:val="20"/>
                <w:szCs w:val="20"/>
                <w:color w:val="auto"/>
              </w:rPr>
            </w:pPr>
            <w:r>
              <w:rPr>
                <w:rFonts w:ascii="Arial" w:cs="Arial" w:eastAsia="Arial" w:hAnsi="Arial"/>
                <w:sz w:val="18"/>
                <w:szCs w:val="18"/>
                <w:color w:val="auto"/>
              </w:rPr>
              <w:t>Tax impact on items listed above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2"/>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3"/>
              </w:rPr>
              <w:t>Income taxes resulting from management's decision to no longer indefinitely reinvest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the historical earnings of certain foreign subsidiaries</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540" w:type="dxa"/>
            <w:vAlign w:val="bottom"/>
            <w:gridSpan w:val="3"/>
          </w:tcPr>
          <w:p>
            <w:pPr>
              <w:spacing w:after="0"/>
              <w:rPr>
                <w:sz w:val="20"/>
                <w:szCs w:val="20"/>
                <w:color w:val="auto"/>
              </w:rPr>
            </w:pPr>
            <w:r>
              <w:rPr>
                <w:rFonts w:ascii="Arial" w:cs="Arial" w:eastAsia="Arial" w:hAnsi="Arial"/>
                <w:sz w:val="18"/>
                <w:szCs w:val="18"/>
                <w:color w:val="auto"/>
              </w:rPr>
              <w:t>Adjusted net loss</w:t>
            </w:r>
            <w:r>
              <w:rPr>
                <w:rFonts w:ascii="Arial" w:cs="Arial" w:eastAsia="Arial" w:hAnsi="Arial"/>
                <w:sz w:val="15"/>
                <w:szCs w:val="15"/>
                <w:color w:val="auto"/>
              </w:rPr>
              <w:t>(1)</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(14,809</w:t>
            </w:r>
          </w:p>
        </w:tc>
        <w:tc>
          <w:tcPr>
            <w:tcW w:w="160" w:type="dxa"/>
            <w:vAlign w:val="bottom"/>
          </w:tcPr>
          <w:p>
            <w:pPr>
              <w:jc w:val="right"/>
              <w:ind w:right="22"/>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(28,726</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50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6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Weighted average basic shares outstanding</w:t>
            </w:r>
          </w:p>
        </w:tc>
        <w:tc>
          <w:tcPr>
            <w:tcW w:w="20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76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59,012</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78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20" w:type="dxa"/>
            <w:vAlign w:val="bottom"/>
            <w:tcBorders>
              <w:bottom w:val="single" w:sz="8" w:color="CFF0FC"/>
            </w:tcBorders>
            <w:gridSpan w:val="2"/>
            <w:shd w:val="clear" w:color="auto" w:fill="CFF0FC"/>
          </w:tcPr>
          <w:p>
            <w:pPr>
              <w:spacing w:after="0" w:line="206" w:lineRule="exact"/>
              <w:rPr>
                <w:sz w:val="20"/>
                <w:szCs w:val="20"/>
                <w:color w:val="auto"/>
              </w:rPr>
            </w:pPr>
            <w:r>
              <w:rPr>
                <w:rFonts w:ascii="Arial" w:cs="Arial" w:eastAsia="Arial" w:hAnsi="Arial"/>
                <w:sz w:val="18"/>
                <w:szCs w:val="18"/>
                <w:color w:val="auto"/>
              </w:rPr>
              <w:t>Weighted average diluted shares outstanding</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59,012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5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80" w:hanging="373"/>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amounts attributable to common shareholders.</w:t>
      </w:r>
    </w:p>
    <w:p>
      <w:pPr>
        <w:spacing w:after="0" w:line="180" w:lineRule="exact"/>
        <w:rPr>
          <w:rFonts w:ascii="Arial" w:cs="Arial" w:eastAsia="Arial" w:hAnsi="Arial"/>
          <w:sz w:val="18"/>
          <w:szCs w:val="18"/>
          <w:color w:val="auto"/>
        </w:rPr>
      </w:pPr>
    </w:p>
    <w:p>
      <w:pPr>
        <w:jc w:val="both"/>
        <w:ind w:left="380" w:hanging="373"/>
        <w:spacing w:after="0" w:line="259"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the three months ended March 31, 2021, the Company recognized $1.5 million in benefits from the CEWS program, as reductions to Selling, General and Administrative Expenses ($1.2 million) and Costs and Expenses Applicable to Revenues ($0.3 million) in the Condensed Consolidated Statements of Operations. No such benefits were incurred in same period of 2020.</w:t>
      </w:r>
    </w:p>
    <w:p>
      <w:pPr>
        <w:spacing w:after="0" w:line="145"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against its Credit Agreement requirements in the current period, if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68"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EBITDA is defined as net income or loss excluding: (i) interest expense, net of interest income; (ii) income tax expense or benefit; and (iii) depreciation and amortization, including film asset amortization. Adjusted EBITDA per Credit Facility is defined as EBITDA excluding: (i) share-based and other non-cash compensation; (ii) realized and unrealized investment gains or losses; (iii) write-downs, net of recoveries, including asset impairments and credit loss expense; (iv) legal judgment and arbitration awards; and (v) the gain or loss from equity accounted investments.</w:t>
      </w:r>
    </w:p>
    <w:p>
      <w:pPr>
        <w:spacing w:after="0" w:line="133" w:lineRule="exact"/>
        <w:rPr>
          <w:sz w:val="20"/>
          <w:szCs w:val="20"/>
          <w:color w:val="auto"/>
        </w:rPr>
      </w:pPr>
    </w:p>
    <w:p>
      <w:pPr>
        <w:jc w:val="both"/>
        <w:ind w:right="20" w:firstLine="225"/>
        <w:spacing w:after="0" w:line="270" w:lineRule="auto"/>
        <w:rPr>
          <w:sz w:val="20"/>
          <w:szCs w:val="20"/>
          <w:color w:val="auto"/>
        </w:rPr>
      </w:pPr>
      <w:r>
        <w:rPr>
          <w:rFonts w:ascii="Arial" w:cs="Arial" w:eastAsia="Arial" w:hAnsi="Arial"/>
          <w:sz w:val="18"/>
          <w:szCs w:val="18"/>
          <w:color w:val="auto"/>
        </w:rPr>
        <w:t>A reconciliation of net loss attributable to common shareholders, which is the most directly comparable GAAP measure, to EBITDA and Adjusted EBITDA per Credit Facility is presented in the table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4"/>
              </w:rPr>
              <w:t xml:space="preserve">For the Three Months Ended March 31, 2021 </w:t>
            </w:r>
            <w:r>
              <w:rPr>
                <w:rFonts w:ascii="Arial" w:cs="Arial" w:eastAsia="Arial" w:hAnsi="Arial"/>
                <w:sz w:val="12"/>
                <w:szCs w:val="12"/>
                <w:b w:val="1"/>
                <w:bCs w:val="1"/>
                <w:color w:val="auto"/>
                <w:w w:val="94"/>
              </w:rPr>
              <w:t>(1)</w:t>
            </w:r>
          </w:p>
        </w:tc>
      </w:tr>
      <w:tr>
        <w:trPr>
          <w:trHeight w:val="236"/>
        </w:trPr>
        <w:tc>
          <w:tcPr>
            <w:tcW w:w="15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Attributable to</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15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15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Interests and</w:t>
            </w:r>
          </w:p>
        </w:tc>
        <w:tc>
          <w:tcPr>
            <w:tcW w:w="120" w:type="dxa"/>
            <w:vAlign w:val="bottom"/>
          </w:tcPr>
          <w:p>
            <w:pPr>
              <w:spacing w:after="0"/>
              <w:rPr>
                <w:sz w:val="19"/>
                <w:szCs w:val="19"/>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Less: Attributable to</w:t>
            </w:r>
          </w:p>
        </w:tc>
        <w:tc>
          <w:tcPr>
            <w:tcW w:w="10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Attributable to</w:t>
            </w:r>
          </w:p>
        </w:tc>
      </w:tr>
      <w:tr>
        <w:trPr>
          <w:trHeight w:val="212"/>
        </w:trPr>
        <w:tc>
          <w:tcPr>
            <w:tcW w:w="56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Common Shareholders</w:t>
            </w:r>
          </w:p>
        </w:tc>
        <w:tc>
          <w:tcPr>
            <w:tcW w:w="1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Non-controlling Interests</w:t>
            </w:r>
          </w:p>
        </w:tc>
        <w:tc>
          <w:tcPr>
            <w:tcW w:w="10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Common Shareholders</w:t>
            </w:r>
          </w:p>
        </w:tc>
      </w:tr>
      <w:tr>
        <w:trPr>
          <w:trHeight w:val="220"/>
        </w:trPr>
        <w:tc>
          <w:tcPr>
            <w:tcW w:w="5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Reported net loss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660" w:type="dxa"/>
            <w:vAlign w:val="bottom"/>
            <w:gridSpan w:val="2"/>
          </w:tcPr>
          <w:p>
            <w:pPr>
              <w:spacing w:after="0"/>
              <w:rPr>
                <w:sz w:val="20"/>
                <w:szCs w:val="20"/>
                <w:color w:val="auto"/>
              </w:rPr>
            </w:pPr>
            <w:r>
              <w:rPr>
                <w:rFonts w:ascii="Arial" w:cs="Arial" w:eastAsia="Arial" w:hAnsi="Arial"/>
                <w:sz w:val="18"/>
                <w:szCs w:val="18"/>
                <w:color w:val="auto"/>
              </w:rPr>
              <w:t>Add (subtract):</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FF0FC"/>
          </w:tcPr>
          <w:p>
            <w:pPr>
              <w:spacing w:after="0"/>
              <w:rPr>
                <w:sz w:val="19"/>
                <w:szCs w:val="19"/>
                <w:color w:val="auto"/>
              </w:rPr>
            </w:pPr>
          </w:p>
        </w:tc>
      </w:tr>
      <w:tr>
        <w:trPr>
          <w:trHeight w:val="22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r>
      <w:tr>
        <w:trPr>
          <w:trHeight w:val="227"/>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11,837</w:t>
            </w:r>
          </w:p>
        </w:tc>
        <w:tc>
          <w:tcPr>
            <w:tcW w:w="100" w:type="dxa"/>
            <w:vAlign w:val="bottom"/>
            <w:shd w:val="clear" w:color="auto" w:fill="CFF0FC"/>
          </w:tcPr>
          <w:p>
            <w:pPr>
              <w:spacing w:after="0"/>
              <w:rPr>
                <w:sz w:val="19"/>
                <w:szCs w:val="19"/>
                <w:color w:val="auto"/>
              </w:rPr>
            </w:pPr>
          </w:p>
        </w:tc>
      </w:tr>
      <w:tr>
        <w:trPr>
          <w:trHeight w:val="220"/>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EBITDA</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6,966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6,377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r>
      <w:tr>
        <w:trPr>
          <w:trHeight w:val="227"/>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100" w:type="dxa"/>
            <w:vAlign w:val="bottom"/>
            <w:shd w:val="clear" w:color="auto" w:fill="CFF0FC"/>
          </w:tcPr>
          <w:p>
            <w:pPr>
              <w:spacing w:after="0"/>
              <w:rPr>
                <w:sz w:val="19"/>
                <w:szCs w:val="19"/>
                <w:color w:val="auto"/>
              </w:rPr>
            </w:pPr>
          </w:p>
        </w:tc>
      </w:tr>
      <w:tr>
        <w:trPr>
          <w:trHeight w:val="22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Realized and unrealized investment gains</w:t>
            </w:r>
          </w:p>
        </w:tc>
        <w:tc>
          <w:tcPr>
            <w:tcW w:w="1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(5,248)</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(3,677)</w:t>
            </w:r>
          </w:p>
        </w:tc>
      </w:tr>
      <w:tr>
        <w:trPr>
          <w:trHeight w:val="227"/>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Write-downs, including asset impairments and credit loss expense</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FF0FC"/>
          </w:tcPr>
          <w:p>
            <w:pPr>
              <w:spacing w:after="0"/>
              <w:rPr>
                <w:sz w:val="19"/>
                <w:szCs w:val="19"/>
                <w:color w:val="auto"/>
              </w:rPr>
            </w:pPr>
          </w:p>
        </w:tc>
      </w:tr>
      <w:tr>
        <w:trPr>
          <w:trHeight w:val="220"/>
        </w:trPr>
        <w:tc>
          <w:tcPr>
            <w:tcW w:w="5660" w:type="dxa"/>
            <w:vAlign w:val="bottom"/>
            <w:gridSpan w:val="2"/>
          </w:tcPr>
          <w:p>
            <w:pPr>
              <w:spacing w:after="0"/>
              <w:rPr>
                <w:sz w:val="20"/>
                <w:szCs w:val="20"/>
                <w:color w:val="auto"/>
              </w:rPr>
            </w:pPr>
            <w:r>
              <w:rPr>
                <w:rFonts w:ascii="Arial" w:cs="Arial" w:eastAsia="Arial" w:hAnsi="Arial"/>
                <w:sz w:val="18"/>
                <w:szCs w:val="18"/>
                <w:color w:val="auto"/>
              </w:rPr>
              <w:t>Adjusted EBITDA per Credit Facility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8"/>
        </w:trPr>
        <w:tc>
          <w:tcPr>
            <w:tcW w:w="15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 xml:space="preserve">For the Twelve Months Ended March 31, 2021 </w:t>
            </w:r>
            <w:r>
              <w:rPr>
                <w:rFonts w:ascii="Arial" w:cs="Arial" w:eastAsia="Arial" w:hAnsi="Arial"/>
                <w:sz w:val="12"/>
                <w:szCs w:val="12"/>
                <w:b w:val="1"/>
                <w:bCs w:val="1"/>
                <w:color w:val="auto"/>
                <w:w w:val="92"/>
              </w:rPr>
              <w:t>(1)</w:t>
            </w:r>
          </w:p>
        </w:tc>
      </w:tr>
      <w:tr>
        <w:trPr>
          <w:trHeight w:val="236"/>
        </w:trPr>
        <w:tc>
          <w:tcPr>
            <w:tcW w:w="15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Attributable to</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15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15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Interests and</w:t>
            </w:r>
          </w:p>
        </w:tc>
        <w:tc>
          <w:tcPr>
            <w:tcW w:w="120" w:type="dxa"/>
            <w:vAlign w:val="bottom"/>
          </w:tcPr>
          <w:p>
            <w:pPr>
              <w:spacing w:after="0"/>
              <w:rPr>
                <w:sz w:val="19"/>
                <w:szCs w:val="19"/>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Less: Attributable to</w:t>
            </w:r>
          </w:p>
        </w:tc>
        <w:tc>
          <w:tcPr>
            <w:tcW w:w="10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Attributable to</w:t>
            </w:r>
          </w:p>
        </w:tc>
      </w:tr>
      <w:tr>
        <w:trPr>
          <w:trHeight w:val="212"/>
        </w:trPr>
        <w:tc>
          <w:tcPr>
            <w:tcW w:w="56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U.S. Dollars)</w:t>
            </w:r>
          </w:p>
        </w:tc>
        <w:tc>
          <w:tcPr>
            <w:tcW w:w="10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Common Shareholders</w:t>
            </w:r>
          </w:p>
        </w:tc>
        <w:tc>
          <w:tcPr>
            <w:tcW w:w="1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Non-controlling Interests</w:t>
            </w:r>
          </w:p>
        </w:tc>
        <w:tc>
          <w:tcPr>
            <w:tcW w:w="10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Common Shareholders</w:t>
            </w:r>
          </w:p>
        </w:tc>
      </w:tr>
      <w:tr>
        <w:trPr>
          <w:trHeight w:val="220"/>
        </w:trPr>
        <w:tc>
          <w:tcPr>
            <w:tcW w:w="5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Reported net loss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(108,575)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660" w:type="dxa"/>
            <w:vAlign w:val="bottom"/>
            <w:gridSpan w:val="2"/>
          </w:tcPr>
          <w:p>
            <w:pPr>
              <w:spacing w:after="0"/>
              <w:rPr>
                <w:sz w:val="20"/>
                <w:szCs w:val="20"/>
                <w:color w:val="auto"/>
              </w:rPr>
            </w:pPr>
            <w:r>
              <w:rPr>
                <w:rFonts w:ascii="Arial" w:cs="Arial" w:eastAsia="Arial" w:hAnsi="Arial"/>
                <w:sz w:val="18"/>
                <w:szCs w:val="18"/>
                <w:color w:val="auto"/>
              </w:rPr>
              <w:t>Add (subtract):</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12,241</w:t>
            </w:r>
          </w:p>
        </w:tc>
        <w:tc>
          <w:tcPr>
            <w:tcW w:w="100" w:type="dxa"/>
            <w:vAlign w:val="bottom"/>
            <w:shd w:val="clear" w:color="auto" w:fill="CFF0FC"/>
          </w:tcPr>
          <w:p>
            <w:pPr>
              <w:spacing w:after="0"/>
              <w:rPr>
                <w:sz w:val="19"/>
                <w:szCs w:val="19"/>
                <w:color w:val="auto"/>
              </w:rPr>
            </w:pPr>
          </w:p>
        </w:tc>
      </w:tr>
      <w:tr>
        <w:trPr>
          <w:trHeight w:val="22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5,335</w:t>
            </w:r>
          </w:p>
        </w:tc>
        <w:tc>
          <w:tcPr>
            <w:tcW w:w="100" w:type="dxa"/>
            <w:vAlign w:val="bottom"/>
          </w:tcPr>
          <w:p>
            <w:pPr>
              <w:spacing w:after="0"/>
              <w:rPr>
                <w:sz w:val="19"/>
                <w:szCs w:val="19"/>
                <w:color w:val="auto"/>
              </w:rPr>
            </w:pPr>
          </w:p>
        </w:tc>
      </w:tr>
      <w:tr>
        <w:trPr>
          <w:trHeight w:val="227"/>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51,340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4,479</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46,861</w:t>
            </w:r>
          </w:p>
        </w:tc>
        <w:tc>
          <w:tcPr>
            <w:tcW w:w="100" w:type="dxa"/>
            <w:vAlign w:val="bottom"/>
            <w:shd w:val="clear" w:color="auto" w:fill="CFF0FC"/>
          </w:tcPr>
          <w:p>
            <w:pPr>
              <w:spacing w:after="0"/>
              <w:rPr>
                <w:sz w:val="19"/>
                <w:szCs w:val="19"/>
                <w:color w:val="auto"/>
              </w:rPr>
            </w:pPr>
          </w:p>
        </w:tc>
      </w:tr>
      <w:tr>
        <w:trPr>
          <w:trHeight w:val="220"/>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EBITDA</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(38,186)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6,638</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(44,824)</w:t>
            </w:r>
          </w:p>
        </w:tc>
        <w:tc>
          <w:tcPr>
            <w:tcW w:w="100" w:type="dxa"/>
            <w:vAlign w:val="bottom"/>
          </w:tcPr>
          <w:p>
            <w:pPr>
              <w:spacing w:after="0"/>
              <w:rPr>
                <w:sz w:val="19"/>
                <w:szCs w:val="19"/>
                <w:color w:val="auto"/>
              </w:rPr>
            </w:pPr>
          </w:p>
        </w:tc>
      </w:tr>
      <w:tr>
        <w:trPr>
          <w:trHeight w:val="227"/>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22,087</w:t>
            </w:r>
          </w:p>
        </w:tc>
        <w:tc>
          <w:tcPr>
            <w:tcW w:w="100" w:type="dxa"/>
            <w:vAlign w:val="bottom"/>
            <w:shd w:val="clear" w:color="auto" w:fill="CFF0FC"/>
          </w:tcPr>
          <w:p>
            <w:pPr>
              <w:spacing w:after="0"/>
              <w:rPr>
                <w:sz w:val="19"/>
                <w:szCs w:val="19"/>
                <w:color w:val="auto"/>
              </w:rPr>
            </w:pPr>
          </w:p>
        </w:tc>
      </w:tr>
      <w:tr>
        <w:trPr>
          <w:trHeight w:val="22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Realized and unrealized investment gains</w:t>
            </w:r>
          </w:p>
        </w:tc>
        <w:tc>
          <w:tcPr>
            <w:tcW w:w="1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(7,706)</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(5,392)</w:t>
            </w:r>
          </w:p>
        </w:tc>
      </w:tr>
      <w:tr>
        <w:trPr>
          <w:trHeight w:val="227"/>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Write-downs, including asset impairments and credit loss expense</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16,743</w:t>
            </w:r>
          </w:p>
        </w:tc>
        <w:tc>
          <w:tcPr>
            <w:tcW w:w="100" w:type="dxa"/>
            <w:vAlign w:val="bottom"/>
            <w:shd w:val="clear" w:color="auto" w:fill="CFF0FC"/>
          </w:tcPr>
          <w:p>
            <w:pPr>
              <w:spacing w:after="0"/>
              <w:rPr>
                <w:sz w:val="19"/>
                <w:szCs w:val="19"/>
                <w:color w:val="auto"/>
              </w:rPr>
            </w:pPr>
          </w:p>
        </w:tc>
      </w:tr>
      <w:tr>
        <w:trPr>
          <w:trHeight w:val="22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Legal judgment and arbitration awards</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19"/>
                <w:szCs w:val="19"/>
                <w:color w:val="auto"/>
              </w:rPr>
            </w:pPr>
          </w:p>
        </w:tc>
      </w:tr>
      <w:tr>
        <w:trPr>
          <w:trHeight w:val="227"/>
        </w:trPr>
        <w:tc>
          <w:tcPr>
            <w:tcW w:w="5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Loss from equity accounted investments</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FF0FC"/>
          </w:tcPr>
          <w:p>
            <w:pPr>
              <w:spacing w:after="0"/>
              <w:rPr>
                <w:sz w:val="19"/>
                <w:szCs w:val="19"/>
                <w:color w:val="auto"/>
              </w:rPr>
            </w:pPr>
          </w:p>
        </w:tc>
      </w:tr>
      <w:tr>
        <w:trPr>
          <w:trHeight w:val="220"/>
        </w:trPr>
        <w:tc>
          <w:tcPr>
            <w:tcW w:w="5660" w:type="dxa"/>
            <w:vAlign w:val="bottom"/>
            <w:gridSpan w:val="2"/>
          </w:tcPr>
          <w:p>
            <w:pPr>
              <w:spacing w:after="0"/>
              <w:rPr>
                <w:sz w:val="20"/>
                <w:szCs w:val="20"/>
                <w:color w:val="auto"/>
              </w:rPr>
            </w:pPr>
            <w:r>
              <w:rPr>
                <w:rFonts w:ascii="Arial" w:cs="Arial" w:eastAsia="Arial" w:hAnsi="Arial"/>
                <w:sz w:val="18"/>
                <w:szCs w:val="18"/>
                <w:color w:val="auto"/>
              </w:rPr>
              <w:t>Adjusted EBITDA per Credit Facility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173" w:lineRule="exact"/>
        <w:rPr>
          <w:sz w:val="20"/>
          <w:szCs w:val="20"/>
          <w:color w:val="auto"/>
        </w:rPr>
      </w:pPr>
    </w:p>
    <w:p>
      <w:pPr>
        <w:jc w:val="both"/>
        <w:ind w:left="380" w:hanging="373"/>
        <w:spacing w:after="0" w:line="253"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Senior Secured Net Leverage Ratio is calculated using Adjusted EBITDA per Credit Facility determined on a trailing twelve-month basis. During the first quarter of 2021, the Company entered into the Second Amendment to the Credit Facility Agreement which, among other things, suspends the Senior Secured Net Leverage Ratio financial covenant in the Credit Agreement through the first quarter of 2022 and, once re-established, permits the Company to use EBITDA from the third and fourth quarters of 2019 in lieu of EBITDA for the corresponding quarters of 2021. (See Note 7 of Notes to Condensed Consolidated Financial Statements.)</w:t>
      </w:r>
    </w:p>
    <w:p>
      <w:pPr>
        <w:spacing w:after="0" w:line="151"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as a substitute for, or superior to, the comparable GAAP amounts.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98"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the Chinese Yuan Renminbi. The Company does not use financial instruments for trading or other speculative purposes.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84"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84 different countries, and therefore unfavorable exchange rates between applicable local currencies and the U.S. Dollar could have an impact on the Company’s reported gross box office and revenues. The Company has incoming cash flows from its revenue generating theaters and ongoing operating expenses in China through its majority-owned subsidiary IMAX Shanghai. In Japan, the Company has ongoing Yen-denominated operating expenses related to its Japanese operations. Net Renminbi and Japanese Yen cash flows are converted to U.S. Dollars through the spot market. The Company also has cash receipts under leases denominated in Renminbi, Japanese Yen, Euros and Canadian Dollars.</w:t>
      </w:r>
    </w:p>
    <w:p>
      <w:pPr>
        <w:spacing w:after="0" w:line="13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manages its exposure to foreign exchange rate risks through its regular operating and financing activities, when appropriate, through the use of derivative financial instruments. These derivative financial instruments are utilized to hedge economic exposures as well as reduce earnings and cash flow volatility resulting from shifts in market rates.</w:t>
      </w:r>
    </w:p>
    <w:p>
      <w:pPr>
        <w:spacing w:after="0" w:line="145"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Certain of the Company’s subsidiaries held approximately 550.0 million Renminbi ($83.7 million ) in cash and cash equivalents as of March 31, 2021 (December 31, 2020 — 500.3 million Renminbi or $76.7 million) and are required to transact locally in Renminbi.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w:t>
      </w:r>
    </w:p>
    <w:p>
      <w:pPr>
        <w:spacing w:after="0" w:line="15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March 31, 2021, the Company recorded a foreign exchange net gain of $0.6 million as compared to a foreign exchange net loss of $(0.7) million for the three months ended March 31, 2020, associated with the translation of foreign currency denominated monetary assets and liabilities.</w:t>
      </w:r>
    </w:p>
    <w:p>
      <w:pPr>
        <w:spacing w:after="0" w:line="158"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Company has entered into a series of foreign currency forward contracts to manage the Company’s risks associated with the volatility of foreign currencies. The forward contracts have settlement dates throughout 2021. Foreign currency derivatives are recognized and measured in the Condensed Consolidated Balance Sheets at fair value. Changes in the fair value (gains or losses) are recognized in the Condensed Consolidated Statements of Operations except for derivatives designated and qualifying as foreign currency cash flow hedging instruments. Certain of these foreign currency forward contracts held by the Company as of March 31, 2021, are designated and qualify as foreign currency cash flow hedging instruments. The Company currently has cash flow hedging instruments associated with Selling, General and Administrative Expenses, Inventories and capital expenditures. For foreign currency cash flow hedging instruments related to Selling, General and Administrative Expenses, the effective portion of the gain or loss in a hedge of a forecasted transaction is reported in Other Comprehensive Income and reclassified to the Condensed Consolidated Statements of Operations when the forecasted transaction occurs. For foreign currency cash flow hedging instruments related to Inventories, the effective portion of the gain or loss in a hedge of a forecasted transaction is reported in Other Comprehensive Income and reclassified to Inventories on the Condensed Consolidated Balance Sheets when the forecasted transaction occurs. Any ineffective portion is recognized immediately in the Condensed Consolidated Statements of Operations.</w:t>
      </w:r>
    </w:p>
    <w:p>
      <w:pPr>
        <w:spacing w:after="0" w:line="13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notional value of foreign currency cash flow hedging instruments that qualify for hedge accounting at March 31, 2021 was $21.5 million (December 31, 2020 — $26.4 million). A gain of $0.3 million was recorded to Other Comprehensive Loss with respect to the change in fair value of these contracts for the three months ended March 31, 2021 (2020 — loss of $(2.9) million). A gain of $0.2 million was reclassified from Accumulated Other Comprehensive Income to Selling, General and Administrative Expenses and Inventories for the three months ended March 31, 2021 (2020 — loss of $(0.4) million). An unrealized gain of less than $0.1 million resulting from a change in the classification of certain forward contracts no longer meeting the requirements for hedge accounting was reclassified from Accumulated Other Comprehensive Loss to Selling, General and Administrative Expenses. The notional value of forward contracts that do not qualify for hedge accounting at March 31, 2021 was $0.4 million (December 31, 2020 — $5.6 million).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1" w:name="page72"/>
    <w:bookmarkEnd w:id="71"/>
    <w:p>
      <w:pPr>
        <w:jc w:val="both"/>
        <w:ind w:firstLine="225"/>
        <w:spacing w:after="0" w:line="270" w:lineRule="auto"/>
        <w:rPr>
          <w:sz w:val="20"/>
          <w:szCs w:val="20"/>
          <w:color w:val="auto"/>
        </w:rPr>
      </w:pPr>
      <w:r>
        <w:rPr>
          <w:rFonts w:ascii="Arial" w:cs="Arial" w:eastAsia="Arial" w:hAnsi="Arial"/>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At March 31, 2021, the Company’s Financing Receivables and working capital items denominated in Canadian Dollars, Renminbi, Japanese Yen, Euros and other foreign currencies translated into U.S. Dollars was $147.2 million. Assuming a 10% appreciation or depreciation in foreign currency exchange rates from the quoted foreign currency exchange rates at March 31, 2021, the potential change in the fair value of foreign currency-denominated financing receivables and working capital items would have been $14.7 million. A significant portion of the Company’s Selling, General, and Administrative Expenses is denominated in Canadian Dollars. Assuming a 1% change appreciation or depreciation in foreign currency exchange rates at March 31, 2021, the potential change in the amount of Selling, General, and Administrative Expenses would be less than $0.1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8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Company’s earnings are also affected by changes in interest rates due to the impact those changes have on its interest income from cash, and its interest expense from variable-rate borrowings. Specifically, the Company’s largest exposure with respect to variable rate debt comes from changes in LIBOR.</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As of March 31, 2021, the Company had drawn down $45.0 million on its Credit Facility (December 31, 2020 — $300.0 million), which is subject to a variable effective interest rate.</w:t>
      </w:r>
    </w:p>
    <w:p>
      <w:pPr>
        <w:spacing w:after="0" w:line="13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had variable rate debt instruments representing 8.9% and 56.3% of its total liabilities as of March 31, 2021 and December 31, 2020, respectively. If the interest rates available to the Company increased by 10%, the Company’s interest expense would increase by $0.1 million and interest income from cash would increase by $0.3 million. These amounts are determined by considering the impact of the hypothetical interest rates on the Company’s variable rate debt and cash balances at March 31,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52"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The Company’s management, with the participation of its CEO and its CFO, has evaluated the effectiveness of the Company’s “disclosure controls and procedures” (as defined in the Securities Exchange Act of 1934 Rules 13a-15(e) or 15d-15(e)) as of March 31, 2021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March 31, 2021, that have materially affected, or are reasonably likely to materially affect, the Company’s internal control over financial reporting. The Company has not experienced any material impact to its internal control over financial reporting despite the fact that most of its employees are working remotely due to the COVID-19 pandemic. The Company will continue to monitor the evolving COVID-19 situation to minimize its impact on the design and operating effectiveness of the Company’s internal control.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See Note 8 of Notes to Condensed Consolidated Financial Statements to the accompanying Condensed Consolidated Financial Statements in Item 1 for information regarding legal proceedings involving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4"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6"/>
          <w:szCs w:val="16"/>
          <w:color w:val="auto"/>
        </w:rPr>
        <w:t>This Form 10-Q and the risk factors below should be read together with, and supplement, the risk factors in Item 1A. Risk Factors in the Company’s 2020 Form 10-K, which describes various risks and uncertainties to which the Company is or may become subject. The risks described below and in the Company’s 2020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 AND OPERATIONS</w:t>
      </w:r>
    </w:p>
    <w:p>
      <w:pPr>
        <w:spacing w:after="0" w:line="224" w:lineRule="exact"/>
        <w:rPr>
          <w:sz w:val="20"/>
          <w:szCs w:val="20"/>
          <w:color w:val="auto"/>
        </w:rPr>
      </w:pPr>
    </w:p>
    <w:p>
      <w:pPr>
        <w:jc w:val="both"/>
        <w:ind w:firstLine="289"/>
        <w:spacing w:after="0" w:line="300" w:lineRule="auto"/>
        <w:rPr>
          <w:sz w:val="20"/>
          <w:szCs w:val="20"/>
          <w:color w:val="auto"/>
        </w:rPr>
      </w:pPr>
      <w:r>
        <w:rPr>
          <w:rFonts w:ascii="Arial" w:cs="Arial" w:eastAsia="Arial" w:hAnsi="Arial"/>
          <w:sz w:val="17"/>
          <w:szCs w:val="17"/>
          <w:b w:val="1"/>
          <w:bCs w:val="1"/>
          <w:i w:val="1"/>
          <w:iCs w:val="1"/>
          <w:color w:val="212529"/>
        </w:rPr>
        <w:t>The Company has experienced a significant decrease in its revenues, earnings, and cash flows due to the COVID-19 global pandemic and its business, financial condition and results of operations may continue to be significantly harmed in future reporting periods.</w:t>
      </w:r>
    </w:p>
    <w:p>
      <w:pPr>
        <w:spacing w:after="0" w:line="153"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212529"/>
        </w:rPr>
        <w:t xml:space="preserve">In late January 2020, in response to the public health risks associated with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movie studios postponed the theatrical release of most films </w:t>
      </w:r>
      <w:r>
        <w:rPr>
          <w:rFonts w:ascii="Arial" w:cs="Arial" w:eastAsia="Arial" w:hAnsi="Arial"/>
          <w:sz w:val="16"/>
          <w:szCs w:val="16"/>
          <w:color w:val="000000"/>
        </w:rPr>
        <w:t>originally scheduled for release in 2020 and early 2021</w:t>
      </w:r>
      <w:r>
        <w:rPr>
          <w:rFonts w:ascii="Arial" w:cs="Arial" w:eastAsia="Arial" w:hAnsi="Arial"/>
          <w:sz w:val="16"/>
          <w:szCs w:val="16"/>
          <w:color w:val="212529"/>
        </w:rPr>
        <w:t>, including many scheduled to be shown in IMAX theaters</w:t>
      </w:r>
      <w:r>
        <w:rPr>
          <w:rFonts w:ascii="Arial" w:cs="Arial" w:eastAsia="Arial" w:hAnsi="Arial"/>
          <w:sz w:val="16"/>
          <w:szCs w:val="16"/>
          <w:color w:val="000000"/>
        </w:rPr>
        <w:t>, while several other films were released directly or concurrently to streaming platforms</w:t>
      </w:r>
      <w:r>
        <w:rPr>
          <w:rFonts w:ascii="Arial" w:cs="Arial" w:eastAsia="Arial" w:hAnsi="Arial"/>
          <w:sz w:val="16"/>
          <w:szCs w:val="16"/>
          <w:color w:val="212529"/>
        </w:rPr>
        <w:t xml:space="preserve">. </w:t>
      </w:r>
      <w:r>
        <w:rPr>
          <w:rFonts w:ascii="Arial" w:cs="Arial" w:eastAsia="Arial" w:hAnsi="Arial"/>
          <w:sz w:val="16"/>
          <w:szCs w:val="16"/>
          <w:color w:val="000000"/>
        </w:rPr>
        <w:t>More recently, stay-at-home orders have</w:t>
      </w:r>
      <w:r>
        <w:rPr>
          <w:rFonts w:ascii="Arial" w:cs="Arial" w:eastAsia="Arial" w:hAnsi="Arial"/>
          <w:sz w:val="16"/>
          <w:szCs w:val="16"/>
          <w:color w:val="212529"/>
        </w:rPr>
        <w:t xml:space="preserve"> </w:t>
      </w:r>
      <w:r>
        <w:rPr>
          <w:rFonts w:ascii="Arial" w:cs="Arial" w:eastAsia="Arial" w:hAnsi="Arial"/>
          <w:sz w:val="16"/>
          <w:szCs w:val="16"/>
          <w:color w:val="000000"/>
        </w:rPr>
        <w:t>been lifted in many countries and movie theaters throughout the IMAX network gradually reopened in the third quarter of 2020 with reduced capacities, physical distancing requirements, and other safety measures. As of March 31, 2021, 77% of the theaters in the IMAX commercial multiplex network were open, spanning 41 countries. This included 66% of the theaters in Domestic (i.e., United States and Canada) locations, 97% of the theaters in Greater China and 52% of the theaters in Rest of World markets. In many parts of Asia, audiences have returned to theaters, particularly IMAX theaters, in numbers approximating pre-pandemic attendance levels despite the continued delay of Hollywood theatrical releases, which typically account for 70% of box office ticket sales in those regions. However, ticket sales have been significantly lower than normal levels in theaters outside of Asia due in significant part to continued delays in the Hollywood theatrical release schedule. As a result, certain theater chains have remained closed or have reduced their operating hours.</w:t>
      </w:r>
    </w:p>
    <w:p>
      <w:pPr>
        <w:spacing w:after="0" w:line="169" w:lineRule="exact"/>
        <w:rPr>
          <w:sz w:val="20"/>
          <w:szCs w:val="20"/>
          <w:color w:val="auto"/>
        </w:rPr>
      </w:pPr>
    </w:p>
    <w:p>
      <w:pPr>
        <w:jc w:val="both"/>
        <w:ind w:firstLine="289"/>
        <w:spacing w:after="0" w:line="265" w:lineRule="auto"/>
        <w:rPr>
          <w:sz w:val="20"/>
          <w:szCs w:val="20"/>
          <w:color w:val="auto"/>
        </w:rPr>
      </w:pPr>
      <w:r>
        <w:rPr>
          <w:rFonts w:ascii="Arial" w:cs="Arial" w:eastAsia="Arial" w:hAnsi="Arial"/>
          <w:sz w:val="17"/>
          <w:szCs w:val="17"/>
          <w:color w:val="212529"/>
        </w:rPr>
        <w:t xml:space="preserve">The impact of the COVID-19 global pandemic has resulted in a significantly lower levels of the Company’s revenues, earnings, and operating cash flows during </w:t>
      </w:r>
      <w:r>
        <w:rPr>
          <w:rFonts w:ascii="Arial" w:cs="Arial" w:eastAsia="Arial" w:hAnsi="Arial"/>
          <w:sz w:val="17"/>
          <w:szCs w:val="17"/>
          <w:color w:val="000000"/>
        </w:rPr>
        <w:t>2020 and through the end of the first quarter of 2021, when compared to periods prior to the onset of the pandemic, as GBO results from the</w:t>
      </w:r>
      <w:r>
        <w:rPr>
          <w:rFonts w:ascii="Arial" w:cs="Arial" w:eastAsia="Arial" w:hAnsi="Arial"/>
          <w:sz w:val="17"/>
          <w:szCs w:val="17"/>
          <w:color w:val="212529"/>
        </w:rPr>
        <w:t xml:space="preserve"> </w:t>
      </w:r>
      <w:r>
        <w:rPr>
          <w:rFonts w:ascii="Arial" w:cs="Arial" w:eastAsia="Arial" w:hAnsi="Arial"/>
          <w:sz w:val="17"/>
          <w:szCs w:val="17"/>
          <w:color w:val="000000"/>
        </w:rPr>
        <w:t>Company’s theater customers declined significantly, the installation of certain theater systems was delayed, and maintenance services were generally suspended for theaters that were closed</w:t>
      </w:r>
      <w:r>
        <w:rPr>
          <w:rFonts w:ascii="Arial" w:cs="Arial" w:eastAsia="Arial" w:hAnsi="Arial"/>
          <w:sz w:val="17"/>
          <w:szCs w:val="17"/>
          <w:color w:val="212529"/>
        </w:rPr>
        <w:t>. Even as the pandemic has receded in many markets around the world, there continues to be few new films released</w:t>
      </w:r>
      <w:r>
        <w:rPr>
          <w:rFonts w:ascii="Arial" w:cs="Arial" w:eastAsia="Arial" w:hAnsi="Arial"/>
          <w:sz w:val="17"/>
          <w:szCs w:val="17"/>
          <w:color w:val="000000"/>
        </w:rPr>
        <w:t xml:space="preserve"> </w:t>
      </w:r>
      <w:r>
        <w:rPr>
          <w:rFonts w:ascii="Arial" w:cs="Arial" w:eastAsia="Arial" w:hAnsi="Arial"/>
          <w:sz w:val="17"/>
          <w:szCs w:val="17"/>
          <w:color w:val="212529"/>
        </w:rPr>
        <w:t>by Hollywood movie studios and a significant number of theaters in the IMAX network remain either closed or operating with capacity restrictions. As a result, the Company continues to experience significant declines in earnings and operating cash flows as it is generating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been, and may continue to be delayed. Moreover, given the uncertainty around when movie-going will return to historical levels, there is no guarantee that the effects of the COVID-19 global pandemic will end even after theaters are reopened. In addition, the global economic impact of COVID-19 has resulted in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consumer behavior normalizes and consumer spending recovers.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3" w:name="page74"/>
    <w:bookmarkEnd w:id="73"/>
    <w:p>
      <w:pPr>
        <w:jc w:val="both"/>
        <w:ind w:firstLine="255"/>
        <w:spacing w:after="0" w:line="265" w:lineRule="auto"/>
        <w:rPr>
          <w:sz w:val="20"/>
          <w:szCs w:val="20"/>
          <w:color w:val="auto"/>
        </w:rPr>
      </w:pPr>
      <w:r>
        <w:rPr>
          <w:rFonts w:ascii="Arial" w:cs="Arial" w:eastAsia="Arial" w:hAnsi="Arial"/>
          <w:sz w:val="17"/>
          <w:szCs w:val="17"/>
          <w:color w:val="auto"/>
        </w:rPr>
        <w:t>In response to uncertainties associated with the COVID-19 global pandemic, in the first quarter of 2021, the Company continued to take significant steps to preserve cash by eliminating non-essential costs, keeping certain employees on a temporary furlough, reducing the working hours of other employees and reducing all non-essential capital expenditures to minimum levels. The Company has also implemented an active cash management process, which, among other things, requires senior management approval of all outgoing payments. In addition, in the first quarter of 2020, the Company drew down $280.0 million in remaining available borrowing capacity under its Credit Facility, which was then amended in June 2020 to, among other things, suspend the Senior Secured Net Leverage Ratio financial covenant in the underlying credit agreement through the first quarter of 2021 and substitute quarterly EBITDA from the third and fourth quarters of 2019 in lieu of the EBITDA for the corresponding quarters of 2020 to meet the original senior secured net leverage ratio financial covenant. On March 15, 2021, the Company entered into a Second Amendment to the Credit Facility to suspend the Senior Secured Net Leverage Ratio financial covenant through the first quarter of 2022 and to substitute quarterly EBITDA from the third and fourth quarters of 2019 in lieu of the EBITDA for the corresponding quarters of 2021. Furthermore, the Second Amendment extended the application of the $75.0 million minimum liquidity covenant through the end of 2022. On March 19, 2021, the Company sold and issued $230.0 million aggregate principal amount of the Convertible Notes. The net proceeds from the offering of the Convertible Notes were approximately $223.7 million. The Company repaid $255.0 million of Credit Facility borrowings using cash on hand following the issuance of Convertible Notes. As of March 31, 2021, the Company has $45.0 million outstanding under the Credit Facility.</w:t>
      </w:r>
    </w:p>
    <w:p>
      <w:pPr>
        <w:spacing w:after="0" w:line="184"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8"/>
          <w:szCs w:val="18"/>
          <w:color w:val="auto"/>
        </w:rPr>
        <w:t>As of March 31, 2021, the Company was in compliance with all of its requirements under the Credit Agreement, as amended. Once the Senior Secured Net Leverage Ratio is re-established, the Company’s continued compliance with the requirements of the Credit Agreement will depend on the Company’s ability to generate sufficient EBITDA to ensure compliance with the Senior Secured Net Leverage Ratio covenant. A violation of this covenant would represent an event of default under the terms of the Credit Agreement, allowing lenders to declare the principal and interest on all outstanding Credit Facility indebtedness due or payable immediately.</w:t>
      </w:r>
    </w:p>
    <w:p>
      <w:pPr>
        <w:spacing w:after="0" w:line="16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7"/>
          <w:szCs w:val="17"/>
          <w:color w:val="auto"/>
        </w:rPr>
        <w:t>The Company has applied for and received wage subsidies, tax credits and other financial support under COVID-19 relief legislation that has been enacted in the countries in which it operates. There can, however, be no guarantees that the steps the Company has taken and continues to take to preserve cash and manage its expenditures will result in the cost savings the Company anticipates. There can also be no guarantees that any wage subsidies, tax credits and other financial support or any other governmental benefits and support for which the Company is eligible will materialize in the amounts expected. The Company cannot predict the manner in which such benefits will be allocated or administered, and the Company cannot guarantee that it will be able to access such benefits in a timely manner or at all. There are no guarantees that the Company will apply for or receive such benefits in the future or that the Company will receive any additional material financial support through these or other programs that may be created, expanded, or implemented by governments in the countries in which the Company operates.</w:t>
      </w:r>
    </w:p>
    <w:p>
      <w:pPr>
        <w:spacing w:after="0" w:line="184" w:lineRule="exact"/>
        <w:rPr>
          <w:sz w:val="20"/>
          <w:szCs w:val="20"/>
          <w:color w:val="auto"/>
        </w:rPr>
      </w:pPr>
    </w:p>
    <w:p>
      <w:pPr>
        <w:jc w:val="both"/>
        <w:ind w:firstLine="289"/>
        <w:spacing w:after="0" w:line="265" w:lineRule="auto"/>
        <w:rPr>
          <w:sz w:val="20"/>
          <w:szCs w:val="20"/>
          <w:color w:val="auto"/>
        </w:rPr>
      </w:pPr>
      <w:r>
        <w:rPr>
          <w:rFonts w:ascii="Arial" w:cs="Arial" w:eastAsia="Arial" w:hAnsi="Arial"/>
          <w:sz w:val="17"/>
          <w:szCs w:val="17"/>
          <w:color w:val="212529"/>
        </w:rPr>
        <w:t xml:space="preserve">In addition, as a result of the financial difficulties faced by certain of the Company’s exhibition customers as a result of theater closures during the pandemic, the Company has experienced and may continue to experience delays in collecting payments due under existing theater sale or lease arrangements. Certain of the Company’s </w:t>
      </w:r>
      <w:r>
        <w:rPr>
          <w:rFonts w:ascii="Arial" w:cs="Arial" w:eastAsia="Arial" w:hAnsi="Arial"/>
          <w:sz w:val="17"/>
          <w:szCs w:val="17"/>
          <w:color w:val="000000"/>
        </w:rPr>
        <w:t>exhibitor partners that had reopened theaters have temporarily suspended operations of their theater network in</w:t>
      </w:r>
      <w:r>
        <w:rPr>
          <w:rFonts w:ascii="Arial" w:cs="Arial" w:eastAsia="Arial" w:hAnsi="Arial"/>
          <w:sz w:val="17"/>
          <w:szCs w:val="17"/>
          <w:color w:val="212529"/>
        </w:rPr>
        <w:t xml:space="preserve"> </w:t>
      </w:r>
      <w:r>
        <w:rPr>
          <w:rFonts w:ascii="Arial" w:cs="Arial" w:eastAsia="Arial" w:hAnsi="Arial"/>
          <w:sz w:val="17"/>
          <w:szCs w:val="17"/>
          <w:color w:val="000000"/>
        </w:rPr>
        <w:t xml:space="preserve">certain jurisdictions and other exhibitor partners have reduced their theaters’ operating hours, which may exacerbate existing financial difficulties. Other exhibitor partners in the future may make similar decisions to close all or part of their global theater networks or to reduce their operating hours if the COVID-19 pandemic continues and Hollywood movie studios continue to delay the release of new films, or for other reasons, which would further increase the risks associated with payments under existing agreements with the Company. </w:t>
      </w:r>
      <w:r>
        <w:rPr>
          <w:rFonts w:ascii="Arial" w:cs="Arial" w:eastAsia="Arial" w:hAnsi="Arial"/>
          <w:sz w:val="17"/>
          <w:szCs w:val="17"/>
          <w:color w:val="212529"/>
        </w:rPr>
        <w:t>The ability of such partners to make payments cannot be guaranteed and is</w:t>
      </w:r>
      <w:r>
        <w:rPr>
          <w:rFonts w:ascii="Arial" w:cs="Arial" w:eastAsia="Arial" w:hAnsi="Arial"/>
          <w:sz w:val="17"/>
          <w:szCs w:val="17"/>
          <w:color w:val="000000"/>
        </w:rPr>
        <w:t xml:space="preserve"> </w:t>
      </w:r>
      <w:r>
        <w:rPr>
          <w:rFonts w:ascii="Arial" w:cs="Arial" w:eastAsia="Arial" w:hAnsi="Arial"/>
          <w:sz w:val="17"/>
          <w:szCs w:val="17"/>
          <w:color w:val="212529"/>
        </w:rPr>
        <w:t>subject to changing economic circumstances. Such theater closures and other challenges in the theatrical industry may force some of the Company’s exhibitor partners into bankruptcy proceedings. In such cases, local laws governing restructurings would apply, and there can be no guarantees of the Company’s success in obtaining complete or partial payments owed to it by the applicable exhibitor partners. Further, the Company has had to delay movie theater installations from backlog and may be required to further delay or cancel such installations in the future. As a result, the Company’s future revenues and cash flows may be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4" w:name="page75"/>
    <w:bookmarkEnd w:id="74"/>
    <w:p>
      <w:pPr>
        <w:jc w:val="both"/>
        <w:ind w:firstLine="289"/>
        <w:spacing w:after="0" w:line="282" w:lineRule="auto"/>
        <w:rPr>
          <w:sz w:val="20"/>
          <w:szCs w:val="20"/>
          <w:color w:val="auto"/>
        </w:rPr>
      </w:pPr>
      <w:r>
        <w:rPr>
          <w:rFonts w:ascii="Arial" w:cs="Arial" w:eastAsia="Arial" w:hAnsi="Arial"/>
          <w:sz w:val="16"/>
          <w:szCs w:val="16"/>
          <w:color w:val="212529"/>
        </w:rPr>
        <w:t xml:space="preserve">Given the dynamic nature of the circumstances, while the Company has been negatively impacted as of the date of filing of this report, it is difficult to predict the full extent of such adverse impact of the COVID-19 global pandemic on the Company’s financial condition, liquidity, business and results of operations in future reporting periods. The extent and duration of such impact on the Company will depend on future developments, including, but not limited to, the timing of reopening of movie theaters worldwide and their return to historical levels of attendance, the timing of when new films are released, consumer behavior and general economic conditions, the solvency of the Company’s exhibitor partners, their ability to make timely payments and any potential construction or installation delays involving our exhibitor partners. Such events are highly uncertain and cannot be accurately forecast. Moreover, there can be no guarantees that the Company’s liquidity needs will not increase materially over the course of this pandemic. In addition, liquidity needs as well as other changes to the Company’s business and operations may impact the Company’s ability to maintain compliance with certain covenants under the amended Credit Agreement. The Company may also be subject to impairment losses based on long-term estimated projections. </w:t>
      </w:r>
      <w:r>
        <w:rPr>
          <w:rFonts w:ascii="Arial" w:cs="Arial" w:eastAsia="Arial" w:hAnsi="Arial"/>
          <w:sz w:val="16"/>
          <w:szCs w:val="16"/>
          <w:color w:val="000000"/>
        </w:rPr>
        <w:t>These estimates and the</w:t>
      </w:r>
      <w:r>
        <w:rPr>
          <w:rFonts w:ascii="Arial" w:cs="Arial" w:eastAsia="Arial" w:hAnsi="Arial"/>
          <w:sz w:val="16"/>
          <w:szCs w:val="16"/>
          <w:color w:val="212529"/>
        </w:rPr>
        <w:t xml:space="preserve"> </w:t>
      </w:r>
      <w:r>
        <w:rPr>
          <w:rFonts w:ascii="Arial" w:cs="Arial" w:eastAsia="Arial" w:hAnsi="Arial"/>
          <w:sz w:val="16"/>
          <w:szCs w:val="16"/>
          <w:color w:val="000000"/>
        </w:rPr>
        <w:t xml:space="preserve">likelihood of future changes in these estimates depend on a number of underlying variables and a range of possible outcomes. Actual results may differ materially from management’s estimates, especially due to the uncertainties associated with the COVID-19 pandemic. </w:t>
      </w:r>
      <w:r>
        <w:rPr>
          <w:rFonts w:ascii="Arial" w:cs="Arial" w:eastAsia="Arial" w:hAnsi="Arial"/>
          <w:sz w:val="16"/>
          <w:szCs w:val="16"/>
          <w:color w:val="212529"/>
        </w:rPr>
        <w:t>If business conditions deteriorate</w:t>
      </w:r>
      <w:r>
        <w:rPr>
          <w:rFonts w:ascii="Arial" w:cs="Arial" w:eastAsia="Arial" w:hAnsi="Arial"/>
          <w:sz w:val="16"/>
          <w:szCs w:val="16"/>
          <w:color w:val="000000"/>
        </w:rPr>
        <w:t xml:space="preserve"> </w:t>
      </w:r>
      <w:r>
        <w:rPr>
          <w:rFonts w:ascii="Arial" w:cs="Arial" w:eastAsia="Arial" w:hAnsi="Arial"/>
          <w:sz w:val="16"/>
          <w:szCs w:val="16"/>
          <w:color w:val="212529"/>
        </w:rPr>
        <w:t>further, or should they remain depressed for a more prolonged period of time, management’s estimates of operating results and future cash flows for reporting units may be insufficient to support the goodwill assigned to them, thus requiring impairment charges. Estimates related to future expected credit losses and deferred tax assets, as well as the recoverability of joint revenue sharing equipment and the realization of variable consideration assets, could also be materially impacted by changes in estimates in the future.</w:t>
      </w:r>
    </w:p>
    <w:p>
      <w:pPr>
        <w:spacing w:after="0" w:line="137" w:lineRule="exact"/>
        <w:rPr>
          <w:sz w:val="20"/>
          <w:szCs w:val="20"/>
          <w:color w:val="auto"/>
        </w:rPr>
      </w:pPr>
    </w:p>
    <w:p>
      <w:pPr>
        <w:jc w:val="both"/>
        <w:ind w:firstLine="289"/>
        <w:spacing w:after="0" w:line="268" w:lineRule="auto"/>
        <w:rPr>
          <w:sz w:val="20"/>
          <w:szCs w:val="20"/>
          <w:color w:val="auto"/>
        </w:rPr>
      </w:pPr>
      <w:r>
        <w:rPr>
          <w:rFonts w:ascii="Arial" w:cs="Arial" w:eastAsia="Arial" w:hAnsi="Arial"/>
          <w:sz w:val="17"/>
          <w:szCs w:val="17"/>
          <w:color w:val="212529"/>
        </w:rPr>
        <w:t>The COVID-19 pandemic and public health measures implemented to contain it may also have the effect of heightening many of the other risks described in the Company’s 2020 Form 10-K, including, but not limited to, risks relating to harm to our key personnel, diverting management’s resources and time to addressing the impacts of COVID-19, which may negatively affect the Company’s ability to implement its business plan and pursue certain opportunities, potential impairments, the effectiveness of our internal control of financial reporting, cybersecurity and data privacy risks due to employees working from home, and risks of increased indebtedness due to the drawdown of the Credit Facility, including the Company’s ability to seek waivers of covenants or to refinance such borrowings, among others. The longer the COVID-19 pandemic and associated protective measures persist, the more severe the extent of the adverse impact of the pandemic on the Company is likely to be.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INDEBTEDNESS</w:t>
      </w:r>
    </w:p>
    <w:p>
      <w:pPr>
        <w:spacing w:after="0" w:line="224" w:lineRule="exact"/>
        <w:rPr>
          <w:sz w:val="20"/>
          <w:szCs w:val="20"/>
          <w:color w:val="auto"/>
        </w:rPr>
      </w:pPr>
    </w:p>
    <w:p>
      <w:pPr>
        <w:jc w:val="both"/>
        <w:ind w:firstLine="289"/>
        <w:spacing w:after="0" w:line="270" w:lineRule="auto"/>
        <w:rPr>
          <w:sz w:val="20"/>
          <w:szCs w:val="20"/>
          <w:color w:val="auto"/>
        </w:rPr>
      </w:pPr>
      <w:r>
        <w:rPr>
          <w:rFonts w:ascii="Arial" w:cs="Arial" w:eastAsia="Arial" w:hAnsi="Arial"/>
          <w:sz w:val="18"/>
          <w:szCs w:val="18"/>
          <w:b w:val="1"/>
          <w:bCs w:val="1"/>
          <w:i w:val="1"/>
          <w:iCs w:val="1"/>
          <w:color w:val="212529"/>
        </w:rPr>
        <w:t xml:space="preserve">The </w:t>
      </w:r>
      <w:r>
        <w:rPr>
          <w:rFonts w:ascii="Arial" w:cs="Arial" w:eastAsia="Arial" w:hAnsi="Arial"/>
          <w:sz w:val="18"/>
          <w:szCs w:val="18"/>
          <w:b w:val="1"/>
          <w:bCs w:val="1"/>
          <w:i w:val="1"/>
          <w:iCs w:val="1"/>
          <w:color w:val="000000"/>
        </w:rPr>
        <w:t>Company’s indebtedness and liabilities could limit the cash flow available for its operations, expose the Company to risks that could adversely</w:t>
      </w:r>
      <w:r>
        <w:rPr>
          <w:rFonts w:ascii="Arial" w:cs="Arial" w:eastAsia="Arial" w:hAnsi="Arial"/>
          <w:sz w:val="18"/>
          <w:szCs w:val="18"/>
          <w:b w:val="1"/>
          <w:bCs w:val="1"/>
          <w:i w:val="1"/>
          <w:iCs w:val="1"/>
          <w:color w:val="212529"/>
        </w:rPr>
        <w:t xml:space="preserve"> </w:t>
      </w:r>
      <w:r>
        <w:rPr>
          <w:rFonts w:ascii="Arial" w:cs="Arial" w:eastAsia="Arial" w:hAnsi="Arial"/>
          <w:sz w:val="18"/>
          <w:szCs w:val="18"/>
          <w:b w:val="1"/>
          <w:bCs w:val="1"/>
          <w:i w:val="1"/>
          <w:iCs w:val="1"/>
          <w:color w:val="000000"/>
        </w:rPr>
        <w:t>affect its business, financial condition and results of operations.</w:t>
      </w:r>
    </w:p>
    <w:p>
      <w:pPr>
        <w:spacing w:after="0" w:line="175" w:lineRule="exact"/>
        <w:rPr>
          <w:sz w:val="20"/>
          <w:szCs w:val="20"/>
          <w:color w:val="auto"/>
        </w:rPr>
      </w:pPr>
    </w:p>
    <w:p>
      <w:pPr>
        <w:jc w:val="both"/>
        <w:ind w:firstLine="289"/>
        <w:spacing w:after="0" w:line="252" w:lineRule="auto"/>
        <w:rPr>
          <w:sz w:val="20"/>
          <w:szCs w:val="20"/>
          <w:color w:val="auto"/>
        </w:rPr>
      </w:pPr>
      <w:r>
        <w:rPr>
          <w:rFonts w:ascii="Arial" w:cs="Arial" w:eastAsia="Arial" w:hAnsi="Arial"/>
          <w:sz w:val="18"/>
          <w:szCs w:val="18"/>
          <w:color w:val="212529"/>
        </w:rPr>
        <w:t>As of March 31, 2021, the Company had approximately $403.4 million of consolidated indebtedness. The Company may also incur additional indebtedness to meet future financing needs. The Company’s indebtedness could have significant negative consequences for its security holders and its business, results of operations and financial condition by, among other things:</w:t>
      </w:r>
    </w:p>
    <w:p>
      <w:pPr>
        <w:ind w:left="960" w:hanging="365"/>
        <w:spacing w:after="0" w:line="214" w:lineRule="auto"/>
        <w:tabs>
          <w:tab w:leader="none" w:pos="960" w:val="left"/>
        </w:tabs>
        <w:numPr>
          <w:ilvl w:val="0"/>
          <w:numId w:val="44"/>
        </w:numPr>
        <w:rPr>
          <w:rFonts w:ascii="Arial" w:cs="Arial" w:eastAsia="Arial" w:hAnsi="Arial"/>
          <w:sz w:val="21"/>
          <w:szCs w:val="21"/>
          <w:color w:val="auto"/>
        </w:rPr>
      </w:pPr>
      <w:r>
        <w:rPr>
          <w:rFonts w:ascii="Arial" w:cs="Arial" w:eastAsia="Arial" w:hAnsi="Arial"/>
          <w:sz w:val="18"/>
          <w:szCs w:val="18"/>
          <w:color w:val="auto"/>
        </w:rPr>
        <w:t>increasing its vulnerability to adverse economic and industry conditions;</w:t>
      </w:r>
    </w:p>
    <w:p>
      <w:pPr>
        <w:spacing w:after="0" w:line="30" w:lineRule="exact"/>
        <w:rPr>
          <w:rFonts w:ascii="Arial" w:cs="Arial" w:eastAsia="Arial" w:hAnsi="Arial"/>
          <w:sz w:val="21"/>
          <w:szCs w:val="21"/>
          <w:color w:val="auto"/>
        </w:rPr>
      </w:pPr>
    </w:p>
    <w:p>
      <w:pPr>
        <w:ind w:left="960" w:hanging="365"/>
        <w:spacing w:after="0" w:line="209" w:lineRule="auto"/>
        <w:tabs>
          <w:tab w:leader="none" w:pos="960" w:val="left"/>
        </w:tabs>
        <w:numPr>
          <w:ilvl w:val="0"/>
          <w:numId w:val="44"/>
        </w:numPr>
        <w:rPr>
          <w:rFonts w:ascii="Arial" w:cs="Arial" w:eastAsia="Arial" w:hAnsi="Arial"/>
          <w:sz w:val="21"/>
          <w:szCs w:val="21"/>
          <w:color w:val="auto"/>
        </w:rPr>
      </w:pPr>
      <w:r>
        <w:rPr>
          <w:rFonts w:ascii="Arial" w:cs="Arial" w:eastAsia="Arial" w:hAnsi="Arial"/>
          <w:sz w:val="18"/>
          <w:szCs w:val="18"/>
          <w:color w:val="auto"/>
        </w:rPr>
        <w:t>limiting its ability to obtain additional financing;</w:t>
      </w:r>
    </w:p>
    <w:p>
      <w:pPr>
        <w:spacing w:after="0" w:line="30" w:lineRule="exact"/>
        <w:rPr>
          <w:rFonts w:ascii="Arial" w:cs="Arial" w:eastAsia="Arial" w:hAnsi="Arial"/>
          <w:sz w:val="21"/>
          <w:szCs w:val="21"/>
          <w:color w:val="auto"/>
        </w:rPr>
      </w:pPr>
    </w:p>
    <w:p>
      <w:pPr>
        <w:ind w:left="960" w:right="260" w:hanging="365"/>
        <w:spacing w:after="0" w:line="227" w:lineRule="auto"/>
        <w:tabs>
          <w:tab w:leader="none" w:pos="960" w:val="left"/>
        </w:tabs>
        <w:numPr>
          <w:ilvl w:val="0"/>
          <w:numId w:val="44"/>
        </w:numPr>
        <w:rPr>
          <w:rFonts w:ascii="Arial" w:cs="Arial" w:eastAsia="Arial" w:hAnsi="Arial"/>
          <w:sz w:val="21"/>
          <w:szCs w:val="21"/>
          <w:color w:val="auto"/>
        </w:rPr>
      </w:pPr>
      <w:r>
        <w:rPr>
          <w:rFonts w:ascii="Arial" w:cs="Arial" w:eastAsia="Arial" w:hAnsi="Arial"/>
          <w:sz w:val="18"/>
          <w:szCs w:val="18"/>
          <w:color w:val="auto"/>
        </w:rPr>
        <w:t>requiring the dedication of a substantial portion of its cash flow from operations to service its indebtedness, which will reduce the amount of cash available for other purposes;</w:t>
      </w:r>
    </w:p>
    <w:p>
      <w:pPr>
        <w:ind w:left="960" w:hanging="365"/>
        <w:spacing w:after="0" w:line="212" w:lineRule="auto"/>
        <w:tabs>
          <w:tab w:leader="none" w:pos="960" w:val="left"/>
        </w:tabs>
        <w:numPr>
          <w:ilvl w:val="0"/>
          <w:numId w:val="44"/>
        </w:numPr>
        <w:rPr>
          <w:rFonts w:ascii="Arial" w:cs="Arial" w:eastAsia="Arial" w:hAnsi="Arial"/>
          <w:sz w:val="21"/>
          <w:szCs w:val="21"/>
          <w:color w:val="auto"/>
        </w:rPr>
      </w:pPr>
      <w:r>
        <w:rPr>
          <w:rFonts w:ascii="Arial" w:cs="Arial" w:eastAsia="Arial" w:hAnsi="Arial"/>
          <w:sz w:val="18"/>
          <w:szCs w:val="18"/>
          <w:color w:val="auto"/>
        </w:rPr>
        <w:t>limiting its flexibility to plan for, or react to, changes in its business;</w:t>
      </w:r>
    </w:p>
    <w:p>
      <w:pPr>
        <w:spacing w:after="0" w:line="30" w:lineRule="exact"/>
        <w:rPr>
          <w:rFonts w:ascii="Arial" w:cs="Arial" w:eastAsia="Arial" w:hAnsi="Arial"/>
          <w:sz w:val="21"/>
          <w:szCs w:val="21"/>
          <w:color w:val="auto"/>
        </w:rPr>
      </w:pPr>
    </w:p>
    <w:p>
      <w:pPr>
        <w:ind w:left="960" w:hanging="365"/>
        <w:spacing w:after="0" w:line="209" w:lineRule="auto"/>
        <w:tabs>
          <w:tab w:leader="none" w:pos="960" w:val="left"/>
        </w:tabs>
        <w:numPr>
          <w:ilvl w:val="0"/>
          <w:numId w:val="44"/>
        </w:numPr>
        <w:rPr>
          <w:rFonts w:ascii="Arial" w:cs="Arial" w:eastAsia="Arial" w:hAnsi="Arial"/>
          <w:sz w:val="21"/>
          <w:szCs w:val="21"/>
          <w:color w:val="auto"/>
        </w:rPr>
      </w:pPr>
      <w:r>
        <w:rPr>
          <w:rFonts w:ascii="Arial" w:cs="Arial" w:eastAsia="Arial" w:hAnsi="Arial"/>
          <w:sz w:val="18"/>
          <w:szCs w:val="18"/>
          <w:color w:val="auto"/>
        </w:rPr>
        <w:t>diluting the interests of its shareholders as a result of issuing common shares upon conversion of the Convertible Notes; and</w:t>
      </w:r>
    </w:p>
    <w:p>
      <w:pPr>
        <w:spacing w:after="0" w:line="30" w:lineRule="exact"/>
        <w:rPr>
          <w:rFonts w:ascii="Arial" w:cs="Arial" w:eastAsia="Arial" w:hAnsi="Arial"/>
          <w:sz w:val="21"/>
          <w:szCs w:val="21"/>
          <w:color w:val="auto"/>
        </w:rPr>
      </w:pPr>
    </w:p>
    <w:p>
      <w:pPr>
        <w:ind w:left="960" w:right="40" w:hanging="365"/>
        <w:spacing w:after="0" w:line="252"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placing the Company at a possible competitive disadvantage with competitors that are less leveraged than the Company or have better access to capital.</w:t>
      </w:r>
    </w:p>
    <w:p>
      <w:pPr>
        <w:spacing w:after="0" w:line="150" w:lineRule="exact"/>
        <w:rPr>
          <w:sz w:val="20"/>
          <w:szCs w:val="20"/>
          <w:color w:val="auto"/>
        </w:rPr>
      </w:pPr>
    </w:p>
    <w:p>
      <w:pPr>
        <w:jc w:val="both"/>
        <w:ind w:firstLine="289"/>
        <w:spacing w:after="0" w:line="289" w:lineRule="auto"/>
        <w:rPr>
          <w:sz w:val="20"/>
          <w:szCs w:val="20"/>
          <w:color w:val="auto"/>
        </w:rPr>
      </w:pPr>
      <w:r>
        <w:rPr>
          <w:rFonts w:ascii="Arial" w:cs="Arial" w:eastAsia="Arial" w:hAnsi="Arial"/>
          <w:sz w:val="16"/>
          <w:szCs w:val="16"/>
          <w:color w:val="212529"/>
        </w:rPr>
        <w:t>The Company’s business may not generate sufficient funds, and the Company may otherwise be unable to maintain sufficient cash reserves, to pay amounts due under its indebtedness, and the Company’s cash needs may increase in the future. In addition, the Credit Agreement contains, and any future indebtedness that we may incur may contain, financial and other restrictive covenants that limit the Company’s ability to operate its business, raise capital or make payments under its other indebtedness. If the Company fails to comply with these covenants or to make payments under its indebtedness when due, then the Company would be in default under that indebtedness, which could, in turn, result in that and our other indebtedness becoming immediately payable in full. For a description of the Company outstanding indebtedness, see Note 7 to the Company’s unaudited financial statements in this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5" w:name="page76"/>
    <w:bookmarkEnd w:id="75"/>
    <w:p>
      <w:pPr>
        <w:ind w:left="300"/>
        <w:spacing w:after="0"/>
        <w:rPr>
          <w:sz w:val="20"/>
          <w:szCs w:val="20"/>
          <w:color w:val="auto"/>
        </w:rPr>
      </w:pPr>
      <w:r>
        <w:rPr>
          <w:rFonts w:ascii="Arial" w:cs="Arial" w:eastAsia="Arial" w:hAnsi="Arial"/>
          <w:sz w:val="18"/>
          <w:szCs w:val="18"/>
          <w:b w:val="1"/>
          <w:bCs w:val="1"/>
          <w:i w:val="1"/>
          <w:iCs w:val="1"/>
          <w:color w:val="auto"/>
        </w:rPr>
        <w:t>Provisions in the indenture could delay or prevent an otherwise beneficial takeover of us.</w:t>
      </w:r>
    </w:p>
    <w:p>
      <w:pPr>
        <w:spacing w:after="0" w:line="22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212529"/>
        </w:rPr>
        <w:t xml:space="preserve">Certain provisions in the Convertible Notes and the related indenture could make a third party attempt to acquire the Company more difficult or expensive. For example, if a takeover constitutes a fundamental change, then noteholders will have the right to require the Company to repurchase their Convertible Notes </w:t>
      </w:r>
      <w:r>
        <w:rPr>
          <w:rFonts w:ascii="Arial" w:cs="Arial" w:eastAsia="Arial" w:hAnsi="Arial"/>
          <w:sz w:val="16"/>
          <w:szCs w:val="16"/>
          <w:color w:val="000000"/>
        </w:rPr>
        <w:t>for cash. In addition, if a takeover constitutes a make-whole fundamental change, then the Company may be required to temporarily</w:t>
      </w:r>
      <w:r>
        <w:rPr>
          <w:rFonts w:ascii="Arial" w:cs="Arial" w:eastAsia="Arial" w:hAnsi="Arial"/>
          <w:sz w:val="16"/>
          <w:szCs w:val="16"/>
          <w:color w:val="212529"/>
        </w:rPr>
        <w:t xml:space="preserve"> </w:t>
      </w:r>
      <w:r>
        <w:rPr>
          <w:rFonts w:ascii="Arial" w:cs="Arial" w:eastAsia="Arial" w:hAnsi="Arial"/>
          <w:sz w:val="16"/>
          <w:szCs w:val="16"/>
          <w:color w:val="000000"/>
        </w:rPr>
        <w:t>increase the conversion rate of the Convertible Notes. In either case, and in other cases, the Company’s obligations under the Convertible Notes and the indenture could increase the cost of acquiring the Company otherwise discourage a third party from acquiring the Company or removing incumbent management, including in a transaction that noteholders or holders of the Company’s common shares may view as favorable.</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The Company is subject to counterparty risk with respect to the Capped Call Transactions, and the capped call may not operate as planned.</w:t>
      </w:r>
    </w:p>
    <w:p>
      <w:pPr>
        <w:spacing w:after="0" w:line="243"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212529"/>
        </w:rPr>
        <w:t xml:space="preserve">In connection with the issuance of the Convertible Notes, the Company entered into privately negotiated capped call transactions with the option counterparties. </w:t>
      </w:r>
      <w:r>
        <w:rPr>
          <w:rFonts w:ascii="Arial" w:cs="Arial" w:eastAsia="Arial" w:hAnsi="Arial"/>
          <w:sz w:val="17"/>
          <w:szCs w:val="17"/>
          <w:color w:val="000000"/>
        </w:rPr>
        <w:t>The Capped Call Transactions are expected to reduce potential dilution resulting from the common shares the Company is required to issue</w:t>
      </w:r>
      <w:r>
        <w:rPr>
          <w:rFonts w:ascii="Arial" w:cs="Arial" w:eastAsia="Arial" w:hAnsi="Arial"/>
          <w:sz w:val="17"/>
          <w:szCs w:val="17"/>
          <w:color w:val="212529"/>
        </w:rPr>
        <w:t xml:space="preserve"> </w:t>
      </w:r>
      <w:r>
        <w:rPr>
          <w:rFonts w:ascii="Arial" w:cs="Arial" w:eastAsia="Arial" w:hAnsi="Arial"/>
          <w:sz w:val="17"/>
          <w:szCs w:val="17"/>
          <w:color w:val="000000"/>
        </w:rPr>
        <w:t>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Collectively, the Capped Call Transactions cover, subject to anti-dilution adjustments substantially similar to those applicable to the Convertible Notes, the number of the Company’s common shares underlying the Convertible Notes.</w:t>
      </w:r>
    </w:p>
    <w:p>
      <w:pPr>
        <w:spacing w:after="0" w:line="177" w:lineRule="exact"/>
        <w:rPr>
          <w:sz w:val="20"/>
          <w:szCs w:val="20"/>
          <w:color w:val="auto"/>
        </w:rPr>
      </w:pPr>
    </w:p>
    <w:p>
      <w:pPr>
        <w:jc w:val="both"/>
        <w:ind w:firstLine="225"/>
        <w:spacing w:after="0" w:line="265" w:lineRule="auto"/>
        <w:rPr>
          <w:sz w:val="20"/>
          <w:szCs w:val="20"/>
          <w:color w:val="auto"/>
        </w:rPr>
      </w:pPr>
      <w:r>
        <w:rPr>
          <w:rFonts w:ascii="Arial" w:cs="Arial" w:eastAsia="Arial" w:hAnsi="Arial"/>
          <w:sz w:val="17"/>
          <w:szCs w:val="17"/>
          <w:color w:val="212529"/>
        </w:rPr>
        <w:t>The option counterparties are financial institutions, and the Company will be subject to the risk that they might default under the Capped Call Transactions. The Company’s exposure to the credit risk of the option counterparties will not be secured by any collateral. Global economic conditions have from time to time resulted in the actual or perceived failure or financial difficulties of many financial institutions. If an option counterparty becomes subject to insolvency proceedings, the Company will become an unsecured creditor in those proceedings with a claim equal to the Company’s exposure at that time under our transactions with that option counterparty. The Company’s exposure will depend on many factors, but, generally, the increase in the Company’s exposure will be correlated with increases in the market price or the volatility of its common shares. In addition, upon a default by an option counterparty, the Company may suffer adverse tax consequences and more dilution than the Company currently anticipate with respect to its common shares. The Company can provide no assurances as to the financial stability or viability of any option counterparty. 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the Company intends if it is required to adjust their terms as a result of transactions in the future or upon unanticipated developments that may adversely affect the functioning of the Capped Call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98" w:lineRule="exact"/>
        <w:rPr>
          <w:sz w:val="20"/>
          <w:szCs w:val="20"/>
          <w:color w:val="auto"/>
        </w:rPr>
      </w:pPr>
    </w:p>
    <w:p>
      <w:pPr>
        <w:jc w:val="both"/>
        <w:ind w:firstLine="224"/>
        <w:spacing w:after="0" w:line="289" w:lineRule="auto"/>
        <w:rPr>
          <w:sz w:val="20"/>
          <w:szCs w:val="20"/>
          <w:color w:val="auto"/>
        </w:rPr>
      </w:pPr>
      <w:r>
        <w:rPr>
          <w:rFonts w:ascii="Arial" w:cs="Arial" w:eastAsia="Arial" w:hAnsi="Arial"/>
          <w:sz w:val="16"/>
          <w:szCs w:val="16"/>
          <w:color w:val="auto"/>
        </w:rPr>
        <w:t>In June 2020, the Company’s Board of Directors approved a 12-month extension to its share repurchase program, through June 30, 2021. The extension authorized the Company to repurchase up to approximately $89.4 million worth of common shares, the remaining amount available of the original $200.0 million initially authorized under the share-repurchase program when it commenced on July 1, 2017. Subsequent to March 31, 2021, the Company’s Board of Directors approved a further 12-month extension of the current share repurchase program through June 30, 2022.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w:t>
      </w:r>
    </w:p>
    <w:p>
      <w:pPr>
        <w:spacing w:after="0" w:line="127"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The Company did not repurchase any common shares during the three months ended March 31, 2021. As of March 31, 2021, the Company has $89.4 million available under its approved repurchase program.</w:t>
      </w:r>
    </w:p>
    <w:p>
      <w:pPr>
        <w:spacing w:after="0" w:line="135" w:lineRule="exact"/>
        <w:rPr>
          <w:sz w:val="20"/>
          <w:szCs w:val="20"/>
          <w:color w:val="auto"/>
        </w:rPr>
      </w:pPr>
    </w:p>
    <w:p>
      <w:pPr>
        <w:jc w:val="both"/>
        <w:ind w:firstLine="224"/>
        <w:spacing w:after="0" w:line="292" w:lineRule="auto"/>
        <w:rPr>
          <w:sz w:val="20"/>
          <w:szCs w:val="20"/>
          <w:color w:val="auto"/>
        </w:rPr>
      </w:pPr>
      <w:r>
        <w:rPr>
          <w:rFonts w:ascii="Arial" w:cs="Arial" w:eastAsia="Arial" w:hAnsi="Arial"/>
          <w:sz w:val="16"/>
          <w:szCs w:val="16"/>
          <w:color w:val="auto"/>
        </w:rPr>
        <w:t>In 2020, IMAX China announced that its shareholders granted its Board of Directors a general mandate authorizing the Board, subject to applicable laws, to repurchase of shares of IMAX China not to exceed 10% of the total number of issued shares as of June 11, 2020 (34,848,398 shares). This program will be valid until the 2021 Annual General Meeting of IMAX China, which is scheduled for May 6, 2021. The repurchases may be made in the open market or through other means permitted by applicable laws. IMAX China has no obligation to repurchase its shares and the share repurchase program may be suspended or discontinued by IMAX China at any time. IMAX China did not repurchase any common shares during the three months ended March 31, 2021.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6" w:name="page77"/>
    <w:bookmarkEnd w:id="76"/>
    <w:p>
      <w:pPr>
        <w:jc w:val="both"/>
        <w:ind w:firstLine="224"/>
        <w:spacing w:after="0" w:line="270" w:lineRule="auto"/>
        <w:rPr>
          <w:sz w:val="20"/>
          <w:szCs w:val="20"/>
          <w:color w:val="auto"/>
        </w:rPr>
      </w:pPr>
      <w:r>
        <w:rPr>
          <w:rFonts w:ascii="Arial" w:cs="Arial" w:eastAsia="Arial" w:hAnsi="Arial"/>
          <w:sz w:val="18"/>
          <w:szCs w:val="18"/>
          <w:color w:val="auto"/>
        </w:rPr>
        <w:t>The total number of shares purchased during the three months ended March 31, 2021, under both the Company and IMAX China’s repurchase plans, does not include any shares purchased in the administration of employee share-based compensation plans.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84"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On April 24, 2021, Patrick McClymont, the Company’s Chief Financial Officer, notified the Company that he would be resigning his position effective May 14, 2021, to pursue other career and personal interests. Joseph Sparacio, Mr. McClymont’s immediate predecessor as Chief Financial Officer, has agreed to serve as the Company’s interim Chief Financial Officer, reporting to Richard L. Gelfond, the Company’s CEO, beginning on June 1, 2021, until the sooner of December 31, 2021 or when a permanent replacement is named. The terms of Mr. Sparacio’s compensation have not yet been finalized.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0100" w:type="dxa"/>
            <w:vAlign w:val="bottom"/>
            <w:gridSpan w:val="15"/>
          </w:tcPr>
          <w:p>
            <w:pPr>
              <w:spacing w:after="0"/>
              <w:rPr>
                <w:sz w:val="20"/>
                <w:szCs w:val="20"/>
                <w:color w:val="auto"/>
              </w:rPr>
            </w:pPr>
            <w:r>
              <w:rPr>
                <w:rFonts w:ascii="Arial" w:cs="Arial" w:eastAsia="Arial" w:hAnsi="Arial"/>
                <w:sz w:val="18"/>
                <w:szCs w:val="18"/>
                <w:b w:val="1"/>
                <w:bCs w:val="1"/>
                <w:color w:val="auto"/>
              </w:rPr>
              <w:t>Description</w:t>
            </w:r>
          </w:p>
        </w:tc>
      </w:tr>
      <w:tr>
        <w:trPr>
          <w:trHeight w:val="168"/>
        </w:trPr>
        <w:tc>
          <w:tcPr>
            <w:tcW w:w="20" w:type="dxa"/>
            <w:vAlign w:val="bottom"/>
          </w:tcPr>
          <w:p>
            <w:pPr>
              <w:spacing w:after="0"/>
              <w:rPr>
                <w:sz w:val="14"/>
                <w:szCs w:val="14"/>
                <w:color w:val="auto"/>
              </w:rPr>
            </w:pPr>
          </w:p>
        </w:tc>
        <w:tc>
          <w:tcPr>
            <w:tcW w:w="10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10100" w:type="dxa"/>
            <w:vAlign w:val="bottom"/>
            <w:tcBorders>
              <w:top w:val="single" w:sz="8" w:color="auto"/>
            </w:tcBorders>
            <w:gridSpan w:val="15"/>
          </w:tcPr>
          <w:p>
            <w:pPr>
              <w:spacing w:after="0" w:line="169"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 xml:space="preserve">Amended and Restated By-Law No. 1 of IMAX Corporation, enacted on March 4, 2021.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3.2 to IMAX</w:t>
            </w:r>
          </w:p>
        </w:tc>
      </w:t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Corporation’s Form 10-K filed on March 4, 2021 (File No. 001-35066).</w:t>
            </w:r>
          </w:p>
        </w:tc>
        <w:tc>
          <w:tcPr>
            <w:tcW w:w="3780" w:type="dxa"/>
            <w:vAlign w:val="bottom"/>
            <w:gridSpan w:val="13"/>
          </w:tcPr>
          <w:p>
            <w:pPr>
              <w:spacing w:after="0"/>
              <w:rPr>
                <w:sz w:val="20"/>
                <w:szCs w:val="20"/>
                <w:color w:val="auto"/>
              </w:rPr>
            </w:pPr>
          </w:p>
        </w:tc>
      </w:tr>
      <w:tr>
        <w:trPr>
          <w:trHeight w:val="295"/>
        </w:trPr>
        <w:tc>
          <w:tcPr>
            <w:tcW w:w="1020" w:type="dxa"/>
            <w:vAlign w:val="bottom"/>
            <w:gridSpan w:val="2"/>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w w:val="95"/>
              </w:rPr>
            </w:pPr>
            <w:hyperlink r:id="rId101">
              <w:r>
                <w:rPr>
                  <w:rFonts w:ascii="Arial" w:cs="Arial" w:eastAsia="Arial" w:hAnsi="Arial"/>
                  <w:sz w:val="18"/>
                  <w:szCs w:val="18"/>
                  <w:color w:val="0000EE"/>
                  <w:w w:val="95"/>
                </w:rPr>
                <w:t xml:space="preserve">Indenture, dated as of March 19, 2021, between IMAX Corporation and U.S. Bank National Association. </w:t>
              </w:r>
            </w:hyperlink>
            <w:r>
              <w:rPr>
                <w:rFonts w:ascii="Arial" w:cs="Arial" w:eastAsia="Arial" w:hAnsi="Arial"/>
                <w:sz w:val="18"/>
                <w:szCs w:val="18"/>
                <w:color w:val="000000"/>
                <w:w w:val="95"/>
              </w:rPr>
              <w:t>Incorporated</w:t>
            </w:r>
            <w:r>
              <w:rPr>
                <w:rFonts w:ascii="Arial" w:cs="Arial" w:eastAsia="Arial" w:hAnsi="Arial"/>
                <w:sz w:val="18"/>
                <w:szCs w:val="18"/>
                <w:color w:val="0000EE"/>
                <w:w w:val="95"/>
              </w:rPr>
              <w:t xml:space="preserve"> </w:t>
            </w:r>
            <w:r>
              <w:rPr>
                <w:rFonts w:ascii="Arial" w:cs="Arial" w:eastAsia="Arial" w:hAnsi="Arial"/>
                <w:sz w:val="18"/>
                <w:szCs w:val="18"/>
                <w:color w:val="000000"/>
                <w:w w:val="95"/>
              </w:rPr>
              <w:t>by reference to</w:t>
            </w:r>
          </w:p>
        </w:tc>
      </w:t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Exhibit 4.1 to IMAX Corporation’s Form 8-K dated as of March 15, 2021 (File No. 001-35066).</w:t>
            </w:r>
          </w:p>
        </w:tc>
        <w:tc>
          <w:tcPr>
            <w:tcW w:w="2600" w:type="dxa"/>
            <w:vAlign w:val="bottom"/>
            <w:gridSpan w:val="11"/>
          </w:tcPr>
          <w:p>
            <w:pPr>
              <w:spacing w:after="0"/>
              <w:rPr>
                <w:sz w:val="20"/>
                <w:szCs w:val="20"/>
                <w:color w:val="auto"/>
              </w:rPr>
            </w:pPr>
          </w:p>
        </w:tc>
      </w:tr>
      <w:tr>
        <w:trPr>
          <w:trHeight w:val="295"/>
        </w:trPr>
        <w:tc>
          <w:tcPr>
            <w:tcW w:w="1020" w:type="dxa"/>
            <w:vAlign w:val="bottom"/>
            <w:gridSpan w:val="2"/>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 xml:space="preserve">Form of 0.500% Convertible Senior Notes due April 1, 2026 (included as Exhibit A to Exhibit 4.1).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4.2</w:t>
            </w:r>
          </w:p>
        </w:tc>
      </w:t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to IMAX Corporation’s Form 8-K dated as of March 15, 2021 (File No. 001-35066).</w:t>
            </w:r>
          </w:p>
        </w:tc>
        <w:tc>
          <w:tcPr>
            <w:tcW w:w="3000" w:type="dxa"/>
            <w:vAlign w:val="bottom"/>
            <w:gridSpan w:val="12"/>
          </w:tcPr>
          <w:p>
            <w:pPr>
              <w:spacing w:after="0"/>
              <w:rPr>
                <w:sz w:val="20"/>
                <w:szCs w:val="20"/>
                <w:color w:val="auto"/>
              </w:rPr>
            </w:pPr>
          </w:p>
        </w:tc>
      </w:tr>
      <w:tr>
        <w:trPr>
          <w:trHeight w:val="295"/>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w w:val="95"/>
              </w:rPr>
            </w:pPr>
            <w:hyperlink r:id="rId102">
              <w:r>
                <w:rPr>
                  <w:rFonts w:ascii="Arial" w:cs="Arial" w:eastAsia="Arial" w:hAnsi="Arial"/>
                  <w:sz w:val="18"/>
                  <w:szCs w:val="18"/>
                  <w:color w:val="0000EE"/>
                  <w:w w:val="95"/>
                </w:rPr>
                <w:t>Base Call Option Confirmation, dated as of March 16, 2021 between IMAX Corporation and Wells Fargo Bank, National Association.</w:t>
              </w:r>
            </w:hyperlink>
          </w:p>
        </w:tc>
      </w:t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w w:val="97"/>
              </w:rPr>
              <w:t>Incorporated by reference to Exhibit 10.1 to IMAX Corporation’s Form 8-K dated as of March 15, 2021 (File No. 001-35066).</w:t>
            </w:r>
          </w:p>
        </w:tc>
        <w:tc>
          <w:tcPr>
            <w:tcW w:w="520" w:type="dxa"/>
            <w:vAlign w:val="bottom"/>
            <w:gridSpan w:val="5"/>
          </w:tcPr>
          <w:p>
            <w:pPr>
              <w:spacing w:after="0"/>
              <w:rPr>
                <w:sz w:val="20"/>
                <w:szCs w:val="20"/>
                <w:color w:val="auto"/>
              </w:rPr>
            </w:pPr>
          </w:p>
        </w:tc>
      </w:tr>
      <w:tr>
        <w:trPr>
          <w:trHeight w:val="295"/>
        </w:trPr>
        <w:tc>
          <w:tcPr>
            <w:tcW w:w="1020" w:type="dxa"/>
            <w:vAlign w:val="bottom"/>
            <w:gridSpan w:val="2"/>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 xml:space="preserve">Base Call Option Confirmation, dated as of March 16, 2021 between IMAX Corporation and Mizuho Markets Americas LLC. </w:t>
              </w:r>
            </w:hyperlink>
            <w:r>
              <w:rPr>
                <w:rFonts w:ascii="Arial" w:cs="Arial" w:eastAsia="Arial" w:hAnsi="Arial"/>
                <w:sz w:val="18"/>
                <w:szCs w:val="18"/>
                <w:color w:val="000000"/>
                <w:w w:val="92"/>
              </w:rPr>
              <w:t>Incorporated</w:t>
            </w:r>
          </w:p>
        </w:tc>
      </w:t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by reference to Exhibit 10.2 to IMAX Corporation’s Form 8-K dated as of March 15, 2021 (File No. 001-35066).</w:t>
            </w:r>
          </w:p>
        </w:tc>
        <w:tc>
          <w:tcPr>
            <w:tcW w:w="1080" w:type="dxa"/>
            <w:vAlign w:val="bottom"/>
            <w:gridSpan w:val="8"/>
          </w:tcPr>
          <w:p>
            <w:pPr>
              <w:spacing w:after="0"/>
              <w:rPr>
                <w:sz w:val="20"/>
                <w:szCs w:val="20"/>
                <w:color w:val="auto"/>
              </w:rPr>
            </w:pPr>
          </w:p>
        </w:tc>
      </w:tr>
      <w:tr>
        <w:trPr>
          <w:trHeight w:val="295"/>
        </w:trPr>
        <w:tc>
          <w:tcPr>
            <w:tcW w:w="1020" w:type="dxa"/>
            <w:vAlign w:val="bottom"/>
            <w:gridSpan w:val="2"/>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940" w:type="dxa"/>
            <w:vAlign w:val="bottom"/>
            <w:tcBorders>
              <w:bottom w:val="single" w:sz="8" w:color="0000EE"/>
            </w:tcBorders>
            <w:gridSpan w:val="12"/>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Base Call Option Confirmation, dated as of March 16, 2021 between IMAX Corporation and JPMorgan Chase Bank, National Association.</w:t>
              </w:r>
            </w:hyperlink>
          </w:p>
        </w:tc>
        <w:tc>
          <w:tcPr>
            <w:tcW w:w="160" w:type="dxa"/>
            <w:vAlign w:val="bottom"/>
            <w:gridSpan w:val="3"/>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Incorporated by reference to Exhibit 10.3 to IMAX Corporation’s Form 8-K dated as of March 15, 2021 (File No. 001-35066).</w:t>
            </w:r>
          </w:p>
        </w:tc>
      </w:tr>
      <w:tr>
        <w:trPr>
          <w:trHeight w:val="295"/>
        </w:trPr>
        <w:tc>
          <w:tcPr>
            <w:tcW w:w="1020" w:type="dxa"/>
            <w:vAlign w:val="bottom"/>
            <w:gridSpan w:val="2"/>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600" w:type="dxa"/>
            <w:vAlign w:val="bottom"/>
            <w:tcBorders>
              <w:bottom w:val="single" w:sz="8" w:color="0000EE"/>
            </w:tcBorders>
            <w:gridSpan w:val="11"/>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Base Call Option Confirmation, dated as of March 16, 2021 between IMAX Corporation and HSBC Bank USA, National Association.</w:t>
              </w:r>
            </w:hyperlink>
          </w:p>
        </w:tc>
        <w:tc>
          <w:tcPr>
            <w:tcW w:w="500" w:type="dxa"/>
            <w:vAlign w:val="bottom"/>
            <w:gridSpan w:val="4"/>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Incorporated by reference to Exhibit 10.4 to IMAX Corporation’s Form 8-K dated as of March 15, 2021 (File No. 001-35066).</w:t>
            </w:r>
          </w:p>
        </w:tc>
      </w:tr>
      <w:tr>
        <w:trPr>
          <w:trHeight w:val="295"/>
        </w:trPr>
        <w:tc>
          <w:tcPr>
            <w:tcW w:w="1020" w:type="dxa"/>
            <w:vAlign w:val="bottom"/>
            <w:gridSpan w:val="2"/>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Additional Call Option Confirmation, dated as of March 18, 2021 between IMAX Corporation and Wells Fargo Bank, National Association.</w:t>
              </w:r>
            </w:hyperlink>
          </w:p>
        </w:tc>
      </w:t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rPr>
              <w:t>Incorporated by reference to Exhibit 10.5 to IMAX Corporation’s Form 8-K dated as of March 15, 2021 (File No. 001-35066).</w:t>
            </w:r>
          </w:p>
        </w:tc>
        <w:tc>
          <w:tcPr>
            <w:tcW w:w="100" w:type="dxa"/>
            <w:vAlign w:val="bottom"/>
            <w:gridSpan w:val="2"/>
          </w:tcPr>
          <w:p>
            <w:pPr>
              <w:spacing w:after="0"/>
              <w:rPr>
                <w:sz w:val="20"/>
                <w:szCs w:val="20"/>
                <w:color w:val="auto"/>
              </w:rPr>
            </w:pPr>
          </w:p>
        </w:tc>
      </w:tr>
      <w:tr>
        <w:trPr>
          <w:trHeight w:val="295"/>
        </w:trPr>
        <w:tc>
          <w:tcPr>
            <w:tcW w:w="1020" w:type="dxa"/>
            <w:vAlign w:val="bottom"/>
            <w:gridSpan w:val="2"/>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440" w:type="dxa"/>
            <w:vAlign w:val="bottom"/>
            <w:tcBorders>
              <w:bottom w:val="single" w:sz="8" w:color="0000EE"/>
            </w:tcBorders>
            <w:gridSpan w:val="9"/>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Additional Call Option Confirmation, dated as of March 18, 2021 between IMAX Corporation and Mizuho Markets Americas LLC.</w:t>
              </w:r>
            </w:hyperlink>
          </w:p>
        </w:tc>
        <w:tc>
          <w:tcPr>
            <w:tcW w:w="660" w:type="dxa"/>
            <w:vAlign w:val="bottom"/>
            <w:gridSpan w:val="6"/>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Incorporated by reference to Exhibit 10.6 to IMAX Corporation’s Form 8-K dated as of March 15, 2021 (File No. 001-35066).</w:t>
            </w:r>
          </w:p>
        </w:tc>
      </w:tr>
      <w:tr>
        <w:trPr>
          <w:trHeight w:val="295"/>
        </w:trPr>
        <w:tc>
          <w:tcPr>
            <w:tcW w:w="1020" w:type="dxa"/>
            <w:vAlign w:val="bottom"/>
            <w:gridSpan w:val="2"/>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w w:val="97"/>
              </w:rPr>
            </w:pPr>
            <w:hyperlink r:id="rId108">
              <w:r>
                <w:rPr>
                  <w:rFonts w:ascii="Arial" w:cs="Arial" w:eastAsia="Arial" w:hAnsi="Arial"/>
                  <w:sz w:val="18"/>
                  <w:szCs w:val="18"/>
                  <w:color w:val="0000EE"/>
                  <w:w w:val="97"/>
                </w:rPr>
                <w:t>Additional Call Option Confirmation, dated as of March 18, 2021 between IMAX Corporation and JPMorgan Chase Bank, National</w:t>
              </w:r>
            </w:hyperlink>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7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15"/>
          </w:tcPr>
          <w:p>
            <w:pPr>
              <w:spacing w:after="0" w:line="194"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 xml:space="preserve">Association. </w:t>
              </w:r>
              <w:r>
                <w:rPr>
                  <w:rFonts w:ascii="Arial" w:cs="Arial" w:eastAsia="Arial" w:hAnsi="Arial"/>
                  <w:sz w:val="18"/>
                  <w:szCs w:val="18"/>
                  <w:color w:val="000000"/>
                  <w:w w:val="92"/>
                </w:rPr>
                <w:t>Incorporated by reference to Exhibit 10.7 to IMAX Corporation’s Form 8-K dated as of March 15, 2021 (File No. 001-</w:t>
              </w:r>
            </w:hyperlink>
            <w:r>
              <w:rPr>
                <w:rFonts w:ascii="Arial" w:cs="Arial" w:eastAsia="Arial" w:hAnsi="Arial"/>
                <w:sz w:val="18"/>
                <w:szCs w:val="18"/>
                <w:color w:val="0000EE"/>
                <w:w w:val="92"/>
              </w:rPr>
              <w:t>35066)</w:t>
            </w:r>
            <w:r>
              <w:rPr>
                <w:rFonts w:ascii="Arial" w:cs="Arial" w:eastAsia="Arial" w:hAnsi="Arial"/>
                <w:sz w:val="18"/>
                <w:szCs w:val="18"/>
                <w:color w:val="000000"/>
                <w:w w:val="92"/>
              </w:rPr>
              <w:t>.</w:t>
            </w:r>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4"/>
        </w:trPr>
        <w:tc>
          <w:tcPr>
            <w:tcW w:w="1020" w:type="dxa"/>
            <w:vAlign w:val="bottom"/>
            <w:gridSpan w:val="2"/>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020" w:type="dxa"/>
            <w:vAlign w:val="bottom"/>
            <w:tcBorders>
              <w:bottom w:val="single" w:sz="8" w:color="0000EE"/>
            </w:tcBorders>
            <w:gridSpan w:val="14"/>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Additional Call Option Confirmation, dated as of March 18, 2021 between IMAX Corporation and HSBC Bank USA, National Association.</w:t>
              </w:r>
            </w:hyperlink>
          </w:p>
        </w:tc>
        <w:tc>
          <w:tcPr>
            <w:tcW w:w="8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Incorporated by reference to Exhibit 10.8 to IMAX Corporation’s Form 8-K dated as of March 15, 2021 (File No. 001-35066).</w:t>
            </w:r>
          </w:p>
        </w:tc>
      </w:tr>
      <w:tr>
        <w:trPr>
          <w:trHeight w:val="295"/>
        </w:trPr>
        <w:tc>
          <w:tcPr>
            <w:tcW w:w="1020" w:type="dxa"/>
            <w:vAlign w:val="bottom"/>
            <w:gridSpan w:val="2"/>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 xml:space="preserve">Second Amendment to the Fifth Amended and Restated Credit Agreement entered into on March 15, 2021.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w:t>
            </w:r>
          </w:p>
        </w:tc>
      </w:t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Exhibit 10.9 to IMAX Corporation’s Form 8-K dated as of March 15, 2021 (File No. 001-35066).</w:t>
            </w:r>
          </w:p>
        </w:tc>
        <w:tc>
          <w:tcPr>
            <w:tcW w:w="2460" w:type="dxa"/>
            <w:vAlign w:val="bottom"/>
            <w:gridSpan w:val="10"/>
          </w:tcPr>
          <w:p>
            <w:pPr>
              <w:spacing w:after="0"/>
              <w:rPr>
                <w:sz w:val="20"/>
                <w:szCs w:val="20"/>
                <w:color w:val="auto"/>
              </w:rPr>
            </w:pPr>
          </w:p>
        </w:tc>
      </w:tr>
      <w:tr>
        <w:trPr>
          <w:trHeight w:val="295"/>
        </w:trPr>
        <w:tc>
          <w:tcPr>
            <w:tcW w:w="1020" w:type="dxa"/>
            <w:vAlign w:val="bottom"/>
            <w:gridSpan w:val="2"/>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Services Agreement Amendment, dated March 30, 2021, between IMAX Corporation and Bradley J. Wechsler.</w:t>
              </w:r>
            </w:hyperlink>
          </w:p>
        </w:tc>
      </w:tr>
      <w:tr>
        <w:trPr>
          <w:trHeight w:val="5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20" w:type="dxa"/>
            <w:vAlign w:val="bottom"/>
            <w:tcBorders>
              <w:top w:val="single" w:sz="8" w:color="0000EE"/>
            </w:tcBorders>
            <w:gridSpan w:val="2"/>
          </w:tcPr>
          <w:p>
            <w:pPr>
              <w:ind w:left="4400"/>
              <w:spacing w:after="0"/>
              <w:rPr>
                <w:sz w:val="20"/>
                <w:szCs w:val="20"/>
                <w:color w:val="auto"/>
              </w:rPr>
            </w:pPr>
            <w:r>
              <w:rPr>
                <w:rFonts w:ascii="Arial" w:cs="Arial" w:eastAsia="Arial" w:hAnsi="Arial"/>
                <w:sz w:val="18"/>
                <w:szCs w:val="18"/>
                <w:color w:val="auto"/>
              </w:rPr>
              <w:t>77</w:t>
            </w:r>
          </w:p>
        </w:tc>
        <w:tc>
          <w:tcPr>
            <w:tcW w:w="7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10040" w:type="dxa"/>
            <w:vAlign w:val="bottom"/>
            <w:gridSpan w:val="6"/>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Form of IMAX Corporation Second Amended and Restated Long-Term Incentive Plan Restricted Stock Unit Award Agreement.</w:t>
              </w:r>
            </w:hyperlink>
          </w:p>
        </w:tc>
      </w:tr>
      <w:tr>
        <w:trPr>
          <w:trHeight w:val="20"/>
        </w:trPr>
        <w:tc>
          <w:tcPr>
            <w:tcW w:w="1140" w:type="dxa"/>
            <w:vAlign w:val="bottom"/>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4"/>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10040" w:type="dxa"/>
            <w:vAlign w:val="bottom"/>
            <w:gridSpan w:val="6"/>
          </w:tcPr>
          <w:p>
            <w:pPr>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Form of IMAX Corporation Second Amended and Restated Long-Term Incentive Plan Performance Stock Unit Award Agreement.</w:t>
              </w:r>
            </w:hyperlink>
          </w:p>
        </w:tc>
      </w:tr>
      <w:tr>
        <w:trPr>
          <w:trHeight w:val="20"/>
        </w:trPr>
        <w:tc>
          <w:tcPr>
            <w:tcW w:w="1140" w:type="dxa"/>
            <w:vAlign w:val="bottom"/>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4"/>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10040" w:type="dxa"/>
            <w:vAlign w:val="bottom"/>
            <w:gridSpan w:val="6"/>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 xml:space="preserve">Statement of Directors’ Compensation, dated January 12, 2021. </w:t>
              </w:r>
            </w:hyperlink>
            <w:r>
              <w:rPr>
                <w:rFonts w:ascii="Arial" w:cs="Arial" w:eastAsia="Arial" w:hAnsi="Arial"/>
                <w:sz w:val="18"/>
                <w:szCs w:val="18"/>
                <w:color w:val="000000"/>
                <w:w w:val="90"/>
              </w:rPr>
              <w:t>Incorporated</w:t>
            </w:r>
            <w:r>
              <w:rPr>
                <w:rFonts w:ascii="Arial" w:cs="Arial" w:eastAsia="Arial" w:hAnsi="Arial"/>
                <w:sz w:val="18"/>
                <w:szCs w:val="18"/>
                <w:color w:val="0000EE"/>
                <w:w w:val="90"/>
              </w:rPr>
              <w:t xml:space="preserve"> </w:t>
            </w:r>
            <w:r>
              <w:rPr>
                <w:rFonts w:ascii="Arial" w:cs="Arial" w:eastAsia="Arial" w:hAnsi="Arial"/>
                <w:sz w:val="18"/>
                <w:szCs w:val="18"/>
                <w:color w:val="000000"/>
                <w:w w:val="90"/>
              </w:rPr>
              <w:t>by reference to Exhibit 10.43 to IMAX Corporation’s Form 10-</w:t>
            </w:r>
          </w:p>
        </w:tc>
      </w:tr>
      <w:tr>
        <w:trPr>
          <w:trHeight w:val="232"/>
        </w:trPr>
        <w:tc>
          <w:tcPr>
            <w:tcW w:w="1140" w:type="dxa"/>
            <w:vAlign w:val="bottom"/>
          </w:tcPr>
          <w:p>
            <w:pPr>
              <w:spacing w:after="0"/>
              <w:rPr>
                <w:sz w:val="20"/>
                <w:szCs w:val="20"/>
                <w:color w:val="auto"/>
              </w:rPr>
            </w:pPr>
          </w:p>
        </w:tc>
        <w:tc>
          <w:tcPr>
            <w:tcW w:w="45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K filed on March 4, 2021 (File No. 001-35066).</w:t>
            </w:r>
          </w:p>
        </w:tc>
        <w:tc>
          <w:tcPr>
            <w:tcW w:w="5500" w:type="dxa"/>
            <w:vAlign w:val="bottom"/>
            <w:gridSpan w:val="5"/>
          </w:tcPr>
          <w:p>
            <w:pPr>
              <w:spacing w:after="0"/>
              <w:rPr>
                <w:sz w:val="20"/>
                <w:szCs w:val="20"/>
                <w:color w:val="auto"/>
              </w:rPr>
            </w:pPr>
          </w:p>
        </w:tc>
      </w:tr>
      <w:tr>
        <w:trPr>
          <w:trHeight w:val="295"/>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040" w:type="dxa"/>
            <w:vAlign w:val="bottom"/>
            <w:gridSpan w:val="6"/>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Certification Pursuant to Section 302 of the Sarbanes-Oxley Act of 2002, dated April 29, 2021, by Richard L. Gelfond.</w:t>
              </w:r>
            </w:hyperlink>
          </w:p>
        </w:tc>
      </w:tr>
      <w:tr>
        <w:trPr>
          <w:trHeight w:val="20"/>
        </w:trPr>
        <w:tc>
          <w:tcPr>
            <w:tcW w:w="1140" w:type="dxa"/>
            <w:vAlign w:val="bottom"/>
          </w:tcPr>
          <w:p>
            <w:pPr>
              <w:spacing w:after="0" w:line="20" w:lineRule="exact"/>
              <w:rPr>
                <w:sz w:val="1"/>
                <w:szCs w:val="1"/>
                <w:color w:val="auto"/>
              </w:rPr>
            </w:pPr>
          </w:p>
        </w:tc>
        <w:tc>
          <w:tcPr>
            <w:tcW w:w="8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r>
      <w:tr>
        <w:trPr>
          <w:trHeight w:val="314"/>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Certification Pursuant to Section 302 of the Sarbanes-Oxley Act of 2002, dated April 29, 2021, by Patrick McClymont.</w:t>
              </w:r>
            </w:hyperlink>
          </w:p>
        </w:tc>
      </w:tr>
      <w:tr>
        <w:trPr>
          <w:trHeight w:val="314"/>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8500" w:type="dxa"/>
            <w:vAlign w:val="bottom"/>
            <w:tcBorders>
              <w:top w:val="single" w:sz="8" w:color="0000EE"/>
            </w:tcBorders>
            <w:gridSpan w:val="3"/>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Certification Pursuant to Section 906 of the Sarbanes-Oxley Act of 2002, dated April 29, 2021, by Richard L. Gelfond.</w:t>
              </w:r>
            </w:hyperlink>
          </w:p>
        </w:tc>
        <w:tc>
          <w:tcPr>
            <w:tcW w:w="1540" w:type="dxa"/>
            <w:vAlign w:val="bottom"/>
            <w:gridSpan w:val="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8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r>
      <w:tr>
        <w:trPr>
          <w:trHeight w:val="314"/>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10040" w:type="dxa"/>
            <w:vAlign w:val="bottom"/>
            <w:gridSpan w:val="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Certification Pursuant to Section 906 of the Sarbanes-Oxley Act of 2002, dated April 29, 2021, by Patrick McClymont.</w:t>
              </w:r>
            </w:hyperlink>
          </w:p>
        </w:tc>
      </w:tr>
      <w:tr>
        <w:trPr>
          <w:trHeight w:val="20"/>
        </w:trPr>
        <w:tc>
          <w:tcPr>
            <w:tcW w:w="1140" w:type="dxa"/>
            <w:vAlign w:val="bottom"/>
          </w:tcPr>
          <w:p>
            <w:pPr>
              <w:spacing w:after="0" w:line="20" w:lineRule="exact"/>
              <w:rPr>
                <w:sz w:val="1"/>
                <w:szCs w:val="1"/>
                <w:color w:val="auto"/>
              </w:rPr>
            </w:pPr>
          </w:p>
        </w:tc>
        <w:tc>
          <w:tcPr>
            <w:tcW w:w="8500" w:type="dxa"/>
            <w:vAlign w:val="bottom"/>
            <w:gridSpan w:val="3"/>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r>
      <w:tr>
        <w:trPr>
          <w:trHeight w:val="340"/>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6"/>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27"/>
        </w:trPr>
        <w:tc>
          <w:tcPr>
            <w:tcW w:w="1140" w:type="dxa"/>
            <w:vAlign w:val="bottom"/>
          </w:tcPr>
          <w:p>
            <w:pPr>
              <w:spacing w:after="0"/>
              <w:rPr>
                <w:sz w:val="19"/>
                <w:szCs w:val="19"/>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334"/>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4"/>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4"/>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4"/>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4"/>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4"/>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4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contract or arrangement.</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7740" w:type="dxa"/>
            <w:vAlign w:val="bottom"/>
            <w:gridSpan w:val="2"/>
          </w:tcPr>
          <w:p>
            <w:pPr>
              <w:ind w:left="2100"/>
              <w:spacing w:after="0"/>
              <w:rPr>
                <w:sz w:val="20"/>
                <w:szCs w:val="20"/>
                <w:color w:val="auto"/>
              </w:rPr>
            </w:pPr>
            <w:r>
              <w:rPr>
                <w:rFonts w:ascii="Arial" w:cs="Arial" w:eastAsia="Arial" w:hAnsi="Arial"/>
                <w:sz w:val="18"/>
                <w:szCs w:val="18"/>
                <w:color w:val="auto"/>
              </w:rPr>
              <w:t>IMAX CORPORATION</w:t>
            </w:r>
          </w:p>
        </w:tc>
      </w:tr>
      <w:tr>
        <w:trPr>
          <w:trHeight w:val="428"/>
        </w:trPr>
        <w:tc>
          <w:tcPr>
            <w:tcW w:w="3500" w:type="dxa"/>
            <w:vAlign w:val="bottom"/>
          </w:tcPr>
          <w:p>
            <w:pPr>
              <w:spacing w:after="0"/>
              <w:rPr>
                <w:sz w:val="20"/>
                <w:szCs w:val="20"/>
                <w:color w:val="auto"/>
              </w:rPr>
            </w:pPr>
            <w:r>
              <w:rPr>
                <w:rFonts w:ascii="Arial" w:cs="Arial" w:eastAsia="Arial" w:hAnsi="Arial"/>
                <w:sz w:val="18"/>
                <w:szCs w:val="18"/>
                <w:color w:val="auto"/>
              </w:rPr>
              <w:t>Date: April 29, 2021</w:t>
            </w:r>
          </w:p>
        </w:tc>
        <w:tc>
          <w:tcPr>
            <w:tcW w:w="2500" w:type="dxa"/>
            <w:vAlign w:val="bottom"/>
          </w:tcPr>
          <w:p>
            <w:pPr>
              <w:ind w:left="21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PATRICK MCCLYMONT</w:t>
            </w:r>
          </w:p>
        </w:tc>
      </w:tr>
      <w:tr>
        <w:trPr>
          <w:trHeight w:val="193"/>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Pr>
          <w:p>
            <w:pPr>
              <w:jc w:val="center"/>
              <w:spacing w:after="0" w:line="194" w:lineRule="exact"/>
              <w:rPr>
                <w:sz w:val="20"/>
                <w:szCs w:val="20"/>
                <w:color w:val="auto"/>
              </w:rPr>
            </w:pPr>
            <w:r>
              <w:rPr>
                <w:rFonts w:ascii="Arial" w:cs="Arial" w:eastAsia="Arial" w:hAnsi="Arial"/>
                <w:sz w:val="18"/>
                <w:szCs w:val="18"/>
                <w:color w:val="auto"/>
                <w:w w:val="93"/>
              </w:rPr>
              <w:t>Patrick McClymont</w:t>
            </w:r>
          </w:p>
        </w:tc>
      </w:tr>
      <w:tr>
        <w:trPr>
          <w:trHeight w:val="214"/>
        </w:trPr>
        <w:tc>
          <w:tcPr>
            <w:tcW w:w="3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2"/>
              </w:rPr>
              <w:t>Executive Vice-President &amp; Chief Financial Officer</w:t>
            </w:r>
          </w:p>
        </w:tc>
      </w:tr>
      <w:tr>
        <w:trPr>
          <w:trHeight w:val="227"/>
        </w:trPr>
        <w:tc>
          <w:tcPr>
            <w:tcW w:w="3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(Principal Financial Officer)</w:t>
            </w:r>
          </w:p>
        </w:tc>
      </w:tr>
      <w:tr>
        <w:trPr>
          <w:trHeight w:val="428"/>
        </w:trPr>
        <w:tc>
          <w:tcPr>
            <w:tcW w:w="3500" w:type="dxa"/>
            <w:vAlign w:val="bottom"/>
          </w:tcPr>
          <w:p>
            <w:pPr>
              <w:spacing w:after="0"/>
              <w:rPr>
                <w:sz w:val="20"/>
                <w:szCs w:val="20"/>
                <w:color w:val="auto"/>
              </w:rPr>
            </w:pPr>
            <w:r>
              <w:rPr>
                <w:rFonts w:ascii="Arial" w:cs="Arial" w:eastAsia="Arial" w:hAnsi="Arial"/>
                <w:sz w:val="18"/>
                <w:szCs w:val="18"/>
                <w:color w:val="auto"/>
              </w:rPr>
              <w:t>Date: April 29, 2021</w:t>
            </w:r>
          </w:p>
        </w:tc>
        <w:tc>
          <w:tcPr>
            <w:tcW w:w="2500" w:type="dxa"/>
            <w:vAlign w:val="bottom"/>
          </w:tcPr>
          <w:p>
            <w:pPr>
              <w:ind w:left="21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KEVIN M. DELANEY</w:t>
            </w:r>
          </w:p>
        </w:tc>
      </w:tr>
      <w:tr>
        <w:trPr>
          <w:trHeight w:val="193"/>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Pr>
          <w:p>
            <w:pPr>
              <w:jc w:val="center"/>
              <w:spacing w:after="0" w:line="194" w:lineRule="exact"/>
              <w:rPr>
                <w:sz w:val="20"/>
                <w:szCs w:val="20"/>
                <w:color w:val="auto"/>
              </w:rPr>
            </w:pPr>
            <w:r>
              <w:rPr>
                <w:rFonts w:ascii="Arial" w:cs="Arial" w:eastAsia="Arial" w:hAnsi="Arial"/>
                <w:sz w:val="18"/>
                <w:szCs w:val="18"/>
                <w:color w:val="auto"/>
                <w:w w:val="93"/>
              </w:rPr>
              <w:t>Kevin M. Delaney</w:t>
            </w:r>
          </w:p>
        </w:tc>
      </w:tr>
      <w:tr>
        <w:trPr>
          <w:trHeight w:val="214"/>
        </w:trPr>
        <w:tc>
          <w:tcPr>
            <w:tcW w:w="3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Senior Vice-President, Finance &amp; Controller</w:t>
            </w:r>
          </w:p>
        </w:tc>
      </w:tr>
      <w:tr>
        <w:trPr>
          <w:trHeight w:val="227"/>
        </w:trPr>
        <w:tc>
          <w:tcPr>
            <w:tcW w:w="3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r>
      <w:tr>
        <w:trPr>
          <w:trHeight w:val="641"/>
        </w:trPr>
        <w:tc>
          <w:tcPr>
            <w:tcW w:w="3500" w:type="dxa"/>
            <w:vAlign w:val="bottom"/>
          </w:tcPr>
          <w:p>
            <w:pPr>
              <w:spacing w:after="0"/>
              <w:rPr>
                <w:sz w:val="24"/>
                <w:szCs w:val="24"/>
                <w:color w:val="auto"/>
              </w:rPr>
            </w:pPr>
          </w:p>
        </w:tc>
        <w:tc>
          <w:tcPr>
            <w:tcW w:w="2500" w:type="dxa"/>
            <w:vAlign w:val="bottom"/>
          </w:tcPr>
          <w:p>
            <w:pPr>
              <w:jc w:val="right"/>
              <w:ind w:right="191"/>
              <w:spacing w:after="0"/>
              <w:rPr>
                <w:sz w:val="20"/>
                <w:szCs w:val="20"/>
                <w:color w:val="auto"/>
              </w:rPr>
            </w:pPr>
            <w:r>
              <w:rPr>
                <w:rFonts w:ascii="Arial" w:cs="Arial" w:eastAsia="Arial" w:hAnsi="Arial"/>
                <w:sz w:val="18"/>
                <w:szCs w:val="18"/>
                <w:color w:val="auto"/>
              </w:rPr>
              <w:t>79</w:t>
            </w:r>
          </w:p>
        </w:tc>
        <w:tc>
          <w:tcPr>
            <w:tcW w:w="5240" w:type="dxa"/>
            <w:vAlign w:val="bottom"/>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79" w:name="page80"/>
    <w:bookmarkEnd w:id="79"/>
    <w:p>
      <w:pPr>
        <w:jc w:val="center"/>
        <w:ind w:right="-139"/>
        <w:spacing w:after="0"/>
        <w:rPr>
          <w:sz w:val="20"/>
          <w:szCs w:val="20"/>
          <w:color w:val="auto"/>
        </w:rPr>
      </w:pPr>
      <w:r>
        <w:rPr>
          <w:rFonts w:ascii="Arial" w:cs="Arial" w:eastAsia="Arial" w:hAnsi="Arial"/>
          <w:sz w:val="21"/>
          <w:szCs w:val="21"/>
          <w:b w:val="1"/>
          <w:bCs w:val="1"/>
          <w:color w:val="auto"/>
        </w:rPr>
        <w:t>IMAX CORPORATION</w:t>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25"/>
          <w:szCs w:val="25"/>
          <w:color w:val="auto"/>
        </w:rPr>
        <w:t>Exhibit 10.10</w:t>
      </w:r>
    </w:p>
    <w:p>
      <w:pPr>
        <w:spacing w:after="0" w:line="200" w:lineRule="exact"/>
        <w:rPr>
          <w:sz w:val="20"/>
          <w:szCs w:val="20"/>
          <w:color w:val="auto"/>
        </w:rPr>
      </w:pPr>
    </w:p>
    <w:p>
      <w:pPr>
        <w:spacing w:after="0" w:line="229" w:lineRule="exact"/>
        <w:rPr>
          <w:sz w:val="20"/>
          <w:szCs w:val="20"/>
          <w:color w:val="auto"/>
        </w:rPr>
      </w:pPr>
    </w:p>
    <w:p>
      <w:pPr>
        <w:ind w:left="1580"/>
        <w:spacing w:after="0"/>
        <w:rPr>
          <w:sz w:val="20"/>
          <w:szCs w:val="20"/>
          <w:color w:val="auto"/>
        </w:rPr>
      </w:pPr>
      <w:r>
        <w:rPr>
          <w:rFonts w:ascii="Arial" w:cs="Arial" w:eastAsia="Arial" w:hAnsi="Arial"/>
          <w:sz w:val="21"/>
          <w:szCs w:val="21"/>
          <w:color w:val="auto"/>
        </w:rPr>
        <w:t>March 30, 2021</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VIA EMAIL</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To: Bradley J. Wechsler</w:t>
      </w:r>
    </w:p>
    <w:p>
      <w:pPr>
        <w:spacing w:after="0" w:line="207" w:lineRule="exact"/>
        <w:rPr>
          <w:sz w:val="20"/>
          <w:szCs w:val="20"/>
          <w:color w:val="auto"/>
        </w:rPr>
      </w:pPr>
    </w:p>
    <w:p>
      <w:pPr>
        <w:ind w:left="1580"/>
        <w:spacing w:after="0"/>
        <w:rPr>
          <w:sz w:val="20"/>
          <w:szCs w:val="20"/>
          <w:color w:val="auto"/>
        </w:rPr>
      </w:pPr>
      <w:r>
        <w:rPr>
          <w:rFonts w:ascii="Arial" w:cs="Arial" w:eastAsia="Arial" w:hAnsi="Arial"/>
          <w:sz w:val="21"/>
          <w:szCs w:val="21"/>
          <w:b w:val="1"/>
          <w:bCs w:val="1"/>
          <w:u w:val="single" w:color="auto"/>
          <w:color w:val="auto"/>
        </w:rPr>
        <w:t>Re: Your Service as Chairman of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Dear Brad:</w:t>
      </w:r>
    </w:p>
    <w:p>
      <w:pPr>
        <w:spacing w:after="0" w:line="213" w:lineRule="exact"/>
        <w:rPr>
          <w:sz w:val="20"/>
          <w:szCs w:val="20"/>
          <w:color w:val="auto"/>
        </w:rPr>
      </w:pPr>
    </w:p>
    <w:p>
      <w:pPr>
        <w:ind w:right="120"/>
        <w:spacing w:after="0" w:line="269" w:lineRule="auto"/>
        <w:rPr>
          <w:sz w:val="20"/>
          <w:szCs w:val="20"/>
          <w:color w:val="auto"/>
        </w:rPr>
      </w:pPr>
      <w:r>
        <w:rPr>
          <w:rFonts w:ascii="Arial" w:cs="Arial" w:eastAsia="Arial" w:hAnsi="Arial"/>
          <w:sz w:val="21"/>
          <w:szCs w:val="21"/>
          <w:color w:val="auto"/>
        </w:rPr>
        <w:t>I am writing to confirm our agreement with respect to your service as Chairman of the Board of Directors of IMAX Corporation (“IMAX” or the “Company”). We have agreed as follows:</w:t>
      </w:r>
    </w:p>
    <w:p>
      <w:pPr>
        <w:spacing w:after="0" w:line="153" w:lineRule="exact"/>
        <w:rPr>
          <w:sz w:val="20"/>
          <w:szCs w:val="20"/>
          <w:color w:val="auto"/>
        </w:rPr>
      </w:pPr>
    </w:p>
    <w:p>
      <w:pPr>
        <w:ind w:left="940" w:right="440" w:hanging="466"/>
        <w:spacing w:after="0" w:line="269" w:lineRule="auto"/>
        <w:tabs>
          <w:tab w:leader="none" w:pos="940" w:val="left"/>
        </w:tabs>
        <w:numPr>
          <w:ilvl w:val="0"/>
          <w:numId w:val="45"/>
        </w:numPr>
        <w:rPr>
          <w:rFonts w:ascii="Arial" w:cs="Arial" w:eastAsia="Arial" w:hAnsi="Arial"/>
          <w:sz w:val="21"/>
          <w:szCs w:val="21"/>
          <w:color w:val="auto"/>
        </w:rPr>
      </w:pPr>
      <w:r>
        <w:rPr>
          <w:rFonts w:ascii="Arial" w:cs="Arial" w:eastAsia="Arial" w:hAnsi="Arial"/>
          <w:sz w:val="21"/>
          <w:szCs w:val="21"/>
          <w:color w:val="auto"/>
        </w:rPr>
        <w:t>You have notified the Company that you will step down as Chairman of the Board of IMAX following the annual shareholders’ meeting scheduled for June 9, 2021 (the “Shareholders’ Meeting”).</w:t>
      </w:r>
    </w:p>
    <w:p>
      <w:pPr>
        <w:spacing w:after="0" w:line="153" w:lineRule="exact"/>
        <w:rPr>
          <w:rFonts w:ascii="Arial" w:cs="Arial" w:eastAsia="Arial" w:hAnsi="Arial"/>
          <w:sz w:val="21"/>
          <w:szCs w:val="21"/>
          <w:color w:val="auto"/>
        </w:rPr>
      </w:pPr>
    </w:p>
    <w:p>
      <w:pPr>
        <w:ind w:left="940" w:hanging="466"/>
        <w:spacing w:after="0" w:line="323" w:lineRule="auto"/>
        <w:tabs>
          <w:tab w:leader="none" w:pos="9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You have notified the Company that you will not run for reelection to IMAX’s Board, so your service as a director will end upon conclusion of the Shareholders’ Meeting. You will serve as Chairman during the Shareholders’ Meeting.</w:t>
      </w:r>
    </w:p>
    <w:p>
      <w:pPr>
        <w:spacing w:after="0" w:line="106" w:lineRule="exact"/>
        <w:rPr>
          <w:rFonts w:ascii="Arial" w:cs="Arial" w:eastAsia="Arial" w:hAnsi="Arial"/>
          <w:sz w:val="19"/>
          <w:szCs w:val="19"/>
          <w:color w:val="auto"/>
        </w:rPr>
      </w:pPr>
    </w:p>
    <w:p>
      <w:pPr>
        <w:jc w:val="both"/>
        <w:ind w:left="940" w:right="540" w:hanging="466"/>
        <w:spacing w:after="0" w:line="273" w:lineRule="auto"/>
        <w:tabs>
          <w:tab w:leader="none" w:pos="9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the press contacts the Company about your stepping down as Chairman or your departure from the Board, the Company will let you know and will give you the opportunity to comment. If the press contacts you about these matters, you will inform the Company and will give the Company the opportunity to comment.</w:t>
      </w:r>
    </w:p>
    <w:p>
      <w:pPr>
        <w:spacing w:after="0" w:line="150" w:lineRule="exact"/>
        <w:rPr>
          <w:rFonts w:ascii="Arial" w:cs="Arial" w:eastAsia="Arial" w:hAnsi="Arial"/>
          <w:sz w:val="20"/>
          <w:szCs w:val="20"/>
          <w:color w:val="auto"/>
        </w:rPr>
      </w:pPr>
    </w:p>
    <w:p>
      <w:pPr>
        <w:ind w:left="940" w:right="60" w:hanging="466"/>
        <w:spacing w:after="0" w:line="254" w:lineRule="auto"/>
        <w:tabs>
          <w:tab w:leader="none" w:pos="940"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Services Agreement between the Company and you dated as of December 11, 2008, as amended by an Amending Agreement dated as of February 14, 2011 and an Amending Agreement No. 2 dated as of April 1, 2013 (collectively, the “Services Agreement”), shall terminate following the Shareholders’ Meeting.</w:t>
      </w:r>
    </w:p>
    <w:p>
      <w:pPr>
        <w:spacing w:after="0" w:line="168" w:lineRule="exact"/>
        <w:rPr>
          <w:rFonts w:ascii="Arial" w:cs="Arial" w:eastAsia="Arial" w:hAnsi="Arial"/>
          <w:sz w:val="21"/>
          <w:szCs w:val="21"/>
          <w:color w:val="auto"/>
        </w:rPr>
      </w:pPr>
    </w:p>
    <w:p>
      <w:pPr>
        <w:ind w:left="1400" w:right="1680" w:hanging="926"/>
        <w:spacing w:after="0" w:line="518" w:lineRule="auto"/>
        <w:tabs>
          <w:tab w:leader="none" w:pos="933" w:val="left"/>
        </w:tabs>
        <w:numPr>
          <w:ilvl w:val="0"/>
          <w:numId w:val="45"/>
        </w:numPr>
        <w:rPr>
          <w:rFonts w:ascii="Arial" w:cs="Arial" w:eastAsia="Arial" w:hAnsi="Arial"/>
          <w:sz w:val="20"/>
          <w:szCs w:val="20"/>
          <w:color w:val="auto"/>
        </w:rPr>
      </w:pPr>
      <w:r>
        <w:rPr>
          <w:rFonts w:ascii="Arial" w:cs="Arial" w:eastAsia="Arial" w:hAnsi="Arial"/>
          <w:sz w:val="20"/>
          <w:szCs w:val="20"/>
          <w:color w:val="auto"/>
        </w:rPr>
        <w:t>Notwithstanding the termination of the Services Agreement on June 9, 2021, the Company will: a. continue to provide you with your current medical benefits through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717613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00"/>
          </w:cols>
          <w:pgMar w:left="320" w:top="326" w:right="479" w:bottom="1440" w:gutter="0" w:footer="0" w:header="0"/>
        </w:sectPr>
      </w:pPr>
    </w:p>
    <w:bookmarkStart w:id="80" w:name="page81"/>
    <w:bookmarkEnd w:id="80"/>
    <w:p>
      <w:pPr>
        <w:spacing w:after="0"/>
        <w:rPr>
          <w:sz w:val="20"/>
          <w:szCs w:val="20"/>
          <w:color w:val="auto"/>
        </w:rPr>
      </w:pPr>
      <w:r>
        <w:rPr>
          <w:rFonts w:ascii="Arial" w:cs="Arial" w:eastAsia="Arial" w:hAnsi="Arial"/>
          <w:sz w:val="21"/>
          <w:szCs w:val="21"/>
          <w:color w:val="auto"/>
        </w:rPr>
        <w:t>Bradley J. Wechsler</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March 30, 2021</w:t>
      </w:r>
    </w:p>
    <w:p>
      <w:pPr>
        <w:spacing w:after="0"/>
        <w:rPr>
          <w:sz w:val="20"/>
          <w:szCs w:val="20"/>
          <w:color w:val="auto"/>
        </w:rPr>
      </w:pPr>
      <w:r>
        <w:rPr>
          <w:rFonts w:ascii="Arial" w:cs="Arial" w:eastAsia="Arial" w:hAnsi="Arial"/>
          <w:sz w:val="21"/>
          <w:szCs w:val="21"/>
          <w:color w:val="auto"/>
        </w:rPr>
        <w:t>Page 2</w:t>
      </w:r>
    </w:p>
    <w:p>
      <w:pPr>
        <w:spacing w:after="0" w:line="195" w:lineRule="exact"/>
        <w:rPr>
          <w:sz w:val="20"/>
          <w:szCs w:val="20"/>
          <w:color w:val="auto"/>
        </w:rPr>
      </w:pPr>
    </w:p>
    <w:p>
      <w:pPr>
        <w:ind w:left="1880" w:right="100" w:hanging="471"/>
        <w:spacing w:after="0" w:line="269" w:lineRule="auto"/>
        <w:tabs>
          <w:tab w:leader="none" w:pos="1880" w:val="left"/>
        </w:tabs>
        <w:numPr>
          <w:ilvl w:val="1"/>
          <w:numId w:val="46"/>
        </w:numPr>
        <w:rPr>
          <w:rFonts w:ascii="Arial" w:cs="Arial" w:eastAsia="Arial" w:hAnsi="Arial"/>
          <w:sz w:val="21"/>
          <w:szCs w:val="21"/>
          <w:color w:val="auto"/>
        </w:rPr>
      </w:pPr>
      <w:r>
        <w:rPr>
          <w:rFonts w:ascii="Arial" w:cs="Arial" w:eastAsia="Arial" w:hAnsi="Arial"/>
          <w:sz w:val="21"/>
          <w:szCs w:val="21"/>
          <w:color w:val="auto"/>
        </w:rPr>
        <w:t>continue to pay your car lease and reasonable automobile expenses through the end of your current car lease (the “Lease End”);</w:t>
      </w:r>
    </w:p>
    <w:p>
      <w:pPr>
        <w:spacing w:after="0" w:line="153" w:lineRule="exact"/>
        <w:rPr>
          <w:rFonts w:ascii="Arial" w:cs="Arial" w:eastAsia="Arial" w:hAnsi="Arial"/>
          <w:sz w:val="21"/>
          <w:szCs w:val="21"/>
          <w:color w:val="auto"/>
        </w:rPr>
      </w:pPr>
    </w:p>
    <w:p>
      <w:pPr>
        <w:ind w:left="1880" w:right="300" w:hanging="471"/>
        <w:spacing w:after="0" w:line="269" w:lineRule="auto"/>
        <w:tabs>
          <w:tab w:leader="none" w:pos="1880" w:val="left"/>
        </w:tabs>
        <w:numPr>
          <w:ilvl w:val="1"/>
          <w:numId w:val="46"/>
        </w:numPr>
        <w:rPr>
          <w:rFonts w:ascii="Arial" w:cs="Arial" w:eastAsia="Arial" w:hAnsi="Arial"/>
          <w:sz w:val="21"/>
          <w:szCs w:val="21"/>
          <w:color w:val="auto"/>
        </w:rPr>
      </w:pPr>
      <w:r>
        <w:rPr>
          <w:rFonts w:ascii="Arial" w:cs="Arial" w:eastAsia="Arial" w:hAnsi="Arial"/>
          <w:sz w:val="21"/>
          <w:szCs w:val="21"/>
          <w:color w:val="auto"/>
        </w:rPr>
        <w:t>make an up-front payment to you within thirty (30) days to cover your garage expenses through the Lease End; and</w:t>
      </w:r>
    </w:p>
    <w:p>
      <w:pPr>
        <w:spacing w:after="0" w:line="153" w:lineRule="exact"/>
        <w:rPr>
          <w:rFonts w:ascii="Arial" w:cs="Arial" w:eastAsia="Arial" w:hAnsi="Arial"/>
          <w:sz w:val="21"/>
          <w:szCs w:val="21"/>
          <w:color w:val="auto"/>
        </w:rPr>
      </w:pPr>
    </w:p>
    <w:p>
      <w:pPr>
        <w:ind w:left="1880" w:hanging="471"/>
        <w:spacing w:after="0"/>
        <w:tabs>
          <w:tab w:leader="none" w:pos="18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allow you a reasonable amount of time to transfer email and phone contacts from your IMAX accounts.</w:t>
      </w:r>
    </w:p>
    <w:p>
      <w:pPr>
        <w:spacing w:after="0" w:line="224" w:lineRule="exact"/>
        <w:rPr>
          <w:rFonts w:ascii="Arial" w:cs="Arial" w:eastAsia="Arial" w:hAnsi="Arial"/>
          <w:sz w:val="20"/>
          <w:szCs w:val="20"/>
          <w:color w:val="auto"/>
        </w:rPr>
      </w:pPr>
    </w:p>
    <w:p>
      <w:pPr>
        <w:ind w:left="940" w:hanging="466"/>
        <w:spacing w:after="0"/>
        <w:tabs>
          <w:tab w:leader="none" w:pos="9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Company agrees not to offer employment to your executive assistant.</w:t>
      </w:r>
    </w:p>
    <w:p>
      <w:pPr>
        <w:spacing w:after="0" w:line="212" w:lineRule="exact"/>
        <w:rPr>
          <w:rFonts w:ascii="Arial" w:cs="Arial" w:eastAsia="Arial" w:hAnsi="Arial"/>
          <w:sz w:val="21"/>
          <w:szCs w:val="21"/>
          <w:color w:val="auto"/>
        </w:rPr>
      </w:pPr>
    </w:p>
    <w:p>
      <w:pPr>
        <w:ind w:left="940" w:right="580" w:hanging="466"/>
        <w:spacing w:after="0" w:line="269" w:lineRule="auto"/>
        <w:tabs>
          <w:tab w:leader="none" w:pos="9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You agree to continue to maintain in the strictest confidence all confidential information concerning or relating to IMAX, and not to use or disclose any such information for as long as it remains confidential.</w:t>
      </w:r>
    </w:p>
    <w:p>
      <w:pPr>
        <w:spacing w:after="0" w:line="153" w:lineRule="exact"/>
        <w:rPr>
          <w:rFonts w:ascii="Arial" w:cs="Arial" w:eastAsia="Arial" w:hAnsi="Arial"/>
          <w:sz w:val="21"/>
          <w:szCs w:val="21"/>
          <w:color w:val="auto"/>
        </w:rPr>
      </w:pPr>
    </w:p>
    <w:p>
      <w:pPr>
        <w:ind w:left="940" w:hanging="466"/>
        <w:spacing w:after="0" w:line="254" w:lineRule="auto"/>
        <w:tabs>
          <w:tab w:leader="none" w:pos="9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Notwithstanding anything to the contrary herein, this letter agreement shall not affect any rights or obligations under any provision of your previously expired July 1, 1998 employment agreement, as amended, that was intended to survive termination.</w:t>
      </w:r>
    </w:p>
    <w:p>
      <w:pPr>
        <w:spacing w:after="0" w:line="168" w:lineRule="exact"/>
        <w:rPr>
          <w:rFonts w:ascii="Arial" w:cs="Arial" w:eastAsia="Arial" w:hAnsi="Arial"/>
          <w:sz w:val="21"/>
          <w:szCs w:val="21"/>
          <w:color w:val="auto"/>
        </w:rPr>
      </w:pPr>
    </w:p>
    <w:p>
      <w:pPr>
        <w:ind w:left="940" w:hanging="466"/>
        <w:spacing w:after="0"/>
        <w:tabs>
          <w:tab w:leader="none" w:pos="9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In consideration of the terms set out in this agreement:</w:t>
      </w:r>
    </w:p>
    <w:p>
      <w:pPr>
        <w:spacing w:after="0" w:line="212" w:lineRule="exact"/>
        <w:rPr>
          <w:rFonts w:ascii="Arial" w:cs="Arial" w:eastAsia="Arial" w:hAnsi="Arial"/>
          <w:sz w:val="21"/>
          <w:szCs w:val="21"/>
          <w:color w:val="auto"/>
        </w:rPr>
      </w:pPr>
    </w:p>
    <w:p>
      <w:pPr>
        <w:ind w:left="1880" w:right="20" w:hanging="471"/>
        <w:spacing w:after="0" w:line="258" w:lineRule="auto"/>
        <w:tabs>
          <w:tab w:leader="none" w:pos="18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you, on behalf of yourself, your heirs, administrators and assigns, hereby release and forever discharge IMAX, its subsidiaries and affiliates and each of its and their respective officers, directors, employees, servants and agents, and their successors and assigns jointly and severally from any and all actions, causes of action, complaints, contracts and covenants, whether express or implied, claims and demands for damages, indemnity, costs, interest, loss or injury of every nature and kind whatsoever arising, which you may heretofore have had, may now have or may hereinafter have in any way relating to your service as Chairman of the Board of IMAX or your stepping down as Chairman of the Board.</w:t>
      </w:r>
    </w:p>
    <w:p>
      <w:pPr>
        <w:spacing w:after="0" w:line="166" w:lineRule="exact"/>
        <w:rPr>
          <w:rFonts w:ascii="Arial" w:cs="Arial" w:eastAsia="Arial" w:hAnsi="Arial"/>
          <w:sz w:val="20"/>
          <w:szCs w:val="20"/>
          <w:color w:val="auto"/>
        </w:rPr>
      </w:pPr>
    </w:p>
    <w:p>
      <w:pPr>
        <w:ind w:left="1880" w:right="20" w:hanging="471"/>
        <w:spacing w:after="0" w:line="245" w:lineRule="auto"/>
        <w:tabs>
          <w:tab w:leader="none" w:pos="1880" w:val="left"/>
        </w:tabs>
        <w:numPr>
          <w:ilvl w:val="1"/>
          <w:numId w:val="47"/>
        </w:numPr>
        <w:rPr>
          <w:rFonts w:ascii="Arial" w:cs="Arial" w:eastAsia="Arial" w:hAnsi="Arial"/>
          <w:sz w:val="21"/>
          <w:szCs w:val="21"/>
          <w:color w:val="auto"/>
        </w:rPr>
      </w:pPr>
      <w:r>
        <w:rPr>
          <w:rFonts w:ascii="Arial" w:cs="Arial" w:eastAsia="Arial" w:hAnsi="Arial"/>
          <w:sz w:val="21"/>
          <w:szCs w:val="21"/>
          <w:color w:val="auto"/>
        </w:rPr>
        <w:t>IMAX, on behalf of itself, its subsidiaries and affiliates, hereby releases you, your heirs, and your and their successors and assigns jointly and severally from any and all actions, causes of action, complaints, contracts and covenants, whether express or implied, claims and demands for damages, indemnity, costs, interest, loss or injury of every nature and kind whatsoever arising, which IMAX may heretofore have had, may now have or may hereinafter have in any way relating to your service as Chairman of the Board of IMAX or your stepping down as Chairman of the Board.</w:t>
      </w:r>
    </w:p>
    <w:p>
      <w:pPr>
        <w:spacing w:after="0" w:line="177" w:lineRule="exact"/>
        <w:rPr>
          <w:rFonts w:ascii="Arial" w:cs="Arial" w:eastAsia="Arial" w:hAnsi="Arial"/>
          <w:sz w:val="21"/>
          <w:szCs w:val="21"/>
          <w:color w:val="auto"/>
        </w:rPr>
      </w:pPr>
    </w:p>
    <w:p>
      <w:pPr>
        <w:ind w:left="940" w:right="240" w:hanging="466"/>
        <w:spacing w:after="0" w:line="269" w:lineRule="auto"/>
        <w:tabs>
          <w:tab w:leader="none" w:pos="9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Nothing herein shall be deemed to waive your rights to indemnification by the Company pursuant to that certain June 12, 2018 Indemnification Agreement between you and IMAX.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30480</wp:posOffset>
            </wp:positionV>
            <wp:extent cx="71761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1" w:name="page82"/>
    <w:bookmarkEnd w:id="81"/>
    <w:p>
      <w:pPr>
        <w:spacing w:after="0"/>
        <w:rPr>
          <w:sz w:val="20"/>
          <w:szCs w:val="20"/>
          <w:color w:val="auto"/>
        </w:rPr>
      </w:pPr>
      <w:r>
        <w:rPr>
          <w:rFonts w:ascii="Arial" w:cs="Arial" w:eastAsia="Arial" w:hAnsi="Arial"/>
          <w:sz w:val="21"/>
          <w:szCs w:val="21"/>
          <w:color w:val="auto"/>
        </w:rPr>
        <w:t>Bradley J. Wechsler</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March 30, 2021</w:t>
      </w:r>
    </w:p>
    <w:p>
      <w:pPr>
        <w:spacing w:after="0"/>
        <w:rPr>
          <w:sz w:val="20"/>
          <w:szCs w:val="20"/>
          <w:color w:val="auto"/>
        </w:rPr>
      </w:pPr>
      <w:r>
        <w:rPr>
          <w:rFonts w:ascii="Arial" w:cs="Arial" w:eastAsia="Arial" w:hAnsi="Arial"/>
          <w:sz w:val="21"/>
          <w:szCs w:val="21"/>
          <w:color w:val="auto"/>
        </w:rPr>
        <w:t>Page 3</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If the foregoing accurately sets forth our understanding, please execute this letter agreement where indicated below.</w:t>
      </w:r>
    </w:p>
    <w:p>
      <w:pPr>
        <w:spacing w:after="0" w:line="213" w:lineRule="exact"/>
        <w:rPr>
          <w:sz w:val="20"/>
          <w:szCs w:val="20"/>
          <w:color w:val="auto"/>
        </w:rPr>
      </w:pPr>
    </w:p>
    <w:p>
      <w:pPr>
        <w:spacing w:after="0" w:line="323" w:lineRule="auto"/>
        <w:rPr>
          <w:sz w:val="20"/>
          <w:szCs w:val="20"/>
          <w:color w:val="auto"/>
        </w:rPr>
      </w:pPr>
      <w:r>
        <w:rPr>
          <w:rFonts w:ascii="Arial" w:cs="Arial" w:eastAsia="Arial" w:hAnsi="Arial"/>
          <w:sz w:val="19"/>
          <w:szCs w:val="19"/>
          <w:color w:val="auto"/>
        </w:rPr>
        <w:t>This agreement may be executed in two or more counterparts and may be delivered electronically. When so executed and delivered, each counterpart shall be deemed an original and all of them taken together shall constitute one and the same agreement.</w:t>
      </w:r>
    </w:p>
    <w:p>
      <w:pPr>
        <w:spacing w:after="0" w:line="320" w:lineRule="exact"/>
        <w:rPr>
          <w:sz w:val="20"/>
          <w:szCs w:val="20"/>
          <w:color w:val="auto"/>
        </w:rPr>
      </w:pPr>
    </w:p>
    <w:p>
      <w:pPr>
        <w:ind w:left="1580"/>
        <w:spacing w:after="0"/>
        <w:rPr>
          <w:sz w:val="20"/>
          <w:szCs w:val="20"/>
          <w:color w:val="auto"/>
        </w:rPr>
      </w:pPr>
      <w:r>
        <w:rPr>
          <w:rFonts w:ascii="Arial" w:cs="Arial" w:eastAsia="Arial" w:hAnsi="Arial"/>
          <w:sz w:val="21"/>
          <w:szCs w:val="21"/>
          <w:color w:val="auto"/>
        </w:rPr>
        <w:t>Very truly yours,</w:t>
      </w:r>
    </w:p>
    <w:p>
      <w:pPr>
        <w:spacing w:after="0" w:line="207" w:lineRule="exact"/>
        <w:rPr>
          <w:sz w:val="20"/>
          <w:szCs w:val="20"/>
          <w:color w:val="auto"/>
        </w:rPr>
      </w:pPr>
    </w:p>
    <w:p>
      <w:pPr>
        <w:ind w:left="1580"/>
        <w:spacing w:after="0"/>
        <w:rPr>
          <w:sz w:val="20"/>
          <w:szCs w:val="20"/>
          <w:color w:val="auto"/>
        </w:rPr>
      </w:pPr>
      <w:r>
        <w:rPr>
          <w:rFonts w:ascii="Arial" w:cs="Arial" w:eastAsia="Arial" w:hAnsi="Arial"/>
          <w:sz w:val="21"/>
          <w:szCs w:val="21"/>
          <w:b w:val="1"/>
          <w:bCs w:val="1"/>
          <w:color w:val="auto"/>
        </w:rPr>
        <w:t>IMAX Corporation</w:t>
      </w:r>
    </w:p>
    <w:p>
      <w:pPr>
        <w:spacing w:after="0" w:line="200" w:lineRule="exact"/>
        <w:rPr>
          <w:sz w:val="20"/>
          <w:szCs w:val="20"/>
          <w:color w:val="auto"/>
        </w:rPr>
      </w:pPr>
    </w:p>
    <w:p>
      <w:pPr>
        <w:spacing w:after="0" w:line="232" w:lineRule="exact"/>
        <w:rPr>
          <w:sz w:val="20"/>
          <w:szCs w:val="20"/>
          <w:color w:val="auto"/>
        </w:rPr>
      </w:pPr>
    </w:p>
    <w:p>
      <w:pPr>
        <w:ind w:left="1580"/>
        <w:spacing w:after="0"/>
        <w:rPr>
          <w:sz w:val="20"/>
          <w:szCs w:val="20"/>
          <w:color w:val="auto"/>
        </w:rPr>
      </w:pPr>
      <w:r>
        <w:rPr>
          <w:rFonts w:ascii="Arial" w:cs="Arial" w:eastAsia="Arial" w:hAnsi="Arial"/>
          <w:sz w:val="21"/>
          <w:szCs w:val="21"/>
          <w:color w:val="auto"/>
        </w:rPr>
        <w:t>By: ____/s/ Robert D. Lister_____</w:t>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21"/>
          <w:szCs w:val="21"/>
          <w:color w:val="auto"/>
        </w:rPr>
        <w:t>Robert D. Lister</w:t>
      </w:r>
    </w:p>
    <w:p>
      <w:pPr>
        <w:ind w:left="1580"/>
        <w:spacing w:after="0" w:line="238" w:lineRule="auto"/>
        <w:rPr>
          <w:sz w:val="20"/>
          <w:szCs w:val="20"/>
          <w:color w:val="auto"/>
        </w:rPr>
      </w:pPr>
      <w:r>
        <w:rPr>
          <w:rFonts w:ascii="Arial" w:cs="Arial" w:eastAsia="Arial" w:hAnsi="Arial"/>
          <w:sz w:val="21"/>
          <w:szCs w:val="21"/>
          <w:color w:val="auto"/>
        </w:rPr>
        <w:t>Senior Executive Vice President</w:t>
      </w:r>
    </w:p>
    <w:p>
      <w:pPr>
        <w:spacing w:after="0" w:line="1" w:lineRule="exact"/>
        <w:rPr>
          <w:sz w:val="20"/>
          <w:szCs w:val="20"/>
          <w:color w:val="auto"/>
        </w:rPr>
      </w:pPr>
    </w:p>
    <w:p>
      <w:pPr>
        <w:ind w:left="6940"/>
        <w:spacing w:after="0"/>
        <w:rPr>
          <w:sz w:val="20"/>
          <w:szCs w:val="20"/>
          <w:color w:val="auto"/>
        </w:rPr>
      </w:pPr>
      <w:r>
        <w:rPr>
          <w:rFonts w:ascii="Arial" w:cs="Arial" w:eastAsia="Arial" w:hAnsi="Arial"/>
          <w:sz w:val="21"/>
          <w:szCs w:val="21"/>
          <w:color w:val="auto"/>
        </w:rPr>
        <w:t>&amp; Chief Legal Officer</w:t>
      </w:r>
    </w:p>
    <w:p>
      <w:pPr>
        <w:spacing w:after="0" w:line="200" w:lineRule="exact"/>
        <w:rPr>
          <w:sz w:val="20"/>
          <w:szCs w:val="20"/>
          <w:color w:val="auto"/>
        </w:rPr>
      </w:pPr>
    </w:p>
    <w:p>
      <w:pPr>
        <w:spacing w:after="0" w:line="235" w:lineRule="exact"/>
        <w:rPr>
          <w:sz w:val="20"/>
          <w:szCs w:val="20"/>
          <w:color w:val="auto"/>
        </w:rPr>
      </w:pPr>
    </w:p>
    <w:p>
      <w:pPr>
        <w:ind w:left="6100"/>
        <w:spacing w:after="0"/>
        <w:rPr>
          <w:sz w:val="20"/>
          <w:szCs w:val="20"/>
          <w:color w:val="auto"/>
        </w:rPr>
      </w:pPr>
      <w:r>
        <w:rPr>
          <w:rFonts w:ascii="Arial" w:cs="Arial" w:eastAsia="Arial" w:hAnsi="Arial"/>
          <w:sz w:val="21"/>
          <w:szCs w:val="21"/>
          <w:color w:val="auto"/>
        </w:rPr>
        <w:t>By: ___/s/ Kenneth Weissman____</w:t>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21"/>
          <w:szCs w:val="21"/>
          <w:color w:val="auto"/>
        </w:rPr>
        <w:t>Kenneth Weissman</w:t>
      </w:r>
    </w:p>
    <w:p>
      <w:pPr>
        <w:ind w:left="1580"/>
        <w:spacing w:after="0" w:line="238" w:lineRule="auto"/>
        <w:rPr>
          <w:sz w:val="20"/>
          <w:szCs w:val="20"/>
          <w:color w:val="auto"/>
        </w:rPr>
      </w:pPr>
      <w:r>
        <w:rPr>
          <w:rFonts w:ascii="Arial" w:cs="Arial" w:eastAsia="Arial" w:hAnsi="Arial"/>
          <w:sz w:val="21"/>
          <w:szCs w:val="21"/>
          <w:color w:val="auto"/>
        </w:rPr>
        <w:t>Senior Vice President, Legal Affairs</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&amp; Corporate Secretary</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AGREED AND ACKNOWLEDGED</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(as of the date indicated above)</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__/s/ Bradley J. Wechsler_____________________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Bradley J. Wechsler</w:t>
      </w:r>
    </w:p>
    <w:p>
      <w:pPr>
        <w:sectPr>
          <w:pgSz w:w="11900" w:h="16838" w:orient="portrait"/>
          <w:cols w:equalWidth="0" w:num="1">
            <w:col w:w="11220"/>
          </w:cols>
          <w:pgMar w:left="320" w:top="118" w:right="359"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25"/>
          <w:szCs w:val="25"/>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18415</wp:posOffset>
            </wp:positionV>
            <wp:extent cx="2434590" cy="4921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243459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IMAX CORPORATION</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SECOND AMENDED AND RESTATED LONG-TERM INCENTIVE PLAN</w:t>
      </w:r>
    </w:p>
    <w:p>
      <w:pPr>
        <w:jc w:val="center"/>
        <w:ind w:right="-79"/>
        <w:spacing w:after="0" w:line="236" w:lineRule="auto"/>
        <w:rPr>
          <w:sz w:val="20"/>
          <w:szCs w:val="20"/>
          <w:color w:val="auto"/>
        </w:rPr>
      </w:pPr>
      <w:r>
        <w:rPr>
          <w:rFonts w:ascii="Arial" w:cs="Arial" w:eastAsia="Arial" w:hAnsi="Arial"/>
          <w:sz w:val="20"/>
          <w:szCs w:val="20"/>
          <w:b w:val="1"/>
          <w:bCs w:val="1"/>
          <w:color w:val="auto"/>
        </w:rPr>
        <w:t>RESTRICTED SHARE UNIT AWARD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RESTRICTED SHARE 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made effective as of </w:t>
      </w:r>
      <w:r>
        <w:rPr>
          <w:rFonts w:ascii="Arial" w:cs="Arial" w:eastAsia="Arial" w:hAnsi="Arial"/>
          <w:sz w:val="18"/>
          <w:szCs w:val="18"/>
          <w:b w:val="1"/>
          <w:bCs w:val="1"/>
          <w:color w:val="auto"/>
        </w:rPr>
        <w:t>___________</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between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IMAX Corporation, a Canadian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and </w:t>
      </w:r>
      <w:r>
        <w:rPr>
          <w:rFonts w:ascii="Arial" w:cs="Arial" w:eastAsia="Arial" w:hAnsi="Arial"/>
          <w:sz w:val="20"/>
          <w:szCs w:val="20"/>
          <w:b w:val="1"/>
          <w:bCs w:val="1"/>
          <w:color w:val="auto"/>
        </w:rPr>
        <w:t>___________</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w:t>
      </w:r>
    </w:p>
    <w:p>
      <w:pPr>
        <w:spacing w:after="0" w:line="236" w:lineRule="auto"/>
        <w:rPr>
          <w:sz w:val="20"/>
          <w:szCs w:val="20"/>
          <w:color w:val="auto"/>
        </w:rPr>
      </w:pPr>
      <w:r>
        <w:rPr>
          <w:rFonts w:ascii="Arial" w:cs="Arial" w:eastAsia="Arial" w:hAnsi="Arial"/>
          <w:sz w:val="20"/>
          <w:szCs w:val="20"/>
          <w:color w:val="auto"/>
        </w:rPr>
        <w:t>This Agreement sets forth the general terms and conditions of Restricted Share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By accepting the RSUs, the Participant agrees to the terms and conditions set forth in this Agreement and the IMAX Corporation Second Amended and Restated Long-Term Incentive Plan (as amended, the “</w:t>
      </w:r>
      <w:r>
        <w:rPr>
          <w:rFonts w:ascii="Arial" w:cs="Arial" w:eastAsia="Arial" w:hAnsi="Arial"/>
          <w:sz w:val="20"/>
          <w:szCs w:val="20"/>
          <w:b w:val="1"/>
          <w:bCs w:val="1"/>
          <w:i w:val="1"/>
          <w:iCs w:val="1"/>
          <w:color w:val="auto"/>
        </w:rPr>
        <w:t>IMAX LTIP</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Capitalized terms not otherwise defined herein shall have the same meanings as in the IMAX LTIP.</w:t>
      </w:r>
    </w:p>
    <w:p>
      <w:pPr>
        <w:ind w:right="240" w:firstLine="859"/>
        <w:spacing w:after="0" w:line="293" w:lineRule="auto"/>
        <w:tabs>
          <w:tab w:leader="none" w:pos="1641"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Grant of the RSUs</w:t>
      </w:r>
      <w:r>
        <w:rPr>
          <w:rFonts w:ascii="Arial" w:cs="Arial" w:eastAsia="Arial" w:hAnsi="Arial"/>
          <w:sz w:val="17"/>
          <w:szCs w:val="17"/>
          <w:color w:val="auto"/>
        </w:rPr>
        <w:t xml:space="preserve">. Subject to the provisions of this Agreement and the IMAX LTIP the Company hereby grants to the Participant an aggregate of </w:t>
      </w:r>
      <w:r>
        <w:rPr>
          <w:rFonts w:ascii="Arial" w:cs="Arial" w:eastAsia="Arial" w:hAnsi="Arial"/>
          <w:sz w:val="17"/>
          <w:szCs w:val="17"/>
          <w:b w:val="1"/>
          <w:bCs w:val="1"/>
          <w:color w:val="auto"/>
        </w:rPr>
        <w:t>___________</w:t>
      </w:r>
      <w:r>
        <w:rPr>
          <w:rFonts w:ascii="Arial" w:cs="Arial" w:eastAsia="Arial" w:hAnsi="Arial"/>
          <w:sz w:val="17"/>
          <w:szCs w:val="17"/>
          <w:color w:val="auto"/>
        </w:rPr>
        <w:t xml:space="preserve"> RSUs, subject to adjustment as set forth in the IMAX LTIP. Each RSU gives the Participant the unsecured right to receive, subject to the terms and conditions of the IMAX LTIP and this Agreement, one Common Share. The Participant shall not be required to pay any additional consideration for the issuance of the Common Shares upon settlement of the RSUs.</w:t>
      </w:r>
    </w:p>
    <w:p>
      <w:pPr>
        <w:spacing w:after="0" w:line="151" w:lineRule="exact"/>
        <w:rPr>
          <w:rFonts w:ascii="Arial" w:cs="Arial" w:eastAsia="Arial" w:hAnsi="Arial"/>
          <w:sz w:val="17"/>
          <w:szCs w:val="17"/>
          <w:color w:val="auto"/>
        </w:rPr>
      </w:pPr>
    </w:p>
    <w:p>
      <w:pPr>
        <w:jc w:val="both"/>
        <w:ind w:right="280" w:firstLine="859"/>
        <w:spacing w:after="0" w:line="242" w:lineRule="auto"/>
        <w:tabs>
          <w:tab w:leader="none" w:pos="1623"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Subject to the terms and conditions hereof, the Participant shall vest in the RSUs as follows, unless previously vested or cancelled in accordance with the provisions of the IMAX LTIP or this Agreement (each applicable date, a “</w:t>
      </w:r>
      <w:r>
        <w:rPr>
          <w:rFonts w:ascii="Arial" w:cs="Arial" w:eastAsia="Arial" w:hAnsi="Arial"/>
          <w:sz w:val="20"/>
          <w:szCs w:val="20"/>
          <w:b w:val="1"/>
          <w:bCs w:val="1"/>
          <w:i w:val="1"/>
          <w:iCs w:val="1"/>
          <w:color w:val="auto"/>
        </w:rPr>
        <w:t>Scheduled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w:t>
      </w:r>
    </w:p>
    <w:tbl>
      <w:tblPr>
        <w:tblLayout w:type="fixed"/>
        <w:tblInd w:w="2120" w:type="dxa"/>
        <w:tblCellMar>
          <w:top w:w="0" w:type="dxa"/>
          <w:left w:w="0" w:type="dxa"/>
          <w:bottom w:w="0" w:type="dxa"/>
          <w:right w:w="0" w:type="dxa"/>
        </w:tblCellMar>
      </w:tblPr>
      <w:tr>
        <w:trPr>
          <w:trHeight w:val="189"/>
        </w:trPr>
        <w:tc>
          <w:tcPr>
            <w:tcW w:w="3420" w:type="dxa"/>
            <w:vAlign w:val="bottom"/>
            <w:gridSpan w:val="2"/>
          </w:tcPr>
          <w:p>
            <w:pPr>
              <w:jc w:val="center"/>
              <w:ind w:right="1460"/>
              <w:spacing w:after="0" w:line="189" w:lineRule="exact"/>
              <w:rPr>
                <w:sz w:val="20"/>
                <w:szCs w:val="20"/>
                <w:color w:val="auto"/>
              </w:rPr>
            </w:pPr>
            <w:r>
              <w:rPr>
                <w:rFonts w:ascii="Arial" w:cs="Arial" w:eastAsia="Arial" w:hAnsi="Arial"/>
                <w:sz w:val="20"/>
                <w:szCs w:val="20"/>
                <w:b w:val="1"/>
                <w:bCs w:val="1"/>
                <w:color w:val="auto"/>
                <w:w w:val="86"/>
              </w:rPr>
              <w:t>Scheduled Vesting Date</w:t>
            </w:r>
          </w:p>
        </w:tc>
        <w:tc>
          <w:tcPr>
            <w:tcW w:w="3760" w:type="dxa"/>
            <w:vAlign w:val="bottom"/>
            <w:gridSpan w:val="2"/>
          </w:tcPr>
          <w:p>
            <w:pPr>
              <w:jc w:val="center"/>
              <w:ind w:left="1362"/>
              <w:spacing w:after="0" w:line="189" w:lineRule="exact"/>
              <w:rPr>
                <w:sz w:val="20"/>
                <w:szCs w:val="20"/>
                <w:color w:val="auto"/>
              </w:rPr>
            </w:pPr>
            <w:r>
              <w:rPr>
                <w:rFonts w:ascii="Arial" w:cs="Arial" w:eastAsia="Arial" w:hAnsi="Arial"/>
                <w:sz w:val="20"/>
                <w:szCs w:val="20"/>
                <w:b w:val="1"/>
                <w:bCs w:val="1"/>
                <w:color w:val="auto"/>
                <w:w w:val="86"/>
              </w:rPr>
              <w:t>RSUs Vesting on Such Date</w:t>
            </w:r>
          </w:p>
        </w:tc>
      </w:tr>
      <w:tr>
        <w:trPr>
          <w:trHeight w:val="230"/>
        </w:trPr>
        <w:tc>
          <w:tcPr>
            <w:tcW w:w="19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First Vesting Date</w:t>
            </w: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4"/>
              </w:rPr>
              <w:t>TBD</w:t>
            </w:r>
          </w:p>
        </w:tc>
      </w:tr>
      <w:tr>
        <w:trPr>
          <w:trHeight w:val="227"/>
        </w:trPr>
        <w:tc>
          <w:tcPr>
            <w:tcW w:w="3420" w:type="dxa"/>
            <w:vAlign w:val="bottom"/>
            <w:gridSpan w:val="2"/>
          </w:tcPr>
          <w:p>
            <w:pPr>
              <w:jc w:val="center"/>
              <w:ind w:right="1460"/>
              <w:spacing w:after="0" w:line="227" w:lineRule="exact"/>
              <w:rPr>
                <w:sz w:val="20"/>
                <w:szCs w:val="20"/>
                <w:color w:val="auto"/>
              </w:rPr>
            </w:pPr>
            <w:r>
              <w:rPr>
                <w:rFonts w:ascii="Arial" w:cs="Arial" w:eastAsia="Arial" w:hAnsi="Arial"/>
                <w:sz w:val="20"/>
                <w:szCs w:val="20"/>
                <w:color w:val="auto"/>
                <w:w w:val="87"/>
              </w:rPr>
              <w:t>Second Vesting Date</w:t>
            </w:r>
          </w:p>
        </w:tc>
        <w:tc>
          <w:tcPr>
            <w:tcW w:w="1460" w:type="dxa"/>
            <w:vAlign w:val="bottom"/>
          </w:tcPr>
          <w:p>
            <w:pPr>
              <w:spacing w:after="0"/>
              <w:rPr>
                <w:sz w:val="19"/>
                <w:szCs w:val="19"/>
                <w:color w:val="auto"/>
              </w:rPr>
            </w:pPr>
          </w:p>
        </w:tc>
        <w:tc>
          <w:tcPr>
            <w:tcW w:w="2300" w:type="dxa"/>
            <w:vAlign w:val="bottom"/>
          </w:tcPr>
          <w:p>
            <w:pPr>
              <w:jc w:val="center"/>
              <w:spacing w:after="0" w:line="227" w:lineRule="exact"/>
              <w:rPr>
                <w:sz w:val="20"/>
                <w:szCs w:val="20"/>
                <w:color w:val="auto"/>
              </w:rPr>
            </w:pPr>
            <w:r>
              <w:rPr>
                <w:rFonts w:ascii="Arial" w:cs="Arial" w:eastAsia="Arial" w:hAnsi="Arial"/>
                <w:sz w:val="20"/>
                <w:szCs w:val="20"/>
                <w:color w:val="auto"/>
                <w:w w:val="94"/>
              </w:rPr>
              <w:t>TBD</w:t>
            </w:r>
          </w:p>
        </w:tc>
      </w:tr>
      <w:tr>
        <w:trPr>
          <w:trHeight w:val="243"/>
        </w:trPr>
        <w:tc>
          <w:tcPr>
            <w:tcW w:w="3420" w:type="dxa"/>
            <w:vAlign w:val="bottom"/>
            <w:gridSpan w:val="2"/>
          </w:tcPr>
          <w:p>
            <w:pPr>
              <w:jc w:val="center"/>
              <w:ind w:right="1460"/>
              <w:spacing w:after="0"/>
              <w:rPr>
                <w:sz w:val="20"/>
                <w:szCs w:val="20"/>
                <w:color w:val="auto"/>
              </w:rPr>
            </w:pPr>
            <w:r>
              <w:rPr>
                <w:rFonts w:ascii="Arial" w:cs="Arial" w:eastAsia="Arial" w:hAnsi="Arial"/>
                <w:sz w:val="20"/>
                <w:szCs w:val="20"/>
                <w:color w:val="auto"/>
                <w:w w:val="89"/>
              </w:rPr>
              <w:t>Third Vesting Date</w:t>
            </w:r>
          </w:p>
        </w:tc>
        <w:tc>
          <w:tcPr>
            <w:tcW w:w="1460" w:type="dxa"/>
            <w:vAlign w:val="bottom"/>
          </w:tcPr>
          <w:p>
            <w:pPr>
              <w:spacing w:after="0"/>
              <w:rPr>
                <w:sz w:val="21"/>
                <w:szCs w:val="21"/>
                <w:color w:val="auto"/>
              </w:rPr>
            </w:pPr>
          </w:p>
        </w:tc>
        <w:tc>
          <w:tcPr>
            <w:tcW w:w="2300" w:type="dxa"/>
            <w:vAlign w:val="bottom"/>
          </w:tcPr>
          <w:p>
            <w:pPr>
              <w:jc w:val="center"/>
              <w:spacing w:after="0"/>
              <w:rPr>
                <w:sz w:val="20"/>
                <w:szCs w:val="20"/>
                <w:color w:val="auto"/>
              </w:rPr>
            </w:pPr>
            <w:r>
              <w:rPr>
                <w:rFonts w:ascii="Arial" w:cs="Arial" w:eastAsia="Arial" w:hAnsi="Arial"/>
                <w:sz w:val="20"/>
                <w:szCs w:val="20"/>
                <w:color w:val="auto"/>
                <w:w w:val="94"/>
              </w:rPr>
              <w:t>TBD</w:t>
            </w:r>
          </w:p>
        </w:tc>
      </w:tr>
    </w:tbl>
    <w:p>
      <w:pPr>
        <w:jc w:val="both"/>
        <w:ind w:right="160" w:firstLine="766"/>
        <w:spacing w:after="0" w:line="278" w:lineRule="auto"/>
        <w:tabs>
          <w:tab w:leader="none" w:pos="152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Each RSU shall be settled by delivery of one Common Share within thirty (30) days following the applicable Scheduled Vesting Date or such earlier date on which the RSUs vest pursuant to Sections 5, 6, 7 or 8 (each, a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settlement occur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year following the applicable vesting date.</w:t>
      </w:r>
    </w:p>
    <w:p>
      <w:pPr>
        <w:spacing w:after="0" w:line="159" w:lineRule="exact"/>
        <w:rPr>
          <w:rFonts w:ascii="Arial" w:cs="Arial" w:eastAsia="Arial" w:hAnsi="Arial"/>
          <w:sz w:val="18"/>
          <w:szCs w:val="18"/>
          <w:color w:val="auto"/>
        </w:rPr>
      </w:pPr>
    </w:p>
    <w:p>
      <w:pPr>
        <w:jc w:val="both"/>
        <w:ind w:right="20" w:firstLine="766"/>
        <w:spacing w:after="0" w:line="241" w:lineRule="auto"/>
        <w:tabs>
          <w:tab w:leader="none" w:pos="1529"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Generally</w:t>
      </w:r>
      <w:r>
        <w:rPr>
          <w:rFonts w:ascii="Arial" w:cs="Arial" w:eastAsia="Arial" w:hAnsi="Arial"/>
          <w:sz w:val="20"/>
          <w:szCs w:val="20"/>
          <w:color w:val="auto"/>
        </w:rPr>
        <w:t>. In the event that the Participant’s employment with the Company terminates (i) for any reason other than death, Disability, or for Cause, and (ii) without having achieved the Service Factor, the RSUs shall cease to vest and any unvested RSUs shall be cancelled immediately without consideration as of the date of such termination. Any vested RSUs shall continue to be settled on the applicable Settlement Date. For the avoidance of doubt, for Participants that are employed in Ontario, Canada, the provisions of this Section 4 will apply in the case of a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121285</wp:posOffset>
            </wp:positionV>
            <wp:extent cx="717613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83" w:name="page84"/>
    <w:bookmarkEnd w:id="83"/>
    <w:p>
      <w:pPr>
        <w:ind w:right="100"/>
        <w:spacing w:after="0" w:line="242" w:lineRule="auto"/>
        <w:rPr>
          <w:sz w:val="20"/>
          <w:szCs w:val="20"/>
          <w:color w:val="auto"/>
        </w:rPr>
      </w:pPr>
      <w:r>
        <w:rPr>
          <w:rFonts w:ascii="Arial" w:cs="Arial" w:eastAsia="Arial" w:hAnsi="Arial"/>
          <w:sz w:val="20"/>
          <w:szCs w:val="20"/>
          <w:color w:val="auto"/>
        </w:rPr>
        <w:t xml:space="preserve">of Employment. “Termination of Employment” shall mean termination of such Participant’s employment with the Company and shall occur on the date immediately following only the minimum notice of termination period prescribed by the </w:t>
      </w:r>
      <w:r>
        <w:rPr>
          <w:rFonts w:ascii="Arial" w:cs="Arial" w:eastAsia="Arial" w:hAnsi="Arial"/>
          <w:sz w:val="20"/>
          <w:szCs w:val="20"/>
          <w:i w:val="1"/>
          <w:iCs w:val="1"/>
          <w:color w:val="auto"/>
        </w:rPr>
        <w:t>Employment Standards Act, 2000</w:t>
      </w:r>
      <w:r>
        <w:rPr>
          <w:rFonts w:ascii="Arial" w:cs="Arial" w:eastAsia="Arial" w:hAnsi="Arial"/>
          <w:sz w:val="20"/>
          <w:szCs w:val="20"/>
          <w:color w:val="auto"/>
        </w:rPr>
        <w:t xml:space="preserve"> (Ontario) as amended, not including any additional notice of termination period to which the Participant may be entitled under contract or the common law, and without regard to whether the Participant continues to receive compensatory payments or is paid salary thereby in lieu of notice of termination.</w:t>
      </w:r>
    </w:p>
    <w:p>
      <w:pPr>
        <w:spacing w:after="0" w:line="191" w:lineRule="exact"/>
        <w:rPr>
          <w:sz w:val="20"/>
          <w:szCs w:val="20"/>
          <w:color w:val="auto"/>
        </w:rPr>
      </w:pPr>
    </w:p>
    <w:p>
      <w:pPr>
        <w:jc w:val="both"/>
        <w:ind w:firstLine="859"/>
        <w:spacing w:after="0" w:line="279" w:lineRule="auto"/>
        <w:tabs>
          <w:tab w:leader="none" w:pos="1747"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Death; Disability</w:t>
      </w:r>
      <w:r>
        <w:rPr>
          <w:rFonts w:ascii="Arial" w:cs="Arial" w:eastAsia="Arial" w:hAnsi="Arial"/>
          <w:sz w:val="18"/>
          <w:szCs w:val="18"/>
          <w:color w:val="auto"/>
        </w:rPr>
        <w:t>. If the Participant’s employment with the Company terminates as a result of the Participant’s death or Disability, a portion of the RSUs shall vest such that, when combined with previously vested RSUs, an aggregate of 50% of the RSUs granted pursuant to this Agreement shall have vested. Any vested RSUs shall be settled on the applicable Settlement Date and any unvested RSUs shall be cancelled immediately without consideration as of the date of death or Disability.</w:t>
      </w:r>
    </w:p>
    <w:p>
      <w:pPr>
        <w:spacing w:after="0" w:line="159" w:lineRule="exact"/>
        <w:rPr>
          <w:rFonts w:ascii="Arial" w:cs="Arial" w:eastAsia="Arial" w:hAnsi="Arial"/>
          <w:sz w:val="18"/>
          <w:szCs w:val="18"/>
          <w:color w:val="auto"/>
        </w:rPr>
      </w:pPr>
    </w:p>
    <w:p>
      <w:pPr>
        <w:ind w:right="20" w:firstLine="859"/>
        <w:spacing w:after="0"/>
        <w:tabs>
          <w:tab w:leader="none" w:pos="1747"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Service Factor</w:t>
      </w:r>
      <w:r>
        <w:rPr>
          <w:rFonts w:ascii="Arial" w:cs="Arial" w:eastAsia="Arial" w:hAnsi="Arial"/>
          <w:sz w:val="20"/>
          <w:szCs w:val="20"/>
          <w:color w:val="auto"/>
        </w:rPr>
        <w:t>. Notwithstanding Section 4, if, after achieving the Service Factor, the Participant’s employment with the Company terminates as a result of the Participant’s resignation or termination without Cause, the RSUs shall continue to vest in accordance with the Scheduled Vesting Dates. For purposes of this Agreement, “</w:t>
      </w:r>
      <w:r>
        <w:rPr>
          <w:rFonts w:ascii="Arial" w:cs="Arial" w:eastAsia="Arial" w:hAnsi="Arial"/>
          <w:sz w:val="20"/>
          <w:szCs w:val="20"/>
          <w:b w:val="1"/>
          <w:bCs w:val="1"/>
          <w:i w:val="1"/>
          <w:iCs w:val="1"/>
          <w:color w:val="auto"/>
        </w:rPr>
        <w:t>Service Factor</w:t>
      </w:r>
      <w:r>
        <w:rPr>
          <w:rFonts w:ascii="Arial" w:cs="Arial" w:eastAsia="Arial" w:hAnsi="Arial"/>
          <w:sz w:val="20"/>
          <w:szCs w:val="20"/>
          <w:color w:val="auto"/>
        </w:rPr>
        <w:t xml:space="preserve">” shall mean the Participant’s (i) attaining the age of at least 55 and (ii) continuous service with the Company or any of its Subsidiaries and Affiliates for at least 10 years, or such other criteria that are deemed by the Committee to be an achievement of the Service Factor,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case of a resignation, the Participant must provide the Company with a written notice of intent to resign at least six (6) months prior to the final day of employment with the Company.</w:t>
      </w:r>
    </w:p>
    <w:p>
      <w:pPr>
        <w:spacing w:after="0" w:line="193" w:lineRule="exact"/>
        <w:rPr>
          <w:rFonts w:ascii="Arial" w:cs="Arial" w:eastAsia="Arial" w:hAnsi="Arial"/>
          <w:sz w:val="20"/>
          <w:szCs w:val="20"/>
          <w:color w:val="auto"/>
        </w:rPr>
      </w:pPr>
    </w:p>
    <w:p>
      <w:pPr>
        <w:ind w:right="40" w:firstLine="859"/>
        <w:spacing w:after="0" w:line="241" w:lineRule="auto"/>
        <w:tabs>
          <w:tab w:leader="none" w:pos="1747"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Termination for Cause</w:t>
      </w:r>
      <w:r>
        <w:rPr>
          <w:rFonts w:ascii="Arial" w:cs="Arial" w:eastAsia="Arial" w:hAnsi="Arial"/>
          <w:sz w:val="20"/>
          <w:szCs w:val="20"/>
          <w:color w:val="auto"/>
        </w:rPr>
        <w:t xml:space="preserve">. If the Participant’s employment with the Company terminates for Cause, any outstanding RSUs, whether or not vested, shall be cancelled immediately without consideration as of the date of termination, and the Participant shall have no further right or interest therein. For Participants that are employed in Ontario, Canada, such Participant shall have no further right or interest therein except as may be required in accordance with the Participant’s minimum termination entitlements prescribed by the </w:t>
      </w:r>
      <w:r>
        <w:rPr>
          <w:rFonts w:ascii="Arial" w:cs="Arial" w:eastAsia="Arial" w:hAnsi="Arial"/>
          <w:sz w:val="20"/>
          <w:szCs w:val="20"/>
          <w:i w:val="1"/>
          <w:iCs w:val="1"/>
          <w:color w:val="auto"/>
        </w:rPr>
        <w:t>Employment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Standards Act, 2000 </w:t>
      </w:r>
      <w:r>
        <w:rPr>
          <w:rFonts w:ascii="Arial" w:cs="Arial" w:eastAsia="Arial" w:hAnsi="Arial"/>
          <w:sz w:val="20"/>
          <w:szCs w:val="20"/>
          <w:color w:val="auto"/>
        </w:rPr>
        <w:t>(Ontario) as amended.</w:t>
      </w:r>
    </w:p>
    <w:p>
      <w:pPr>
        <w:spacing w:after="0" w:line="194" w:lineRule="exact"/>
        <w:rPr>
          <w:rFonts w:ascii="Arial" w:cs="Arial" w:eastAsia="Arial" w:hAnsi="Arial"/>
          <w:sz w:val="20"/>
          <w:szCs w:val="20"/>
          <w:color w:val="auto"/>
        </w:rPr>
      </w:pPr>
    </w:p>
    <w:p>
      <w:pPr>
        <w:ind w:right="100" w:firstLine="859"/>
        <w:spacing w:after="0" w:line="268" w:lineRule="auto"/>
        <w:tabs>
          <w:tab w:leader="none" w:pos="162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In the event of a Change in Control, prior to any Scheduled Vesting Date, to the extent the successor company (or a subsidiary or parent thereof) does not assume or provide a substitute for the RSUs on substantially the same terms and conditions, all vested and unvested RSUs shall become fully vested and, subject to Section 6(d)(iv) of the IMAX LTIP, shall be settled in accordance with Section 3. To the extent the successor company (or a subsidiary or parent thereof) assumes or provides a substitute for the RSUs on substantially the same terms and conditions, the existing vesting schedule will continue to apply;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within 24 months following the date of a Change in Control, the Participant’s employment with the Company is terminated without Cause or the Participant resigns for Good Reason, all of the RSUs shall become fully vested and, subject to Section 6(d)(iv) of the IMAX LTIP, shall be settled in accordance with Section 3. Notwithstanding the foregoing, in the event of a Change in Control that is not a “change in ownership”, “change in effective control”, or “change in the ownership of a substantial portion of the Company’s assets” under Section 409A (as defined below), the provisions of this Section 8 shall apply except that settlement of RSUs shall not be accelerated, but shall be conducted in accordance with the originally applicable settlement schedule.</w:t>
      </w:r>
    </w:p>
    <w:p>
      <w:pPr>
        <w:spacing w:after="0" w:line="169" w:lineRule="exact"/>
        <w:rPr>
          <w:rFonts w:ascii="Arial" w:cs="Arial" w:eastAsia="Arial" w:hAnsi="Arial"/>
          <w:sz w:val="18"/>
          <w:szCs w:val="18"/>
          <w:color w:val="auto"/>
        </w:rPr>
      </w:pPr>
    </w:p>
    <w:p>
      <w:pPr>
        <w:ind w:right="220" w:firstLine="859"/>
        <w:spacing w:after="0" w:line="246" w:lineRule="auto"/>
        <w:tabs>
          <w:tab w:leader="none" w:pos="1747"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Nontransferability of RSUs</w:t>
      </w:r>
      <w:r>
        <w:rPr>
          <w:rFonts w:ascii="Arial" w:cs="Arial" w:eastAsia="Arial" w:hAnsi="Arial"/>
          <w:sz w:val="20"/>
          <w:szCs w:val="20"/>
          <w:color w:val="auto"/>
        </w:rPr>
        <w:t>. Unless otherwise determined by the Committee pursuant to the terms of the IMAX LTIP, the RSUs may not be transferred, pledged, alienated, assigned or otherwise attorned other than by last will and testament or by the laws of descent and distribution or pursuant to a domestic relations order,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117475</wp:posOffset>
            </wp:positionV>
            <wp:extent cx="71761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4" w:name="page85"/>
    <w:bookmarkEnd w:id="84"/>
    <w:p>
      <w:pPr>
        <w:ind w:left="-848" w:right="240" w:firstLine="859"/>
        <w:spacing w:after="0" w:line="288" w:lineRule="auto"/>
        <w:tabs>
          <w:tab w:leader="none" w:pos="997"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The Participant shall have no rights as a shareholder with respect to the Common Shares underlying the RSUs. Upon settlement, the Participant shall have all rights as a shareholder with respect to the Common Shares delivered to the Participant, if any, including, without limitation, voting rights and the right to receive dividends.</w:t>
      </w:r>
    </w:p>
    <w:p>
      <w:pPr>
        <w:spacing w:after="0" w:line="150" w:lineRule="exact"/>
        <w:rPr>
          <w:rFonts w:ascii="Arial" w:cs="Arial" w:eastAsia="Arial" w:hAnsi="Arial"/>
          <w:sz w:val="18"/>
          <w:szCs w:val="18"/>
          <w:color w:val="auto"/>
        </w:rPr>
      </w:pPr>
    </w:p>
    <w:p>
      <w:pPr>
        <w:ind w:left="-848" w:firstLine="859"/>
        <w:spacing w:after="0" w:line="271" w:lineRule="auto"/>
        <w:tabs>
          <w:tab w:leader="none" w:pos="99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If, after the Date of Grant and prior to the applicable Settlement Date, dividends with respect to the Common Shares are declared or paid by the Company, the Participant, upon settlement of RSUs in accordance with Section 3, shall be entitled to receive dividend equivalents in an amount, without interest, equal to the cumulative dividends declared or paid on a Common Share, if any, during such period multiplied by the number of RSUs being settled. Dividend equivalents will be subject to the same terms and conditions of this Agreement applicable to the RSUs. The dividend equivalents will be paid on the applicable Settlement Date for the underlying RSUs in cash or Common Shares, as determined by the Company in its discretion. If the underlying RSUs are cancelled prior to the applicable Settlement Date for any reason, any accrued and unpaid dividend equivalents shall be cancelled.</w:t>
      </w:r>
    </w:p>
    <w:p>
      <w:pPr>
        <w:spacing w:after="0" w:line="167" w:lineRule="exact"/>
        <w:rPr>
          <w:rFonts w:ascii="Arial" w:cs="Arial" w:eastAsia="Arial" w:hAnsi="Arial"/>
          <w:sz w:val="18"/>
          <w:szCs w:val="18"/>
          <w:color w:val="auto"/>
        </w:rPr>
      </w:pPr>
    </w:p>
    <w:p>
      <w:pPr>
        <w:ind w:left="1012" w:hanging="1012"/>
        <w:spacing w:after="0"/>
        <w:tabs>
          <w:tab w:leader="none" w:pos="1012"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No Entitlements</w:t>
      </w:r>
      <w:r>
        <w:rPr>
          <w:rFonts w:ascii="Arial" w:cs="Arial" w:eastAsia="Arial" w:hAnsi="Arial"/>
          <w:sz w:val="20"/>
          <w:szCs w:val="20"/>
          <w:color w:val="auto"/>
        </w:rPr>
        <w:t>.</w:t>
      </w:r>
    </w:p>
    <w:p>
      <w:pPr>
        <w:spacing w:after="0" w:line="13" w:lineRule="exact"/>
        <w:rPr>
          <w:sz w:val="20"/>
          <w:szCs w:val="20"/>
          <w:color w:val="auto"/>
        </w:rPr>
      </w:pPr>
    </w:p>
    <w:p>
      <w:pPr>
        <w:ind w:left="-848" w:firstLine="859"/>
        <w:spacing w:after="0" w:line="269" w:lineRule="auto"/>
        <w:tabs>
          <w:tab w:leader="none" w:pos="91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This Agreement does not constitute an employment agreement and nothing in the IMAX LTIP or this Agreement shall modify the terms of the Participant’s employment, including, without limitation, the Participant’s status as an “at will” employee of the Company, if applicable. None of the IMAX LTIP, the Agreement, the grant of RSUs, nor any action taken or omitted to be taken shall be construed (i) to create or confer on the Participant any right to be retained in the employ of the Company, (ii) to interfere with or limit in any way the right of the Company to terminate the Participant’s employment at any time and for any reason or (iii) to give the Participant any right to be reemployed by the Company following a termination of employment for any reason.</w:t>
      </w:r>
    </w:p>
    <w:p>
      <w:pPr>
        <w:spacing w:after="0" w:line="168" w:lineRule="exact"/>
        <w:rPr>
          <w:rFonts w:ascii="Arial" w:cs="Arial" w:eastAsia="Arial" w:hAnsi="Arial"/>
          <w:sz w:val="18"/>
          <w:szCs w:val="18"/>
          <w:color w:val="auto"/>
        </w:rPr>
      </w:pPr>
    </w:p>
    <w:p>
      <w:pPr>
        <w:ind w:left="-848" w:right="360" w:firstLine="859"/>
        <w:spacing w:after="0" w:line="246" w:lineRule="auto"/>
        <w:tabs>
          <w:tab w:leader="none" w:pos="92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No Right to Future Awards</w:t>
      </w:r>
      <w:r>
        <w:rPr>
          <w:rFonts w:ascii="Arial" w:cs="Arial" w:eastAsia="Arial" w:hAnsi="Arial"/>
          <w:sz w:val="20"/>
          <w:szCs w:val="20"/>
          <w:color w:val="auto"/>
        </w:rPr>
        <w:t>. This award of RSUs and all other equity-based awards under the IMAX LTIP are discretionary. This award does not confer on the Participant any right or entitlement to receive another award of RSUs or any other equity-based award at any time in the future or in respect of any future period.</w:t>
      </w:r>
    </w:p>
    <w:p>
      <w:pPr>
        <w:spacing w:after="0" w:line="188" w:lineRule="exact"/>
        <w:rPr>
          <w:sz w:val="20"/>
          <w:szCs w:val="20"/>
          <w:color w:val="auto"/>
        </w:rPr>
      </w:pPr>
    </w:p>
    <w:p>
      <w:pPr>
        <w:ind w:left="-848" w:right="240" w:firstLine="859"/>
        <w:spacing w:after="0" w:line="272" w:lineRule="auto"/>
        <w:tabs>
          <w:tab w:leader="none" w:pos="99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The Participant must satisfy any federal, state, provincial, local or foreign tax withholding requirements applicable with respect to the settlement of the RSUs. The Company may require or permit the Participant to satisfy such tax withholding obligations through the Company withholding Common Shares that would otherwise be received by such individual upon settlement of the RSUs. The obligations of the Company to deliver the Common Shares under this Agreement shall be conditioned upon the Participant’s payment of all applicable taxes and the Company shall, to the extent permitted by law, have the right to deduct any such taxes from any payment of any kind otherwise due to the Participant.</w:t>
      </w:r>
    </w:p>
    <w:p>
      <w:pPr>
        <w:spacing w:after="0" w:line="168" w:lineRule="exact"/>
        <w:rPr>
          <w:rFonts w:ascii="Arial" w:cs="Arial" w:eastAsia="Arial" w:hAnsi="Arial"/>
          <w:sz w:val="18"/>
          <w:szCs w:val="18"/>
          <w:color w:val="auto"/>
        </w:rPr>
      </w:pPr>
    </w:p>
    <w:p>
      <w:pPr>
        <w:ind w:left="-848" w:right="160" w:firstLine="859"/>
        <w:spacing w:after="0" w:line="279" w:lineRule="auto"/>
        <w:tabs>
          <w:tab w:leader="none" w:pos="99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Breach of Restrictive Covenants</w:t>
      </w:r>
      <w:r>
        <w:rPr>
          <w:rFonts w:ascii="Arial" w:cs="Arial" w:eastAsia="Arial" w:hAnsi="Arial"/>
          <w:sz w:val="18"/>
          <w:szCs w:val="18"/>
          <w:color w:val="auto"/>
        </w:rPr>
        <w:t>. If (i) the Participant is a party to an employment agreement or other agreement with the Company or any of its Subsidiaries or Affiliates and (ii) such Participant materially breaches any of the restrictive covenants set forth in such agreement (including, without limitation, any restrictive covenants relating to non-competition, non-solicitation or confidentiality), then all of the RSUs (whether or not vested) shall terminate and be cancelled without consideration being paid therefor.</w:t>
      </w:r>
    </w:p>
    <w:p>
      <w:pPr>
        <w:spacing w:after="0" w:line="159" w:lineRule="exact"/>
        <w:rPr>
          <w:rFonts w:ascii="Arial" w:cs="Arial" w:eastAsia="Arial" w:hAnsi="Arial"/>
          <w:sz w:val="18"/>
          <w:szCs w:val="18"/>
          <w:color w:val="auto"/>
        </w:rPr>
      </w:pPr>
    </w:p>
    <w:p>
      <w:pPr>
        <w:ind w:left="-848" w:right="60" w:firstLine="859"/>
        <w:spacing w:after="0" w:line="246" w:lineRule="auto"/>
        <w:tabs>
          <w:tab w:leader="none" w:pos="997"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Securities Laws</w:t>
      </w:r>
      <w:r>
        <w:rPr>
          <w:rFonts w:ascii="Arial" w:cs="Arial" w:eastAsia="Arial" w:hAnsi="Arial"/>
          <w:sz w:val="20"/>
          <w:szCs w:val="20"/>
          <w:color w:val="auto"/>
        </w:rPr>
        <w:t>. The Company shall not be required to issue Common Shares in settlement of or otherwise pursuant to the RSUs unless and until (i) the Common Shares have been duly listed upon each stock exchange on which the Common Shares are then registered; (ii) a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117475</wp:posOffset>
            </wp:positionV>
            <wp:extent cx="717613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372"/>
          </w:cols>
          <w:pgMar w:left="1168" w:top="121" w:right="359" w:bottom="1440" w:gutter="0" w:footer="0" w:header="0"/>
        </w:sectPr>
      </w:pPr>
    </w:p>
    <w:bookmarkStart w:id="85" w:name="page86"/>
    <w:bookmarkEnd w:id="85"/>
    <w:p>
      <w:pPr>
        <w:ind w:right="120"/>
        <w:spacing w:after="0" w:line="242" w:lineRule="auto"/>
        <w:rPr>
          <w:sz w:val="20"/>
          <w:szCs w:val="20"/>
          <w:color w:val="auto"/>
        </w:rPr>
      </w:pPr>
      <w:r>
        <w:rPr>
          <w:rFonts w:ascii="Arial" w:cs="Arial" w:eastAsia="Arial" w:hAnsi="Arial"/>
          <w:sz w:val="20"/>
          <w:szCs w:val="20"/>
          <w:color w:val="auto"/>
        </w:rPr>
        <w:t>statement under the Securities Act of 1933, as amended, with respect to such Common Shares is then effective; and (iii) the issuance of the Common Shares would comply with such legal or regulatory provisions of such countries or jurisdictions outside the United States as may be applicable in respect of the RSUs. In connection with the grant or vesting of the RSUs, the Participant will make or enter into such written representations, warranties and agreements as the Committee may reasonably request in order to comply with applicable securities laws or with this Agreement.</w:t>
      </w:r>
    </w:p>
    <w:p>
      <w:pPr>
        <w:spacing w:after="0" w:line="191" w:lineRule="exact"/>
        <w:rPr>
          <w:sz w:val="20"/>
          <w:szCs w:val="20"/>
          <w:color w:val="auto"/>
        </w:rPr>
      </w:pPr>
    </w:p>
    <w:p>
      <w:pPr>
        <w:ind w:left="1700" w:hanging="852"/>
        <w:spacing w:after="0"/>
        <w:tabs>
          <w:tab w:leader="none" w:pos="170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Miscellaneous Provisions</w:t>
      </w:r>
      <w:r>
        <w:rPr>
          <w:rFonts w:ascii="Arial" w:cs="Arial" w:eastAsia="Arial" w:hAnsi="Arial"/>
          <w:sz w:val="20"/>
          <w:szCs w:val="20"/>
          <w:color w:val="auto"/>
        </w:rPr>
        <w:t>.</w:t>
      </w:r>
    </w:p>
    <w:p>
      <w:pPr>
        <w:spacing w:after="0" w:line="13" w:lineRule="exact"/>
        <w:rPr>
          <w:sz w:val="20"/>
          <w:szCs w:val="20"/>
          <w:color w:val="auto"/>
        </w:rPr>
      </w:pPr>
    </w:p>
    <w:p>
      <w:pPr>
        <w:ind w:firstLine="859"/>
        <w:spacing w:after="0" w:line="270" w:lineRule="auto"/>
        <w:tabs>
          <w:tab w:leader="none" w:pos="17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necessary under this Agreement shall be addressed to the Company in care of its Corporate Secretary at the principal executive office of the Company and to the Participant at the address appearing in the records of the Company for the Participant or to either party at such other address as either party hereto may hereafter designate in writing to the other. Notwithstanding the foregoing, the Company may deliver notices to the Participant by means of email or other electronic means that are generally used for employee communications. Any such notice shall be deemed effective upon receipt thereof by the addressee.</w:t>
      </w:r>
    </w:p>
    <w:p>
      <w:pPr>
        <w:spacing w:after="0" w:line="168" w:lineRule="exact"/>
        <w:rPr>
          <w:rFonts w:ascii="Arial" w:cs="Arial" w:eastAsia="Arial" w:hAnsi="Arial"/>
          <w:sz w:val="18"/>
          <w:szCs w:val="18"/>
          <w:color w:val="auto"/>
        </w:rPr>
      </w:pPr>
    </w:p>
    <w:p>
      <w:pPr>
        <w:ind w:right="20" w:firstLine="859"/>
        <w:spacing w:after="0" w:line="256" w:lineRule="auto"/>
        <w:tabs>
          <w:tab w:leader="none" w:pos="1771"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sections and subsections are included solely for convenience of reference and shall not affect the meaning of the provisions of this Agreement.</w:t>
      </w:r>
    </w:p>
    <w:p>
      <w:pPr>
        <w:spacing w:after="0" w:line="177" w:lineRule="exact"/>
        <w:rPr>
          <w:rFonts w:ascii="Arial" w:cs="Arial" w:eastAsia="Arial" w:hAnsi="Arial"/>
          <w:sz w:val="20"/>
          <w:szCs w:val="20"/>
          <w:color w:val="auto"/>
        </w:rPr>
      </w:pPr>
    </w:p>
    <w:p>
      <w:pPr>
        <w:ind w:right="320" w:firstLine="859"/>
        <w:spacing w:after="0" w:line="256" w:lineRule="auto"/>
        <w:tabs>
          <w:tab w:leader="none" w:pos="176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two or more counterparts, each of which shall be deemed to be an original but all of which together will constitute one and the same instrument.</w:t>
      </w:r>
    </w:p>
    <w:p>
      <w:pPr>
        <w:spacing w:after="0" w:line="177" w:lineRule="exact"/>
        <w:rPr>
          <w:rFonts w:ascii="Arial" w:cs="Arial" w:eastAsia="Arial" w:hAnsi="Arial"/>
          <w:sz w:val="20"/>
          <w:szCs w:val="20"/>
          <w:color w:val="auto"/>
        </w:rPr>
      </w:pPr>
    </w:p>
    <w:p>
      <w:pPr>
        <w:ind w:right="20" w:firstLine="859"/>
        <w:spacing w:after="0" w:line="272" w:lineRule="auto"/>
        <w:tabs>
          <w:tab w:leader="none" w:pos="177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Incorporation of IMAX LTIP; Entire Agreement</w:t>
      </w:r>
      <w:r>
        <w:rPr>
          <w:rFonts w:ascii="Arial" w:cs="Arial" w:eastAsia="Arial" w:hAnsi="Arial"/>
          <w:sz w:val="18"/>
          <w:szCs w:val="18"/>
          <w:color w:val="auto"/>
        </w:rPr>
        <w:t>. This Agreement and the RSUs shall be subject to the IMAX LTIP, the terms of which are incorporated herein by reference, and in the event of any conflict or inconsistency between the IMAX LTIP and this Agreement, the IMAX LTIP shall govern. This Agreement and the IMAX LTIP constitute the entire agreement between the parties hereto with regard to the subject matter hereof. They supersede all other agreements, representations or understandings (whether oral or written and whether express or implied) that relate to the subject matter hereof. The Participant acknowledges receipt of the IMAX LTIP, and represents that the Participant is familiar with its terms and provisions.</w:t>
      </w:r>
    </w:p>
    <w:p>
      <w:pPr>
        <w:spacing w:after="0" w:line="168" w:lineRule="exact"/>
        <w:rPr>
          <w:rFonts w:ascii="Arial" w:cs="Arial" w:eastAsia="Arial" w:hAnsi="Arial"/>
          <w:sz w:val="18"/>
          <w:szCs w:val="18"/>
          <w:color w:val="auto"/>
        </w:rPr>
      </w:pPr>
    </w:p>
    <w:p>
      <w:pPr>
        <w:ind w:firstLine="859"/>
        <w:spacing w:after="0" w:line="267" w:lineRule="auto"/>
        <w:tabs>
          <w:tab w:leader="none" w:pos="17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Subject to all applicable laws, rules and regulations, the Committee shall have the power to amend this Agreement at any time provided that such amendment does not adversely affect, in any material respect, the Participant’s rights under this Agreement without the Participant’s consent. Notwithstanding the foregoing, the Company shall have broad authority to alter or amend this Agreement and the terms and conditions applicable to the RSUs without the consent of the Participant to the extent it deems necessary or desirable in its sole discretion (i) to comply with or take into account changes in, or rescissions or interpretations of, applicable tax laws, securities laws, employment laws, accounting rules or standards and other applicable laws, rules, regulations, guidance, ruling, judicial decision or legal requirement, (ii) to ensure that the RSUs are not subject to taxes, interest and penalties under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(iii) to take into account unusual or nonrecurring events or market conditions, or (iv) in any other manner set forth in Section 15 of the IMAX LTIP. Any amendment, modification or termination shall, upon adoption, become and be binding on all persons affected thereby without requirement for consent or other action with respect thereto by any such person. The Committee shall give written notice to the Participant in accordance with Section 16(a) of any such amendment, modification or termination as promptly as practicable after the adoption thereof. The foregoing shall not restrict the ability of the Participant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109220</wp:posOffset>
            </wp:positionV>
            <wp:extent cx="717613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ind w:right="120"/>
        <w:spacing w:after="0" w:line="257" w:lineRule="auto"/>
        <w:rPr>
          <w:sz w:val="20"/>
          <w:szCs w:val="20"/>
          <w:color w:val="auto"/>
        </w:rPr>
      </w:pPr>
      <w:r>
        <w:rPr>
          <w:rFonts w:ascii="Arial" w:cs="Arial" w:eastAsia="Arial" w:hAnsi="Arial"/>
          <w:sz w:val="20"/>
          <w:szCs w:val="20"/>
          <w:color w:val="auto"/>
        </w:rPr>
        <w:t>Company by mutual consent to alter or amend the terms of the RSUs in any manner that is consistent with the IMAX LTIP and approved by the Committee.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740" w:hanging="881"/>
        <w:spacing w:after="0"/>
        <w:tabs>
          <w:tab w:leader="none" w:pos="174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13" w:lineRule="exact"/>
        <w:rPr>
          <w:rFonts w:ascii="Arial" w:cs="Arial" w:eastAsia="Arial" w:hAnsi="Arial"/>
          <w:sz w:val="20"/>
          <w:szCs w:val="20"/>
          <w:color w:val="auto"/>
        </w:rPr>
      </w:pPr>
    </w:p>
    <w:p>
      <w:pPr>
        <w:ind w:left="860" w:firstLine="798"/>
        <w:spacing w:after="0" w:line="267" w:lineRule="auto"/>
        <w:tabs>
          <w:tab w:leader="none" w:pos="2533"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RSUs are intended to constitute “short-term deferrals” for purposes of Section 409A of the Code and the regulations and guidance promulgated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If any provision of the IMAX LTIP or this Agreement would, in the reasonable good faith judgment of the Committee, result or likely result in the imposition on the Participant, a beneficiary or any other person of a penalty tax under Section 409A, the Committee may modify the terms of the IMAX LTIP or this Agreement, without the consent of the Participant, beneficiary or such other person, in the manner that the Committee may reasonably and in good faith determine to be necessary or advisable to avoid the imposition of such penalty tax. This Section 16(f) does not create an obligation on the part of the Company to modify the IMAX LTIP or this Agreement and does not guarantee that the RSUs will not be subject to taxes, interest and penalties under Section 409A.</w:t>
      </w:r>
    </w:p>
    <w:p>
      <w:pPr>
        <w:spacing w:after="0" w:line="172" w:lineRule="exact"/>
        <w:rPr>
          <w:rFonts w:ascii="Arial" w:cs="Arial" w:eastAsia="Arial" w:hAnsi="Arial"/>
          <w:sz w:val="18"/>
          <w:szCs w:val="18"/>
          <w:color w:val="auto"/>
        </w:rPr>
      </w:pPr>
    </w:p>
    <w:p>
      <w:pPr>
        <w:jc w:val="both"/>
        <w:ind w:left="860" w:right="100" w:firstLine="798"/>
        <w:spacing w:after="0" w:line="272" w:lineRule="auto"/>
        <w:tabs>
          <w:tab w:leader="none" w:pos="2587"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Notwithstanding anything to the contrary in the IMAX LTIP or this Agreement, to the extent that the RSUs constitute deferred compensation for purposes of Section 409A and Participant is a “</w:t>
      </w:r>
      <w:r>
        <w:rPr>
          <w:rFonts w:ascii="Arial" w:cs="Arial" w:eastAsia="Arial" w:hAnsi="Arial"/>
          <w:sz w:val="18"/>
          <w:szCs w:val="18"/>
          <w:b w:val="1"/>
          <w:bCs w:val="1"/>
          <w:i w:val="1"/>
          <w:iCs w:val="1"/>
          <w:color w:val="auto"/>
        </w:rPr>
        <w:t>Specified Employee</w:t>
      </w:r>
      <w:r>
        <w:rPr>
          <w:rFonts w:ascii="Arial" w:cs="Arial" w:eastAsia="Arial" w:hAnsi="Arial"/>
          <w:sz w:val="18"/>
          <w:szCs w:val="18"/>
          <w:color w:val="auto"/>
        </w:rPr>
        <w:t>” (within the meaning of the Committee’s established methodology for determining “</w:t>
      </w:r>
      <w:r>
        <w:rPr>
          <w:rFonts w:ascii="Arial" w:cs="Arial" w:eastAsia="Arial" w:hAnsi="Arial"/>
          <w:sz w:val="18"/>
          <w:szCs w:val="18"/>
          <w:b w:val="1"/>
          <w:bCs w:val="1"/>
          <w:i w:val="1"/>
          <w:iCs w:val="1"/>
          <w:color w:val="auto"/>
        </w:rPr>
        <w:t>Specified Employees</w:t>
      </w:r>
      <w:r>
        <w:rPr>
          <w:rFonts w:ascii="Arial" w:cs="Arial" w:eastAsia="Arial" w:hAnsi="Arial"/>
          <w:sz w:val="18"/>
          <w:szCs w:val="18"/>
          <w:color w:val="auto"/>
        </w:rPr>
        <w:t>” for purposes of Section 409A), no payment or distribution of any amounts with respect to the RSUs that are subject to Section 409A may be made before the first business day following the six (6) month anniversary from the Participant’s Separation from Service from the Company Group (as defined in Section 409A) or, if earlier, the date of the Participant’s death.</w:t>
      </w:r>
    </w:p>
    <w:p>
      <w:pPr>
        <w:spacing w:after="0" w:line="168" w:lineRule="exact"/>
        <w:rPr>
          <w:rFonts w:ascii="Arial" w:cs="Arial" w:eastAsia="Arial" w:hAnsi="Arial"/>
          <w:sz w:val="18"/>
          <w:szCs w:val="18"/>
          <w:color w:val="auto"/>
        </w:rPr>
      </w:pPr>
    </w:p>
    <w:p>
      <w:pPr>
        <w:ind w:right="60" w:firstLine="859"/>
        <w:spacing w:after="0" w:line="256" w:lineRule="auto"/>
        <w:tabs>
          <w:tab w:leader="none" w:pos="1771"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Successor</w:t>
      </w:r>
      <w:r>
        <w:rPr>
          <w:rFonts w:ascii="Arial" w:cs="Arial" w:eastAsia="Arial" w:hAnsi="Arial"/>
          <w:sz w:val="20"/>
          <w:szCs w:val="20"/>
          <w:color w:val="auto"/>
        </w:rPr>
        <w:t>. Except as otherwise provided herein, this Agreement shall be binding upon and shall inure to the benefit of any successor or successors of the Company, and to any Permitted Transferee pursuant to Section 9.</w:t>
      </w:r>
    </w:p>
    <w:p>
      <w:pPr>
        <w:spacing w:after="0" w:line="177" w:lineRule="exact"/>
        <w:rPr>
          <w:rFonts w:ascii="Arial" w:cs="Arial" w:eastAsia="Arial" w:hAnsi="Arial"/>
          <w:sz w:val="20"/>
          <w:szCs w:val="20"/>
          <w:color w:val="auto"/>
        </w:rPr>
      </w:pPr>
    </w:p>
    <w:p>
      <w:pPr>
        <w:ind w:right="80" w:firstLine="859"/>
        <w:spacing w:after="0" w:line="311" w:lineRule="auto"/>
        <w:tabs>
          <w:tab w:leader="none" w:pos="177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Except as to matters of federal law, this Agreement and all actions taken thereunder shall be governed by and construed in accordance with the laws of the State of New York (other than its conflict of law rules).</w:t>
      </w:r>
    </w:p>
    <w:p>
      <w:pPr>
        <w:spacing w:after="0" w:line="131" w:lineRule="exact"/>
        <w:rPr>
          <w:rFonts w:ascii="Arial" w:cs="Arial" w:eastAsia="Arial" w:hAnsi="Arial"/>
          <w:sz w:val="18"/>
          <w:szCs w:val="18"/>
          <w:color w:val="auto"/>
        </w:rPr>
      </w:pPr>
    </w:p>
    <w:p>
      <w:pPr>
        <w:ind w:right="200" w:firstLine="859"/>
        <w:spacing w:after="0" w:line="311" w:lineRule="auto"/>
        <w:tabs>
          <w:tab w:leader="none" w:pos="172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Any awards made pursuant to the IMAX LTIP shall be subject to clawback or recoupment as permitted or mandated by applicable law, rules, regulations or any Company policy as enacted, adopted or modified from time to time.</w:t>
      </w:r>
    </w:p>
    <w:p>
      <w:pPr>
        <w:spacing w:after="0" w:line="131" w:lineRule="exact"/>
        <w:rPr>
          <w:rFonts w:ascii="Arial" w:cs="Arial" w:eastAsia="Arial" w:hAnsi="Arial"/>
          <w:sz w:val="18"/>
          <w:szCs w:val="18"/>
          <w:color w:val="auto"/>
        </w:rPr>
      </w:pPr>
    </w:p>
    <w:p>
      <w:pPr>
        <w:jc w:val="both"/>
        <w:ind w:right="60" w:firstLine="859"/>
        <w:spacing w:after="0" w:line="243" w:lineRule="auto"/>
        <w:tabs>
          <w:tab w:leader="none" w:pos="1679"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Canadian Employment Law.</w:t>
      </w:r>
      <w:r>
        <w:rPr>
          <w:rFonts w:ascii="Arial" w:cs="Arial" w:eastAsia="Arial" w:hAnsi="Arial"/>
          <w:sz w:val="20"/>
          <w:szCs w:val="20"/>
          <w:color w:val="auto"/>
        </w:rPr>
        <w:t xml:space="preserve"> Only for those Participants that are employed in Ontario, Canada, such Participants shall have no entitlement to damages or other compensation under contract, the common law or otherwise arising from or related to not receiving any form of compensation under this Agreement which would have accrued or been paid to the Participant after the Participant’s termination of employment pursuant to Sections 4, 5, 6 or 7.</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20"/>
          <w:szCs w:val="20"/>
          <w:i w:val="1"/>
          <w:iCs w:val="1"/>
          <w:u w:val="single" w:color="auto"/>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132080</wp:posOffset>
            </wp:positionV>
            <wp:extent cx="717613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87" w:name="page88"/>
    <w:bookmarkEnd w:id="87"/>
    <w:p>
      <w:pPr>
        <w:ind w:left="4740"/>
        <w:spacing w:after="0"/>
        <w:rPr>
          <w:sz w:val="20"/>
          <w:szCs w:val="20"/>
          <w:color w:val="auto"/>
        </w:rPr>
      </w:pPr>
      <w:r>
        <w:rPr>
          <w:rFonts w:ascii="Arial" w:cs="Arial" w:eastAsia="Arial" w:hAnsi="Arial"/>
          <w:sz w:val="20"/>
          <w:szCs w:val="20"/>
          <w:b w:val="1"/>
          <w:bCs w:val="1"/>
          <w:color w:val="auto"/>
        </w:rPr>
        <w:t>IMAX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487680</wp:posOffset>
            </wp:positionV>
            <wp:extent cx="33928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3392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635</wp:posOffset>
            </wp:positionV>
            <wp:extent cx="33928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3392805"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w:t>
      </w:r>
    </w:p>
    <w:p>
      <w:pPr>
        <w:spacing w:after="0" w:line="3"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Title:</w:t>
      </w:r>
    </w:p>
    <w:p>
      <w:pPr>
        <w:spacing w:after="0" w:line="29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635</wp:posOffset>
            </wp:positionV>
            <wp:extent cx="33845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3384550"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0"/>
          <w:szCs w:val="20"/>
          <w:color w:val="auto"/>
        </w:rPr>
        <w:t>Name:</w:t>
      </w:r>
    </w:p>
    <w:p>
      <w:pPr>
        <w:spacing w:after="0" w:line="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Title:</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By electronically accepting this document, the Participant acknowledges having read the IMAX LTIP and this Agreement, and hereby agrees to be bound by all the provisions set forth in the IMAX LTIP and this Agreement.</w:t>
      </w:r>
    </w:p>
    <w:p>
      <w:pPr>
        <w:sectPr>
          <w:pgSz w:w="11900" w:h="16838" w:orient="portrait"/>
          <w:cols w:equalWidth="0" w:num="1">
            <w:col w:w="11060"/>
          </w:cols>
          <w:pgMar w:left="320" w:top="357" w:right="51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25"/>
          <w:szCs w:val="25"/>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18415</wp:posOffset>
            </wp:positionV>
            <wp:extent cx="2434590" cy="4921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2434590"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IMAX CORPORATION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SECOND AMENDED AND RESTATED LONG-TERM INCENTIVE PLAN</w:t>
      </w:r>
    </w:p>
    <w:p>
      <w:pPr>
        <w:jc w:val="center"/>
        <w:ind w:right="-19"/>
        <w:spacing w:after="0" w:line="236" w:lineRule="auto"/>
        <w:rPr>
          <w:sz w:val="20"/>
          <w:szCs w:val="20"/>
          <w:color w:val="auto"/>
        </w:rPr>
      </w:pPr>
      <w:r>
        <w:rPr>
          <w:rFonts w:ascii="Arial" w:cs="Arial" w:eastAsia="Arial" w:hAnsi="Arial"/>
          <w:sz w:val="20"/>
          <w:szCs w:val="20"/>
          <w:b w:val="1"/>
          <w:bCs w:val="1"/>
          <w:color w:val="auto"/>
        </w:rPr>
        <w:t>PERFORMANCE STOCK UNIT AWARD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PERFORMANCE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made effective as of </w:t>
      </w:r>
      <w:r>
        <w:rPr>
          <w:rFonts w:ascii="Arial" w:cs="Arial" w:eastAsia="Arial" w:hAnsi="Arial"/>
          <w:sz w:val="18"/>
          <w:szCs w:val="18"/>
          <w:b w:val="1"/>
          <w:bCs w:val="1"/>
          <w:color w:val="auto"/>
        </w:rPr>
        <w:t>___________</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Date of</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Grant</w:t>
      </w:r>
      <w:r>
        <w:rPr>
          <w:rFonts w:ascii="Arial" w:cs="Arial" w:eastAsia="Arial" w:hAnsi="Arial"/>
          <w:sz w:val="20"/>
          <w:szCs w:val="20"/>
          <w:color w:val="auto"/>
        </w:rPr>
        <w:t>”) between IMAX Corporation, a Canadian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___________</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w:t>
      </w:r>
    </w:p>
    <w:p>
      <w:pPr>
        <w:spacing w:after="0" w:line="236" w:lineRule="auto"/>
        <w:rPr>
          <w:sz w:val="20"/>
          <w:szCs w:val="20"/>
          <w:color w:val="auto"/>
        </w:rPr>
      </w:pPr>
      <w:r>
        <w:rPr>
          <w:rFonts w:ascii="Arial" w:cs="Arial" w:eastAsia="Arial" w:hAnsi="Arial"/>
          <w:sz w:val="20"/>
          <w:szCs w:val="20"/>
          <w:color w:val="auto"/>
        </w:rPr>
        <w:t>This Agreement sets forth the general terms and conditions of performance stock units (“</w:t>
      </w:r>
      <w:r>
        <w:rPr>
          <w:rFonts w:ascii="Arial" w:cs="Arial" w:eastAsia="Arial" w:hAnsi="Arial"/>
          <w:sz w:val="20"/>
          <w:szCs w:val="20"/>
          <w:b w:val="1"/>
          <w:bCs w:val="1"/>
          <w:i w:val="1"/>
          <w:iCs w:val="1"/>
          <w:color w:val="auto"/>
        </w:rPr>
        <w:t>PSUs</w:t>
      </w:r>
      <w:r>
        <w:rPr>
          <w:rFonts w:ascii="Arial" w:cs="Arial" w:eastAsia="Arial" w:hAnsi="Arial"/>
          <w:sz w:val="20"/>
          <w:szCs w:val="20"/>
          <w:color w:val="auto"/>
        </w:rPr>
        <w:t>”). By accepting the PSUs, the Participant agrees to the terms and conditions set forth in this Agreement and the IMAX Corporation Second Amended and Restated Long-Term Incentive Plan (as amended, the “</w:t>
      </w:r>
      <w:r>
        <w:rPr>
          <w:rFonts w:ascii="Arial" w:cs="Arial" w:eastAsia="Arial" w:hAnsi="Arial"/>
          <w:sz w:val="20"/>
          <w:szCs w:val="20"/>
          <w:b w:val="1"/>
          <w:bCs w:val="1"/>
          <w:i w:val="1"/>
          <w:iCs w:val="1"/>
          <w:color w:val="auto"/>
        </w:rPr>
        <w:t>IMAX LTIP</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Capitalized terms not otherwise defined herein shall have the same meanings as in the IMAX LTIP.</w:t>
      </w:r>
    </w:p>
    <w:p>
      <w:pPr>
        <w:ind w:right="20" w:firstLine="864"/>
        <w:spacing w:after="0" w:line="278" w:lineRule="auto"/>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Grant of the PSUs</w:t>
      </w:r>
      <w:r>
        <w:rPr>
          <w:rFonts w:ascii="Arial" w:cs="Arial" w:eastAsia="Arial" w:hAnsi="Arial"/>
          <w:sz w:val="17"/>
          <w:szCs w:val="17"/>
          <w:color w:val="auto"/>
        </w:rPr>
        <w:t xml:space="preserve">. Subject to the provisions of this Agreement and the IMAX LTIP, the Company hereby grants to the Participant a target award comprised of </w:t>
      </w:r>
      <w:r>
        <w:rPr>
          <w:rFonts w:ascii="Arial" w:cs="Arial" w:eastAsia="Arial" w:hAnsi="Arial"/>
          <w:sz w:val="17"/>
          <w:szCs w:val="17"/>
          <w:b w:val="1"/>
          <w:bCs w:val="1"/>
          <w:color w:val="auto"/>
        </w:rPr>
        <w:t>___________</w:t>
      </w:r>
      <w:r>
        <w:rPr>
          <w:rFonts w:ascii="Arial" w:cs="Arial" w:eastAsia="Arial" w:hAnsi="Arial"/>
          <w:sz w:val="17"/>
          <w:szCs w:val="17"/>
          <w:color w:val="auto"/>
        </w:rPr>
        <w:t xml:space="preserve">, subject to the performance measure or performance measures detailed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(collectively,</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Target Award</w:t>
      </w:r>
      <w:r>
        <w:rPr>
          <w:rFonts w:ascii="Arial" w:cs="Arial" w:eastAsia="Arial" w:hAnsi="Arial"/>
          <w:sz w:val="18"/>
          <w:szCs w:val="18"/>
          <w:color w:val="auto"/>
        </w:rPr>
        <w:t>”), subject to adjustment as set forth in the IMAX LTIP. The number of PSUs to which the Participant will be entitled as of the Scheduled Vesting Date (defined below) (the “</w:t>
      </w:r>
      <w:r>
        <w:rPr>
          <w:rFonts w:ascii="Arial" w:cs="Arial" w:eastAsia="Arial" w:hAnsi="Arial"/>
          <w:sz w:val="18"/>
          <w:szCs w:val="18"/>
          <w:b w:val="1"/>
          <w:bCs w:val="1"/>
          <w:i w:val="1"/>
          <w:iCs w:val="1"/>
          <w:color w:val="auto"/>
        </w:rPr>
        <w:t>Earned PSUs</w:t>
      </w:r>
      <w:r>
        <w:rPr>
          <w:rFonts w:ascii="Arial" w:cs="Arial" w:eastAsia="Arial" w:hAnsi="Arial"/>
          <w:sz w:val="18"/>
          <w:szCs w:val="18"/>
          <w:color w:val="auto"/>
        </w:rPr>
        <w:t xml:space="preserve">”) will be based on (i) the Target Award and (ii) the Company’s performance against the performance measures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over a three-year performance period extending from January 1 of the year of grant to December 31 of the second year following the year of grant (the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as well as other terms and conditions of this Agreement. Each Earned PSU gives the Participant the unsecured right to receive, subject to the terms and conditions of the IMAX LTIP and this Agreement, one Common Share. The Participant shall not be required to pay any additional consideration for the issuance of the Common Shares upon settlement of the Earned PSUs.</w:t>
      </w:r>
    </w:p>
    <w:p>
      <w:pPr>
        <w:spacing w:after="0" w:line="169"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2.</w:t>
      </w:r>
      <w:r>
        <w:rPr>
          <w:rFonts w:ascii="Arial" w:cs="Arial" w:eastAsia="Arial" w:hAnsi="Arial"/>
          <w:sz w:val="20"/>
          <w:szCs w:val="20"/>
          <w:u w:val="single" w:color="auto"/>
          <w:color w:val="auto"/>
        </w:rPr>
        <w:t>Vesting Schedule</w:t>
      </w:r>
      <w:r>
        <w:rPr>
          <w:rFonts w:ascii="Arial" w:cs="Arial" w:eastAsia="Arial" w:hAnsi="Arial"/>
          <w:sz w:val="20"/>
          <w:szCs w:val="20"/>
          <w:color w:val="auto"/>
        </w:rPr>
        <w:t>. Subject to the terms and conditions hereof, the Earned PSUs shall vest promptly following the public disclosure of the Company’s financial results for the second year following the year of grant (the “</w:t>
      </w:r>
      <w:r>
        <w:rPr>
          <w:rFonts w:ascii="Arial" w:cs="Arial" w:eastAsia="Arial" w:hAnsi="Arial"/>
          <w:sz w:val="20"/>
          <w:szCs w:val="20"/>
          <w:b w:val="1"/>
          <w:bCs w:val="1"/>
          <w:i w:val="1"/>
          <w:iCs w:val="1"/>
          <w:color w:val="auto"/>
        </w:rPr>
        <w:t>Scheduled Vesting Date</w:t>
      </w:r>
      <w:r>
        <w:rPr>
          <w:rFonts w:ascii="Arial" w:cs="Arial" w:eastAsia="Arial" w:hAnsi="Arial"/>
          <w:sz w:val="20"/>
          <w:szCs w:val="20"/>
          <w:color w:val="auto"/>
        </w:rPr>
        <w:t>”), unless previously cancelled or forfeited in accordance with the provisions of the IMAX LTIP or this Agreement.</w:t>
      </w:r>
    </w:p>
    <w:p>
      <w:pPr>
        <w:spacing w:after="0" w:line="2" w:lineRule="exact"/>
        <w:rPr>
          <w:sz w:val="20"/>
          <w:szCs w:val="20"/>
          <w:color w:val="auto"/>
        </w:rPr>
      </w:pPr>
    </w:p>
    <w:p>
      <w:pPr>
        <w:jc w:val="both"/>
        <w:ind w:right="40" w:firstLine="864"/>
        <w:spacing w:after="0" w:line="278" w:lineRule="auto"/>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Settlement</w:t>
      </w:r>
      <w:r>
        <w:rPr>
          <w:rFonts w:ascii="Arial" w:cs="Arial" w:eastAsia="Arial" w:hAnsi="Arial"/>
          <w:sz w:val="18"/>
          <w:szCs w:val="18"/>
          <w:color w:val="auto"/>
        </w:rPr>
        <w:t>. Each Earned PSU shall be settled by delivery of one Common Share within thirty (30) days following the Scheduled Vesting Date or such earlier date on which the PSUs vest pursuant to Sections 5, 6, 7 or 8 (each, a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settlement occur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year following the Scheduled Vesting Date.</w:t>
      </w:r>
    </w:p>
    <w:p>
      <w:pPr>
        <w:spacing w:after="0" w:line="160" w:lineRule="exact"/>
        <w:rPr>
          <w:sz w:val="20"/>
          <w:szCs w:val="20"/>
          <w:color w:val="auto"/>
        </w:rPr>
      </w:pPr>
    </w:p>
    <w:p>
      <w:pPr>
        <w:ind w:firstLine="871"/>
        <w:spacing w:after="0" w:line="275" w:lineRule="auto"/>
        <w:tabs>
          <w:tab w:leader="none" w:pos="229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Generally</w:t>
      </w:r>
      <w:r>
        <w:rPr>
          <w:rFonts w:ascii="Arial" w:cs="Arial" w:eastAsia="Arial" w:hAnsi="Arial"/>
          <w:sz w:val="18"/>
          <w:szCs w:val="18"/>
          <w:color w:val="auto"/>
        </w:rPr>
        <w:t>. In the event that the Participant’s employment with the Company terminates prior to the Scheduled Vesting Date (i) for any reason other than death, Disability, or for Cause, and (ii) without having achieved the Service Factor, all unearned or unvested PSUs shall cease to vest and any unvested PSUs shall be cancelled immediately without consideration as of the date of such termination. Any vested PSUs shall continue to be settled on the applicable Settlement Date. For the avoidance of doubt, for Participants that are employed in Ontario, Canada, the provisions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101600</wp:posOffset>
            </wp:positionV>
            <wp:extent cx="717613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89" w:name="page90"/>
    <w:bookmarkEnd w:id="89"/>
    <w:p>
      <w:pPr>
        <w:ind w:right="20"/>
        <w:spacing w:after="0" w:line="242" w:lineRule="auto"/>
        <w:rPr>
          <w:sz w:val="20"/>
          <w:szCs w:val="20"/>
          <w:color w:val="auto"/>
        </w:rPr>
      </w:pPr>
      <w:r>
        <w:rPr>
          <w:rFonts w:ascii="Arial" w:cs="Arial" w:eastAsia="Arial" w:hAnsi="Arial"/>
          <w:sz w:val="20"/>
          <w:szCs w:val="20"/>
          <w:color w:val="auto"/>
        </w:rPr>
        <w:t xml:space="preserve">this Section 4 will apply in the case of a Termination of Employment. “Termination of Employment” shall mean termination of such Participant’s employment with the Company and shall occur on the date immediately following only the minimum notice of termination period prescribed by the </w:t>
      </w:r>
      <w:r>
        <w:rPr>
          <w:rFonts w:ascii="Arial" w:cs="Arial" w:eastAsia="Arial" w:hAnsi="Arial"/>
          <w:sz w:val="20"/>
          <w:szCs w:val="20"/>
          <w:i w:val="1"/>
          <w:iCs w:val="1"/>
          <w:color w:val="auto"/>
        </w:rPr>
        <w:t>Employment Standards Act, 2000</w:t>
      </w:r>
      <w:r>
        <w:rPr>
          <w:rFonts w:ascii="Arial" w:cs="Arial" w:eastAsia="Arial" w:hAnsi="Arial"/>
          <w:sz w:val="20"/>
          <w:szCs w:val="20"/>
          <w:color w:val="auto"/>
        </w:rPr>
        <w:t xml:space="preserve"> (Ontario) as amended, not including any additional notice of termination period to which the Participant may be entitled under contract or the common law, and without regard to whether the Participant continues to receive compensatory payments or is paid salary thereby in lieu of notice of termination.</w:t>
      </w:r>
    </w:p>
    <w:p>
      <w:pPr>
        <w:spacing w:after="0" w:line="191" w:lineRule="exact"/>
        <w:rPr>
          <w:sz w:val="20"/>
          <w:szCs w:val="20"/>
          <w:color w:val="auto"/>
        </w:rPr>
      </w:pPr>
    </w:p>
    <w:p>
      <w:pPr>
        <w:ind w:right="180" w:firstLine="857"/>
        <w:spacing w:after="0" w:line="243" w:lineRule="auto"/>
        <w:tabs>
          <w:tab w:leader="none" w:pos="1638"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Death; Disability</w:t>
      </w:r>
      <w:r>
        <w:rPr>
          <w:rFonts w:ascii="Arial" w:cs="Arial" w:eastAsia="Arial" w:hAnsi="Arial"/>
          <w:sz w:val="20"/>
          <w:szCs w:val="20"/>
          <w:color w:val="auto"/>
        </w:rPr>
        <w:t>. If the Participant’s employment with the Company terminates as a result of the Participant’s death or Disability, a portion of the PSUs shall vest such that an aggregate of 50% of the PSUs granted pursuant to this Agreement shall have vested. Any vested PSUs shall be settled on the applicable Settlement Date and any unearned or unvested PSUs shall be cancelled immediately without consideration as of the date of death or Disability.</w:t>
      </w:r>
    </w:p>
    <w:p>
      <w:pPr>
        <w:spacing w:after="0" w:line="190" w:lineRule="exact"/>
        <w:rPr>
          <w:rFonts w:ascii="Arial" w:cs="Arial" w:eastAsia="Arial" w:hAnsi="Arial"/>
          <w:sz w:val="20"/>
          <w:szCs w:val="20"/>
          <w:color w:val="auto"/>
        </w:rPr>
      </w:pPr>
    </w:p>
    <w:p>
      <w:pPr>
        <w:ind w:right="120" w:firstLine="857"/>
        <w:spacing w:after="0" w:line="283" w:lineRule="auto"/>
        <w:tabs>
          <w:tab w:leader="none" w:pos="228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Service Factor</w:t>
      </w:r>
      <w:r>
        <w:rPr>
          <w:rFonts w:ascii="Arial" w:cs="Arial" w:eastAsia="Arial" w:hAnsi="Arial"/>
          <w:sz w:val="17"/>
          <w:szCs w:val="17"/>
          <w:color w:val="auto"/>
        </w:rPr>
        <w:t>. Notwithstanding Section 4, if, after achieving the Service Factor, the Participant’s employment with the Company terminates as a result of the Participant’s resignation or termination without Cause, the PSUs shall continue to vest in accordance with the Scheduled Vesting Date and the Participant shall be entitled to the number of Earned PSUs as determined on the Scheduled Vesting Date. For purposes of this Agreement, “</w:t>
      </w:r>
      <w:r>
        <w:rPr>
          <w:rFonts w:ascii="Arial" w:cs="Arial" w:eastAsia="Arial" w:hAnsi="Arial"/>
          <w:sz w:val="17"/>
          <w:szCs w:val="17"/>
          <w:b w:val="1"/>
          <w:bCs w:val="1"/>
          <w:i w:val="1"/>
          <w:iCs w:val="1"/>
          <w:color w:val="auto"/>
        </w:rPr>
        <w:t>Service Factor</w:t>
      </w:r>
      <w:r>
        <w:rPr>
          <w:rFonts w:ascii="Arial" w:cs="Arial" w:eastAsia="Arial" w:hAnsi="Arial"/>
          <w:sz w:val="17"/>
          <w:szCs w:val="17"/>
          <w:color w:val="auto"/>
        </w:rPr>
        <w:t>” shall mean the Participant’s (i) attaining the age of at least 55 and</w:t>
      </w:r>
    </w:p>
    <w:p>
      <w:pPr>
        <w:spacing w:after="0" w:line="2" w:lineRule="exact"/>
        <w:rPr>
          <w:rFonts w:ascii="Arial" w:cs="Arial" w:eastAsia="Arial" w:hAnsi="Arial"/>
          <w:sz w:val="17"/>
          <w:szCs w:val="17"/>
          <w:color w:val="auto"/>
        </w:rPr>
      </w:pPr>
    </w:p>
    <w:p>
      <w:pPr>
        <w:ind w:right="40" w:firstLine="7"/>
        <w:spacing w:after="0" w:line="278" w:lineRule="auto"/>
        <w:tabs>
          <w:tab w:leader="none" w:pos="2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continuous service with the Company or any of its Subsidiaries and Affiliates for at least 10 years, or such other criteria that are deemed by the Committee to be an achievement of the Service Factor,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resignation, the Participant must provide the Company with a written notice of intent to resign at least six (6) months prior to the final day of employment with the Company.</w:t>
      </w:r>
    </w:p>
    <w:p>
      <w:pPr>
        <w:spacing w:after="0" w:line="159" w:lineRule="exact"/>
        <w:rPr>
          <w:rFonts w:ascii="Arial" w:cs="Arial" w:eastAsia="Arial" w:hAnsi="Arial"/>
          <w:sz w:val="18"/>
          <w:szCs w:val="18"/>
          <w:color w:val="auto"/>
        </w:rPr>
      </w:pPr>
    </w:p>
    <w:p>
      <w:pPr>
        <w:ind w:firstLine="857"/>
        <w:spacing w:after="0" w:line="241" w:lineRule="auto"/>
        <w:tabs>
          <w:tab w:leader="none" w:pos="2244"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Termination for Cause</w:t>
      </w:r>
      <w:r>
        <w:rPr>
          <w:rFonts w:ascii="Arial" w:cs="Arial" w:eastAsia="Arial" w:hAnsi="Arial"/>
          <w:sz w:val="20"/>
          <w:szCs w:val="20"/>
          <w:color w:val="auto"/>
        </w:rPr>
        <w:t xml:space="preserve">. If the Participant’s employment with the Company terminates for Cause, any outstanding PSUs, whether or not vested, shall be cancelled immediately without consideration as of the date of termination, and the Participant shall have no further right or interest therein. For Participants that are employed in Ontario, Canada, such Participant shall have no further right or interest therein except as may be required in accordance with the Participant’s minimum termination entitlements prescribed by the </w:t>
      </w:r>
      <w:r>
        <w:rPr>
          <w:rFonts w:ascii="Arial" w:cs="Arial" w:eastAsia="Arial" w:hAnsi="Arial"/>
          <w:sz w:val="20"/>
          <w:szCs w:val="20"/>
          <w:i w:val="1"/>
          <w:iCs w:val="1"/>
          <w:color w:val="auto"/>
        </w:rPr>
        <w:t>Employment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Standards Act, 2000 </w:t>
      </w:r>
      <w:r>
        <w:rPr>
          <w:rFonts w:ascii="Arial" w:cs="Arial" w:eastAsia="Arial" w:hAnsi="Arial"/>
          <w:sz w:val="20"/>
          <w:szCs w:val="20"/>
          <w:color w:val="auto"/>
        </w:rPr>
        <w:t>(Ontario) as amended.</w:t>
      </w:r>
    </w:p>
    <w:p>
      <w:pPr>
        <w:spacing w:after="0" w:line="194" w:lineRule="exact"/>
        <w:rPr>
          <w:rFonts w:ascii="Arial" w:cs="Arial" w:eastAsia="Arial" w:hAnsi="Arial"/>
          <w:sz w:val="20"/>
          <w:szCs w:val="20"/>
          <w:color w:val="auto"/>
        </w:rPr>
      </w:pPr>
    </w:p>
    <w:p>
      <w:pPr>
        <w:ind w:right="20" w:firstLine="857"/>
        <w:spacing w:after="0" w:line="284" w:lineRule="auto"/>
        <w:tabs>
          <w:tab w:leader="none" w:pos="2244"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xml:space="preserve">. In the event of a Change in Control prior to the Scheduled Vesting Date, to the extent the successor company (or a subsidiary or parent thereof) does not assume or provide a substitute for the PSUs on substantially the same terms and conditions, the PSUs shall vest on the date of the consummation of the Change in Control at the specified target level of performance and, subject to Section 6(d)(iv) of the IMAX LTIP, shall be settled in accordance with Section 3. To the extent the successor company (or a subsidiary or parent thereof) assumes or provides a substitute for the PSUs on substantially the same terms and conditions in place prior to the Change in Control, such assumed or substituted Earned PSUs shall vest on the Scheduled Vesting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within 24 months following the date of a Change in Control, the Participant’s employment with the Company is terminated without Cause or the Participant resigns for Good Reason, the PSUs shall vest and be settled on the date of the termination of employment at the specified target level of performance and, subject to Section 6(d)(iv) of the IMAX LTIP, shall be settled in accordance with Section 3. Notwithstanding the foregoing, in the event of a Change in Control that is not a “change in ownership”, “change in effective control”, or “change in the ownership of a substantial portion of the Company’s assets” under Section 409A (as defined below), the provisions of this Section 8 shall apply except that settlement of PSUs shall not be accelerated, but shall be conducted in accordance with the originally applicable settlement schedule.</w:t>
      </w:r>
    </w:p>
    <w:p>
      <w:pPr>
        <w:spacing w:after="0" w:line="163" w:lineRule="exact"/>
        <w:rPr>
          <w:rFonts w:ascii="Arial" w:cs="Arial" w:eastAsia="Arial" w:hAnsi="Arial"/>
          <w:sz w:val="17"/>
          <w:szCs w:val="17"/>
          <w:color w:val="auto"/>
        </w:rPr>
      </w:pPr>
    </w:p>
    <w:p>
      <w:pPr>
        <w:ind w:right="220" w:firstLine="871"/>
        <w:spacing w:after="0" w:line="256" w:lineRule="auto"/>
        <w:tabs>
          <w:tab w:leader="none" w:pos="2293" w:val="left"/>
        </w:tabs>
        <w:numPr>
          <w:ilvl w:val="2"/>
          <w:numId w:val="60"/>
        </w:numPr>
        <w:rPr>
          <w:rFonts w:ascii="Arial" w:cs="Arial" w:eastAsia="Arial" w:hAnsi="Arial"/>
          <w:sz w:val="20"/>
          <w:szCs w:val="20"/>
          <w:color w:val="auto"/>
        </w:rPr>
      </w:pPr>
      <w:r>
        <w:rPr>
          <w:rFonts w:ascii="Arial" w:cs="Arial" w:eastAsia="Arial" w:hAnsi="Arial"/>
          <w:sz w:val="20"/>
          <w:szCs w:val="20"/>
          <w:u w:val="single" w:color="auto"/>
          <w:color w:val="auto"/>
        </w:rPr>
        <w:t>Nontransferability of PSUs</w:t>
      </w:r>
      <w:r>
        <w:rPr>
          <w:rFonts w:ascii="Arial" w:cs="Arial" w:eastAsia="Arial" w:hAnsi="Arial"/>
          <w:sz w:val="20"/>
          <w:szCs w:val="20"/>
          <w:color w:val="auto"/>
        </w:rPr>
        <w:t>. Unless otherwise determined by the Committee pursuant to the terms of the IMAX LTIP, the PSUs may not be transferred, pledged, alienated, assigned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110490</wp:posOffset>
            </wp:positionV>
            <wp:extent cx="717613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right="240"/>
        <w:spacing w:after="0" w:line="257" w:lineRule="auto"/>
        <w:rPr>
          <w:sz w:val="20"/>
          <w:szCs w:val="20"/>
          <w:color w:val="auto"/>
        </w:rPr>
      </w:pPr>
      <w:r>
        <w:rPr>
          <w:rFonts w:ascii="Arial" w:cs="Arial" w:eastAsia="Arial" w:hAnsi="Arial"/>
          <w:sz w:val="20"/>
          <w:szCs w:val="20"/>
          <w:color w:val="auto"/>
        </w:rPr>
        <w:t>attorned other than by last will and testament or by the laws of descent and distribution or pursuant to a domestic relations order, as the case may be.</w:t>
      </w:r>
    </w:p>
    <w:p>
      <w:pPr>
        <w:spacing w:after="0" w:line="177" w:lineRule="exact"/>
        <w:rPr>
          <w:sz w:val="20"/>
          <w:szCs w:val="20"/>
          <w:color w:val="auto"/>
        </w:rPr>
      </w:pPr>
    </w:p>
    <w:p>
      <w:pPr>
        <w:ind w:right="500" w:firstLine="871"/>
        <w:spacing w:after="0" w:line="287" w:lineRule="auto"/>
        <w:tabs>
          <w:tab w:leader="none" w:pos="239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The Participant shall have no rights as a shareholder with respect to the Common Shares underlying the PSUs. Upon settlement, the Participant shall have all rights as a shareholder with respect to the Common Shares delivered to the Participant, if any, including, without limitation, voting rights and the right to receive dividends.</w:t>
      </w:r>
    </w:p>
    <w:p>
      <w:pPr>
        <w:spacing w:after="0" w:line="152" w:lineRule="exact"/>
        <w:rPr>
          <w:rFonts w:ascii="Arial" w:cs="Arial" w:eastAsia="Arial" w:hAnsi="Arial"/>
          <w:sz w:val="18"/>
          <w:szCs w:val="18"/>
          <w:color w:val="auto"/>
        </w:rPr>
      </w:pPr>
    </w:p>
    <w:p>
      <w:pPr>
        <w:ind w:right="180" w:firstLine="871"/>
        <w:spacing w:after="0" w:line="289" w:lineRule="auto"/>
        <w:tabs>
          <w:tab w:leader="none" w:pos="238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If, after the Date of Grant and prior to the applicable Settlement Date, dividends with respect to the Common Shares are declared or paid by the Company, the Participant, upon settlement of Earned PSUs in accordance with Section 3, shall be entitled to receive dividend equivalents in an amount, without interest, equal to the cumulative dividends declared or paid on a Common Share, if any, during such period multiplied by the number of Earned PSUs. Dividend equivalents will be subject to the same terms and conditions of this Agreement applicable to the Earned PSUs. The dividend equivalents will be paid on the applicable Settlement Date for the underlying Earned PSUs in cash or Common Shares, as determined by the Company in its discretion. If the underlying Earned PSUs are cancelled prior to the applicable Settlement Date for any reason, any accrued and unpaid dividend equivalents shall be cancelled.</w:t>
      </w:r>
    </w:p>
    <w:p>
      <w:pPr>
        <w:spacing w:after="0" w:line="155" w:lineRule="exact"/>
        <w:rPr>
          <w:rFonts w:ascii="Arial" w:cs="Arial" w:eastAsia="Arial" w:hAnsi="Arial"/>
          <w:sz w:val="17"/>
          <w:szCs w:val="17"/>
          <w:color w:val="auto"/>
        </w:rPr>
      </w:pPr>
    </w:p>
    <w:p>
      <w:pPr>
        <w:ind w:left="2400" w:hanging="1529"/>
        <w:spacing w:after="0"/>
        <w:tabs>
          <w:tab w:leader="none" w:pos="240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No Entitlements</w:t>
      </w:r>
      <w:r>
        <w:rPr>
          <w:rFonts w:ascii="Arial" w:cs="Arial" w:eastAsia="Arial" w:hAnsi="Arial"/>
          <w:sz w:val="20"/>
          <w:szCs w:val="20"/>
          <w:color w:val="auto"/>
        </w:rPr>
        <w:t>.</w:t>
      </w:r>
    </w:p>
    <w:p>
      <w:pPr>
        <w:spacing w:after="0" w:line="13" w:lineRule="exact"/>
        <w:rPr>
          <w:sz w:val="20"/>
          <w:szCs w:val="20"/>
          <w:color w:val="auto"/>
        </w:rPr>
      </w:pPr>
    </w:p>
    <w:p>
      <w:pPr>
        <w:ind w:right="20" w:firstLine="871"/>
        <w:spacing w:after="0" w:line="278" w:lineRule="auto"/>
        <w:tabs>
          <w:tab w:leader="none" w:pos="2344" w:val="left"/>
        </w:tabs>
        <w:numPr>
          <w:ilvl w:val="1"/>
          <w:numId w:val="62"/>
        </w:numPr>
        <w:rPr>
          <w:rFonts w:ascii="Arial" w:cs="Arial" w:eastAsia="Arial" w:hAnsi="Arial"/>
          <w:sz w:val="16"/>
          <w:szCs w:val="16"/>
          <w:color w:val="auto"/>
        </w:rPr>
      </w:pP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This Agreement does not constitute an employment agreement and nothing in the IMAX LTIP or this Agreement shall modify the terms of the Participant’s employment, including, without limitation, the Participant’s status as an “at will” employee of the Company, if applicable. None of the IMAX LTIP, the Agreement, the grant of the PSUs, nor any action taken or omitted to be taken shall be construed (i) to create or confer on the Participant any right to be retained in the employ of the Company,</w:t>
      </w:r>
    </w:p>
    <w:p>
      <w:pPr>
        <w:spacing w:after="0" w:line="2" w:lineRule="exact"/>
        <w:rPr>
          <w:rFonts w:ascii="Arial" w:cs="Arial" w:eastAsia="Arial" w:hAnsi="Arial"/>
          <w:sz w:val="16"/>
          <w:szCs w:val="16"/>
          <w:color w:val="auto"/>
        </w:rPr>
      </w:pPr>
    </w:p>
    <w:p>
      <w:pPr>
        <w:ind w:left="300" w:hanging="293"/>
        <w:spacing w:after="0"/>
        <w:tabs>
          <w:tab w:leader="none" w:pos="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interfere with or limit in any way the right of the Company to terminate the Participant’s employment at any time and for any reason or</w:t>
      </w:r>
    </w:p>
    <w:p>
      <w:pPr>
        <w:spacing w:after="0" w:line="20" w:lineRule="exact"/>
        <w:rPr>
          <w:rFonts w:ascii="Arial" w:cs="Arial" w:eastAsia="Arial" w:hAnsi="Arial"/>
          <w:sz w:val="18"/>
          <w:szCs w:val="18"/>
          <w:color w:val="auto"/>
        </w:rPr>
      </w:pPr>
    </w:p>
    <w:p>
      <w:pPr>
        <w:ind w:left="340" w:hanging="333"/>
        <w:spacing w:after="0"/>
        <w:tabs>
          <w:tab w:leader="none" w:pos="3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to give the Participant any right to be reemployed by the Company following a termination of employment for any reason.</w:t>
      </w:r>
    </w:p>
    <w:p>
      <w:pPr>
        <w:spacing w:after="0" w:line="194" w:lineRule="exact"/>
        <w:rPr>
          <w:rFonts w:ascii="Arial" w:cs="Arial" w:eastAsia="Arial" w:hAnsi="Arial"/>
          <w:sz w:val="20"/>
          <w:szCs w:val="20"/>
          <w:color w:val="auto"/>
        </w:rPr>
      </w:pPr>
    </w:p>
    <w:p>
      <w:pPr>
        <w:ind w:right="280" w:firstLine="871"/>
        <w:spacing w:after="0" w:line="246" w:lineRule="auto"/>
        <w:tabs>
          <w:tab w:leader="none" w:pos="2354" w:val="left"/>
        </w:tabs>
        <w:numPr>
          <w:ilvl w:val="1"/>
          <w:numId w:val="63"/>
        </w:numPr>
        <w:rPr>
          <w:rFonts w:ascii="Arial" w:cs="Arial" w:eastAsia="Arial" w:hAnsi="Arial"/>
          <w:sz w:val="18"/>
          <w:szCs w:val="18"/>
          <w:color w:val="auto"/>
        </w:rPr>
      </w:pPr>
      <w:r>
        <w:rPr>
          <w:rFonts w:ascii="Arial" w:cs="Arial" w:eastAsia="Arial" w:hAnsi="Arial"/>
          <w:sz w:val="20"/>
          <w:szCs w:val="20"/>
          <w:u w:val="single" w:color="auto"/>
          <w:color w:val="auto"/>
        </w:rPr>
        <w:t>No Right to Future Awards</w:t>
      </w:r>
      <w:r>
        <w:rPr>
          <w:rFonts w:ascii="Arial" w:cs="Arial" w:eastAsia="Arial" w:hAnsi="Arial"/>
          <w:sz w:val="20"/>
          <w:szCs w:val="20"/>
          <w:color w:val="auto"/>
        </w:rPr>
        <w:t>. This award of PSUs and all other equity-based awards under the IMAX LTIP are discretionary. This award does not confer on the Participant any right or entitlement to receive another award of PSUs or any other equity-based award at any time in the future or in respect of any future period.</w:t>
      </w:r>
    </w:p>
    <w:p>
      <w:pPr>
        <w:spacing w:after="0" w:line="188" w:lineRule="exact"/>
        <w:rPr>
          <w:sz w:val="20"/>
          <w:szCs w:val="20"/>
          <w:color w:val="auto"/>
        </w:rPr>
      </w:pPr>
    </w:p>
    <w:p>
      <w:pPr>
        <w:ind w:right="40" w:firstLine="871"/>
        <w:spacing w:after="0" w:line="272" w:lineRule="auto"/>
        <w:tabs>
          <w:tab w:leader="none" w:pos="239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The Participant must satisfy any federal, state, provincial, local or foreign tax withholding requirements applicable with respect to the settlement of the Earned PSUs. The Company may require or permit the Participant to satisfy such tax withholding obligations through the Company withholding Common Shares that would otherwise be received by such individual upon settlement of the Earned PSUs. The obligations of the Company to deliver the Common Shares under this Agreement shall be conditioned upon the Participant’s payment of all applicable taxes and the Company shall, to the extent permitted by law, have the right to deduct any such taxes from any payment of any kind otherwise due to the Participant.</w:t>
      </w:r>
    </w:p>
    <w:p>
      <w:pPr>
        <w:spacing w:after="0" w:line="168" w:lineRule="exact"/>
        <w:rPr>
          <w:rFonts w:ascii="Arial" w:cs="Arial" w:eastAsia="Arial" w:hAnsi="Arial"/>
          <w:sz w:val="18"/>
          <w:szCs w:val="18"/>
          <w:color w:val="auto"/>
        </w:rPr>
      </w:pPr>
    </w:p>
    <w:p>
      <w:pPr>
        <w:jc w:val="both"/>
        <w:ind w:firstLine="871"/>
        <w:spacing w:after="0" w:line="279" w:lineRule="auto"/>
        <w:tabs>
          <w:tab w:leader="none" w:pos="239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Breach of Restrictive Covenants</w:t>
      </w:r>
      <w:r>
        <w:rPr>
          <w:rFonts w:ascii="Arial" w:cs="Arial" w:eastAsia="Arial" w:hAnsi="Arial"/>
          <w:sz w:val="18"/>
          <w:szCs w:val="18"/>
          <w:color w:val="auto"/>
        </w:rPr>
        <w:t>. If (i) the Participant is a party to an employment agreement or other agreement with the Company or any of its Subsidiaries or Affiliates and (ii) such Participant materially breaches any of the restrictive covenants set forth in such agreement (including, without limitation, any restrictive covenants relating to non-competition, non-solicitation or confidentiality), then all of the PSUs (whether or not vested) shall terminate and be cancelled without consideration being paid therefor.</w:t>
      </w:r>
    </w:p>
    <w:p>
      <w:pPr>
        <w:spacing w:after="0" w:line="159" w:lineRule="exact"/>
        <w:rPr>
          <w:rFonts w:ascii="Arial" w:cs="Arial" w:eastAsia="Arial" w:hAnsi="Arial"/>
          <w:sz w:val="18"/>
          <w:szCs w:val="18"/>
          <w:color w:val="auto"/>
        </w:rPr>
      </w:pPr>
    </w:p>
    <w:p>
      <w:pPr>
        <w:ind w:right="420" w:firstLine="871"/>
        <w:spacing w:after="0" w:line="256" w:lineRule="auto"/>
        <w:tabs>
          <w:tab w:leader="none" w:pos="2391"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Securities Laws</w:t>
      </w:r>
      <w:r>
        <w:rPr>
          <w:rFonts w:ascii="Arial" w:cs="Arial" w:eastAsia="Arial" w:hAnsi="Arial"/>
          <w:sz w:val="20"/>
          <w:szCs w:val="20"/>
          <w:color w:val="auto"/>
        </w:rPr>
        <w:t>. The Company shall not be required to issue Common Shares in settlement of or otherwise pursuant to the Earned PSUs unless and until (i) the Common Shares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110490</wp:posOffset>
            </wp:positionV>
            <wp:extent cx="717613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spacing w:after="0" w:line="241" w:lineRule="auto"/>
        <w:rPr>
          <w:sz w:val="20"/>
          <w:szCs w:val="20"/>
          <w:color w:val="auto"/>
        </w:rPr>
      </w:pPr>
      <w:r>
        <w:rPr>
          <w:rFonts w:ascii="Arial" w:cs="Arial" w:eastAsia="Arial" w:hAnsi="Arial"/>
          <w:sz w:val="20"/>
          <w:szCs w:val="20"/>
          <w:color w:val="auto"/>
        </w:rPr>
        <w:t>duly listed upon each stock exchange on which the Common Shares are then registered; (ii) a registration statement under the Securities Act of 1933, as amended, with respect to such Common Shares is then effective; and (iii) the issuance of the Common Shares would comply with such legal or regulatory provisions of such countries or jurisdictions outside the United States as may be applicable in respect of the Earned PSUs. In connection with the grant of the PSUs or vesting of the Earned PSUs, the Participant will make or enter into such written representations, warranties and agreements as the Committee may reasonably request in order to comply with applicable securities laws or with this Agreement.</w:t>
      </w:r>
    </w:p>
    <w:p>
      <w:pPr>
        <w:spacing w:after="0" w:line="192" w:lineRule="exact"/>
        <w:rPr>
          <w:sz w:val="20"/>
          <w:szCs w:val="20"/>
          <w:color w:val="auto"/>
        </w:rPr>
      </w:pPr>
    </w:p>
    <w:p>
      <w:pPr>
        <w:ind w:left="2400" w:hanging="1529"/>
        <w:spacing w:after="0"/>
        <w:tabs>
          <w:tab w:leader="none" w:pos="240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Miscellaneous Provisions</w:t>
      </w:r>
      <w:r>
        <w:rPr>
          <w:rFonts w:ascii="Arial" w:cs="Arial" w:eastAsia="Arial" w:hAnsi="Arial"/>
          <w:sz w:val="20"/>
          <w:szCs w:val="20"/>
          <w:color w:val="auto"/>
        </w:rPr>
        <w:t>.</w:t>
      </w:r>
    </w:p>
    <w:p>
      <w:pPr>
        <w:spacing w:after="0" w:line="13" w:lineRule="exact"/>
        <w:rPr>
          <w:sz w:val="20"/>
          <w:szCs w:val="20"/>
          <w:color w:val="auto"/>
        </w:rPr>
      </w:pPr>
    </w:p>
    <w:p>
      <w:pPr>
        <w:ind w:right="100" w:firstLine="864"/>
        <w:spacing w:after="0" w:line="270" w:lineRule="auto"/>
        <w:rPr>
          <w:sz w:val="20"/>
          <w:szCs w:val="20"/>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Notices</w:t>
      </w:r>
      <w:r>
        <w:rPr>
          <w:rFonts w:ascii="Arial" w:cs="Arial" w:eastAsia="Arial" w:hAnsi="Arial"/>
          <w:sz w:val="18"/>
          <w:szCs w:val="18"/>
          <w:color w:val="auto"/>
        </w:rPr>
        <w:t>. Any notice necessary under this Agreement shall be addressed to the Company in care of its Corporate Secretary at the principal executive office of the Company and to the Participant at the address appearing in the records of the Company for the Participant or to either party at such other address as either party hereto may hereafter designate in writing to the other. Notwithstanding the foregoing, the Company may deliver notices to the Participant by means of email or other electronic means that are generally used for employee communications. Any such notice shall be deemed effective upon receipt thereof by the addressee.</w:t>
      </w:r>
    </w:p>
    <w:p>
      <w:pPr>
        <w:spacing w:after="0" w:line="169" w:lineRule="exact"/>
        <w:rPr>
          <w:sz w:val="20"/>
          <w:szCs w:val="20"/>
          <w:color w:val="auto"/>
        </w:rPr>
      </w:pPr>
    </w:p>
    <w:p>
      <w:pPr>
        <w:ind w:right="380" w:firstLine="864"/>
        <w:spacing w:after="0" w:line="256" w:lineRule="auto"/>
        <w:rPr>
          <w:sz w:val="20"/>
          <w:szCs w:val="20"/>
          <w:color w:val="auto"/>
        </w:rPr>
      </w:pPr>
      <w:r>
        <w:rPr>
          <w:rFonts w:ascii="Arial" w:cs="Arial" w:eastAsia="Arial" w:hAnsi="Arial"/>
          <w:sz w:val="20"/>
          <w:szCs w:val="20"/>
          <w:color w:val="auto"/>
        </w:rPr>
        <w:t>(b)</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sections and subsections are included solely for convenience of reference and shall not affect the meaning of the provisions of this Agreement.</w:t>
      </w:r>
    </w:p>
    <w:p>
      <w:pPr>
        <w:spacing w:after="0" w:line="177" w:lineRule="exact"/>
        <w:rPr>
          <w:sz w:val="20"/>
          <w:szCs w:val="20"/>
          <w:color w:val="auto"/>
        </w:rPr>
      </w:pPr>
    </w:p>
    <w:p>
      <w:pPr>
        <w:ind w:right="20" w:firstLine="864"/>
        <w:spacing w:after="0" w:line="256" w:lineRule="auto"/>
        <w:rPr>
          <w:sz w:val="20"/>
          <w:szCs w:val="20"/>
          <w:color w:val="auto"/>
        </w:rPr>
      </w:pPr>
      <w:r>
        <w:rPr>
          <w:rFonts w:ascii="Arial" w:cs="Arial" w:eastAsia="Arial" w:hAnsi="Arial"/>
          <w:sz w:val="20"/>
          <w:szCs w:val="20"/>
          <w:color w:val="auto"/>
        </w:rPr>
        <w:t>(c)</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two or more counterparts, each of which shall be deemed to be an original but all of which together will constitute one and the same instrument.</w:t>
      </w:r>
    </w:p>
    <w:p>
      <w:pPr>
        <w:spacing w:after="0" w:line="177" w:lineRule="exact"/>
        <w:rPr>
          <w:sz w:val="20"/>
          <w:szCs w:val="20"/>
          <w:color w:val="auto"/>
        </w:rPr>
      </w:pPr>
    </w:p>
    <w:p>
      <w:pPr>
        <w:ind w:firstLine="864"/>
        <w:spacing w:after="0" w:line="272" w:lineRule="auto"/>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Incorporation of IMAX LTIP; Entire Agreement</w:t>
      </w:r>
      <w:r>
        <w:rPr>
          <w:rFonts w:ascii="Arial" w:cs="Arial" w:eastAsia="Arial" w:hAnsi="Arial"/>
          <w:sz w:val="18"/>
          <w:szCs w:val="18"/>
          <w:color w:val="auto"/>
        </w:rPr>
        <w:t>. This Agreement, the Target Award and the Earned PSUs shall be subject to the IMAX LTIP, the terms of which are incorporated herein by reference, and in the event of any conflict or inconsistency between the IMAX LTIP and this Agreement, the IMAX LTIP shall govern. This Agreement and the IMAX LTIP constitute the entire agreement between the parties hereto with regard to the subject matter hereof. They supersede all other agreements, representations or understandings (whether oral or written and whether express or implied) that relate to the subject matter hereof. The Participant acknowledges receipt of the IMAX LTIP, and represents that the Participant is familiar with its terms and provisions.</w:t>
      </w:r>
    </w:p>
    <w:p>
      <w:pPr>
        <w:spacing w:after="0" w:line="169" w:lineRule="exact"/>
        <w:rPr>
          <w:sz w:val="20"/>
          <w:szCs w:val="20"/>
          <w:color w:val="auto"/>
        </w:rPr>
      </w:pPr>
    </w:p>
    <w:p>
      <w:pPr>
        <w:ind w:firstLine="864"/>
        <w:spacing w:after="0" w:line="284" w:lineRule="auto"/>
        <w:rPr>
          <w:sz w:val="20"/>
          <w:szCs w:val="20"/>
          <w:color w:val="auto"/>
        </w:rPr>
      </w:pPr>
      <w:r>
        <w:rPr>
          <w:rFonts w:ascii="Arial" w:cs="Arial" w:eastAsia="Arial" w:hAnsi="Arial"/>
          <w:sz w:val="17"/>
          <w:szCs w:val="17"/>
          <w:color w:val="auto"/>
        </w:rPr>
        <w:t>(e)</w:t>
      </w:r>
      <w:r>
        <w:rPr>
          <w:rFonts w:ascii="Arial" w:cs="Arial" w:eastAsia="Arial" w:hAnsi="Arial"/>
          <w:sz w:val="17"/>
          <w:szCs w:val="17"/>
          <w:u w:val="single" w:color="auto"/>
          <w:color w:val="auto"/>
        </w:rPr>
        <w:t>Amendments</w:t>
      </w:r>
      <w:r>
        <w:rPr>
          <w:rFonts w:ascii="Arial" w:cs="Arial" w:eastAsia="Arial" w:hAnsi="Arial"/>
          <w:sz w:val="17"/>
          <w:szCs w:val="17"/>
          <w:color w:val="auto"/>
        </w:rPr>
        <w:t>. Subject to all applicable laws, rules and regulations, the Committee shall have the power to amend this Agreement at any time provided that such amendment does not adversely affect, in any material respect, the Participant’s rights under this Agreement without the Participant’s consent. Notwithstanding the foregoing, the Company shall have broad authority to alter or amend this Agreement and the terms and conditions applicable to the PSUs without the consent of the Participant to the extent it deems necessary or desirable in its sole discretion (i) to comply with or take into account changes in, or rescissions or interpretations of, applicable tax laws, securities laws, employment laws, accounting rules or standards and other applicable laws, rules, regulations, guidance, rulings, judicial decisions or legal requirements, (ii) to ensure that the Earned PSUs are not subject to taxes, interest and penalties under Section 409A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(iii) to take into account unusual or nonrecurring events or market conditions, or (iv) in any other manner set forth in Section 15 of the IMAX LTIP. Any amendment, modification or termination shall, upon adoption, become and be binding on all persons affected thereby without requirement for consent or other action with respect thereto by any such person. The Committee shall give written notice to the Participant in accordance with Section 16(a) of any such amendment, modification or termination as promptly as practicable after the adoption thereof. The foregoing shall not restrict the ability of the Participant and the Company by mutual consent to alter or amend the terms of the PSUs in any manner that is consistent with the IMAX LTIP and approved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7613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ind w:left="880"/>
        <w:spacing w:after="0"/>
        <w:rPr>
          <w:sz w:val="20"/>
          <w:szCs w:val="20"/>
          <w:color w:val="auto"/>
        </w:rPr>
      </w:pPr>
      <w:r>
        <w:rPr>
          <w:rFonts w:ascii="Arial" w:cs="Arial" w:eastAsia="Arial" w:hAnsi="Arial"/>
          <w:sz w:val="20"/>
          <w:szCs w:val="20"/>
          <w:color w:val="auto"/>
        </w:rPr>
        <w:t>(f)</w:t>
      </w: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14" w:lineRule="exact"/>
        <w:rPr>
          <w:sz w:val="20"/>
          <w:szCs w:val="20"/>
          <w:color w:val="auto"/>
        </w:rPr>
      </w:pPr>
    </w:p>
    <w:p>
      <w:pPr>
        <w:ind w:right="60" w:firstLine="1951"/>
        <w:spacing w:after="0" w:line="237" w:lineRule="auto"/>
        <w:tabs>
          <w:tab w:leader="none" w:pos="2754" w:val="left"/>
        </w:tabs>
        <w:numPr>
          <w:ilvl w:val="0"/>
          <w:numId w:val="66"/>
        </w:numPr>
        <w:rPr>
          <w:rFonts w:ascii="Arial" w:cs="Arial" w:eastAsia="Arial" w:hAnsi="Arial"/>
          <w:sz w:val="18"/>
          <w:szCs w:val="18"/>
          <w:color w:val="auto"/>
        </w:rPr>
      </w:pPr>
      <w:r>
        <w:rPr>
          <w:rFonts w:ascii="Arial" w:cs="Arial" w:eastAsia="Arial" w:hAnsi="Arial"/>
          <w:sz w:val="20"/>
          <w:szCs w:val="20"/>
          <w:color w:val="auto"/>
        </w:rPr>
        <w:t>The PSUs are intended to constitute “short-term deferrals” for purposes of Section 409A of the Code and the regulations and guidance promulgated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If any provision of the IMAX LTIP or this Agreement would, in the reasonable good faith judgment of the Committee, result or likely result in the imposition on the Participant, a beneficiary or any other person of a penalty tax under Section 409A, the Committee may modify the terms of the IMAX LTIP or this Agreement, without the consent of the Participant, beneficiary or such other person, in the manner that the Committee may reasonably and in good faith determine to be necessary or advisable to avoid the imposition of such penalty tax. This Section 16(f) does not create an obligation on the part of the Company to modify the IMAX LTIP or this Agreement and does not guarantee that the Earned PSUs will not be subject to taxes, interest and penalties under Section 409A.</w:t>
      </w:r>
    </w:p>
    <w:p>
      <w:pPr>
        <w:spacing w:after="0" w:line="197" w:lineRule="exact"/>
        <w:rPr>
          <w:rFonts w:ascii="Arial" w:cs="Arial" w:eastAsia="Arial" w:hAnsi="Arial"/>
          <w:sz w:val="18"/>
          <w:szCs w:val="18"/>
          <w:color w:val="auto"/>
        </w:rPr>
      </w:pPr>
    </w:p>
    <w:p>
      <w:pPr>
        <w:ind w:firstLine="1951"/>
        <w:spacing w:after="0"/>
        <w:tabs>
          <w:tab w:leader="none" w:pos="2803" w:val="left"/>
        </w:tabs>
        <w:numPr>
          <w:ilvl w:val="0"/>
          <w:numId w:val="66"/>
        </w:numPr>
        <w:rPr>
          <w:rFonts w:ascii="Arial" w:cs="Arial" w:eastAsia="Arial" w:hAnsi="Arial"/>
          <w:sz w:val="18"/>
          <w:szCs w:val="18"/>
          <w:color w:val="auto"/>
        </w:rPr>
      </w:pPr>
      <w:r>
        <w:rPr>
          <w:rFonts w:ascii="Arial" w:cs="Arial" w:eastAsia="Arial" w:hAnsi="Arial"/>
          <w:sz w:val="20"/>
          <w:szCs w:val="20"/>
          <w:color w:val="auto"/>
        </w:rPr>
        <w:t>Notwithstanding anything to the contrary in the IMAX LTIP or this Agreement, to the extent that the PSUs constitute deferred compensation for purposes of Section 409A and Participant is a “</w:t>
      </w:r>
      <w:r>
        <w:rPr>
          <w:rFonts w:ascii="Arial" w:cs="Arial" w:eastAsia="Arial" w:hAnsi="Arial"/>
          <w:sz w:val="20"/>
          <w:szCs w:val="20"/>
          <w:b w:val="1"/>
          <w:bCs w:val="1"/>
          <w:i w:val="1"/>
          <w:iCs w:val="1"/>
          <w:color w:val="auto"/>
        </w:rPr>
        <w:t>Specified Employee</w:t>
      </w:r>
      <w:r>
        <w:rPr>
          <w:rFonts w:ascii="Arial" w:cs="Arial" w:eastAsia="Arial" w:hAnsi="Arial"/>
          <w:sz w:val="20"/>
          <w:szCs w:val="20"/>
          <w:color w:val="auto"/>
        </w:rPr>
        <w:t>” (within the meaning of the Committee’s established methodology for determining “</w:t>
      </w:r>
      <w:r>
        <w:rPr>
          <w:rFonts w:ascii="Arial" w:cs="Arial" w:eastAsia="Arial" w:hAnsi="Arial"/>
          <w:sz w:val="20"/>
          <w:szCs w:val="20"/>
          <w:b w:val="1"/>
          <w:bCs w:val="1"/>
          <w:i w:val="1"/>
          <w:iCs w:val="1"/>
          <w:color w:val="auto"/>
        </w:rPr>
        <w:t>Specified Employees</w:t>
      </w:r>
      <w:r>
        <w:rPr>
          <w:rFonts w:ascii="Arial" w:cs="Arial" w:eastAsia="Arial" w:hAnsi="Arial"/>
          <w:sz w:val="20"/>
          <w:szCs w:val="20"/>
          <w:color w:val="auto"/>
        </w:rPr>
        <w:t>” for purposes of Section 409A), no payment or distribution of any amounts with respect to the Earned PSUs that are subject to Section 409A may be made before the first business day following the six (6) month anniversary from the Participant’s Separation from Service from the Company Group (as defined in Section 409A) or, if earlier, the date of the Participant’s death.</w:t>
      </w:r>
    </w:p>
    <w:p>
      <w:pPr>
        <w:spacing w:after="0" w:line="196" w:lineRule="exact"/>
        <w:rPr>
          <w:sz w:val="20"/>
          <w:szCs w:val="20"/>
          <w:color w:val="auto"/>
        </w:rPr>
      </w:pPr>
    </w:p>
    <w:p>
      <w:pPr>
        <w:ind w:right="480" w:firstLine="871"/>
        <w:spacing w:after="0" w:line="256" w:lineRule="auto"/>
        <w:tabs>
          <w:tab w:leader="none" w:pos="1141"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Successor</w:t>
      </w:r>
      <w:r>
        <w:rPr>
          <w:rFonts w:ascii="Arial" w:cs="Arial" w:eastAsia="Arial" w:hAnsi="Arial"/>
          <w:sz w:val="20"/>
          <w:szCs w:val="20"/>
          <w:color w:val="auto"/>
        </w:rPr>
        <w:t>. Except as otherwise provided herein, this Agreement shall be binding upon and shall inure to the benefit of any successor or successors of the Company, and to any Permitted Transferee pursuant to Section 9.</w:t>
      </w:r>
    </w:p>
    <w:p>
      <w:pPr>
        <w:spacing w:after="0" w:line="177" w:lineRule="exact"/>
        <w:rPr>
          <w:sz w:val="20"/>
          <w:szCs w:val="20"/>
          <w:color w:val="auto"/>
        </w:rPr>
      </w:pPr>
    </w:p>
    <w:p>
      <w:pPr>
        <w:ind w:right="320" w:firstLine="864"/>
        <w:spacing w:after="0" w:line="256" w:lineRule="auto"/>
        <w:rPr>
          <w:sz w:val="20"/>
          <w:szCs w:val="20"/>
          <w:color w:val="auto"/>
        </w:rPr>
      </w:pPr>
      <w:r>
        <w:rPr>
          <w:rFonts w:ascii="Arial" w:cs="Arial" w:eastAsia="Arial" w:hAnsi="Arial"/>
          <w:sz w:val="20"/>
          <w:szCs w:val="20"/>
          <w:color w:val="auto"/>
        </w:rPr>
        <w:t>(h)</w:t>
      </w:r>
      <w:r>
        <w:rPr>
          <w:rFonts w:ascii="Arial" w:cs="Arial" w:eastAsia="Arial" w:hAnsi="Arial"/>
          <w:sz w:val="20"/>
          <w:szCs w:val="20"/>
          <w:u w:val="single" w:color="auto"/>
          <w:color w:val="auto"/>
        </w:rPr>
        <w:t>Choice of Law</w:t>
      </w:r>
      <w:r>
        <w:rPr>
          <w:rFonts w:ascii="Arial" w:cs="Arial" w:eastAsia="Arial" w:hAnsi="Arial"/>
          <w:sz w:val="20"/>
          <w:szCs w:val="20"/>
          <w:color w:val="auto"/>
        </w:rPr>
        <w:t>. Except as to matters of federal law, this Agreement and all actions taken thereunder shall be governed by and construed in accordance with the laws of the State of New York (other than its conflict of law rules).</w:t>
      </w:r>
    </w:p>
    <w:p>
      <w:pPr>
        <w:spacing w:after="0" w:line="177" w:lineRule="exact"/>
        <w:rPr>
          <w:sz w:val="20"/>
          <w:szCs w:val="20"/>
          <w:color w:val="auto"/>
        </w:rPr>
      </w:pPr>
    </w:p>
    <w:p>
      <w:pPr>
        <w:ind w:right="180" w:firstLine="864"/>
        <w:spacing w:after="0" w:line="311"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Clawback</w:t>
      </w:r>
      <w:r>
        <w:rPr>
          <w:rFonts w:ascii="Arial" w:cs="Arial" w:eastAsia="Arial" w:hAnsi="Arial"/>
          <w:sz w:val="18"/>
          <w:szCs w:val="18"/>
          <w:color w:val="auto"/>
        </w:rPr>
        <w:t>. Any awards made pursuant to the IMAX LTIP shall be subject to clawback or recoupment as permitted or mandated by applicable law, rules, regulations or any Company policy as enacted, adopted or modified from time to time.</w:t>
      </w:r>
    </w:p>
    <w:p>
      <w:pPr>
        <w:spacing w:after="0" w:line="131" w:lineRule="exact"/>
        <w:rPr>
          <w:sz w:val="20"/>
          <w:szCs w:val="20"/>
          <w:color w:val="auto"/>
        </w:rPr>
      </w:pPr>
    </w:p>
    <w:p>
      <w:pPr>
        <w:ind w:right="160" w:firstLine="864"/>
        <w:spacing w:after="0" w:line="243" w:lineRule="auto"/>
        <w:rPr>
          <w:sz w:val="20"/>
          <w:szCs w:val="20"/>
          <w:color w:val="auto"/>
        </w:rPr>
      </w:pPr>
      <w:r>
        <w:rPr>
          <w:rFonts w:ascii="Arial" w:cs="Arial" w:eastAsia="Arial" w:hAnsi="Arial"/>
          <w:sz w:val="20"/>
          <w:szCs w:val="20"/>
          <w:color w:val="auto"/>
        </w:rPr>
        <w:t>(j)</w:t>
      </w:r>
      <w:r>
        <w:rPr>
          <w:rFonts w:ascii="Arial" w:cs="Arial" w:eastAsia="Arial" w:hAnsi="Arial"/>
          <w:sz w:val="20"/>
          <w:szCs w:val="20"/>
          <w:u w:val="single" w:color="auto"/>
          <w:color w:val="auto"/>
        </w:rPr>
        <w:t>Canadian Employment Law</w:t>
      </w:r>
      <w:r>
        <w:rPr>
          <w:rFonts w:ascii="Arial" w:cs="Arial" w:eastAsia="Arial" w:hAnsi="Arial"/>
          <w:sz w:val="20"/>
          <w:szCs w:val="20"/>
          <w:color w:val="auto"/>
        </w:rPr>
        <w:t>. Only for those Participants that are employed in Ontario, Canada, such Participants shall have no entitlement to damages or other compensation under contract, the common law or otherwise arising from or related to not receiving any form of compensation under this Agreement which would have accrued or been paid to the Participant after the Participant’s termination of employment pursuant to Sections 4, 5, 6 or 7.</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u w:val="single" w:color="auto"/>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411480</wp:posOffset>
            </wp:positionV>
            <wp:extent cx="717613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ind w:left="4740"/>
        <w:spacing w:after="0"/>
        <w:rPr>
          <w:sz w:val="20"/>
          <w:szCs w:val="20"/>
          <w:color w:val="auto"/>
        </w:rPr>
      </w:pPr>
      <w:r>
        <w:rPr>
          <w:rFonts w:ascii="Arial" w:cs="Arial" w:eastAsia="Arial" w:hAnsi="Arial"/>
          <w:sz w:val="20"/>
          <w:szCs w:val="20"/>
          <w:b w:val="1"/>
          <w:bCs w:val="1"/>
          <w:color w:val="auto"/>
        </w:rPr>
        <w:t>IMAX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487680</wp:posOffset>
            </wp:positionV>
            <wp:extent cx="33762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3376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635</wp:posOffset>
            </wp:positionV>
            <wp:extent cx="33762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3376295"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w:t>
      </w:r>
    </w:p>
    <w:p>
      <w:pPr>
        <w:spacing w:after="0" w:line="3"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Title:</w:t>
      </w:r>
    </w:p>
    <w:p>
      <w:pPr>
        <w:spacing w:after="0" w:line="27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635</wp:posOffset>
            </wp:positionV>
            <wp:extent cx="33928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3392805" cy="8255"/>
                    </a:xfrm>
                    <a:prstGeom prst="rect">
                      <a:avLst/>
                    </a:prstGeom>
                    <a:noFill/>
                  </pic:spPr>
                </pic:pic>
              </a:graphicData>
            </a:graphic>
          </wp:anchor>
        </w:drawing>
      </w:r>
    </w:p>
    <w:p>
      <w:pPr>
        <w:ind w:left="4820"/>
        <w:spacing w:after="0"/>
        <w:rPr>
          <w:sz w:val="20"/>
          <w:szCs w:val="20"/>
          <w:color w:val="auto"/>
        </w:rPr>
      </w:pPr>
      <w:r>
        <w:rPr>
          <w:rFonts w:ascii="Arial" w:cs="Arial" w:eastAsia="Arial" w:hAnsi="Arial"/>
          <w:sz w:val="20"/>
          <w:szCs w:val="20"/>
          <w:color w:val="auto"/>
        </w:rPr>
        <w:t>Name:</w:t>
      </w:r>
    </w:p>
    <w:p>
      <w:pPr>
        <w:spacing w:after="0" w:line="3"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Title:</w:t>
      </w:r>
    </w:p>
    <w:p>
      <w:pPr>
        <w:spacing w:after="0" w:line="10"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By electronically accepting this document, the Participant acknowledges having read the IMAX LTIP and this Agreement, and hereby agrees to be bound by all the provisions set forth in the IMAX LTIP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353695</wp:posOffset>
            </wp:positionV>
            <wp:extent cx="717613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060"/>
          </w:cols>
          <w:pgMar w:left="320" w:top="557" w:right="51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u w:val="single" w:color="auto"/>
          <w:color w:val="auto"/>
        </w:rPr>
        <w:t>Exhibit A: Performance Vesting Criteria</w:t>
      </w:r>
    </w:p>
    <w:p>
      <w:pPr>
        <w:sectPr>
          <w:pgSz w:w="11900" w:h="16838" w:orient="portrait"/>
          <w:cols w:equalWidth="0" w:num="1">
            <w:col w:w="9019"/>
          </w:cols>
          <w:pgMar w:left="1440" w:top="34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344" w:right="1440"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L. Gelfond, certify that:</w:t>
      </w:r>
    </w:p>
    <w:p>
      <w:pPr>
        <w:spacing w:after="0" w:line="220" w:lineRule="exact"/>
        <w:rPr>
          <w:sz w:val="20"/>
          <w:szCs w:val="20"/>
          <w:color w:val="auto"/>
        </w:rPr>
      </w:pPr>
    </w:p>
    <w:p>
      <w:pPr>
        <w:ind w:left="540" w:hanging="466"/>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the registrant, IMAX Corporation;</w:t>
      </w:r>
    </w:p>
    <w:p>
      <w:pPr>
        <w:spacing w:after="0" w:line="220" w:lineRule="exact"/>
        <w:rPr>
          <w:rFonts w:ascii="Arial" w:cs="Arial" w:eastAsia="Arial" w:hAnsi="Arial"/>
          <w:sz w:val="18"/>
          <w:szCs w:val="18"/>
          <w:color w:val="auto"/>
        </w:rPr>
      </w:pPr>
    </w:p>
    <w:p>
      <w:pPr>
        <w:jc w:val="both"/>
        <w:ind w:left="540" w:hanging="466"/>
        <w:spacing w:after="0" w:line="259"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jc w:val="both"/>
        <w:ind w:left="540" w:hanging="466"/>
        <w:spacing w:after="0" w:line="259"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1480" w:hanging="471"/>
        <w:spacing w:after="0" w:line="334" w:lineRule="auto"/>
        <w:tabs>
          <w:tab w:leader="none" w:pos="14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480" w:hanging="471"/>
        <w:spacing w:after="0" w:line="259"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1480" w:hanging="471"/>
        <w:spacing w:after="0" w:line="300" w:lineRule="auto"/>
        <w:tabs>
          <w:tab w:leader="none" w:pos="14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480" w:right="20" w:hanging="471"/>
        <w:spacing w:after="0" w:line="270"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April 29, 2021</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rPr>
              <w:t>/s/ Richard L. Gelfond</w:t>
            </w:r>
          </w:p>
        </w:tc>
      </w:tr>
      <w:tr>
        <w:trPr>
          <w:trHeight w:val="194"/>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L. Gelfond</w:t>
            </w:r>
          </w:p>
        </w:tc>
      </w:tr>
      <w:tr>
        <w:trPr>
          <w:trHeight w:val="227"/>
        </w:trPr>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6"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Patrick McClymont, certify that:</w:t>
      </w:r>
    </w:p>
    <w:p>
      <w:pPr>
        <w:spacing w:after="0" w:line="220" w:lineRule="exact"/>
        <w:rPr>
          <w:sz w:val="20"/>
          <w:szCs w:val="20"/>
          <w:color w:val="auto"/>
        </w:rPr>
      </w:pPr>
    </w:p>
    <w:p>
      <w:pPr>
        <w:ind w:left="540" w:hanging="46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the registrant, IMAX Corporation;</w:t>
      </w:r>
    </w:p>
    <w:p>
      <w:pPr>
        <w:spacing w:after="0" w:line="220" w:lineRule="exact"/>
        <w:rPr>
          <w:rFonts w:ascii="Arial" w:cs="Arial" w:eastAsia="Arial" w:hAnsi="Arial"/>
          <w:sz w:val="18"/>
          <w:szCs w:val="18"/>
          <w:color w:val="auto"/>
        </w:rPr>
      </w:pPr>
    </w:p>
    <w:p>
      <w:pPr>
        <w:jc w:val="both"/>
        <w:ind w:left="540" w:hanging="466"/>
        <w:spacing w:after="0" w:line="259"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jc w:val="both"/>
        <w:ind w:left="540" w:hanging="466"/>
        <w:spacing w:after="0" w:line="259"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1480" w:hanging="471"/>
        <w:spacing w:after="0" w:line="334" w:lineRule="auto"/>
        <w:tabs>
          <w:tab w:leader="none" w:pos="14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480" w:hanging="471"/>
        <w:spacing w:after="0" w:line="259"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1480" w:hanging="471"/>
        <w:spacing w:after="0" w:line="300" w:lineRule="auto"/>
        <w:tabs>
          <w:tab w:leader="none" w:pos="14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480" w:right="20" w:hanging="471"/>
        <w:spacing w:after="0" w:line="270"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April 29, 2021</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rPr>
              <w:t>/s/ Patrick McClymont</w:t>
            </w:r>
          </w:p>
        </w:tc>
      </w:tr>
      <w:tr>
        <w:trPr>
          <w:trHeight w:val="194"/>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Patrick McClymont</w:t>
            </w:r>
          </w:p>
        </w:tc>
      </w:tr>
      <w:tr>
        <w:trPr>
          <w:trHeight w:val="214"/>
        </w:trPr>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Financial Officer &amp;</w:t>
            </w:r>
          </w:p>
        </w:tc>
      </w:tr>
      <w:tr>
        <w:trPr>
          <w:trHeight w:val="227"/>
        </w:trPr>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ectPr>
          <w:pgSz w:w="11900" w:h="16838" w:orient="portrait"/>
          <w:cols w:equalWidth="0" w:num="1">
            <w:col w:w="11240"/>
          </w:cols>
          <w:pgMar w:left="320" w:top="116"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1"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185"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The Quarterly Report on Form 10-Q for the quarter ended March 31, 2021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April 29, 2021</w:t>
            </w:r>
          </w:p>
        </w:tc>
        <w:tc>
          <w:tcPr>
            <w:tcW w:w="2840" w:type="dxa"/>
            <w:vAlign w:val="bottom"/>
          </w:tcPr>
          <w:p>
            <w:pPr>
              <w:ind w:left="200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Richard L. Gelfond</w:t>
            </w:r>
          </w:p>
        </w:tc>
      </w:tr>
      <w:tr>
        <w:trPr>
          <w:trHeight w:val="194"/>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L. Gelfond</w:t>
            </w:r>
          </w:p>
        </w:tc>
      </w:tr>
      <w:tr>
        <w:trPr>
          <w:trHeight w:val="227"/>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6"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1"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Patrick McClymont, Chief Financial Officer &amp; Executive Vice President of IMAX Corporation, a Canadian corporation (the “Company”), hereby certify, to my knowledge, that:</w:t>
      </w:r>
    </w:p>
    <w:p>
      <w:pPr>
        <w:spacing w:after="0" w:line="185"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The Quarterly Report on Form 10-Q for the quarter ended March 31, 2021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April 29, 2021</w:t>
            </w:r>
          </w:p>
        </w:tc>
        <w:tc>
          <w:tcPr>
            <w:tcW w:w="2840" w:type="dxa"/>
            <w:vAlign w:val="bottom"/>
          </w:tcPr>
          <w:p>
            <w:pPr>
              <w:ind w:left="200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Patrick McClymont</w:t>
            </w:r>
          </w:p>
        </w:tc>
      </w:tr>
      <w:tr>
        <w:trPr>
          <w:trHeight w:val="194"/>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Patrick McClymont</w:t>
            </w:r>
          </w:p>
        </w:tc>
      </w:tr>
      <w:tr>
        <w:trPr>
          <w:trHeight w:val="214"/>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40" w:type="dxa"/>
            <w:vAlign w:val="bottom"/>
          </w:tcPr>
          <w:p>
            <w:pPr>
              <w:ind w:left="20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Financial Officer &amp;</w:t>
            </w:r>
          </w:p>
        </w:tc>
      </w:tr>
      <w:tr>
        <w:trPr>
          <w:trHeight w:val="227"/>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1" w:lineRule="exact"/>
        <w:rPr>
          <w:sz w:val="20"/>
          <w:szCs w:val="20"/>
          <w:color w:val="auto"/>
        </w:rPr>
      </w:pPr>
    </w:p>
    <w:sectPr>
      <w:pgSz w:w="11900" w:h="16838" w:orient="portrait"/>
      <w:cols w:equalWidth="0" w:num="1">
        <w:col w:w="11240"/>
      </w:cols>
      <w:pgMar w:left="320" w:top="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6"/>
    </w:lvl>
  </w:abstractNum>
  <w:abstractNum w:abstractNumId="6">
    <w:nsid w:val="5C482A97"/>
    <w:multiLevelType w:val="hybridMultilevel"/>
    <w:lvl w:ilvl="0">
      <w:lvlJc w:val="left"/>
      <w:lvlText w:val="%1."/>
      <w:numFmt w:val="decimal"/>
      <w:start w:val="8"/>
    </w:lvl>
    <w:lvl w:ilvl="1">
      <w:lvlJc w:val="left"/>
      <w:lvlText w:val="(%2)"/>
      <w:numFmt w:val="lowerLetter"/>
      <w:start w:val="1"/>
    </w:lvl>
  </w:abstractNum>
  <w:abstractNum w:abstractNumId="7">
    <w:nsid w:val="2463B9EA"/>
    <w:multiLevelType w:val="hybridMultilevel"/>
    <w:lvl w:ilvl="0">
      <w:lvlJc w:val="left"/>
      <w:lvlText w:val="(%1)"/>
      <w:numFmt w:val="lowerRoman"/>
      <w:start w:val="1"/>
    </w:lvl>
  </w:abstractNum>
  <w:abstractNum w:abstractNumId="8">
    <w:nsid w:val="5E884ADC"/>
    <w:multiLevelType w:val="hybridMultilevel"/>
    <w:lvl w:ilvl="0">
      <w:lvlJc w:val="left"/>
      <w:lvlText w:val="(%1)"/>
      <w:numFmt w:val="lowerRoman"/>
      <w:start w:val="2"/>
    </w:lvl>
  </w:abstractNum>
  <w:abstractNum w:abstractNumId="9">
    <w:nsid w:val="51EAD36B"/>
    <w:multiLevelType w:val="hybridMultilevel"/>
    <w:lvl w:ilvl="0">
      <w:lvlJc w:val="left"/>
      <w:lvlText w:val="(%1)"/>
      <w:numFmt w:val="lowerLetter"/>
      <w:start w:val="6"/>
    </w:lvl>
  </w:abstractNum>
  <w:abstractNum w:abstractNumId="10">
    <w:nsid w:val="2D517796"/>
    <w:multiLevelType w:val="hybridMultilevel"/>
    <w:lvl w:ilvl="0">
      <w:lvlJc w:val="left"/>
      <w:lvlText w:val="%1."/>
      <w:numFmt w:val="decimal"/>
      <w:start w:val="9"/>
    </w:lvl>
    <w:lvl w:ilvl="1">
      <w:lvlJc w:val="left"/>
      <w:lvlText w:val="(%2)"/>
      <w:numFmt w:val="lowerLetter"/>
      <w:start w:val="1"/>
    </w:lvl>
  </w:abstractNum>
  <w:abstractNum w:abstractNumId="11">
    <w:nsid w:val="580BD78F"/>
    <w:multiLevelType w:val="hybridMultilevel"/>
    <w:lvl w:ilvl="0">
      <w:lvlJc w:val="left"/>
      <w:lvlText w:val="%1."/>
      <w:numFmt w:val="decimal"/>
      <w:start w:val="10"/>
    </w:lvl>
    <w:lvl w:ilvl="1">
      <w:lvlJc w:val="left"/>
      <w:lvlText w:val="(%2)"/>
      <w:numFmt w:val="lowerLetter"/>
      <w:start w:val="1"/>
    </w:lvl>
  </w:abstractNum>
  <w:abstractNum w:abstractNumId="12">
    <w:nsid w:val="153EA438"/>
    <w:multiLevelType w:val="hybridMultilevel"/>
    <w:lvl w:ilvl="0">
      <w:lvlJc w:val="left"/>
      <w:lvlText w:val="(%1)"/>
      <w:numFmt w:val="decimal"/>
      <w:start w:val="1"/>
    </w:lvl>
    <w:lvl w:ilvl="1">
      <w:lvlJc w:val="left"/>
      <w:lvlText w:val="(%2)"/>
      <w:numFmt w:val="lowerLetter"/>
      <w:start w:val="4"/>
    </w:lvl>
  </w:abstractNum>
  <w:abstractNum w:abstractNumId="13">
    <w:nsid w:val="3855585C"/>
    <w:multiLevelType w:val="hybridMultilevel"/>
    <w:lvl w:ilvl="0">
      <w:lvlJc w:val="left"/>
      <w:lvlText w:val="%1."/>
      <w:numFmt w:val="decimal"/>
      <w:start w:val="11"/>
    </w:lvl>
    <w:lvl w:ilvl="1">
      <w:lvlJc w:val="left"/>
      <w:lvlText w:val="(%2)"/>
      <w:numFmt w:val="lowerLetter"/>
      <w:start w:val="1"/>
    </w:lvl>
  </w:abstractNum>
  <w:abstractNum w:abstractNumId="14">
    <w:nsid w:val="70A64E2A"/>
    <w:multiLevelType w:val="hybridMultilevel"/>
    <w:lvl w:ilvl="0">
      <w:lvlJc w:val="left"/>
      <w:lvlText w:val="%1."/>
      <w:numFmt w:val="decimal"/>
      <w:start w:val="12"/>
    </w:lvl>
    <w:lvl w:ilvl="1">
      <w:lvlJc w:val="left"/>
      <w:lvlText w:val="(%2)"/>
      <w:numFmt w:val="lowerLetter"/>
      <w:start w:val="1"/>
    </w:lvl>
  </w:abstractNum>
  <w:abstractNum w:abstractNumId="15">
    <w:nsid w:val="6A2342EC"/>
    <w:multiLevelType w:val="hybridMultilevel"/>
    <w:lvl w:ilvl="0">
      <w:lvlJc w:val="left"/>
      <w:lvlText w:val="%1."/>
      <w:numFmt w:val="decimal"/>
      <w:start w:val="13"/>
    </w:lvl>
    <w:lvl w:ilvl="1">
      <w:lvlJc w:val="left"/>
      <w:lvlText w:val="(%2)"/>
      <w:numFmt w:val="lowerLetter"/>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lowerRoman"/>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5"/>
    </w:lvl>
    <w:lvl w:ilvl="1">
      <w:lvlJc w:val="left"/>
      <w:lvlText w:val="(%2)"/>
      <w:numFmt w:val="lowerLetter"/>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emdash "/>
      <w:numFmt w:val="bullet"/>
      <w:start w:val="1"/>
    </w:lvl>
  </w:abstractNum>
  <w:abstractNum w:abstractNumId="24">
    <w:nsid w:val="6DE91B18"/>
    <w:multiLevelType w:val="hybridMultilevel"/>
    <w:lvl w:ilvl="0">
      <w:lvlJc w:val="left"/>
      <w:lvlText w:val="%1."/>
      <w:numFmt w:val="decimal"/>
      <w:start w:val="16"/>
    </w:lvl>
    <w:lvl w:ilvl="1">
      <w:lvlJc w:val="left"/>
      <w:lvlText w:val="(%2)"/>
      <w:numFmt w:val="lowerLetter"/>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7"/>
    </w:lvl>
    <w:lvl w:ilvl="1">
      <w:lvlJc w:val="left"/>
      <w:lvlText w:val="(%2)"/>
      <w:numFmt w:val="lowerLetter"/>
      <w:start w:val="1"/>
    </w:lvl>
  </w:abstractNum>
  <w:abstractNum w:abstractNumId="27">
    <w:nsid w:val="32FFF902"/>
    <w:multiLevelType w:val="hybridMultilevel"/>
    <w:lvl w:ilvl="0">
      <w:lvlJc w:val="left"/>
      <w:lvlText w:val="\emdash "/>
      <w:numFmt w:val="bullet"/>
      <w:start w:val="1"/>
    </w:lvl>
    <w:lvl w:ilvl="1">
      <w:lvlJc w:val="left"/>
      <w:lvlText w:val="(%2)"/>
      <w:numFmt w:val="lowerLetter"/>
      <w:start w:val="2"/>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lowerRoman"/>
      <w:start w:val="2"/>
    </w:lvl>
  </w:abstractNum>
  <w:abstractNum w:abstractNumId="30">
    <w:nsid w:val="749ABB43"/>
    <w:multiLevelType w:val="hybridMultilevel"/>
    <w:lvl w:ilvl="0">
      <w:lvlJc w:val="left"/>
      <w:lvlText w:val="(%1)"/>
      <w:numFmt w:val="lowerRoman"/>
      <w:start w:val="5"/>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emdash "/>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1."/>
      <w:numFmt w:val="decimal"/>
      <w:start w:val="1"/>
    </w:lvl>
    <w:lvl w:ilvl="1">
      <w:lvlJc w:val="left"/>
      <w:lvlText w:val="%2"/>
      <w:numFmt w:val="lowerLetter"/>
      <w:start w:val="1"/>
    </w:lvl>
  </w:abstractNum>
  <w:abstractNum w:abstractNumId="45">
    <w:nsid w:val="180115BE"/>
    <w:multiLevelType w:val="hybridMultilevel"/>
    <w:lvl w:ilvl="0">
      <w:lvlJc w:val="left"/>
      <w:lvlText w:val="%1"/>
      <w:numFmt w:val="decimal"/>
      <w:start w:val="1"/>
    </w:lvl>
    <w:lvl w:ilvl="1">
      <w:lvlJc w:val="left"/>
      <w:lvlText w:val="%2."/>
      <w:numFmt w:val="lowerLetter"/>
      <w:start w:val="2"/>
    </w:lvl>
  </w:abstractNum>
  <w:abstractNum w:abstractNumId="46">
    <w:nsid w:val="235BA861"/>
    <w:multiLevelType w:val="hybridMultilevel"/>
    <w:lvl w:ilvl="0">
      <w:lvlJc w:val="left"/>
      <w:lvlText w:val="%1."/>
      <w:numFmt w:val="decimal"/>
      <w:start w:val="6"/>
    </w:lvl>
    <w:lvl w:ilvl="1">
      <w:lvlJc w:val="left"/>
      <w:lvlText w:val="%2."/>
      <w:numFmt w:val="lowerLetter"/>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3"/>
    </w:lvl>
  </w:abstractNum>
  <w:abstractNum w:abstractNumId="49">
    <w:nsid w:val="15B5AF5C"/>
    <w:multiLevelType w:val="hybridMultilevel"/>
    <w:lvl w:ilvl="0">
      <w:lvlJc w:val="left"/>
      <w:lvlText w:val="%1."/>
      <w:numFmt w:val="decimal"/>
      <w:start w:val="5"/>
    </w:lvl>
  </w:abstractNum>
  <w:abstractNum w:abstractNumId="50">
    <w:nsid w:val="741226BB"/>
    <w:multiLevelType w:val="hybridMultilevel"/>
    <w:lvl w:ilvl="0">
      <w:lvlJc w:val="left"/>
      <w:lvlText w:val="%1"/>
      <w:numFmt w:val="decimal"/>
      <w:start w:val="1"/>
    </w:lvl>
    <w:lvl w:ilvl="1">
      <w:lvlJc w:val="left"/>
      <w:lvlText w:val="%2."/>
      <w:numFmt w:val="decimal"/>
      <w:start w:val="10"/>
    </w:lvl>
  </w:abstractNum>
  <w:abstractNum w:abstractNumId="51">
    <w:nsid w:val="D34B6A8"/>
    <w:multiLevelType w:val="hybridMultilevel"/>
    <w:lvl w:ilvl="0">
      <w:lvlJc w:val="left"/>
      <w:lvlText w:val="%1."/>
      <w:numFmt w:val="decimal"/>
      <w:start w:val="12"/>
    </w:lvl>
    <w:lvl w:ilvl="1">
      <w:lvlJc w:val="left"/>
      <w:lvlText w:val="%2"/>
      <w:numFmt w:val="decimal"/>
      <w:start w:val="1"/>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decimal"/>
      <w:start w:val="13"/>
    </w:lvl>
  </w:abstractNum>
  <w:abstractNum w:abstractNumId="54">
    <w:nsid w:val="61574095"/>
    <w:multiLevelType w:val="hybridMultilevel"/>
    <w:lvl w:ilvl="0">
      <w:lvlJc w:val="left"/>
      <w:lvlText w:val="%1."/>
      <w:numFmt w:val="decimal"/>
      <w:start w:val="16"/>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lowerLetter"/>
      <w:start w:val="6"/>
    </w:lvl>
    <w:lvl w:ilvl="1">
      <w:lvlJc w:val="left"/>
      <w:lvlText w:val="(%2)"/>
      <w:numFmt w:val="lowerRoman"/>
      <w:start w:val="1"/>
    </w:lvl>
  </w:abstractNum>
  <w:abstractNum w:abstractNumId="57">
    <w:nsid w:val="579BE4F1"/>
    <w:multiLevelType w:val="hybridMultilevel"/>
    <w:lvl w:ilvl="0">
      <w:lvlJc w:val="left"/>
      <w:lvlText w:val="%1."/>
      <w:numFmt w:val="decimal"/>
      <w:start w:val="4"/>
    </w:lvl>
  </w:abstractNum>
  <w:abstractNum w:abstractNumId="58">
    <w:nsid w:val="310C50B3"/>
    <w:multiLevelType w:val="hybridMultilevel"/>
    <w:lvl w:ilvl="0">
      <w:lvlJc w:val="left"/>
      <w:lvlText w:val="%1"/>
      <w:numFmt w:val="lowerRoman"/>
      <w:start w:val="1"/>
    </w:lvl>
    <w:lvl w:ilvl="1">
      <w:lvlJc w:val="left"/>
      <w:lvlText w:val="%2."/>
      <w:numFmt w:val="decimal"/>
      <w:start w:val="5"/>
    </w:lvl>
    <w:lvl w:ilvl="2">
      <w:lvlJc w:val="left"/>
      <w:lvlText w:val="%3"/>
      <w:numFmt w:val="decimal"/>
      <w:start w:val="1"/>
    </w:lvl>
  </w:abstractNum>
  <w:abstractNum w:abstractNumId="59">
    <w:nsid w:val="5FF87E05"/>
    <w:multiLevelType w:val="hybridMultilevel"/>
    <w:lvl w:ilvl="0">
      <w:lvlJc w:val="left"/>
      <w:lvlText w:val="(%1)"/>
      <w:numFmt w:val="lowerRoman"/>
      <w:start w:val="2"/>
    </w:lvl>
    <w:lvl w:ilvl="1">
      <w:lvlJc w:val="left"/>
      <w:lvlText w:val="%2."/>
      <w:numFmt w:val="decimal"/>
      <w:start w:val="7"/>
    </w:lvl>
    <w:lvl w:ilvl="2">
      <w:lvlJc w:val="left"/>
      <w:lvlText w:val="%3."/>
      <w:numFmt w:val="decimal"/>
      <w:start w:val="9"/>
    </w:lvl>
  </w:abstractNum>
  <w:abstractNum w:abstractNumId="60">
    <w:nsid w:val="2F305DEF"/>
    <w:multiLevelType w:val="hybridMultilevel"/>
    <w:lvl w:ilvl="0">
      <w:lvlJc w:val="left"/>
      <w:lvlText w:val="%1."/>
      <w:numFmt w:val="decimal"/>
      <w:start w:val="10"/>
    </w:lvl>
  </w:abstractNum>
  <w:abstractNum w:abstractNumId="61">
    <w:nsid w:val="25A70BF7"/>
    <w:multiLevelType w:val="hybridMultilevel"/>
    <w:lvl w:ilvl="0">
      <w:lvlJc w:val="left"/>
      <w:lvlText w:val="%1"/>
      <w:numFmt w:val="lowerRoman"/>
      <w:start w:val="1"/>
    </w:lvl>
    <w:lvl w:ilvl="1">
      <w:lvlJc w:val="left"/>
      <w:lvlText w:val="(%2)"/>
      <w:numFmt w:val="lowerLetter"/>
      <w:start w:val="1"/>
    </w:lvl>
  </w:abstractNum>
  <w:abstractNum w:abstractNumId="62">
    <w:nsid w:val="1DBABF00"/>
    <w:multiLevelType w:val="hybridMultilevel"/>
    <w:lvl w:ilvl="0">
      <w:lvlJc w:val="left"/>
      <w:lvlText w:val="(%1)"/>
      <w:numFmt w:val="lowerRoman"/>
      <w:start w:val="2"/>
    </w:lvl>
    <w:lvl w:ilvl="1">
      <w:lvlJc w:val="left"/>
      <w:lvlText w:val="(%2)"/>
      <w:numFmt w:val="lowerLetter"/>
      <w:start w:val="2"/>
    </w:lvl>
  </w:abstractNum>
  <w:abstractNum w:abstractNumId="63">
    <w:nsid w:val="4AD084E9"/>
    <w:multiLevelType w:val="hybridMultilevel"/>
    <w:lvl w:ilvl="0">
      <w:lvlJc w:val="left"/>
      <w:lvlText w:val="%1."/>
      <w:numFmt w:val="decimal"/>
      <w:start w:val="13"/>
    </w:lvl>
  </w:abstractNum>
  <w:abstractNum w:abstractNumId="64">
    <w:nsid w:val="1F48EAA1"/>
    <w:multiLevelType w:val="hybridMultilevel"/>
    <w:lvl w:ilvl="0">
      <w:lvlJc w:val="left"/>
      <w:lvlText w:val="%1."/>
      <w:numFmt w:val="decimal"/>
      <w:start w:val="16"/>
    </w:lvl>
  </w:abstractNum>
  <w:abstractNum w:abstractNumId="65">
    <w:nsid w:val="1381823A"/>
    <w:multiLevelType w:val="hybridMultilevel"/>
    <w:lvl w:ilvl="0">
      <w:lvlJc w:val="left"/>
      <w:lvlText w:val="(%1)"/>
      <w:numFmt w:val="lowerRoman"/>
      <w:start w:val="1"/>
    </w:lvl>
  </w:abstractNum>
  <w:abstractNum w:abstractNumId="66">
    <w:nsid w:val="5DB70AE5"/>
    <w:multiLevelType w:val="hybridMultilevel"/>
    <w:lvl w:ilvl="0">
      <w:lvlJc w:val="left"/>
      <w:lvlText w:val="(%1)"/>
      <w:numFmt w:val="lowerLetter"/>
      <w:start w:val="7"/>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jpe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jpe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00" Type="http://schemas.openxmlformats.org/officeDocument/2006/relationships/hyperlink" Target="http://www.sec.gov/Archives/edgar/data/0000921582/000156459021010996/imax-ex32_7.htm" TargetMode="External"/><Relationship Id="rId101" Type="http://schemas.openxmlformats.org/officeDocument/2006/relationships/hyperlink" Target="http://www.sec.gov/Archives/edgar/data/0000921582/000119312521087676/d154856dex41.htm" TargetMode="External"/><Relationship Id="rId102" Type="http://schemas.openxmlformats.org/officeDocument/2006/relationships/hyperlink" Target="http://www.sec.gov/Archives/edgar/data/0000921582/000119312521087676/d154856dex101.htm" TargetMode="External"/><Relationship Id="rId103" Type="http://schemas.openxmlformats.org/officeDocument/2006/relationships/hyperlink" Target="http://www.sec.gov/Archives/edgar/data/0000921582/000119312521087676/d154856dex102.htm" TargetMode="External"/><Relationship Id="rId104" Type="http://schemas.openxmlformats.org/officeDocument/2006/relationships/hyperlink" Target="http://www.sec.gov/Archives/edgar/data/0000921582/000119312521087676/d154856dex103.htm" TargetMode="External"/><Relationship Id="rId105" Type="http://schemas.openxmlformats.org/officeDocument/2006/relationships/hyperlink" Target="http://www.sec.gov/Archives/edgar/data/0000921582/000119312521087676/d154856dex104.htm" TargetMode="External"/><Relationship Id="rId106" Type="http://schemas.openxmlformats.org/officeDocument/2006/relationships/hyperlink" Target="http://www.sec.gov/Archives/edgar/data/0000921582/000119312521087676/d154856dex105.htm" TargetMode="External"/><Relationship Id="rId107" Type="http://schemas.openxmlformats.org/officeDocument/2006/relationships/hyperlink" Target="http://www.sec.gov/Archives/edgar/data/0000921582/000119312521087676/d154856dex106.htm" TargetMode="External"/><Relationship Id="rId108" Type="http://schemas.openxmlformats.org/officeDocument/2006/relationships/hyperlink" Target="http://www.sec.gov/Archives/edgar/data/0000921582/000119312521087676/d154856dex107.htm" TargetMode="External"/><Relationship Id="rId109" Type="http://schemas.openxmlformats.org/officeDocument/2006/relationships/hyperlink" Target="http://www.sec.gov/Archives/edgar/data/0000921582/000119312521087676/d154856dex108.htm" TargetMode="External"/><Relationship Id="rId110" Type="http://schemas.openxmlformats.org/officeDocument/2006/relationships/hyperlink" Target="http://www.sec.gov/Archives/edgar/data/0000921582/000119312521087676/d154856dex109.htm" TargetMode="External"/><Relationship Id="rId113" Type="http://schemas.openxmlformats.org/officeDocument/2006/relationships/hyperlink" Target="http://www.sec.gov/Archives/edgar/data/0000921582/000156459021010996/imax-ex1043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2021-04-29T14:09:28Z</dcterms:created>
  <dcterms:modified xsi:type="dcterms:W3CDTF">2021-04-29T14:09:28Z</dcterms:modified>
</cp:coreProperties>
</file>