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534035</wp:posOffset>
            </wp:positionH>
            <wp:positionV relativeFrom="page">
              <wp:posOffset>354330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372110</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660" w:right="1560" w:hanging="3652"/>
        <w:spacing w:after="0" w:line="289" w:lineRule="auto"/>
        <w:tabs>
          <w:tab w:leader="none" w:pos="53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1" w:right="339" w:bottom="1440" w:gutter="0" w:footer="0" w:header="0"/>
        </w:sectPr>
      </w:pPr>
    </w:p>
    <w:p>
      <w:pPr>
        <w:spacing w:after="0" w:line="67"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53" w:lineRule="exact"/>
        <w:rPr>
          <w:sz w:val="24"/>
          <w:szCs w:val="24"/>
          <w:color w:val="auto"/>
        </w:rPr>
      </w:pPr>
    </w:p>
    <w:p>
      <w:pPr>
        <w:sectPr>
          <w:pgSz w:w="11900" w:h="16838" w:orient="portrait"/>
          <w:cols w:equalWidth="0" w:num="2">
            <w:col w:w="6400" w:space="620"/>
            <w:col w:w="4220"/>
          </w:cols>
          <w:pgMar w:left="320" w:top="1021"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001-35066</w:t>
      </w:r>
    </w:p>
    <w:p>
      <w:pPr>
        <w:sectPr>
          <w:pgSz w:w="11900" w:h="16838" w:orient="portrait"/>
          <w:cols w:equalWidth="0" w:num="1">
            <w:col w:w="11240"/>
          </w:cols>
          <w:pgMar w:left="320" w:top="1021" w:right="339" w:bottom="1440" w:gutter="0" w:footer="0" w:header="0"/>
          <w:type w:val="continuous"/>
        </w:sectPr>
      </w:pPr>
    </w:p>
    <w:p>
      <w:pPr>
        <w:spacing w:after="0" w:line="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IMAX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1021" w:right="339" w:bottom="144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Canada</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4740"/>
        <w:spacing w:after="0"/>
        <w:rPr>
          <w:sz w:val="20"/>
          <w:szCs w:val="20"/>
          <w:color w:val="auto"/>
        </w:rPr>
      </w:pPr>
      <w:r>
        <w:rPr>
          <w:rFonts w:ascii="Arial" w:cs="Arial" w:eastAsia="Arial" w:hAnsi="Arial"/>
          <w:sz w:val="16"/>
          <w:szCs w:val="16"/>
          <w:b w:val="1"/>
          <w:bCs w:val="1"/>
          <w:color w:val="auto"/>
        </w:rPr>
        <w:t>98-0140269</w:t>
      </w:r>
    </w:p>
    <w:p>
      <w:pPr>
        <w:spacing w:after="0" w:line="58" w:lineRule="exact"/>
        <w:rPr>
          <w:sz w:val="24"/>
          <w:szCs w:val="24"/>
          <w:color w:val="auto"/>
        </w:rPr>
      </w:pPr>
    </w:p>
    <w:p>
      <w:pPr>
        <w:sectPr>
          <w:pgSz w:w="11900" w:h="16838" w:orient="portrait"/>
          <w:cols w:equalWidth="0" w:num="2">
            <w:col w:w="4920" w:space="720"/>
            <w:col w:w="5600"/>
          </w:cols>
          <w:pgMar w:left="320" w:top="1021" w:right="339" w:bottom="1440" w:gutter="0" w:footer="0" w:header="0"/>
          <w:type w:val="continuous"/>
        </w:sectPr>
      </w:pPr>
    </w:p>
    <w:p>
      <w:pPr>
        <w:ind w:left="20"/>
        <w:spacing w:after="0"/>
        <w:rPr>
          <w:sz w:val="20"/>
          <w:szCs w:val="20"/>
          <w:color w:val="auto"/>
        </w:rPr>
      </w:pPr>
      <w:r>
        <w:rPr>
          <w:rFonts w:ascii="Arial" w:cs="Arial" w:eastAsia="Arial" w:hAnsi="Arial"/>
          <w:sz w:val="14"/>
          <w:szCs w:val="14"/>
          <w:i w:val="1"/>
          <w:iCs w:val="1"/>
          <w:color w:val="auto"/>
        </w:rPr>
        <w:t>(State or other jurisdiction of</w:t>
      </w:r>
    </w:p>
    <w:p>
      <w:pPr>
        <w:ind w:left="2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3"/>
          <w:szCs w:val="13"/>
          <w:i w:val="1"/>
          <w:iCs w:val="1"/>
          <w:color w:val="auto"/>
        </w:rPr>
        <w:t>Identification Number)</w:t>
      </w:r>
    </w:p>
    <w:p>
      <w:pPr>
        <w:spacing w:after="0" w:line="136" w:lineRule="exact"/>
        <w:rPr>
          <w:sz w:val="24"/>
          <w:szCs w:val="24"/>
          <w:color w:val="auto"/>
        </w:rPr>
      </w:pPr>
    </w:p>
    <w:p>
      <w:pPr>
        <w:sectPr>
          <w:pgSz w:w="11900" w:h="16838" w:orient="portrait"/>
          <w:cols w:equalWidth="0" w:num="2">
            <w:col w:w="4920" w:space="720"/>
            <w:col w:w="5600"/>
          </w:cols>
          <w:pgMar w:left="320" w:top="10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2525 Speakman Drive,</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Mississauga, Ontario, Canada L5K 1B1</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(905) 403-6500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902 Broadway, Floor 20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New York, USA 10010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(212) 821-0100</w:t>
      </w:r>
    </w:p>
    <w:p>
      <w:pPr>
        <w:spacing w:after="0" w:line="89" w:lineRule="exact"/>
        <w:rPr>
          <w:sz w:val="24"/>
          <w:szCs w:val="24"/>
          <w:color w:val="auto"/>
        </w:rPr>
      </w:pPr>
    </w:p>
    <w:p>
      <w:pPr>
        <w:sectPr>
          <w:pgSz w:w="11900" w:h="16838" w:orient="portrait"/>
          <w:cols w:equalWidth="0" w:num="2">
            <w:col w:w="4920" w:space="720"/>
            <w:col w:w="5600"/>
          </w:cols>
          <w:pgMar w:left="320" w:top="1021" w:right="3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200" w:type="dxa"/>
            <w:vAlign w:val="bottom"/>
          </w:tcPr>
          <w:p>
            <w:pPr>
              <w:spacing w:after="0"/>
              <w:rPr>
                <w:sz w:val="16"/>
                <w:szCs w:val="16"/>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Common Shares, no par value</w:t>
            </w:r>
          </w:p>
        </w:tc>
        <w:tc>
          <w:tcPr>
            <w:tcW w:w="2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The New York Stock Exchange</w:t>
            </w:r>
          </w:p>
        </w:tc>
      </w:tr>
    </w:tbl>
    <w:p>
      <w:pPr>
        <w:spacing w:after="0" w:line="291" w:lineRule="exact"/>
        <w:rPr>
          <w:sz w:val="24"/>
          <w:szCs w:val="24"/>
          <w:color w:val="auto"/>
        </w:rPr>
      </w:pPr>
    </w:p>
    <w:p>
      <w:pPr>
        <w:jc w:val="both"/>
        <w:ind w:firstLine="2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2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2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firstLine="2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240"/>
        <w:spacing w:after="0" w:line="196" w:lineRule="exact"/>
        <w:tabs>
          <w:tab w:leader="none" w:pos="91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w:t>
            </w:r>
          </w:p>
        </w:tc>
        <w:tc>
          <w:tcPr>
            <w:tcW w:w="240" w:type="dxa"/>
            <w:vAlign w:val="bottom"/>
          </w:tcPr>
          <w:p>
            <w:pPr>
              <w:spacing w:after="0"/>
              <w:rPr>
                <w:sz w:val="16"/>
                <w:szCs w:val="16"/>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Outstanding as of September 30, 2023</w:t>
            </w:r>
          </w:p>
        </w:tc>
      </w:tr>
      <w:tr>
        <w:trPr>
          <w:trHeight w:val="224"/>
        </w:trPr>
        <w:tc>
          <w:tcPr>
            <w:tcW w:w="5500" w:type="dxa"/>
            <w:vAlign w:val="bottom"/>
          </w:tcPr>
          <w:p>
            <w:pPr>
              <w:ind w:left="20"/>
              <w:spacing w:after="0"/>
              <w:rPr>
                <w:sz w:val="20"/>
                <w:szCs w:val="20"/>
                <w:color w:val="auto"/>
              </w:rPr>
            </w:pPr>
            <w:r>
              <w:rPr>
                <w:rFonts w:ascii="Arial" w:cs="Arial" w:eastAsia="Arial" w:hAnsi="Arial"/>
                <w:sz w:val="18"/>
                <w:szCs w:val="18"/>
                <w:color w:val="auto"/>
              </w:rPr>
              <w:t>Common Shares, no par value</w:t>
            </w:r>
          </w:p>
        </w:tc>
        <w:tc>
          <w:tcPr>
            <w:tcW w:w="2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54,607,095</w:t>
            </w:r>
          </w:p>
        </w:tc>
      </w:tr>
      <w:tr>
        <w:trPr>
          <w:trHeight w:val="404"/>
        </w:trPr>
        <w:tc>
          <w:tcPr>
            <w:tcW w:w="5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28"/>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280" w:type="dxa"/>
            <w:vAlign w:val="bottom"/>
            <w:gridSpan w:val="15"/>
          </w:tcPr>
          <w:p>
            <w:pPr>
              <w:spacing w:after="0" w:line="182" w:lineRule="exact"/>
              <w:rPr>
                <w:sz w:val="20"/>
                <w:szCs w:val="20"/>
                <w:color w:val="auto"/>
              </w:rPr>
            </w:pPr>
            <w:r>
              <w:rPr>
                <w:rFonts w:ascii="Arial" w:cs="Arial" w:eastAsia="Arial" w:hAnsi="Arial"/>
                <w:sz w:val="18"/>
                <w:szCs w:val="18"/>
                <w:b w:val="1"/>
                <w:bCs w:val="1"/>
                <w:color w:val="0000FF"/>
              </w:rPr>
              <w:t>PART I. FINANCIAL INFORMATION</w:t>
            </w:r>
          </w:p>
        </w:tc>
        <w:tc>
          <w:tcPr>
            <w:tcW w:w="940" w:type="dxa"/>
            <w:vAlign w:val="bottom"/>
          </w:tcPr>
          <w:p>
            <w:pPr>
              <w:spacing w:after="0"/>
              <w:rPr>
                <w:sz w:val="15"/>
                <w:szCs w:val="15"/>
                <w:color w:val="auto"/>
              </w:rPr>
            </w:pPr>
          </w:p>
        </w:tc>
      </w:tr>
      <w:tr>
        <w:trPr>
          <w:trHeight w:val="439"/>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722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Controls and Procedures</w:t>
            </w:r>
          </w:p>
        </w:tc>
        <w:tc>
          <w:tcPr>
            <w:tcW w:w="4960" w:type="dxa"/>
            <w:vAlign w:val="bottom"/>
            <w:gridSpan w:val="3"/>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b w:val="1"/>
                <w:bCs w:val="1"/>
                <w:color w:val="0000FF"/>
              </w:rPr>
              <w:t>PART II. OTHER INFORMATION</w:t>
            </w:r>
          </w:p>
        </w:tc>
        <w:tc>
          <w:tcPr>
            <w:tcW w:w="940" w:type="dxa"/>
            <w:vAlign w:val="bottom"/>
          </w:tcPr>
          <w:p>
            <w:pPr>
              <w:spacing w:after="0"/>
              <w:rPr>
                <w:sz w:val="24"/>
                <w:szCs w:val="24"/>
                <w:color w:val="auto"/>
              </w:rPr>
            </w:pPr>
          </w:p>
        </w:tc>
      </w:tr>
      <w:tr>
        <w:trPr>
          <w:trHeight w:val="439"/>
        </w:trPr>
        <w:tc>
          <w:tcPr>
            <w:tcW w:w="20" w:type="dxa"/>
            <w:vAlign w:val="bottom"/>
            <w:tcBorders>
              <w:top w:val="single" w:sz="8" w:color="0000EE"/>
            </w:tcBorders>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Legal Proceedings</w:t>
            </w:r>
          </w:p>
        </w:tc>
        <w:tc>
          <w:tcPr>
            <w:tcW w:w="750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40" w:type="dxa"/>
            <w:vAlign w:val="bottom"/>
            <w:gridSpan w:val="8"/>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Other Information</w:t>
            </w:r>
          </w:p>
        </w:tc>
        <w:tc>
          <w:tcPr>
            <w:tcW w:w="4920" w:type="dxa"/>
            <w:vAlign w:val="bottom"/>
            <w:gridSpan w:val="2"/>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60" w:type="dxa"/>
            <w:vAlign w:val="bottom"/>
            <w:gridSpan w:val="9"/>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68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2"/>
          </w:tcPr>
          <w:p>
            <w:pPr>
              <w:ind w:left="4540"/>
              <w:spacing w:after="0"/>
              <w:rPr>
                <w:sz w:val="20"/>
                <w:szCs w:val="20"/>
                <w:color w:val="auto"/>
              </w:rPr>
            </w:pPr>
            <w:r>
              <w:rPr>
                <w:rFonts w:ascii="Arial" w:cs="Arial" w:eastAsia="Arial" w:hAnsi="Arial"/>
                <w:sz w:val="18"/>
                <w:szCs w:val="18"/>
                <w:color w:val="auto"/>
              </w:rPr>
              <w:t>2</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10580" w:type="dxa"/>
            <w:vAlign w:val="bottom"/>
            <w:gridSpan w:val="9"/>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40" w:type="dxa"/>
            <w:vAlign w:val="bottom"/>
          </w:tcPr>
          <w:p>
            <w:pPr>
              <w:spacing w:after="0"/>
              <w:rPr>
                <w:sz w:val="19"/>
                <w:szCs w:val="19"/>
                <w:color w:val="auto"/>
              </w:rPr>
            </w:pPr>
          </w:p>
        </w:tc>
      </w:tr>
      <w:tr>
        <w:trPr>
          <w:trHeight w:val="351"/>
        </w:trPr>
        <w:tc>
          <w:tcPr>
            <w:tcW w:w="20" w:type="dxa"/>
            <w:vAlign w:val="bottom"/>
            <w:tcBorders>
              <w:bottom w:val="single" w:sz="8" w:color="0000EE"/>
            </w:tcBorders>
          </w:tcPr>
          <w:p>
            <w:pPr>
              <w:spacing w:after="0"/>
              <w:rPr>
                <w:sz w:val="24"/>
                <w:szCs w:val="24"/>
                <w:color w:val="auto"/>
              </w:rPr>
            </w:pPr>
          </w:p>
        </w:tc>
        <w:tc>
          <w:tcPr>
            <w:tcW w:w="65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8"/>
              </w:rPr>
              <w:t>Condensed Consolidated Balance Sheets as of September 30, 2023 and December 31, 2022</w:t>
            </w:r>
          </w:p>
        </w:tc>
        <w:tc>
          <w:tcPr>
            <w:tcW w:w="20" w:type="dxa"/>
            <w:vAlign w:val="bottom"/>
            <w:tcBorders>
              <w:bottom w:val="single" w:sz="8" w:color="0000EE"/>
            </w:tcBorders>
          </w:tcPr>
          <w:p>
            <w:pPr>
              <w:spacing w:after="0"/>
              <w:rPr>
                <w:sz w:val="24"/>
                <w:szCs w:val="24"/>
                <w:color w:val="auto"/>
              </w:rPr>
            </w:pPr>
          </w:p>
        </w:tc>
        <w:tc>
          <w:tcPr>
            <w:tcW w:w="398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Borders>
              <w:bottom w:val="single" w:sz="8" w:color="0000EE"/>
            </w:tcBorders>
          </w:tcPr>
          <w:p>
            <w:pPr>
              <w:spacing w:after="0"/>
              <w:rPr>
                <w:sz w:val="19"/>
                <w:szCs w:val="19"/>
                <w:color w:val="auto"/>
              </w:rPr>
            </w:pPr>
          </w:p>
        </w:tc>
        <w:tc>
          <w:tcPr>
            <w:tcW w:w="8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Condensed Consolidated Statements of Operations for the three and nine months ended September 30, 2023 and 2022</w:t>
            </w:r>
          </w:p>
        </w:tc>
        <w:tc>
          <w:tcPr>
            <w:tcW w:w="20" w:type="dxa"/>
            <w:vAlign w:val="bottom"/>
            <w:tcBorders>
              <w:bottom w:val="single" w:sz="8" w:color="0000EE"/>
            </w:tcBorders>
          </w:tcPr>
          <w:p>
            <w:pPr>
              <w:spacing w:after="0"/>
              <w:rPr>
                <w:sz w:val="19"/>
                <w:szCs w:val="19"/>
                <w:color w:val="auto"/>
              </w:rPr>
            </w:pPr>
          </w:p>
        </w:tc>
        <w:tc>
          <w:tcPr>
            <w:tcW w:w="2060" w:type="dxa"/>
            <w:vAlign w:val="bottom"/>
            <w:gridSpan w:val="3"/>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10580" w:type="dxa"/>
            <w:vAlign w:val="bottom"/>
            <w:gridSpan w:val="9"/>
          </w:tcPr>
          <w:p>
            <w:pPr>
              <w:spacing w:after="0"/>
              <w:rPr>
                <w:sz w:val="20"/>
                <w:szCs w:val="20"/>
                <w:color w:val="auto"/>
              </w:rPr>
            </w:pPr>
            <w:r>
              <w:rPr>
                <w:rFonts w:ascii="Arial" w:cs="Arial" w:eastAsia="Arial" w:hAnsi="Arial"/>
                <w:sz w:val="18"/>
                <w:szCs w:val="18"/>
                <w:color w:val="0000FF"/>
                <w:w w:val="94"/>
              </w:rPr>
              <w:t>Condensed Consolidated Statements of Comprehensive Income (Loss) for the three and nine months ended September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Borders>
              <w:top w:val="single" w:sz="8" w:color="0000EE"/>
              <w:bottom w:val="single" w:sz="8" w:color="0000EE"/>
            </w:tcBorders>
          </w:tcPr>
          <w:p>
            <w:pPr>
              <w:spacing w:after="0"/>
              <w:rPr>
                <w:sz w:val="19"/>
                <w:szCs w:val="19"/>
                <w:color w:val="auto"/>
              </w:rPr>
            </w:pPr>
          </w:p>
        </w:tc>
        <w:tc>
          <w:tcPr>
            <w:tcW w:w="78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2023 and 2022</w:t>
            </w:r>
          </w:p>
        </w:tc>
        <w:tc>
          <w:tcPr>
            <w:tcW w:w="2080" w:type="dxa"/>
            <w:vAlign w:val="bottom"/>
            <w:tcBorders>
              <w:top w:val="single" w:sz="8" w:color="0000FF"/>
            </w:tcBorders>
            <w:gridSpan w:val="4"/>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10580" w:type="dxa"/>
            <w:vAlign w:val="bottom"/>
            <w:gridSpan w:val="9"/>
          </w:tcPr>
          <w:p>
            <w:pPr>
              <w:spacing w:after="0"/>
              <w:rPr>
                <w:sz w:val="20"/>
                <w:szCs w:val="20"/>
                <w:color w:val="auto"/>
              </w:rPr>
            </w:pPr>
            <w:r>
              <w:rPr>
                <w:rFonts w:ascii="Arial" w:cs="Arial" w:eastAsia="Arial" w:hAnsi="Arial"/>
                <w:sz w:val="18"/>
                <w:szCs w:val="18"/>
                <w:color w:val="0000FF"/>
              </w:rPr>
              <w:t>Condensed Consolidated Statements of Shareholders’ Equity for the three and nine months ended September 30, 2023 and 2022</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Borders>
              <w:top w:val="single" w:sz="8" w:color="0000EE"/>
            </w:tcBorders>
          </w:tcPr>
          <w:p>
            <w:pPr>
              <w:spacing w:after="0"/>
              <w:rPr>
                <w:sz w:val="19"/>
                <w:szCs w:val="19"/>
                <w:color w:val="auto"/>
              </w:rPr>
            </w:pPr>
          </w:p>
        </w:tc>
        <w:tc>
          <w:tcPr>
            <w:tcW w:w="40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220" w:type="dxa"/>
            <w:vAlign w:val="bottom"/>
            <w:tcBorders>
              <w:top w:val="single" w:sz="8" w:color="0000FF"/>
            </w:tcBorders>
            <w:gridSpan w:val="6"/>
          </w:tcPr>
          <w:p>
            <w:pPr>
              <w:spacing w:after="0"/>
              <w:rPr>
                <w:sz w:val="19"/>
                <w:szCs w:val="19"/>
                <w:color w:val="auto"/>
              </w:rPr>
            </w:pPr>
          </w:p>
        </w:tc>
        <w:tc>
          <w:tcPr>
            <w:tcW w:w="1360" w:type="dxa"/>
            <w:vAlign w:val="bottom"/>
            <w:gridSpan w:val="2"/>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682"/>
        </w:trPr>
        <w:tc>
          <w:tcPr>
            <w:tcW w:w="6600" w:type="dxa"/>
            <w:vAlign w:val="bottom"/>
            <w:gridSpan w:val="3"/>
          </w:tcPr>
          <w:p>
            <w:pPr>
              <w:jc w:val="right"/>
              <w:ind w:right="9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8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109,603</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97,401</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 for credit losses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135,962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136,142</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Financing receivables, net of allowance for credit losses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125,322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129,384</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consideration receivables, net of allowance for credit losses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59,042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44,024</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45,365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12,343</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Film assets, net of accumulated amortization</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 of accumulated depreciation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238,140</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252,896</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Investment in equity securities</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15,665</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Deferred income tax assets, net of valuation allowance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52,815</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Other intangible assets, net of accumulated amortization</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32,738</w:t>
            </w:r>
          </w:p>
        </w:tc>
        <w:tc>
          <w:tcPr>
            <w:tcW w:w="100" w:type="dxa"/>
            <w:vAlign w:val="bottom"/>
          </w:tcPr>
          <w:p>
            <w:pPr>
              <w:spacing w:after="0"/>
              <w:rPr>
                <w:sz w:val="20"/>
                <w:szCs w:val="20"/>
                <w:color w:val="auto"/>
              </w:rPr>
            </w:pPr>
          </w:p>
        </w:tc>
      </w:tr>
      <w:tr>
        <w:trPr>
          <w:trHeight w:val="278"/>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850,946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821,154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123,863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117,286</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66,272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70,940</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Revolving credit facility borrowings, net of unamortized debt issuance costs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23,903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 and other borrowings, net of unamortized discounts and debt issuance costs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228,449</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226,912</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c>
          <w:tcPr>
            <w:tcW w:w="100" w:type="dxa"/>
            <w:vAlign w:val="bottom"/>
          </w:tcPr>
          <w:p>
            <w:pPr>
              <w:spacing w:after="0"/>
              <w:rPr>
                <w:sz w:val="20"/>
                <w:szCs w:val="20"/>
                <w:color w:val="auto"/>
              </w:rPr>
            </w:pPr>
          </w:p>
        </w:tc>
      </w:tr>
      <w:tr>
        <w:trPr>
          <w:trHeight w:val="238"/>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493,535</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491,386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 xml:space="preserve">Commitments, contingencies and guarantees </w:t>
            </w:r>
            <w:r>
              <w:rPr>
                <w:rFonts w:ascii="Arial" w:cs="Arial" w:eastAsia="Arial" w:hAnsi="Arial"/>
                <w:sz w:val="18"/>
                <w:szCs w:val="18"/>
                <w:color w:val="auto"/>
              </w:rPr>
              <w:t>(see Note 7)</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661</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6"/>
        </w:trPr>
        <w:tc>
          <w:tcPr>
            <w:tcW w:w="8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54,607,095 issued and outstanding (December 31, 2022 — 54,148,614 issued and outstanding)</w:t>
            </w: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390,097</w:t>
            </w:r>
          </w:p>
        </w:tc>
        <w:tc>
          <w:tcPr>
            <w:tcW w:w="3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376,715</w:t>
            </w:r>
          </w:p>
        </w:tc>
        <w:tc>
          <w:tcPr>
            <w:tcW w:w="100" w:type="dxa"/>
            <w:vAlign w:val="bottom"/>
            <w:shd w:val="clear" w:color="auto" w:fill="CFF0FC"/>
          </w:tcPr>
          <w:p>
            <w:pPr>
              <w:spacing w:after="0"/>
              <w:rPr>
                <w:sz w:val="22"/>
                <w:szCs w:val="22"/>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Other equity</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179,970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185,678</w:t>
            </w:r>
          </w:p>
        </w:tc>
        <w:tc>
          <w:tcPr>
            <w:tcW w:w="100" w:type="dxa"/>
            <w:vAlign w:val="bottom"/>
          </w:tcPr>
          <w:p>
            <w:pPr>
              <w:spacing w:after="0"/>
              <w:rPr>
                <w:sz w:val="20"/>
                <w:szCs w:val="20"/>
                <w:color w:val="auto"/>
              </w:rPr>
            </w:pPr>
          </w:p>
        </w:tc>
      </w:tr>
      <w:tr>
        <w:trPr>
          <w:trHeight w:val="249"/>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Statutory surplus reserve</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FF0FC"/>
          </w:tcPr>
          <w:p>
            <w:pPr>
              <w:spacing w:after="0"/>
              <w:rPr>
                <w:sz w:val="21"/>
                <w:szCs w:val="21"/>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(272,318 )</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(293,124 )</w:t>
            </w:r>
          </w:p>
        </w:tc>
      </w:tr>
      <w:tr>
        <w:trPr>
          <w:trHeight w:val="243"/>
        </w:trPr>
        <w:tc>
          <w:tcPr>
            <w:tcW w:w="8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(14,637 )</w:t>
            </w: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(9,846 )</w:t>
            </w:r>
          </w:p>
        </w:tc>
      </w:tr>
      <w:tr>
        <w:trPr>
          <w:trHeight w:val="239"/>
        </w:trPr>
        <w:tc>
          <w:tcPr>
            <w:tcW w:w="83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287,044</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263,355</w:t>
            </w:r>
          </w:p>
        </w:tc>
        <w:tc>
          <w:tcPr>
            <w:tcW w:w="100" w:type="dxa"/>
            <w:vAlign w:val="bottom"/>
            <w:tcBorders>
              <w:top w:val="single" w:sz="8" w:color="CFF0FC"/>
            </w:tcBorders>
          </w:tcPr>
          <w:p>
            <w:pPr>
              <w:spacing w:after="0"/>
              <w:rPr>
                <w:sz w:val="20"/>
                <w:szCs w:val="20"/>
                <w:color w:val="auto"/>
              </w:rPr>
            </w:pPr>
          </w:p>
        </w:tc>
      </w:tr>
      <w:tr>
        <w:trPr>
          <w:trHeight w:val="241"/>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69,706</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356,750</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329,046</w:t>
            </w:r>
          </w:p>
        </w:tc>
        <w:tc>
          <w:tcPr>
            <w:tcW w:w="100" w:type="dxa"/>
            <w:vAlign w:val="bottom"/>
          </w:tcPr>
          <w:p>
            <w:pPr>
              <w:spacing w:after="0"/>
              <w:rPr>
                <w:sz w:val="20"/>
                <w:szCs w:val="20"/>
                <w:color w:val="auto"/>
              </w:rPr>
            </w:pPr>
          </w:p>
        </w:tc>
      </w:tr>
      <w:tr>
        <w:trPr>
          <w:trHeight w:val="276"/>
        </w:trPr>
        <w:tc>
          <w:tcPr>
            <w:tcW w:w="8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850,946</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821,154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-3342640</wp:posOffset>
            </wp:positionV>
            <wp:extent cx="103695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6955" cy="1797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-2073910</wp:posOffset>
            </wp:positionV>
            <wp:extent cx="7683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-1756410</wp:posOffset>
            </wp:positionV>
            <wp:extent cx="7683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-668020</wp:posOffset>
            </wp:positionV>
            <wp:extent cx="7683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768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94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9"/>
                <w:szCs w:val="19"/>
                <w:color w:val="auto"/>
              </w:rPr>
            </w:pPr>
          </w:p>
        </w:tc>
        <w:tc>
          <w:tcPr>
            <w:tcW w:w="194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6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Technology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18,273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18,065</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65,455</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35,270</w:t>
            </w:r>
          </w:p>
        </w:tc>
        <w:tc>
          <w:tcPr>
            <w:tcW w:w="100" w:type="dxa"/>
            <w:vAlign w:val="bottom"/>
          </w:tcPr>
          <w:p>
            <w:pPr>
              <w:spacing w:after="0"/>
              <w:rPr>
                <w:sz w:val="20"/>
                <w:szCs w:val="20"/>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Image enhancement and maintenance services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154,244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117,285</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Technology rentals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62,612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43,726</w:t>
            </w:r>
          </w:p>
        </w:tc>
        <w:tc>
          <w:tcPr>
            <w:tcW w:w="100" w:type="dxa"/>
            <w:vAlign w:val="bottom"/>
          </w:tcPr>
          <w:p>
            <w:pPr>
              <w:spacing w:after="0"/>
              <w:rPr>
                <w:sz w:val="20"/>
                <w:szCs w:val="20"/>
                <w:color w:val="auto"/>
              </w:rPr>
            </w:pPr>
          </w:p>
        </w:tc>
      </w:tr>
      <w:tr>
        <w:trPr>
          <w:trHeight w:val="243"/>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 income</w:t>
            </w: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103,896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68,755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288,821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202,759</w:t>
            </w:r>
          </w:p>
        </w:tc>
        <w:tc>
          <w:tcPr>
            <w:tcW w:w="100" w:type="dxa"/>
            <w:vAlign w:val="bottom"/>
          </w:tcPr>
          <w:p>
            <w:pPr>
              <w:spacing w:after="0"/>
              <w:rPr>
                <w:sz w:val="20"/>
                <w:szCs w:val="20"/>
                <w:color w:val="auto"/>
              </w:rPr>
            </w:pPr>
          </w:p>
        </w:tc>
      </w:tr>
      <w:tr>
        <w:trPr>
          <w:trHeight w:val="241"/>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Costs and expenses applicable to revenues</w:t>
            </w: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Technology sales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28,951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20,264</w:t>
            </w:r>
          </w:p>
        </w:tc>
        <w:tc>
          <w:tcPr>
            <w:tcW w:w="100" w:type="dxa"/>
            <w:vAlign w:val="bottom"/>
          </w:tcPr>
          <w:p>
            <w:pPr>
              <w:spacing w:after="0"/>
              <w:rPr>
                <w:sz w:val="20"/>
                <w:szCs w:val="20"/>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Image enhancement and maintenance services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69,470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56,259</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Technology rentals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18,728</w:t>
            </w:r>
          </w:p>
        </w:tc>
        <w:tc>
          <w:tcPr>
            <w:tcW w:w="100" w:type="dxa"/>
            <w:vAlign w:val="bottom"/>
          </w:tcPr>
          <w:p>
            <w:pPr>
              <w:spacing w:after="0"/>
              <w:rPr>
                <w:sz w:val="20"/>
                <w:szCs w:val="20"/>
                <w:color w:val="auto"/>
              </w:rPr>
            </w:pPr>
          </w:p>
        </w:tc>
      </w:tr>
      <w:tr>
        <w:trPr>
          <w:trHeight w:val="239"/>
        </w:trPr>
        <w:tc>
          <w:tcPr>
            <w:tcW w:w="67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41,181</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37,054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118,168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95,251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62,715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31,701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170,653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107,508</w:t>
            </w:r>
          </w:p>
        </w:tc>
        <w:tc>
          <w:tcPr>
            <w:tcW w:w="100" w:type="dxa"/>
            <w:vAlign w:val="bottom"/>
          </w:tcPr>
          <w:p>
            <w:pPr>
              <w:spacing w:after="0"/>
              <w:rPr>
                <w:sz w:val="20"/>
                <w:szCs w:val="20"/>
                <w:color w:val="auto"/>
              </w:rPr>
            </w:pPr>
          </w:p>
        </w:tc>
      </w:tr>
      <w:tr>
        <w:trPr>
          <w:trHeight w:val="247"/>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100,181</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20"/>
                <w:szCs w:val="20"/>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Credit loss expense, net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0"/>
                <w:szCs w:val="20"/>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 impairments</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Executive transition costs</w:t>
            </w:r>
          </w:p>
        </w:tc>
        <w:tc>
          <w:tcPr>
            <w:tcW w:w="2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22,032</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(4,238</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47,659</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(12,371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Unrealized investment gains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r>
      <w:tr>
        <w:trPr>
          <w:trHeight w:val="249"/>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benefits non-service expense</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(77 )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(140 )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(232 )</w:t>
            </w: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(417 )</w:t>
            </w: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0"/>
                <w:szCs w:val="20"/>
                <w:color w:val="auto"/>
              </w:rPr>
            </w:pP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(1,483 )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(1,323 )</w:t>
            </w: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(5,045 )</w:t>
            </w:r>
          </w:p>
        </w:tc>
        <w:tc>
          <w:tcPr>
            <w:tcW w:w="2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(4,354 )</w:t>
            </w:r>
          </w:p>
        </w:tc>
      </w:tr>
      <w:tr>
        <w:trPr>
          <w:trHeight w:val="20"/>
        </w:trPr>
        <w:tc>
          <w:tcPr>
            <w:tcW w:w="6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taxes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21,574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(5,409 )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44,656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(15,867 )</w:t>
            </w:r>
          </w:p>
        </w:tc>
      </w:tr>
      <w:tr>
        <w:trPr>
          <w:trHeight w:val="241"/>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(6,555 )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(2,348 )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(14,901 )</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(8,091 )</w:t>
            </w:r>
          </w:p>
        </w:tc>
      </w:tr>
      <w:tr>
        <w:trPr>
          <w:trHeight w:val="20"/>
        </w:trPr>
        <w:tc>
          <w:tcPr>
            <w:tcW w:w="6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15,019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(7,757 )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29,755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(23,958 )</w:t>
            </w:r>
          </w:p>
        </w:tc>
      </w:tr>
      <w:tr>
        <w:trPr>
          <w:trHeight w:val="241"/>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(3,029 )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(1,196 )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(6,960 )</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(1,455 )</w:t>
            </w:r>
          </w:p>
        </w:tc>
      </w:tr>
      <w:tr>
        <w:trPr>
          <w:trHeight w:val="20"/>
        </w:trPr>
        <w:tc>
          <w:tcPr>
            <w:tcW w:w="6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11,990</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(8,953 )</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22,795</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(25,413 )</w:t>
            </w:r>
          </w:p>
        </w:tc>
      </w:tr>
      <w:tr>
        <w:trPr>
          <w:trHeight w:val="20"/>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attributable to common shareholders: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(0.16 )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(0.44 )</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(0.16 )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(0.44 )</w:t>
            </w:r>
          </w:p>
        </w:tc>
      </w:tr>
      <w:tr>
        <w:trPr>
          <w:trHeight w:val="20"/>
        </w:trPr>
        <w:tc>
          <w:tcPr>
            <w:tcW w:w="6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54,618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56,039</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54,424</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56,039</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-4979670</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-4979670</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-4979670</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-4028440</wp:posOffset>
            </wp:positionV>
            <wp:extent cx="6858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-4028440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-4028440</wp:posOffset>
            </wp:positionV>
            <wp:extent cx="6858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-2159635</wp:posOffset>
            </wp:positionV>
            <wp:extent cx="685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-2159635</wp:posOffset>
            </wp:positionV>
            <wp:extent cx="685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-2159635</wp:posOffset>
            </wp:positionV>
            <wp:extent cx="6858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-1842135</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-1842135</wp:posOffset>
            </wp:positionV>
            <wp:extent cx="6858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-1842135</wp:posOffset>
            </wp:positionV>
            <wp:extent cx="685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-1525270</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-1525270</wp:posOffset>
            </wp:positionV>
            <wp:extent cx="685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-1525270</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-873760</wp:posOffset>
            </wp:positionV>
            <wp:extent cx="225425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54250" cy="20574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-205105</wp:posOffset>
            </wp:positionV>
            <wp:extent cx="225425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54250" cy="20574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16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237"/>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15,019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(7,757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29,755</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(23,958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9"/>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income, before tax</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net loss from cash flow hedging instruments</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(1,048 )</w:t>
            </w:r>
          </w:p>
        </w:tc>
        <w:tc>
          <w:tcPr>
            <w:tcW w:w="3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(1,567 )</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(226 )</w:t>
            </w: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(1,862 )</w:t>
            </w:r>
          </w:p>
        </w:tc>
      </w:tr>
      <w:tr>
        <w:trPr>
          <w:trHeight w:val="237"/>
        </w:trPr>
        <w:tc>
          <w:tcPr>
            <w:tcW w:w="6500" w:type="dxa"/>
            <w:vAlign w:val="bottom"/>
          </w:tcPr>
          <w:p>
            <w:pPr>
              <w:ind w:left="200"/>
              <w:spacing w:after="0"/>
              <w:rPr>
                <w:sz w:val="20"/>
                <w:szCs w:val="20"/>
                <w:color w:val="auto"/>
              </w:rPr>
            </w:pPr>
            <w:r>
              <w:rPr>
                <w:rFonts w:ascii="Arial" w:cs="Arial" w:eastAsia="Arial" w:hAnsi="Arial"/>
                <w:sz w:val="18"/>
                <w:szCs w:val="18"/>
                <w:color w:val="auto"/>
              </w:rPr>
              <w:t>Realized net loss from cash flow hedging instruments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r>
      <w:tr>
        <w:trPr>
          <w:trHeight w:val="249"/>
        </w:trPr>
        <w:tc>
          <w:tcPr>
            <w:tcW w:w="6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4"/>
              </w:rPr>
              <w:t>(11,703 )</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(6,559 )</w:t>
            </w:r>
          </w:p>
        </w:tc>
        <w:tc>
          <w:tcPr>
            <w:tcW w:w="3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(24,644 )</w:t>
            </w:r>
          </w:p>
        </w:tc>
      </w:tr>
      <w:tr>
        <w:trPr>
          <w:trHeight w:val="237"/>
        </w:trPr>
        <w:tc>
          <w:tcPr>
            <w:tcW w:w="6500" w:type="dxa"/>
            <w:vAlign w:val="bottom"/>
          </w:tcPr>
          <w:p>
            <w:pPr>
              <w:ind w:left="200"/>
              <w:spacing w:after="0"/>
              <w:rPr>
                <w:sz w:val="20"/>
                <w:szCs w:val="20"/>
                <w:color w:val="auto"/>
              </w:rPr>
            </w:pPr>
            <w:r>
              <w:rPr>
                <w:rFonts w:ascii="Arial" w:cs="Arial" w:eastAsia="Arial" w:hAnsi="Arial"/>
                <w:sz w:val="18"/>
                <w:szCs w:val="18"/>
                <w:color w:val="auto"/>
              </w:rPr>
              <w:t>Defined benefit and postretirement benefit plans</w:t>
            </w:r>
          </w:p>
        </w:tc>
        <w:tc>
          <w:tcPr>
            <w:tcW w:w="2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(176 )</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(528 )</w:t>
            </w: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r>
      <w:tr>
        <w:trPr>
          <w:trHeight w:val="243"/>
        </w:trPr>
        <w:tc>
          <w:tcPr>
            <w:tcW w:w="650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other comprehensive loss, before tax</w:t>
            </w:r>
          </w:p>
        </w:tc>
        <w:tc>
          <w:tcPr>
            <w:tcW w:w="22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(13,144</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(6,677</w:t>
            </w:r>
          </w:p>
        </w:tc>
        <w:tc>
          <w:tcPr>
            <w:tcW w:w="22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(26,193</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Income tax benefit related to other comprehensive (loss) income</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r>
      <w:tr>
        <w:trPr>
          <w:trHeight w:val="236"/>
        </w:trPr>
        <w:tc>
          <w:tcPr>
            <w:tcW w:w="6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(12,764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(25,785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9"/>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common shareholders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15,303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(20,521 )</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23,108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(49,743 )</w:t>
            </w:r>
          </w:p>
        </w:tc>
      </w:tr>
      <w:tr>
        <w:trPr>
          <w:trHeight w:val="241"/>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(3,328 )</w:t>
            </w:r>
          </w:p>
        </w:tc>
        <w:tc>
          <w:tcPr>
            <w:tcW w:w="3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(5,104 )</w:t>
            </w: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FF0FC"/>
          </w:tcPr>
          <w:p>
            <w:pPr>
              <w:spacing w:after="0"/>
              <w:rPr>
                <w:sz w:val="20"/>
                <w:szCs w:val="20"/>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common shareholders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11,975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(18,371 )</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18,004</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(44,113 )</w:t>
            </w:r>
          </w:p>
        </w:tc>
      </w:tr>
      <w:tr>
        <w:trPr>
          <w:trHeight w:val="20"/>
        </w:trPr>
        <w:tc>
          <w:tcPr>
            <w:tcW w:w="6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-985520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-985520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-985520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-505460</wp:posOffset>
            </wp:positionV>
            <wp:extent cx="7747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-505460</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-505460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-187960</wp:posOffset>
            </wp:positionV>
            <wp:extent cx="7747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IMAX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8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9"/>
                <w:szCs w:val="19"/>
                <w:color w:val="auto"/>
              </w:rPr>
            </w:pPr>
          </w:p>
        </w:tc>
      </w:tr>
      <w:tr>
        <w:trPr>
          <w:trHeight w:val="237"/>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(23,958 )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cash provided by operating activities: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46,477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Pr>
          <w:p>
            <w:pPr>
              <w:spacing w:after="0"/>
              <w:rPr>
                <w:sz w:val="20"/>
                <w:szCs w:val="20"/>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Credit loss expense, net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0"/>
                <w:szCs w:val="20"/>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Write-downs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(3,724 )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(3,374 )</w:t>
            </w: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and other non-cash compensation</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19,510</w:t>
            </w: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Unrealized foreign currency exchange loss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0"/>
                <w:szCs w:val="20"/>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investment gains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(436 )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(2,392 )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(18,050 )</w:t>
            </w: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(13,771 )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(10,131 )</w:t>
            </w:r>
          </w:p>
        </w:tc>
      </w:tr>
      <w:tr>
        <w:trPr>
          <w:trHeight w:val="249"/>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Film assets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(14,575 )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(14,174 )</w:t>
            </w:r>
          </w:p>
        </w:tc>
      </w:tr>
      <w:tr>
        <w:trPr>
          <w:trHeight w:val="237"/>
        </w:trPr>
        <w:tc>
          <w:tcPr>
            <w:tcW w:w="83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(4,670 )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(5,989 )</w:t>
            </w:r>
          </w:p>
        </w:tc>
      </w:tr>
      <w:tr>
        <w:trPr>
          <w:trHeight w:val="243"/>
        </w:trPr>
        <w:tc>
          <w:tcPr>
            <w:tcW w:w="8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other operating assets and liabilities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(4,141 )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(3,548 )</w:t>
            </w:r>
          </w:p>
        </w:tc>
      </w:tr>
      <w:tr>
        <w:trPr>
          <w:trHeight w:val="243"/>
        </w:trPr>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100" w:type="dxa"/>
            <w:vAlign w:val="bottom"/>
          </w:tcPr>
          <w:p>
            <w:pPr>
              <w:spacing w:after="0"/>
              <w:rPr>
                <w:sz w:val="21"/>
                <w:szCs w:val="21"/>
                <w:color w:val="auto"/>
              </w:rPr>
            </w:pPr>
          </w:p>
        </w:tc>
      </w:tr>
      <w:tr>
        <w:trPr>
          <w:trHeight w:val="236"/>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(2,541 )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(5,248 )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equipment for joint revenue sharing arrangements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(10,705 )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(14,543 )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Interest in film classified as a financial instrument</w:t>
            </w:r>
          </w:p>
        </w:tc>
        <w:tc>
          <w:tcPr>
            <w:tcW w:w="28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(4,731 )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Acquisition of other intangible assets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(5,418 )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(3,246 )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Acquisition of SSIMWAVE, net of cash and cash equivalents acquired</w:t>
            </w:r>
          </w:p>
        </w:tc>
        <w:tc>
          <w:tcPr>
            <w:tcW w:w="28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(12,639 )</w:t>
            </w:r>
          </w:p>
        </w:tc>
      </w:tr>
      <w:tr>
        <w:trPr>
          <w:trHeight w:val="243"/>
        </w:trPr>
        <w:tc>
          <w:tcPr>
            <w:tcW w:w="838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(18,664</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(40,407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2"/>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 borrowings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FF0FC"/>
          </w:tcPr>
          <w:p>
            <w:pPr>
              <w:spacing w:after="0"/>
              <w:rPr>
                <w:sz w:val="21"/>
                <w:szCs w:val="21"/>
                <w:color w:val="auto"/>
              </w:rPr>
            </w:pP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Repayments of revolving credit facility borrowings</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(43,057 )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(3,600 )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facility amendment fees paid</w:t>
            </w:r>
          </w:p>
        </w:tc>
        <w:tc>
          <w:tcPr>
            <w:tcW w:w="28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(2,277 )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Other borrowings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 of common shares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(4,263 )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(53,581 )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Repurchase of common shares, IMAX China</w:t>
            </w:r>
          </w:p>
        </w:tc>
        <w:tc>
          <w:tcPr>
            <w:tcW w:w="28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(3,043 )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 withheld and paid on employee stock awards vested</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(6,458 )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(3,393 )</w:t>
            </w:r>
          </w:p>
        </w:tc>
      </w:tr>
      <w:tr>
        <w:trPr>
          <w:trHeight w:val="237"/>
        </w:trPr>
        <w:tc>
          <w:tcPr>
            <w:tcW w:w="8380" w:type="dxa"/>
            <w:vAlign w:val="bottom"/>
          </w:tcPr>
          <w:p>
            <w:pPr>
              <w:ind w:left="20"/>
              <w:spacing w:after="0"/>
              <w:rPr>
                <w:sz w:val="20"/>
                <w:szCs w:val="20"/>
                <w:color w:val="auto"/>
              </w:rPr>
            </w:pPr>
            <w:r>
              <w:rPr>
                <w:rFonts w:ascii="Arial" w:cs="Arial" w:eastAsia="Arial" w:hAnsi="Arial"/>
                <w:sz w:val="18"/>
                <w:szCs w:val="18"/>
                <w:color w:val="auto"/>
              </w:rPr>
              <w:t>Principal payment under finance lease obligations</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(480 )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(890 )</w:t>
            </w:r>
          </w:p>
        </w:tc>
      </w:tr>
      <w:tr>
        <w:trPr>
          <w:trHeight w:val="249"/>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(1,438 )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(2,701 )</w:t>
            </w:r>
          </w:p>
        </w:tc>
      </w:tr>
      <w:tr>
        <w:trPr>
          <w:trHeight w:val="20"/>
        </w:trPr>
        <w:tc>
          <w:tcPr>
            <w:tcW w:w="8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380" w:type="dxa"/>
            <w:vAlign w:val="bottom"/>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(24,349 )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(64,595 )</w:t>
            </w:r>
          </w:p>
        </w:tc>
      </w:tr>
      <w:tr>
        <w:trPr>
          <w:trHeight w:val="237"/>
        </w:trPr>
        <w:tc>
          <w:tcPr>
            <w:tcW w:w="8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Effects of exchange rate changes on cash</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and cash equivalents during period</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12,202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(102,560 )</w:t>
            </w:r>
          </w:p>
        </w:tc>
      </w:tr>
      <w:tr>
        <w:trPr>
          <w:trHeight w:val="243"/>
        </w:trPr>
        <w:tc>
          <w:tcPr>
            <w:tcW w:w="8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97,401</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189,711</w:t>
            </w:r>
          </w:p>
        </w:tc>
        <w:tc>
          <w:tcPr>
            <w:tcW w:w="100" w:type="dxa"/>
            <w:vAlign w:val="bottom"/>
            <w:shd w:val="clear" w:color="auto" w:fill="CFF0FC"/>
          </w:tcPr>
          <w:p>
            <w:pPr>
              <w:spacing w:after="0"/>
              <w:rPr>
                <w:sz w:val="21"/>
                <w:szCs w:val="21"/>
                <w:color w:val="auto"/>
              </w:rPr>
            </w:pPr>
          </w:p>
        </w:tc>
      </w:tr>
      <w:tr>
        <w:trPr>
          <w:trHeight w:val="241"/>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87,151</w:t>
            </w:r>
          </w:p>
        </w:tc>
        <w:tc>
          <w:tcPr>
            <w:tcW w:w="100" w:type="dxa"/>
            <w:vAlign w:val="bottom"/>
          </w:tcPr>
          <w:p>
            <w:pPr>
              <w:spacing w:after="0"/>
              <w:rPr>
                <w:sz w:val="20"/>
                <w:szCs w:val="20"/>
                <w:color w:val="auto"/>
              </w:rPr>
            </w:pPr>
          </w:p>
        </w:tc>
      </w:tr>
      <w:tr>
        <w:trPr>
          <w:trHeight w:val="20"/>
        </w:trPr>
        <w:tc>
          <w:tcPr>
            <w:tcW w:w="8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6096000</wp:posOffset>
            </wp:positionH>
            <wp:positionV relativeFrom="paragraph">
              <wp:posOffset>-3655060</wp:posOffset>
            </wp:positionV>
            <wp:extent cx="105410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5410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-2557780</wp:posOffset>
            </wp:positionV>
            <wp:extent cx="7145020" cy="3384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-830580</wp:posOffset>
            </wp:positionV>
            <wp:extent cx="7747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-504825</wp:posOffset>
            </wp:positionV>
            <wp:extent cx="7747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6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6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Adjustments to capital stock:</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390,238</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391,107</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376,715</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409,979</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Average carrying value of repurchased and retired common shares</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(152 )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(4,161 )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(32,929 )</w:t>
            </w:r>
          </w:p>
        </w:tc>
      </w:tr>
      <w:tr>
        <w:trPr>
          <w:trHeight w:val="237"/>
        </w:trPr>
        <w:tc>
          <w:tcPr>
            <w:tcW w:w="6540" w:type="dxa"/>
            <w:vAlign w:val="bottom"/>
          </w:tcPr>
          <w:p>
            <w:pPr>
              <w:ind w:left="200"/>
              <w:spacing w:after="0"/>
              <w:rPr>
                <w:sz w:val="20"/>
                <w:szCs w:val="20"/>
                <w:color w:val="auto"/>
              </w:rPr>
            </w:pPr>
            <w:r>
              <w:rPr>
                <w:rFonts w:ascii="Arial" w:cs="Arial" w:eastAsia="Arial" w:hAnsi="Arial"/>
                <w:sz w:val="18"/>
                <w:szCs w:val="18"/>
                <w:color w:val="auto"/>
                <w:w w:val="97"/>
              </w:rPr>
              <w:t>Restricted share units vested, net of shares withheld for employee tax obligations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shares in acquisition</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100" w:type="dxa"/>
            <w:vAlign w:val="bottom"/>
            <w:shd w:val="clear" w:color="auto" w:fill="CFF0FC"/>
          </w:tcPr>
          <w:p>
            <w:pPr>
              <w:spacing w:after="0"/>
              <w:rPr>
                <w:sz w:val="21"/>
                <w:szCs w:val="21"/>
                <w:color w:val="auto"/>
              </w:rPr>
            </w:pPr>
          </w:p>
        </w:tc>
      </w:tr>
      <w:tr>
        <w:trPr>
          <w:trHeight w:val="236"/>
        </w:trPr>
        <w:tc>
          <w:tcPr>
            <w:tcW w:w="65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390,097</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388,953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390,097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388,953</w:t>
            </w:r>
          </w:p>
        </w:tc>
        <w:tc>
          <w:tcPr>
            <w:tcW w:w="100" w:type="dxa"/>
            <w:vAlign w:val="bottom"/>
            <w:tcBorders>
              <w:top w:val="single" w:sz="8" w:color="CFF0FC"/>
            </w:tcBorders>
          </w:tcPr>
          <w:p>
            <w:pPr>
              <w:spacing w:after="0"/>
              <w:rPr>
                <w:sz w:val="20"/>
                <w:szCs w:val="20"/>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Adjustments to other equity:</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175,374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174,668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185,678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174,620</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share-based payment expense - stock options</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0"/>
              <w:spacing w:after="0"/>
              <w:rPr>
                <w:sz w:val="20"/>
                <w:szCs w:val="20"/>
                <w:color w:val="auto"/>
              </w:rPr>
            </w:pPr>
            <w:r>
              <w:rPr>
                <w:rFonts w:ascii="Arial" w:cs="Arial" w:eastAsia="Arial" w:hAnsi="Arial"/>
                <w:sz w:val="18"/>
                <w:szCs w:val="18"/>
                <w:color w:val="auto"/>
              </w:rPr>
              <w:t>Amortization of share-based payment expense - restricted share units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4,232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14,444</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share-based payment expense - performance stock units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0"/>
              <w:spacing w:after="0"/>
              <w:rPr>
                <w:sz w:val="20"/>
                <w:szCs w:val="20"/>
                <w:color w:val="auto"/>
              </w:rPr>
            </w:pPr>
            <w:r>
              <w:rPr>
                <w:rFonts w:ascii="Arial" w:cs="Arial" w:eastAsia="Arial" w:hAnsi="Arial"/>
                <w:sz w:val="18"/>
                <w:szCs w:val="18"/>
                <w:color w:val="auto"/>
              </w:rPr>
              <w:t>Restricted share units vested</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(32 )</w:t>
            </w: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(302 )</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(20,877 )</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(14,010 )</w:t>
            </w: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Change in ownership interest related to IMAX China common share repurchases</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(856 )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(1,399 )</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179,970</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179,571</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179,970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179,571</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Adjustments to statutory surplus reserve:</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FF0FC"/>
            </w:tcBorders>
          </w:tcPr>
          <w:p>
            <w:pPr>
              <w:spacing w:after="0"/>
              <w:rPr>
                <w:sz w:val="20"/>
                <w:szCs w:val="20"/>
                <w:color w:val="auto"/>
              </w:rPr>
            </w:pPr>
          </w:p>
        </w:tc>
      </w:tr>
      <w:tr>
        <w:trPr>
          <w:trHeight w:val="236"/>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Adjustments to accumulated deficit: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(284,208 )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87"/>
              </w:rPr>
              <w:t>(272,022 )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(293,124 )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(234,975 )</w:t>
            </w:r>
          </w:p>
        </w:tc>
      </w:tr>
      <w:tr>
        <w:trPr>
          <w:trHeight w:val="237"/>
        </w:trPr>
        <w:tc>
          <w:tcPr>
            <w:tcW w:w="6540" w:type="dxa"/>
            <w:vAlign w:val="bottom"/>
          </w:tcPr>
          <w:p>
            <w:pPr>
              <w:ind w:left="200"/>
              <w:spacing w:after="0"/>
              <w:rPr>
                <w:sz w:val="20"/>
                <w:szCs w:val="20"/>
                <w:color w:val="auto"/>
              </w:rPr>
            </w:pPr>
            <w:r>
              <w:rPr>
                <w:rFonts w:ascii="Arial" w:cs="Arial" w:eastAsia="Arial" w:hAnsi="Arial"/>
                <w:sz w:val="18"/>
                <w:szCs w:val="18"/>
                <w:color w:val="auto"/>
              </w:rPr>
              <w:t>Net income (loss) attributable to common shareholders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11,990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(8,953 )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(25,413 )</w:t>
            </w:r>
          </w:p>
        </w:tc>
      </w:tr>
      <w:tr>
        <w:trPr>
          <w:trHeight w:val="24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shares repurchased and retired</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(1,969 )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(1,989 )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(22,556 )</w:t>
            </w:r>
          </w:p>
        </w:tc>
      </w:tr>
      <w:tr>
        <w:trPr>
          <w:trHeight w:val="20"/>
        </w:trPr>
        <w:tc>
          <w:tcPr>
            <w:tcW w:w="6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(272,318 )</w:t>
            </w: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(282,944 )</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(272,318 )</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(282,944 )</w:t>
            </w:r>
          </w:p>
        </w:tc>
      </w:t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Adjustments to accumulated other comprehensive (loss) income:</w:t>
            </w:r>
          </w:p>
        </w:tc>
        <w:tc>
          <w:tcPr>
            <w:tcW w:w="20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(14,622 )</w:t>
            </w: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(6,755 )</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(9,846 )</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comprehensive loss, net of tax</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(9,418 )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(4,791 )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(18,700 )</w:t>
            </w:r>
          </w:p>
        </w:tc>
      </w:tr>
      <w:tr>
        <w:trPr>
          <w:trHeight w:val="20"/>
        </w:trPr>
        <w:tc>
          <w:tcPr>
            <w:tcW w:w="6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5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(14,637 )</w:t>
            </w: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(16,173 )</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(14,637 )</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(16,173 )</w:t>
            </w:r>
          </w:p>
        </w:tc>
      </w:tr>
      <w:tr>
        <w:trPr>
          <w:trHeight w:val="243"/>
        </w:trPr>
        <w:tc>
          <w:tcPr>
            <w:tcW w:w="6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Adjustments to non-controlling interests:</w:t>
            </w:r>
          </w:p>
        </w:tc>
        <w:tc>
          <w:tcPr>
            <w:tcW w:w="20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66,167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66,555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65,691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73,531</w:t>
            </w:r>
          </w:p>
        </w:tc>
        <w:tc>
          <w:tcPr>
            <w:tcW w:w="100" w:type="dxa"/>
            <w:vAlign w:val="bottom"/>
          </w:tcPr>
          <w:p>
            <w:pPr>
              <w:spacing w:after="0"/>
              <w:rPr>
                <w:sz w:val="20"/>
                <w:szCs w:val="20"/>
                <w:color w:val="auto"/>
              </w:rPr>
            </w:pP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FF0FC"/>
          </w:tcPr>
          <w:p>
            <w:pPr>
              <w:spacing w:after="0"/>
              <w:rPr>
                <w:sz w:val="21"/>
                <w:szCs w:val="21"/>
                <w:color w:val="auto"/>
              </w:rPr>
            </w:pPr>
          </w:p>
        </w:tc>
      </w:tr>
      <w:tr>
        <w:trPr>
          <w:trHeight w:val="237"/>
        </w:trPr>
        <w:tc>
          <w:tcPr>
            <w:tcW w:w="654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(3,346 )</w:t>
            </w:r>
          </w:p>
        </w:tc>
        <w:tc>
          <w:tcPr>
            <w:tcW w:w="1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(1,856 )</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(7,085 )</w:t>
            </w:r>
          </w:p>
        </w:tc>
      </w:tr>
      <w:tr>
        <w:trPr>
          <w:trHeight w:val="249"/>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 to non-controlling shareholders of IMAX China</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(91 )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(1,438 )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(2,701 )</w:t>
            </w:r>
          </w:p>
        </w:tc>
      </w:tr>
      <w:tr>
        <w:trPr>
          <w:trHeight w:val="237"/>
        </w:trPr>
        <w:tc>
          <w:tcPr>
            <w:tcW w:w="6540" w:type="dxa"/>
            <w:vAlign w:val="bottom"/>
          </w:tcPr>
          <w:p>
            <w:pPr>
              <w:ind w:left="200"/>
              <w:spacing w:after="0"/>
              <w:rPr>
                <w:sz w:val="20"/>
                <w:szCs w:val="20"/>
                <w:color w:val="auto"/>
              </w:rPr>
            </w:pPr>
            <w:r>
              <w:rPr>
                <w:rFonts w:ascii="Arial" w:cs="Arial" w:eastAsia="Arial" w:hAnsi="Arial"/>
                <w:sz w:val="18"/>
                <w:szCs w:val="18"/>
                <w:color w:val="auto"/>
              </w:rPr>
              <w:t>Share-based compensation attributable to non-controlling interests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(118 )</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Change in ownership interest related to IMAX China common share repurchases</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(343 )</w:t>
            </w: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(1,644 )</w:t>
            </w:r>
          </w:p>
        </w:tc>
      </w:tr>
      <w:tr>
        <w:trPr>
          <w:trHeight w:val="236"/>
        </w:trPr>
        <w:tc>
          <w:tcPr>
            <w:tcW w:w="65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69,706</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63,859</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69,706</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63,859</w:t>
            </w:r>
          </w:p>
        </w:tc>
        <w:tc>
          <w:tcPr>
            <w:tcW w:w="100" w:type="dxa"/>
            <w:vAlign w:val="bottom"/>
            <w:tcBorders>
              <w:top w:val="single" w:sz="8" w:color="CFF0FC"/>
            </w:tcBorders>
          </w:tcPr>
          <w:p>
            <w:pPr>
              <w:spacing w:after="0"/>
              <w:rPr>
                <w:sz w:val="20"/>
                <w:szCs w:val="20"/>
                <w:color w:val="auto"/>
              </w:rPr>
            </w:pPr>
          </w:p>
        </w:tc>
      </w:tr>
      <w:tr>
        <w:trPr>
          <w:trHeight w:val="279"/>
        </w:trPr>
        <w:tc>
          <w:tcPr>
            <w:tcW w:w="6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356,750</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337,198</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356,750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337,198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-4756785</wp:posOffset>
            </wp:positionV>
            <wp:extent cx="7683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-4756785</wp:posOffset>
            </wp:positionV>
            <wp:extent cx="7747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-4756785</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-3517900</wp:posOffset>
            </wp:positionV>
            <wp:extent cx="2399665"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9966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-3037840</wp:posOffset>
            </wp:positionV>
            <wp:extent cx="7145020" cy="3384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-2236470</wp:posOffset>
            </wp:positionV>
            <wp:extent cx="7683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-2236470</wp:posOffset>
            </wp:positionV>
            <wp:extent cx="7747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-2236470</wp:posOffset>
            </wp:positionV>
            <wp:extent cx="6858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-1602105</wp:posOffset>
            </wp:positionV>
            <wp:extent cx="7683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-1602105</wp:posOffset>
            </wp:positionV>
            <wp:extent cx="7747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-1602105</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-350520</wp:posOffset>
            </wp:positionV>
            <wp:extent cx="7683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-350520</wp:posOffset>
            </wp:positionV>
            <wp:extent cx="7747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-350520</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(Tabular amounts in thousands of U.S. Dollars, unless otherwise 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spacing w:after="0" w:line="9" w:lineRule="exact"/>
        <w:rPr>
          <w:sz w:val="20"/>
          <w:szCs w:val="20"/>
          <w:color w:val="auto"/>
        </w:rPr>
      </w:pPr>
    </w:p>
    <w:p>
      <w:pPr>
        <w:jc w:val="both"/>
        <w:ind w:left="240" w:right="9400" w:hanging="232"/>
        <w:spacing w:after="0" w:line="544" w:lineRule="auto"/>
        <w:tabs>
          <w:tab w:leader="none" w:pos="241"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i w:val="1"/>
          <w:iCs w:val="1"/>
          <w:color w:val="auto"/>
        </w:rPr>
        <w:t>Accounting Principles</w:t>
      </w:r>
    </w:p>
    <w:p>
      <w:pPr>
        <w:jc w:val="both"/>
        <w:ind w:firstLine="224"/>
        <w:spacing w:after="0" w:line="271" w:lineRule="auto"/>
        <w:rPr>
          <w:sz w:val="20"/>
          <w:szCs w:val="20"/>
          <w:color w:val="auto"/>
        </w:rPr>
      </w:pPr>
      <w:r>
        <w:rPr>
          <w:rFonts w:ascii="Arial" w:cs="Arial" w:eastAsia="Arial" w:hAnsi="Arial"/>
          <w:sz w:val="17"/>
          <w:szCs w:val="17"/>
          <w:color w:val="auto"/>
        </w:rPr>
        <w:t>IMAX Corporation, together with its consolidated subsidiaries (the “Company” or “IMAX”),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2022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138"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included in the Company’s 2022 Annual Report on Form 10-K (the “2022 Form 10-K”), which should be consulted for a summary of the significant accounting policies utilized by the Company. These Condensed Consolidated Financial Statements are prepared following the same accounting policies disclosed in the 2022 Form 10-K.</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disclosed in Note 13 to the Condensed Consolidated Financial Statements, in the first quarter of 2023, the Company revised its reportable segments.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These Condensed Consolidated Financial Statements include the accounts of the Company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46"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Statements of Operations.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2023 and December 31, 2022, total assets and liabilities of the Company’s consolidated VIEs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59"/>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6"/>
        </w:trPr>
        <w:tc>
          <w:tcPr>
            <w:tcW w:w="3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4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1,446</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4"/>
        </w:trPr>
        <w:tc>
          <w:tcPr>
            <w:tcW w:w="36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4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262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40" w:type="dxa"/>
            <w:vAlign w:val="bottom"/>
            <w:vMerge w:val="restart"/>
          </w:tcPr>
          <w:p>
            <w:pPr>
              <w:jc w:val="right"/>
              <w:ind w:right="197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8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-822325</wp:posOffset>
            </wp:positionV>
            <wp:extent cx="11112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98"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7"/>
          <w:szCs w:val="17"/>
          <w:color w:val="auto"/>
        </w:rPr>
        <w:t>In preparing the Company’s Condensed Consolidated Financial Statements, management makes judgments in applying various accounting policies. The areas of policy judgment are consistent with those reported in Note 3(b) of the Company’s audited Consolidated Financial Statements included in its 2022 Form 10-K. Management also considers that its determination of operating and reporting segments represents an area of judgment, and has made this conclusion on the basis of what comprises the discrete financial information produced, but not provided to or used by its Chief Operating Decision Maker (“CODM”) to carry out this function.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Policies</w:t>
      </w:r>
    </w:p>
    <w:p>
      <w:pPr>
        <w:spacing w:after="0" w:line="198"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In March 2022, the FASB issued ASU No. 2022-02, “2022-02: Financial Instruments — Credit Losses (Topic 326): Troubled Debt Restructurings and Vintage Disclosures” (“ASU 2022-02”). ASU 2022-02 amends and eliminates the accounting guidance for Troubled Debt Restructurings by creditors, while enhancing disclosure requirements for certain loan refinancings and restructurings by creditors when a borrower is experiencing financial difficulty and requires for public business entities, to disclose current-period gross write offs by year of origination for financing receivables and net investments in leases. ASU 2022-02 is effective for fiscal years beginning after December 15, 2022, including interim periods within those fiscal years. Early adoption is permitted. The Company adopted ASU 2022-02 on January 1, 2023. The adoption of ASU 2022-02 did not have a material impact on the Company’s Condensed Consolidated Financial Statements.</w:t>
      </w:r>
    </w:p>
    <w:p>
      <w:pPr>
        <w:spacing w:after="0" w:line="154"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In September 2022, the FASB issued ASU No. 2022-04, “2022-04: Liabilities — Supplier Finance Programs (Subtopic 405-50): Disclosure of Supplier Finance Program Obligations” (“ASU 2022-04”). ASU 2022-04 requires that a buyer in a supplier finance program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Early adoption is permitted. The Company adopted ASU 2022-04 on January 1, 2023. The adoption of ASU 2022-04 did not have a material impact on the Company’s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FASB Accounting Standard Codification Updates Not Yet Adopted</w:t>
      </w:r>
    </w:p>
    <w:p>
      <w:pPr>
        <w:spacing w:after="0" w:line="198"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Company considers the applicability and impact of all FASB ASUs that are recently issued, but not yet effective. ASUs that are not noted above were assessed and determined to be not applicable or not significant to the Company’s Condensed Consolidated Financial Statements for the period ended September 30, 2023.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w:t>
      </w:r>
    </w:p>
    <w:p>
      <w:pPr>
        <w:spacing w:after="0" w:line="189"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jc w:val="both"/>
        <w:ind w:firstLine="224"/>
        <w:spacing w:after="0" w:line="273" w:lineRule="auto"/>
        <w:rPr>
          <w:sz w:val="20"/>
          <w:szCs w:val="20"/>
          <w:color w:val="auto"/>
        </w:rPr>
      </w:pPr>
      <w:r>
        <w:rPr>
          <w:rFonts w:ascii="Arial" w:cs="Arial" w:eastAsia="Arial" w:hAnsi="Arial"/>
          <w:sz w:val="17"/>
          <w:szCs w:val="17"/>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51" w:lineRule="exact"/>
        <w:rPr>
          <w:sz w:val="20"/>
          <w:szCs w:val="20"/>
          <w:color w:val="auto"/>
        </w:rPr>
      </w:pPr>
    </w:p>
    <w:p>
      <w:pPr>
        <w:ind w:left="980" w:hanging="373"/>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Good Standing — The theater operator continues to be in good standing as payments and reporting are received on a regular basis.</w:t>
      </w:r>
    </w:p>
    <w:p>
      <w:pPr>
        <w:spacing w:after="0" w:line="196" w:lineRule="exact"/>
        <w:rPr>
          <w:rFonts w:ascii="Arial" w:cs="Arial" w:eastAsia="Arial" w:hAnsi="Arial"/>
          <w:sz w:val="17"/>
          <w:szCs w:val="17"/>
          <w:color w:val="auto"/>
        </w:rPr>
      </w:pPr>
    </w:p>
    <w:p>
      <w:pPr>
        <w:jc w:val="both"/>
        <w:ind w:left="980" w:hanging="373"/>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47" w:lineRule="exact"/>
        <w:rPr>
          <w:rFonts w:ascii="Arial" w:cs="Arial" w:eastAsia="Arial" w:hAnsi="Arial"/>
          <w:sz w:val="18"/>
          <w:szCs w:val="18"/>
          <w:color w:val="auto"/>
        </w:rPr>
      </w:pPr>
    </w:p>
    <w:p>
      <w:pPr>
        <w:jc w:val="both"/>
        <w:ind w:left="980" w:hanging="373"/>
        <w:spacing w:after="0" w:line="275"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49" w:lineRule="exact"/>
        <w:rPr>
          <w:rFonts w:ascii="Arial" w:cs="Arial" w:eastAsia="Arial" w:hAnsi="Arial"/>
          <w:sz w:val="17"/>
          <w:szCs w:val="17"/>
          <w:color w:val="auto"/>
        </w:rPr>
      </w:pPr>
    </w:p>
    <w:p>
      <w:pPr>
        <w:jc w:val="both"/>
        <w:ind w:left="980" w:hanging="373"/>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08"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146"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15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146"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In the first quarter of 2022, the Company recorded provisions for potential credit losses against substantially all of its receivables in Russia due to uncertainties associated with the ongoing conflict and resulting sanctions. These receivables relate to existing sale agreements as the Company is not party to any joint revenue sharing arrangements in these countries. In addition, beginning in the first quarter of 2022, exhibitors in Russia, Ukraine, and Belarus were placed on nonaccrual status for maintenance revenue and finance income. Beginning in the second quarter of 2023, due to the resumption of operations throughout Ukraine’s theatrical exhibition industry, as evidenced by the reopening of all eight IMAX Systems in Ukraine and payments received from exhibitor customers, the Company recognized maintenance revenue and finance income. The Company continues to closely monitor the evolving impacts of this conflict (including the sanctions imposed by the United States, Canada and the European Union) and its effects on the global economy and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jc w:val="both"/>
        <w:ind w:firstLine="224"/>
        <w:spacing w:after="0" w:line="285" w:lineRule="auto"/>
        <w:rPr>
          <w:sz w:val="20"/>
          <w:szCs w:val="20"/>
          <w:color w:val="auto"/>
        </w:rPr>
      </w:pPr>
      <w:r>
        <w:rPr>
          <w:rFonts w:ascii="Arial" w:cs="Arial" w:eastAsia="Arial" w:hAnsi="Arial"/>
          <w:sz w:val="16"/>
          <w:szCs w:val="16"/>
          <w:color w:val="auto"/>
        </w:rPr>
        <w:t>On September 7, 2022,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(the “Court”) as a critical vendor of Cineworld, allowing the Company to collect pre-petition amounts owed to it by Cineworld, and requiring Cineworld to stay current on the Company’s post-petition receivables. On November 8, 2022,the Company entered into a trade agreement with Cineworld (the “Trade Agreement”), pursuant to which Cineworld affirmed its pre-petition obligations to the Company and its post-petition obligations to the Company during the Chapter 11 proceedings, the amount of the receivables owed to the Company and agreed to a payment plan under which all amounts due will be settled over the period from November 9, 2022 to April 12, 2023. As of April 17, 2023, the Company had received all of the payments due from Cineworld in accordance with the terms of the Trade Agreement with respect to the pre-petition obligations. The Court approved Cineworld’s Plan of Reorganization (the “Plan”) on June 28, 2023, in which Cineworld disclosed that it plans to emerge from the Chapter 11 proceedings on or about July 28, 2023. As part of the Plan, Cineworld agreed to assume the Global Agreement between the Company and the Cineworld entities (the “Global Agreement”). On August 30, 2023, the Company and Cineworld entered into a Joint Stipulation and Agreed Order which was entered by the Court on September 21, 2023 (the “Stipulation”) pursuant to which Cineworld assumed the Global Agreement. The Stipulation provides that all amounts owed to the Company will be paid by Cineworld and sets out a revised timetable for all systems installations required of Cineworld under the Global Agreement. Cineworld has emerged from the Chapter 11 proceedings, and the Stipulation finalizes all matters between the Company and Cineworld as a result of the restructuring. The Company has determined that no additional provision for expected credit losses is required.</w:t>
      </w:r>
    </w:p>
    <w:p>
      <w:pPr>
        <w:spacing w:after="0" w:line="14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98"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summarize the activity in the allowance for credit losses related to Accounts Receivable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Three Months Ended September 30, 2023</w:t>
            </w:r>
          </w:p>
        </w:tc>
        <w:tc>
          <w:tcPr>
            <w:tcW w:w="6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rPr>
              <w:t>Nine Months Ended September 30, 2023</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Theater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Operators</w:t>
            </w:r>
          </w:p>
        </w:tc>
        <w:tc>
          <w:tcPr>
            <w:tcW w:w="16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Studios</w:t>
            </w:r>
          </w:p>
        </w:tc>
        <w:tc>
          <w:tcPr>
            <w:tcW w:w="18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Operators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Studios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37"/>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11,640</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14,020</w:t>
            </w: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11,144</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14,119</w:t>
            </w:r>
          </w:p>
        </w:tc>
        <w:tc>
          <w:tcPr>
            <w:tcW w:w="100" w:type="dxa"/>
            <w:vAlign w:val="bottom"/>
            <w:shd w:val="clear" w:color="auto" w:fill="CFF0FC"/>
          </w:tcPr>
          <w:p>
            <w:pPr>
              <w:spacing w:after="0"/>
              <w:rPr>
                <w:sz w:val="20"/>
                <w:szCs w:val="20"/>
                <w:color w:val="auto"/>
              </w:rPr>
            </w:pPr>
          </w:p>
        </w:tc>
      </w:tr>
      <w:tr>
        <w:trPr>
          <w:trHeight w:val="215"/>
        </w:trPr>
        <w:tc>
          <w:tcPr>
            <w:tcW w:w="254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(reversal), net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(463 )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1,590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0"/>
                <w:szCs w:val="20"/>
                <w:color w:val="auto"/>
              </w:rPr>
            </w:pPr>
          </w:p>
        </w:tc>
      </w:tr>
      <w:tr>
        <w:trPr>
          <w:trHeight w:val="250"/>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(405 )</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(405 )</w:t>
            </w:r>
          </w:p>
        </w:tc>
        <w:tc>
          <w:tcPr>
            <w:tcW w:w="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(1,202 )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(1,202 )</w:t>
            </w:r>
          </w:p>
        </w:tc>
      </w:tr>
      <w:tr>
        <w:trPr>
          <w:trHeight w:val="243"/>
        </w:trPr>
        <w:tc>
          <w:tcPr>
            <w:tcW w:w="254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(84 )</w:t>
            </w:r>
          </w:p>
        </w:tc>
        <w:tc>
          <w:tcPr>
            <w:tcW w:w="1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(236 )</w:t>
            </w:r>
          </w:p>
        </w:tc>
      </w:tr>
      <w:tr>
        <w:trPr>
          <w:trHeight w:val="276"/>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15,121</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0"/>
        </w:trPr>
        <w:tc>
          <w:tcPr>
            <w:tcW w:w="2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Three Months Ended September 30, 2022</w:t>
            </w:r>
          </w:p>
        </w:tc>
        <w:tc>
          <w:tcPr>
            <w:tcW w:w="6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2"/>
          </w:tcPr>
          <w:p>
            <w:pPr>
              <w:jc w:val="right"/>
              <w:ind w:right="30"/>
              <w:spacing w:after="0"/>
              <w:rPr>
                <w:sz w:val="20"/>
                <w:szCs w:val="20"/>
                <w:color w:val="auto"/>
              </w:rPr>
            </w:pPr>
            <w:r>
              <w:rPr>
                <w:rFonts w:ascii="Arial" w:cs="Arial" w:eastAsia="Arial" w:hAnsi="Arial"/>
                <w:sz w:val="14"/>
                <w:szCs w:val="14"/>
                <w:b w:val="1"/>
                <w:bCs w:val="1"/>
                <w:color w:val="auto"/>
              </w:rPr>
              <w:t>Nine Months Ended September 30, 2022</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Theater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Theater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Operators</w:t>
            </w:r>
          </w:p>
        </w:tc>
        <w:tc>
          <w:tcPr>
            <w:tcW w:w="16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Studios</w:t>
            </w:r>
          </w:p>
        </w:tc>
        <w:tc>
          <w:tcPr>
            <w:tcW w:w="18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Operators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Studios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36"/>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10,704</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13,355</w:t>
            </w: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8,867</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11,946</w:t>
            </w:r>
          </w:p>
        </w:tc>
        <w:tc>
          <w:tcPr>
            <w:tcW w:w="100" w:type="dxa"/>
            <w:vAlign w:val="bottom"/>
            <w:shd w:val="clear" w:color="auto" w:fill="CFF0FC"/>
          </w:tcPr>
          <w:p>
            <w:pPr>
              <w:spacing w:after="0"/>
              <w:rPr>
                <w:sz w:val="20"/>
                <w:szCs w:val="20"/>
                <w:color w:val="auto"/>
              </w:rPr>
            </w:pPr>
          </w:p>
        </w:tc>
      </w:tr>
      <w:tr>
        <w:trPr>
          <w:trHeight w:val="215"/>
        </w:trPr>
        <w:tc>
          <w:tcPr>
            <w:tcW w:w="254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40" w:type="dxa"/>
            <w:vAlign w:val="bottom"/>
          </w:tcPr>
          <w:p>
            <w:pPr>
              <w:ind w:left="120"/>
              <w:spacing w:after="0"/>
              <w:rPr>
                <w:sz w:val="20"/>
                <w:szCs w:val="20"/>
                <w:color w:val="auto"/>
              </w:rPr>
            </w:pPr>
            <w:r>
              <w:rPr>
                <w:rFonts w:ascii="Arial" w:cs="Arial" w:eastAsia="Arial" w:hAnsi="Arial"/>
                <w:sz w:val="18"/>
                <w:szCs w:val="18"/>
                <w:color w:val="auto"/>
              </w:rPr>
              <w:t>(reversal), net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0"/>
                <w:szCs w:val="20"/>
                <w:color w:val="auto"/>
              </w:rPr>
            </w:pPr>
          </w:p>
        </w:tc>
      </w:tr>
      <w:tr>
        <w:trPr>
          <w:trHeight w:val="250"/>
        </w:trPr>
        <w:tc>
          <w:tcPr>
            <w:tcW w:w="2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(394 )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(565 )</w:t>
            </w:r>
          </w:p>
        </w:tc>
      </w:tr>
      <w:tr>
        <w:trPr>
          <w:trHeight w:val="243"/>
        </w:trPr>
        <w:tc>
          <w:tcPr>
            <w:tcW w:w="254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(216 )</w:t>
            </w: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(21 )</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(500 )</w:t>
            </w:r>
          </w:p>
        </w:tc>
      </w:tr>
      <w:tr>
        <w:trPr>
          <w:trHeight w:val="277"/>
        </w:trPr>
        <w:tc>
          <w:tcPr>
            <w:tcW w:w="2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10,699</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-1482090</wp:posOffset>
            </wp:positionV>
            <wp:extent cx="4963160" cy="539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63160" cy="53975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-8255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-24765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three and nine months ended September 30, 2023, the Company’s allowance for current expected credit losses related to Accounts Receivable increased by $1.1 million and $1.0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jc w:val="both"/>
        <w:ind w:firstLine="224"/>
        <w:spacing w:after="0" w:line="311" w:lineRule="auto"/>
        <w:rPr>
          <w:sz w:val="20"/>
          <w:szCs w:val="20"/>
          <w:color w:val="auto"/>
        </w:rPr>
      </w:pPr>
      <w:r>
        <w:rPr>
          <w:rFonts w:ascii="Arial" w:cs="Arial" w:eastAsia="Arial" w:hAnsi="Arial"/>
          <w:sz w:val="16"/>
          <w:szCs w:val="16"/>
          <w:color w:val="auto"/>
        </w:rPr>
        <w:t>For the three and nine months ended September 30, 2022, the Company’s allowance for current expected credit losses related to Accounts Receivable increased by $0.4 million and $1.8 million, respectively, principally due to reserves established against its receivables in Russia due to uncertainties associated with the ongoing Russia-Ukraine conflict, partially offset by the reversal of provisions associated with the COVID-19 pandemic.</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85" w:lineRule="exact"/>
        <w:rPr>
          <w:sz w:val="20"/>
          <w:szCs w:val="20"/>
          <w:color w:val="auto"/>
        </w:rPr>
      </w:pPr>
    </w:p>
    <w:p>
      <w:pPr>
        <w:jc w:val="both"/>
        <w:ind w:right="20" w:firstLine="224"/>
        <w:spacing w:after="0" w:line="308" w:lineRule="auto"/>
        <w:rPr>
          <w:sz w:val="20"/>
          <w:szCs w:val="20"/>
          <w:color w:val="auto"/>
        </w:rPr>
      </w:pPr>
      <w:r>
        <w:rPr>
          <w:rFonts w:ascii="Arial" w:cs="Arial" w:eastAsia="Arial" w:hAnsi="Arial"/>
          <w:sz w:val="17"/>
          <w:szCs w:val="17"/>
          <w:color w:val="auto"/>
        </w:rPr>
        <w:t>Financing receivables are due from theater operators and consist of the Company’s net investment in sales-type leases and receivables associated with financed sales of IMAX Systems. As of September 30, 2023 and December 31, 2022, financing receivables consist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 leases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Gross minimum payments due under sales-type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30,122</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29,727</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Unearned finance income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(480 )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(619 )</w:t>
            </w: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minimum payments due under sales-type leases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29,642</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29,108</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(680 )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(776 )</w:t>
            </w:r>
          </w:p>
        </w:tc>
      </w:tr>
      <w:tr>
        <w:trPr>
          <w:trHeight w:val="236"/>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investment in leases</w:t>
            </w: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28,962</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Financed sales receivables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Gross minimum payments due under financed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134,548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141,337</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Unearned finance income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(28,117 )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(29,340 )</w:t>
            </w: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Present value of minimum payments due under financed sales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106,431</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111,997</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(10,071 )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(10,945 )</w:t>
            </w:r>
          </w:p>
        </w:tc>
      </w:tr>
      <w:tr>
        <w:trPr>
          <w:trHeight w:val="237"/>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financed sales receivables</w:t>
            </w: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96,360</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101,052</w:t>
            </w:r>
          </w:p>
        </w:tc>
        <w:tc>
          <w:tcPr>
            <w:tcW w:w="100" w:type="dxa"/>
            <w:vAlign w:val="bottom"/>
            <w:tcBorders>
              <w:top w:val="single" w:sz="8" w:color="CFF0FC"/>
            </w:tcBorders>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financing receivables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125,322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7680" w:type="dxa"/>
            <w:vAlign w:val="bottom"/>
          </w:tcPr>
          <w:p>
            <w:pPr>
              <w:ind w:left="20"/>
              <w:spacing w:after="0"/>
              <w:rPr>
                <w:sz w:val="20"/>
                <w:szCs w:val="20"/>
                <w:color w:val="auto"/>
              </w:rPr>
            </w:pPr>
            <w:r>
              <w:rPr>
                <w:rFonts w:ascii="Arial" w:cs="Arial" w:eastAsia="Arial" w:hAnsi="Arial"/>
                <w:sz w:val="18"/>
                <w:szCs w:val="18"/>
                <w:color w:val="auto"/>
              </w:rPr>
              <w:t>Net financed sales receivables due within one year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31,901</w:t>
            </w:r>
          </w:p>
        </w:tc>
        <w:tc>
          <w:tcPr>
            <w:tcW w:w="2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32,366</w:t>
            </w:r>
          </w:p>
        </w:tc>
        <w:tc>
          <w:tcPr>
            <w:tcW w:w="100" w:type="dxa"/>
            <w:vAlign w:val="bottom"/>
          </w:tcPr>
          <w:p>
            <w:pPr>
              <w:spacing w:after="0"/>
              <w:rPr>
                <w:sz w:val="24"/>
                <w:szCs w:val="24"/>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financed sales receivables due after one year</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64,459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Total financed sales receivables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96,360</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101,052</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-2270760</wp:posOffset>
            </wp:positionV>
            <wp:extent cx="6858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-1953895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-1319530</wp:posOffset>
            </wp:positionV>
            <wp:extent cx="6858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63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-1002665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-676275</wp:posOffset>
            </wp:positionV>
            <wp:extent cx="1243330" cy="3340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43330" cy="33401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2023 and December 31, 2022, the weighted-average remaining lease term and weighted-average interest rate associated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2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6"/>
                <w:szCs w:val="16"/>
                <w:color w:val="auto"/>
              </w:rPr>
            </w:pPr>
          </w:p>
        </w:tc>
        <w:tc>
          <w:tcPr>
            <w:tcW w:w="160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15"/>
        </w:trPr>
        <w:tc>
          <w:tcPr>
            <w:tcW w:w="4680" w:type="dxa"/>
            <w:vAlign w:val="bottom"/>
          </w:tcPr>
          <w:p>
            <w:pPr>
              <w:spacing w:after="0"/>
              <w:rPr>
                <w:sz w:val="18"/>
                <w:szCs w:val="18"/>
                <w:color w:val="auto"/>
              </w:rPr>
            </w:pPr>
          </w:p>
        </w:tc>
        <w:tc>
          <w:tcPr>
            <w:tcW w:w="446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200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84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Sales-type lease arrangements</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Weighted-average interest rate</w:t>
            </w:r>
          </w:p>
        </w:tc>
        <w:tc>
          <w:tcPr>
            <w:tcW w:w="28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Sales-type lease arrangements</w:t>
            </w:r>
          </w:p>
        </w:tc>
        <w:tc>
          <w:tcPr>
            <w:tcW w:w="284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4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r>
      <w:tr>
        <w:trPr>
          <w:trHeight w:val="20"/>
        </w:trPr>
        <w:tc>
          <w:tcPr>
            <w:tcW w:w="468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Financed sales receivables</w:t>
            </w:r>
          </w:p>
        </w:tc>
        <w:tc>
          <w:tcPr>
            <w:tcW w:w="28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40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29"/>
        </w:trPr>
        <w:tc>
          <w:tcPr>
            <w:tcW w:w="4680" w:type="dxa"/>
            <w:vAlign w:val="bottom"/>
          </w:tcPr>
          <w:p>
            <w:pPr>
              <w:spacing w:after="0"/>
              <w:rPr>
                <w:sz w:val="24"/>
                <w:szCs w:val="24"/>
                <w:color w:val="auto"/>
              </w:rPr>
            </w:pPr>
          </w:p>
        </w:tc>
        <w:tc>
          <w:tcPr>
            <w:tcW w:w="2840" w:type="dxa"/>
            <w:vAlign w:val="bottom"/>
          </w:tcPr>
          <w:p>
            <w:pPr>
              <w:jc w:val="right"/>
              <w:ind w:right="1716"/>
              <w:spacing w:after="0"/>
              <w:rPr>
                <w:sz w:val="20"/>
                <w:szCs w:val="20"/>
                <w:color w:val="auto"/>
              </w:rPr>
            </w:pPr>
            <w:r>
              <w:rPr>
                <w:rFonts w:ascii="Arial" w:cs="Arial" w:eastAsia="Arial" w:hAnsi="Arial"/>
                <w:sz w:val="18"/>
                <w:szCs w:val="18"/>
                <w:color w:val="auto"/>
              </w:rPr>
              <w:t>13</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-513715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-496570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jc w:val="both"/>
        <w:ind w:firstLine="224"/>
        <w:spacing w:after="0" w:line="263" w:lineRule="auto"/>
        <w:rPr>
          <w:sz w:val="20"/>
          <w:szCs w:val="20"/>
          <w:color w:val="auto"/>
        </w:rPr>
      </w:pPr>
      <w:r>
        <w:rPr>
          <w:rFonts w:ascii="Arial" w:cs="Arial" w:eastAsia="Arial" w:hAnsi="Arial"/>
          <w:sz w:val="18"/>
          <w:szCs w:val="18"/>
          <w:color w:val="auto"/>
        </w:rPr>
        <w:t>The tables below provide information on the Company’s net investment in leases by credit quality indicator as of September 30, 2023 and December 31, 2022. The amounts disclosed for each credit quality classification are determined on a customer-by-customer basis and include both billed and unbilled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 leases:</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6,184</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16,270</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12,157</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r>
      <w:tr>
        <w:trPr>
          <w:trHeight w:val="283"/>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net investment in leases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6,809</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3,868</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9"/>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investment in leases:</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6,969</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12,103</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r>
      <w:tr>
        <w:trPr>
          <w:trHeight w:val="283"/>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net investment in leases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-1568450</wp:posOffset>
            </wp:positionV>
            <wp:extent cx="4389120" cy="454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89120" cy="45466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tables below provide information on the Company’s financed sale receivables by credit quality indicator as of September 30, 2023 and December 31, 2022. The amounts disclosed for each credit quality classification are determined on a customer-by-customer basis and include both billed and unbilled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Financed sales receivables:</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5,895</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5,935</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44,170</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75,178</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15,604</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tcPr>
          <w:p>
            <w:pPr>
              <w:spacing w:after="0"/>
              <w:rPr>
                <w:sz w:val="20"/>
                <w:szCs w:val="20"/>
                <w:color w:val="auto"/>
              </w:rPr>
            </w:pPr>
          </w:p>
        </w:tc>
      </w:tr>
      <w:tr>
        <w:trPr>
          <w:trHeight w:val="283"/>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financed sales receivables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7,190</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11,941</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65,849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9"/>
        </w:trPr>
        <w:tc>
          <w:tcPr>
            <w:tcW w:w="34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37"/>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Financed sales receivables:</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Credit quality classification:</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8,643</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39,912</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83,482</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Credit Watch</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0"/>
                <w:szCs w:val="20"/>
                <w:color w:val="auto"/>
              </w:rPr>
            </w:pPr>
          </w:p>
        </w:tc>
      </w:tr>
      <w:tr>
        <w:trPr>
          <w:trHeight w:val="249"/>
        </w:trPr>
        <w:tc>
          <w:tcPr>
            <w:tcW w:w="3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15,543</w:t>
            </w:r>
          </w:p>
        </w:tc>
        <w:tc>
          <w:tcPr>
            <w:tcW w:w="100" w:type="dxa"/>
            <w:vAlign w:val="bottom"/>
            <w:shd w:val="clear" w:color="auto" w:fill="CFF0FC"/>
          </w:tcPr>
          <w:p>
            <w:pPr>
              <w:spacing w:after="0"/>
              <w:rPr>
                <w:sz w:val="21"/>
                <w:szCs w:val="21"/>
                <w:color w:val="auto"/>
              </w:rPr>
            </w:pPr>
          </w:p>
        </w:tc>
      </w:tr>
      <w:tr>
        <w:trPr>
          <w:trHeight w:val="237"/>
        </w:trPr>
        <w:tc>
          <w:tcPr>
            <w:tcW w:w="3400" w:type="dxa"/>
            <w:vAlign w:val="bottom"/>
          </w:tcPr>
          <w:p>
            <w:pPr>
              <w:ind w:left="120"/>
              <w:spacing w:after="0"/>
              <w:rPr>
                <w:sz w:val="20"/>
                <w:szCs w:val="20"/>
                <w:color w:val="auto"/>
              </w:rPr>
            </w:pPr>
            <w:r>
              <w:rPr>
                <w:rFonts w:ascii="Arial" w:cs="Arial" w:eastAsia="Arial" w:hAnsi="Arial"/>
                <w:sz w:val="18"/>
                <w:szCs w:val="18"/>
                <w:color w:val="auto"/>
              </w:rPr>
              <w:t>Transactions suspended</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0"/>
                <w:szCs w:val="20"/>
                <w:color w:val="auto"/>
              </w:rPr>
            </w:pPr>
          </w:p>
        </w:tc>
      </w:tr>
      <w:tr>
        <w:trPr>
          <w:trHeight w:val="283"/>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financed sales receivables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7,821</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58,583</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-2056765</wp:posOffset>
            </wp:positionV>
            <wp:extent cx="4389120" cy="4540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89120" cy="45402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-513715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-496570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-513715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-496570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-513715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-496570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-513715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-496570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-513715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-496570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-513715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-496570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240"/>
        <w:spacing w:after="0"/>
        <w:rPr>
          <w:sz w:val="20"/>
          <w:szCs w:val="20"/>
          <w:color w:val="auto"/>
        </w:rPr>
      </w:pPr>
      <w:r>
        <w:rPr>
          <w:rFonts w:ascii="Arial" w:cs="Arial" w:eastAsia="Arial" w:hAnsi="Arial"/>
          <w:sz w:val="16"/>
          <w:szCs w:val="16"/>
          <w:color w:val="auto"/>
        </w:rPr>
        <w:t>The following tables provide an aging analysis for the Company’s net investment in leases and financed sale receivables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4"/>
                <w:szCs w:val="14"/>
                <w:b w:val="1"/>
                <w:bCs w:val="1"/>
                <w:color w:val="auto"/>
                <w:w w:val="95"/>
              </w:rPr>
              <w:t>As of September 30, 2023</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2"/>
              </w:rPr>
              <w:t>Accrued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rPr>
              <w:t>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1"/>
                <w:szCs w:val="11"/>
                <w:color w:val="auto"/>
              </w:rPr>
            </w:pPr>
          </w:p>
        </w:tc>
        <w:tc>
          <w:tcPr>
            <w:tcW w:w="1020" w:type="dxa"/>
            <w:vAlign w:val="bottom"/>
            <w:gridSpan w:val="3"/>
          </w:tcPr>
          <w:p>
            <w:pPr>
              <w:jc w:val="center"/>
              <w:ind w:right="130"/>
              <w:spacing w:after="0" w:line="133" w:lineRule="exact"/>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for Credit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Current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Billed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25,264</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29,642</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92,689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106,431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(10,071 )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117,953</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136,073</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125,322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4"/>
                <w:szCs w:val="14"/>
                <w:b w:val="1"/>
                <w:bCs w:val="1"/>
                <w:color w:val="auto"/>
                <w:w w:val="90"/>
              </w:rPr>
              <w:t>As of December 31, 2022</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2"/>
              </w:rPr>
              <w:t>Accrued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rPr>
              <w:t>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1"/>
                <w:szCs w:val="11"/>
                <w:color w:val="auto"/>
              </w:rPr>
            </w:pPr>
          </w:p>
        </w:tc>
        <w:tc>
          <w:tcPr>
            <w:tcW w:w="1020" w:type="dxa"/>
            <w:vAlign w:val="bottom"/>
            <w:gridSpan w:val="3"/>
          </w:tcPr>
          <w:p>
            <w:pPr>
              <w:jc w:val="center"/>
              <w:ind w:right="130"/>
              <w:spacing w:after="0" w:line="133" w:lineRule="exact"/>
              <w:rPr>
                <w:sz w:val="20"/>
                <w:szCs w:val="20"/>
                <w:color w:val="auto"/>
              </w:rPr>
            </w:pPr>
            <w:r>
              <w:rPr>
                <w:rFonts w:ascii="Arial" w:cs="Arial" w:eastAsia="Arial" w:hAnsi="Arial"/>
                <w:sz w:val="14"/>
                <w:szCs w:val="14"/>
                <w:b w:val="1"/>
                <w:bCs w:val="1"/>
                <w:color w:val="auto"/>
                <w:w w:val="92"/>
              </w:rPr>
              <w:t>Allowance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for Credit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70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Current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Billed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Receivable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26,062</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16,369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95,628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111,997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(10,945 )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101,052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15,386</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121,690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141,105</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129,384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-1139190</wp:posOffset>
            </wp:positionV>
            <wp:extent cx="4680585" cy="643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80585" cy="643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following tables provide information about the Company’s net investment in leases and financed sale receivables with billed amounts past due for which it continues to accrue finance income as of September 30, 2023 and December 31, 2022. The amounts disclosed for each credit quality classification are determined on a customer-by-customer basis and include both billed and unbilled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w w:val="97"/>
              </w:rPr>
              <w:t>As of September 30, 2023</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1"/>
              <w:spacing w:after="0" w:line="133"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5"/>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 w:type="dxa"/>
            <w:vAlign w:val="bottom"/>
          </w:tcPr>
          <w:p>
            <w:pPr>
              <w:spacing w:after="0"/>
              <w:rPr>
                <w:sz w:val="16"/>
                <w:szCs w:val="16"/>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Current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30-89 Days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Billed</w:t>
            </w:r>
          </w:p>
        </w:tc>
        <w:tc>
          <w:tcPr>
            <w:tcW w:w="140" w:type="dxa"/>
            <w:vAlign w:val="bottom"/>
          </w:tcPr>
          <w:p>
            <w:pPr>
              <w:spacing w:after="0"/>
              <w:rPr>
                <w:sz w:val="16"/>
                <w:szCs w:val="16"/>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37"/>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4,349</w:t>
            </w:r>
          </w:p>
        </w:tc>
        <w:tc>
          <w:tcPr>
            <w:tcW w:w="2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23,264</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27,311</w:t>
            </w:r>
          </w:p>
        </w:tc>
        <w:tc>
          <w:tcPr>
            <w:tcW w:w="100" w:type="dxa"/>
            <w:vAlign w:val="bottom"/>
            <w:shd w:val="clear" w:color="auto" w:fill="CFF0FC"/>
          </w:tcPr>
          <w:p>
            <w:pPr>
              <w:spacing w:after="0"/>
              <w:rPr>
                <w:sz w:val="20"/>
                <w:szCs w:val="20"/>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(1,679 )</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46,789</w:t>
            </w:r>
          </w:p>
        </w:tc>
        <w:tc>
          <w:tcPr>
            <w:tcW w:w="100" w:type="dxa"/>
            <w:vAlign w:val="bottom"/>
          </w:tcPr>
          <w:p>
            <w:pPr>
              <w:spacing w:after="0"/>
              <w:rPr>
                <w:sz w:val="20"/>
                <w:szCs w:val="20"/>
                <w:color w:val="auto"/>
              </w:rPr>
            </w:pPr>
          </w:p>
        </w:tc>
      </w:tr>
      <w:tr>
        <w:trPr>
          <w:trHeight w:val="283"/>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14,430</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16,701</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3"/>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0"/>
              </w:rPr>
              <w:t>As of December 31, 2022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2"/>
              </w:rPr>
              <w:t>Accrued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1"/>
              <w:spacing w:after="0" w:line="133"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5"/>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60" w:type="dxa"/>
            <w:vAlign w:val="bottom"/>
          </w:tcPr>
          <w:p>
            <w:pPr>
              <w:spacing w:after="0"/>
              <w:rPr>
                <w:sz w:val="16"/>
                <w:szCs w:val="16"/>
                <w:color w:val="auto"/>
              </w:rPr>
            </w:pPr>
          </w:p>
        </w:tc>
        <w:tc>
          <w:tcPr>
            <w:tcW w:w="78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Current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30-89 Days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Billed</w:t>
            </w:r>
          </w:p>
        </w:tc>
        <w:tc>
          <w:tcPr>
            <w:tcW w:w="140" w:type="dxa"/>
            <w:vAlign w:val="bottom"/>
          </w:tcPr>
          <w:p>
            <w:pPr>
              <w:spacing w:after="0"/>
              <w:rPr>
                <w:sz w:val="16"/>
                <w:szCs w:val="16"/>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r>
      <w:tr>
        <w:trPr>
          <w:trHeight w:val="237"/>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2,964</w:t>
            </w:r>
          </w:p>
        </w:tc>
        <w:tc>
          <w:tcPr>
            <w:tcW w:w="2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17,070</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19,804</w:t>
            </w:r>
          </w:p>
        </w:tc>
        <w:tc>
          <w:tcPr>
            <w:tcW w:w="100" w:type="dxa"/>
            <w:vAlign w:val="bottom"/>
            <w:shd w:val="clear" w:color="auto" w:fill="CFF0FC"/>
          </w:tcPr>
          <w:p>
            <w:pPr>
              <w:spacing w:after="0"/>
              <w:rPr>
                <w:sz w:val="20"/>
                <w:szCs w:val="20"/>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8"/>
                <w:szCs w:val="18"/>
                <w:color w:val="auto"/>
              </w:rPr>
              <w:t>Financed sales receivables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43,172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(1,587 )</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55,064</w:t>
            </w:r>
          </w:p>
        </w:tc>
        <w:tc>
          <w:tcPr>
            <w:tcW w:w="100" w:type="dxa"/>
            <w:vAlign w:val="bottom"/>
          </w:tcPr>
          <w:p>
            <w:pPr>
              <w:spacing w:after="0"/>
              <w:rPr>
                <w:sz w:val="20"/>
                <w:szCs w:val="20"/>
                <w:color w:val="auto"/>
              </w:rPr>
            </w:pPr>
          </w:p>
        </w:tc>
      </w:tr>
      <w:tr>
        <w:trPr>
          <w:trHeight w:val="283"/>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60,242</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-1139190</wp:posOffset>
            </wp:positionV>
            <wp:extent cx="4423410" cy="643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23410" cy="643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4"/>
                <w:szCs w:val="14"/>
                <w:b w:val="1"/>
                <w:bCs w:val="1"/>
                <w:color w:val="auto"/>
                <w:w w:val="91"/>
              </w:rPr>
              <w:t>As of September 30, 2023</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4"/>
                <w:szCs w:val="14"/>
                <w:b w:val="1"/>
                <w:bCs w:val="1"/>
                <w:color w:val="auto"/>
                <w:w w:val="92"/>
              </w:rPr>
              <w:t>As of December 31, 2022</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Recorded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2"/>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30"/>
              <w:spacing w:after="0" w:line="133"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8"/>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Receivable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680" w:type="dxa"/>
            <w:vAlign w:val="bottom"/>
          </w:tcPr>
          <w:p>
            <w:pPr>
              <w:jc w:val="right"/>
              <w:ind w:right="275"/>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Receivable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680" w:type="dxa"/>
            <w:vAlign w:val="bottom"/>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in leases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Net financed sales receivables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29,275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(7,535 )</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(9,589 )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21,740</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27,765</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-25400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-8255</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For the three and nine months ended September 30, 2023, the Company recognized less than $0.1 million (2022 — less than $0.1 million and $0.1 million, respectively) in Finance Income related to the net investment in leases with billed amounts past due. For the three and nine months ended September 30, 2023 and 2022, the Company did not recognize Finance Income related to the net investment in leases on nonaccrual status. For the three and nine months ended September 30, 2023, the Company recognized $0.7 million and $2.4 million, respectively (2022 — $1.1 million and $3.1 million, respectively) in Finance Income related to the financed sale receivables with billed amounts past due. For the three and nine months ended September 30, 2023, the Company recognized less than $0.1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and $0.2 million, respectively (2022 — $0.1 million and $0.4 million, respectively) in Finance Income related to the financed sales receivables in nonaccrual status.</w:t>
      </w:r>
    </w:p>
    <w:p>
      <w:pPr>
        <w:spacing w:after="0" w:line="143" w:lineRule="exact"/>
        <w:rPr>
          <w:sz w:val="20"/>
          <w:szCs w:val="20"/>
          <w:color w:val="auto"/>
        </w:rPr>
      </w:pPr>
    </w:p>
    <w:p>
      <w:pPr>
        <w:ind w:right="480" w:firstLine="260"/>
        <w:spacing w:after="0" w:line="277" w:lineRule="auto"/>
        <w:rPr>
          <w:sz w:val="20"/>
          <w:szCs w:val="20"/>
          <w:color w:val="auto"/>
        </w:rPr>
      </w:pPr>
      <w:r>
        <w:rPr>
          <w:rFonts w:ascii="Arial" w:cs="Arial" w:eastAsia="Arial" w:hAnsi="Arial"/>
          <w:sz w:val="18"/>
          <w:szCs w:val="18"/>
          <w:color w:val="auto"/>
        </w:rPr>
        <w:t>The following tables summarize the activity in the allowance for credit losses related to the Company’s net investment in leases and financed sale receivables for the three and nine months ended September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September 30, 2023</w:t>
            </w:r>
          </w:p>
        </w:tc>
        <w:tc>
          <w:tcPr>
            <w:tcW w:w="180" w:type="dxa"/>
            <w:vAlign w:val="bottom"/>
          </w:tcPr>
          <w:p>
            <w:pPr>
              <w:spacing w:after="0"/>
              <w:rPr>
                <w:sz w:val="16"/>
                <w:szCs w:val="16"/>
                <w:color w:val="auto"/>
              </w:rPr>
            </w:pPr>
          </w:p>
        </w:tc>
        <w:tc>
          <w:tcPr>
            <w:tcW w:w="31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 2023</w:t>
            </w:r>
          </w:p>
        </w:tc>
      </w:tr>
      <w:tr>
        <w:trPr>
          <w:trHeight w:val="160"/>
        </w:trPr>
        <w:tc>
          <w:tcPr>
            <w:tcW w:w="4420" w:type="dxa"/>
            <w:vAlign w:val="bottom"/>
          </w:tcPr>
          <w:p>
            <w:pPr>
              <w:spacing w:after="0"/>
              <w:rPr>
                <w:sz w:val="13"/>
                <w:szCs w:val="13"/>
                <w:color w:val="auto"/>
              </w:rPr>
            </w:pPr>
          </w:p>
        </w:tc>
        <w:tc>
          <w:tcPr>
            <w:tcW w:w="1220" w:type="dxa"/>
            <w:vAlign w:val="bottom"/>
            <w:tcBorders>
              <w:top w:val="single" w:sz="8" w:color="auto"/>
            </w:tcBorders>
          </w:tcPr>
          <w:p>
            <w:pPr>
              <w:jc w:val="center"/>
              <w:ind w:left="201"/>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75"/>
              <w:spacing w:after="0" w:line="160" w:lineRule="exact"/>
              <w:rPr>
                <w:sz w:val="20"/>
                <w:szCs w:val="20"/>
                <w:color w:val="auto"/>
              </w:rPr>
            </w:pPr>
            <w:r>
              <w:rPr>
                <w:rFonts w:ascii="Arial" w:cs="Arial" w:eastAsia="Arial" w:hAnsi="Arial"/>
                <w:sz w:val="14"/>
                <w:szCs w:val="14"/>
                <w:b w:val="1"/>
                <w:bCs w:val="1"/>
                <w:color w:val="auto"/>
                <w:w w:val="94"/>
              </w:rPr>
              <w:t>Financed</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75"/>
              <w:spacing w:after="0" w:line="160" w:lineRule="exact"/>
              <w:rPr>
                <w:sz w:val="20"/>
                <w:szCs w:val="20"/>
                <w:color w:val="auto"/>
              </w:rPr>
            </w:pPr>
            <w:r>
              <w:rPr>
                <w:rFonts w:ascii="Arial" w:cs="Arial" w:eastAsia="Arial" w:hAnsi="Arial"/>
                <w:sz w:val="14"/>
                <w:szCs w:val="14"/>
                <w:b w:val="1"/>
                <w:bCs w:val="1"/>
                <w:color w:val="auto"/>
                <w:w w:val="94"/>
              </w:rPr>
              <w:t>Financed</w:t>
            </w:r>
          </w:p>
        </w:tc>
        <w:tc>
          <w:tcPr>
            <w:tcW w:w="100" w:type="dxa"/>
            <w:vAlign w:val="bottom"/>
          </w:tcPr>
          <w:p>
            <w:pPr>
              <w:spacing w:after="0"/>
              <w:rPr>
                <w:sz w:val="13"/>
                <w:szCs w:val="13"/>
                <w:color w:val="auto"/>
              </w:rPr>
            </w:pPr>
          </w:p>
        </w:tc>
      </w:t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2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in Leases</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Sales Receivables</w:t>
            </w:r>
          </w:p>
        </w:tc>
        <w:tc>
          <w:tcPr>
            <w:tcW w:w="1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Sales Receivables</w:t>
            </w:r>
          </w:p>
        </w:tc>
      </w:tr>
      <w:tr>
        <w:trPr>
          <w:trHeight w:val="23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20" w:type="dxa"/>
            <w:vAlign w:val="bottom"/>
            <w:tcBorders>
              <w:top w:val="single" w:sz="8" w:color="auto"/>
            </w:tcBorders>
            <w:shd w:val="clear" w:color="auto" w:fill="CFF0FC"/>
          </w:tcPr>
          <w:p>
            <w:pPr>
              <w:jc w:val="right"/>
              <w:ind w:right="104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689</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11,027</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FF0FC"/>
          </w:tcPr>
          <w:p>
            <w:pPr>
              <w:spacing w:after="0"/>
              <w:rPr>
                <w:sz w:val="20"/>
                <w:szCs w:val="20"/>
                <w:color w:val="auto"/>
              </w:rPr>
            </w:pPr>
          </w:p>
        </w:tc>
      </w:tr>
      <w:tr>
        <w:trPr>
          <w:trHeight w:val="237"/>
        </w:trPr>
        <w:tc>
          <w:tcPr>
            <w:tcW w:w="4420" w:type="dxa"/>
            <w:vAlign w:val="bottom"/>
          </w:tcPr>
          <w:p>
            <w:pPr>
              <w:ind w:left="120"/>
              <w:spacing w:after="0"/>
              <w:rPr>
                <w:sz w:val="20"/>
                <w:szCs w:val="20"/>
                <w:color w:val="auto"/>
              </w:rPr>
            </w:pPr>
            <w:r>
              <w:rPr>
                <w:rFonts w:ascii="Arial" w:cs="Arial" w:eastAsia="Arial" w:hAnsi="Arial"/>
                <w:sz w:val="18"/>
                <w:szCs w:val="18"/>
                <w:color w:val="auto"/>
              </w:rPr>
              <w:t>Current period provision (reversal), net</w:t>
            </w:r>
          </w:p>
        </w:tc>
        <w:tc>
          <w:tcPr>
            <w:tcW w:w="12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(1,075 )</w:t>
            </w: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(862 )</w:t>
            </w:r>
          </w:p>
        </w:tc>
      </w:tr>
      <w:tr>
        <w:trPr>
          <w:trHeight w:val="249"/>
        </w:trPr>
        <w:tc>
          <w:tcPr>
            <w:tcW w:w="4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42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(20 )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r>
      <w:tr>
        <w:trPr>
          <w:trHeight w:val="276"/>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20" w:type="dxa"/>
            <w:vAlign w:val="bottom"/>
            <w:tcBorders>
              <w:top w:val="single" w:sz="8" w:color="auto"/>
              <w:bottom w:val="single" w:sz="8" w:color="auto"/>
            </w:tcBorders>
            <w:shd w:val="clear" w:color="auto" w:fill="CFF0FC"/>
          </w:tcPr>
          <w:p>
            <w:pPr>
              <w:jc w:val="right"/>
              <w:ind w:right="104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680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05"/>
        </w:trPr>
        <w:tc>
          <w:tcPr>
            <w:tcW w:w="4420" w:type="dxa"/>
            <w:vAlign w:val="bottom"/>
          </w:tcPr>
          <w:p>
            <w:pPr>
              <w:spacing w:after="0"/>
              <w:rPr>
                <w:sz w:val="24"/>
                <w:szCs w:val="24"/>
                <w:color w:val="auto"/>
              </w:rPr>
            </w:pPr>
          </w:p>
        </w:tc>
        <w:tc>
          <w:tcPr>
            <w:tcW w:w="35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September 30, 2022</w:t>
            </w:r>
          </w:p>
        </w:tc>
        <w:tc>
          <w:tcPr>
            <w:tcW w:w="180" w:type="dxa"/>
            <w:vAlign w:val="bottom"/>
          </w:tcPr>
          <w:p>
            <w:pPr>
              <w:spacing w:after="0"/>
              <w:rPr>
                <w:sz w:val="24"/>
                <w:szCs w:val="24"/>
                <w:color w:val="auto"/>
              </w:rPr>
            </w:pPr>
          </w:p>
        </w:tc>
        <w:tc>
          <w:tcPr>
            <w:tcW w:w="31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Nine Months Ended September 30, 2022</w:t>
            </w:r>
          </w:p>
        </w:tc>
      </w:tr>
      <w:tr>
        <w:trPr>
          <w:trHeight w:val="160"/>
        </w:trPr>
        <w:tc>
          <w:tcPr>
            <w:tcW w:w="4420" w:type="dxa"/>
            <w:vAlign w:val="bottom"/>
          </w:tcPr>
          <w:p>
            <w:pPr>
              <w:spacing w:after="0"/>
              <w:rPr>
                <w:sz w:val="13"/>
                <w:szCs w:val="13"/>
                <w:color w:val="auto"/>
              </w:rPr>
            </w:pPr>
          </w:p>
        </w:tc>
        <w:tc>
          <w:tcPr>
            <w:tcW w:w="1220" w:type="dxa"/>
            <w:vAlign w:val="bottom"/>
            <w:tcBorders>
              <w:top w:val="single" w:sz="8" w:color="auto"/>
            </w:tcBorders>
          </w:tcPr>
          <w:p>
            <w:pPr>
              <w:jc w:val="center"/>
              <w:ind w:left="201"/>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75"/>
              <w:spacing w:after="0" w:line="160" w:lineRule="exact"/>
              <w:rPr>
                <w:sz w:val="20"/>
                <w:szCs w:val="20"/>
                <w:color w:val="auto"/>
              </w:rPr>
            </w:pPr>
            <w:r>
              <w:rPr>
                <w:rFonts w:ascii="Arial" w:cs="Arial" w:eastAsia="Arial" w:hAnsi="Arial"/>
                <w:sz w:val="14"/>
                <w:szCs w:val="14"/>
                <w:b w:val="1"/>
                <w:bCs w:val="1"/>
                <w:color w:val="auto"/>
                <w:w w:val="93"/>
              </w:rPr>
              <w:t>Net Financed</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center"/>
              <w:ind w:right="420"/>
              <w:spacing w:after="0" w:line="160" w:lineRule="exact"/>
              <w:rPr>
                <w:sz w:val="20"/>
                <w:szCs w:val="20"/>
                <w:color w:val="auto"/>
              </w:rPr>
            </w:pPr>
            <w:r>
              <w:rPr>
                <w:rFonts w:ascii="Arial" w:cs="Arial" w:eastAsia="Arial" w:hAnsi="Arial"/>
                <w:sz w:val="14"/>
                <w:szCs w:val="14"/>
                <w:b w:val="1"/>
                <w:bCs w:val="1"/>
                <w:color w:val="auto"/>
                <w:w w:val="93"/>
              </w:rPr>
              <w:t>Net Investment</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75"/>
              <w:spacing w:after="0" w:line="160" w:lineRule="exact"/>
              <w:rPr>
                <w:sz w:val="20"/>
                <w:szCs w:val="20"/>
                <w:color w:val="auto"/>
              </w:rPr>
            </w:pPr>
            <w:r>
              <w:rPr>
                <w:rFonts w:ascii="Arial" w:cs="Arial" w:eastAsia="Arial" w:hAnsi="Arial"/>
                <w:sz w:val="14"/>
                <w:szCs w:val="14"/>
                <w:b w:val="1"/>
                <w:bCs w:val="1"/>
                <w:color w:val="auto"/>
                <w:w w:val="93"/>
              </w:rPr>
              <w:t>Net Financed</w:t>
            </w:r>
          </w:p>
        </w:tc>
        <w:tc>
          <w:tcPr>
            <w:tcW w:w="100" w:type="dxa"/>
            <w:vAlign w:val="bottom"/>
          </w:tcPr>
          <w:p>
            <w:pPr>
              <w:spacing w:after="0"/>
              <w:rPr>
                <w:sz w:val="13"/>
                <w:szCs w:val="13"/>
                <w:color w:val="auto"/>
              </w:rPr>
            </w:pPr>
          </w:p>
        </w:tc>
      </w:t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220" w:type="dxa"/>
            <w:vAlign w:val="bottom"/>
          </w:tcPr>
          <w:p>
            <w:pPr>
              <w:jc w:val="center"/>
              <w:ind w:left="221"/>
              <w:spacing w:after="0"/>
              <w:rPr>
                <w:sz w:val="20"/>
                <w:szCs w:val="20"/>
                <w:color w:val="auto"/>
              </w:rPr>
            </w:pPr>
            <w:r>
              <w:rPr>
                <w:rFonts w:ascii="Arial" w:cs="Arial" w:eastAsia="Arial" w:hAnsi="Arial"/>
                <w:sz w:val="14"/>
                <w:szCs w:val="14"/>
                <w:b w:val="1"/>
                <w:bCs w:val="1"/>
                <w:color w:val="auto"/>
                <w:w w:val="87"/>
              </w:rPr>
              <w:t>in Leases</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Sales Receivables</w:t>
            </w:r>
          </w:p>
        </w:tc>
        <w:tc>
          <w:tcPr>
            <w:tcW w:w="1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Sales Receivables</w:t>
            </w:r>
          </w:p>
        </w:tc>
      </w:tr>
      <w:tr>
        <w:trPr>
          <w:trHeight w:val="23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20" w:type="dxa"/>
            <w:vAlign w:val="bottom"/>
            <w:tcBorders>
              <w:top w:val="single" w:sz="8" w:color="auto"/>
            </w:tcBorders>
            <w:shd w:val="clear" w:color="auto" w:fill="CFF0FC"/>
          </w:tcPr>
          <w:p>
            <w:pPr>
              <w:jc w:val="right"/>
              <w:ind w:right="104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688</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11,038</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FF0FC"/>
          </w:tcPr>
          <w:p>
            <w:pPr>
              <w:spacing w:after="0"/>
              <w:rPr>
                <w:sz w:val="20"/>
                <w:szCs w:val="20"/>
                <w:color w:val="auto"/>
              </w:rPr>
            </w:pPr>
          </w:p>
        </w:tc>
      </w:tr>
      <w:tr>
        <w:trPr>
          <w:trHeight w:val="237"/>
        </w:trPr>
        <w:tc>
          <w:tcPr>
            <w:tcW w:w="4420" w:type="dxa"/>
            <w:vAlign w:val="bottom"/>
          </w:tcPr>
          <w:p>
            <w:pPr>
              <w:ind w:left="120"/>
              <w:spacing w:after="0"/>
              <w:rPr>
                <w:sz w:val="20"/>
                <w:szCs w:val="20"/>
                <w:color w:val="auto"/>
              </w:rPr>
            </w:pPr>
            <w:r>
              <w:rPr>
                <w:rFonts w:ascii="Arial" w:cs="Arial" w:eastAsia="Arial" w:hAnsi="Arial"/>
                <w:sz w:val="18"/>
                <w:szCs w:val="18"/>
                <w:color w:val="auto"/>
              </w:rPr>
              <w:t>Current period (reversal) provision, net</w:t>
            </w:r>
          </w:p>
        </w:tc>
        <w:tc>
          <w:tcPr>
            <w:tcW w:w="1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(95 )</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5,847</w:t>
            </w:r>
          </w:p>
        </w:tc>
        <w:tc>
          <w:tcPr>
            <w:tcW w:w="100" w:type="dxa"/>
            <w:vAlign w:val="bottom"/>
          </w:tcPr>
          <w:p>
            <w:pPr>
              <w:spacing w:after="0"/>
              <w:rPr>
                <w:sz w:val="20"/>
                <w:szCs w:val="20"/>
                <w:color w:val="auto"/>
              </w:rPr>
            </w:pPr>
          </w:p>
        </w:tc>
      </w:tr>
      <w:tr>
        <w:trPr>
          <w:trHeight w:val="249"/>
        </w:trPr>
        <w:tc>
          <w:tcPr>
            <w:tcW w:w="4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2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442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2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(17 )</w:t>
            </w:r>
          </w:p>
        </w:tc>
        <w:tc>
          <w:tcPr>
            <w:tcW w:w="160" w:type="dxa"/>
            <w:vAlign w:val="bottom"/>
          </w:tcPr>
          <w:p>
            <w:pPr>
              <w:spacing w:after="0"/>
              <w:rPr>
                <w:sz w:val="20"/>
                <w:szCs w:val="20"/>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(151 )</w:t>
            </w:r>
          </w:p>
        </w:tc>
        <w:tc>
          <w:tcPr>
            <w:tcW w:w="18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(302 )</w:t>
            </w:r>
          </w:p>
        </w:tc>
      </w:tr>
      <w:tr>
        <w:trPr>
          <w:trHeight w:val="276"/>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220" w:type="dxa"/>
            <w:vAlign w:val="bottom"/>
            <w:tcBorders>
              <w:top w:val="single" w:sz="8" w:color="auto"/>
              <w:bottom w:val="single" w:sz="8" w:color="auto"/>
            </w:tcBorders>
            <w:shd w:val="clear" w:color="auto" w:fill="CFF0FC"/>
          </w:tcPr>
          <w:p>
            <w:pPr>
              <w:jc w:val="right"/>
              <w:ind w:right="1041"/>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670</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-1336675</wp:posOffset>
            </wp:positionV>
            <wp:extent cx="3368675" cy="531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8675" cy="5314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For the three and nine months ended September 30, 2023, the Company’s allowance for current expected credit losses related to its net investment in leases decreased by less than $0.1 million and decreased by $0.1 million, respectively, and financed sale receivables decreased by $1.0 million and $0.9 million, respectively.</w:t>
      </w:r>
    </w:p>
    <w:p>
      <w:pPr>
        <w:spacing w:after="0" w:line="143"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For the three and nine months ended September 30, 2022, the Company’s allowance for current expected credit losses related to its net investment in leases decreased by less than $0.1 million and decreased by $0.1 million, respectively, and financed sale receivables decreased by less than $0.1 million and increased by $5.5 million, respectively. The increase is principally due to reserves established against its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World markets improved.</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Receivables</w:t>
      </w:r>
    </w:p>
    <w:p>
      <w:pPr>
        <w:spacing w:after="0" w:line="198"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46"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following table summarizes the activity in the Allowance for Credit Losses related to Variable Consideration Receivables for the three and nine months ended September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23"/>
        </w:trPr>
        <w:tc>
          <w:tcPr>
            <w:tcW w:w="5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133"/>
        </w:trPr>
        <w:tc>
          <w:tcPr>
            <w:tcW w:w="5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4"/>
              </w:rPr>
              <w:t>Theater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94"/>
              </w:rPr>
              <w:t>Theater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8"/>
              </w:rPr>
              <w:t>Theater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4"/>
              </w:rPr>
              <w:t>Theater</w:t>
            </w:r>
          </w:p>
        </w:tc>
        <w:tc>
          <w:tcPr>
            <w:tcW w:w="100" w:type="dxa"/>
            <w:vAlign w:val="bottom"/>
          </w:tcPr>
          <w:p>
            <w:pPr>
              <w:spacing w:after="0"/>
              <w:rPr>
                <w:sz w:val="11"/>
                <w:szCs w:val="11"/>
                <w:color w:val="auto"/>
              </w:rPr>
            </w:pPr>
          </w:p>
        </w:tc>
      </w:tr>
      <w:tr>
        <w:trPr>
          <w:trHeight w:val="185"/>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Operators</w:t>
            </w:r>
          </w:p>
        </w:tc>
        <w:tc>
          <w:tcPr>
            <w:tcW w:w="18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Operators</w:t>
            </w: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Operators</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Operators</w:t>
            </w: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FF0FC"/>
          </w:tcPr>
          <w:p>
            <w:pPr>
              <w:spacing w:after="0"/>
              <w:rPr>
                <w:sz w:val="20"/>
                <w:szCs w:val="20"/>
                <w:color w:val="auto"/>
              </w:rPr>
            </w:pPr>
          </w:p>
        </w:tc>
      </w:tr>
      <w:tr>
        <w:trPr>
          <w:trHeight w:val="237"/>
        </w:trPr>
        <w:tc>
          <w:tcPr>
            <w:tcW w:w="5740" w:type="dxa"/>
            <w:vAlign w:val="bottom"/>
          </w:tcPr>
          <w:p>
            <w:pPr>
              <w:ind w:left="120"/>
              <w:spacing w:after="0"/>
              <w:rPr>
                <w:sz w:val="20"/>
                <w:szCs w:val="20"/>
                <w:color w:val="auto"/>
              </w:rPr>
            </w:pPr>
            <w:r>
              <w:rPr>
                <w:rFonts w:ascii="Arial" w:cs="Arial" w:eastAsia="Arial" w:hAnsi="Arial"/>
                <w:sz w:val="18"/>
                <w:szCs w:val="18"/>
                <w:color w:val="auto"/>
              </w:rPr>
              <w:t>Current period provision (reversal), net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(515 )</w:t>
            </w:r>
          </w:p>
        </w:tc>
      </w:tr>
      <w:tr>
        <w:trPr>
          <w:trHeight w:val="249"/>
        </w:trPr>
        <w:tc>
          <w:tcPr>
            <w:tcW w:w="5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14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(24 )</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(17 )</w:t>
            </w: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r>
      <w:tr>
        <w:trPr>
          <w:trHeight w:val="276"/>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three and nine months ended September 30, 2023, the Company’s allowance for current expected credit losses related to Variable Consideration Receivables increased by less than $0.1 million and increased by $0.1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jc w:val="both"/>
        <w:ind w:firstLine="224"/>
        <w:spacing w:after="0" w:line="311" w:lineRule="auto"/>
        <w:rPr>
          <w:sz w:val="20"/>
          <w:szCs w:val="20"/>
          <w:color w:val="auto"/>
        </w:rPr>
      </w:pPr>
      <w:r>
        <w:rPr>
          <w:rFonts w:ascii="Arial" w:cs="Arial" w:eastAsia="Arial" w:hAnsi="Arial"/>
          <w:sz w:val="16"/>
          <w:szCs w:val="16"/>
          <w:color w:val="auto"/>
        </w:rPr>
        <w:t>For the three and nine months ended September 30, 2022, the Company’s allowance for current expected credit losses related to Variable Consideration Receivables increased by less than $0.1 million and decreased by $0.5 million, respectively. This decrease is principally due to the reversal of provisions associated with the COVID-19 pandemic as the outlook for the theatrical exhibition industry in Domestic and Rest of World markets improved.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4. Lease Arrangements</w:t>
      </w:r>
    </w:p>
    <w:p>
      <w:pPr>
        <w:spacing w:after="0" w:line="20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IMAX Corporation as a Lessee</w:t>
      </w:r>
    </w:p>
    <w:p>
      <w:pPr>
        <w:spacing w:after="0" w:line="185"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4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In 2022, the Company entered into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the three and nine months ended September 30, 2023 and 2022, the components of lease expense recorded within Selling, General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Expenses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240" w:type="dxa"/>
            <w:vAlign w:val="bottom"/>
          </w:tcPr>
          <w:p>
            <w:pPr>
              <w:spacing w:after="0"/>
              <w:rPr>
                <w:sz w:val="14"/>
                <w:szCs w:val="14"/>
                <w:color w:val="auto"/>
              </w:rPr>
            </w:pPr>
          </w:p>
        </w:tc>
        <w:tc>
          <w:tcPr>
            <w:tcW w:w="2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 September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2400" w:type="dxa"/>
            <w:vAlign w:val="bottom"/>
            <w:tcBorders>
              <w:bottom w:val="single" w:sz="8" w:color="auto"/>
            </w:tcBorders>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20"/>
              <w:spacing w:after="0"/>
              <w:rPr>
                <w:sz w:val="20"/>
                <w:szCs w:val="20"/>
                <w:color w:val="auto"/>
              </w:rPr>
            </w:pPr>
            <w:r>
              <w:rPr>
                <w:rFonts w:ascii="Arial" w:cs="Arial" w:eastAsia="Arial" w:hAnsi="Arial"/>
                <w:sz w:val="18"/>
                <w:szCs w:val="18"/>
                <w:color w:val="auto"/>
              </w:rPr>
              <w:t>Amortization of operating lease assets</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577</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602</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on operating lease liabilities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20"/>
              <w:spacing w:after="0"/>
              <w:rPr>
                <w:sz w:val="20"/>
                <w:szCs w:val="20"/>
                <w:color w:val="auto"/>
              </w:rPr>
            </w:pPr>
            <w:r>
              <w:rPr>
                <w:rFonts w:ascii="Arial" w:cs="Arial" w:eastAsia="Arial" w:hAnsi="Arial"/>
                <w:sz w:val="18"/>
                <w:szCs w:val="18"/>
                <w:color w:val="auto"/>
              </w:rPr>
              <w:t>Short-term and variable lease costs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lease cost: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20"/>
              <w:spacing w:after="0"/>
              <w:rPr>
                <w:sz w:val="20"/>
                <w:szCs w:val="20"/>
                <w:color w:val="auto"/>
              </w:rPr>
            </w:pPr>
            <w:r>
              <w:rPr>
                <w:rFonts w:ascii="Arial" w:cs="Arial" w:eastAsia="Arial" w:hAnsi="Arial"/>
                <w:sz w:val="18"/>
                <w:szCs w:val="18"/>
                <w:color w:val="auto"/>
              </w:rPr>
              <w:t>Amortization of finance lease assets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Interest on finance lease liabilities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1,024</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nine months ended September 30, 2023 and 2022, supplemental cash and non-cash information related to leases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2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04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0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spacing w:after="0"/>
              <w:rPr>
                <w:sz w:val="22"/>
                <w:szCs w:val="22"/>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Supplemental disclosure of noncash leasing activities:</w:t>
            </w:r>
          </w:p>
        </w:tc>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1"/>
              </w:rPr>
              <w:t>Right-of-use assets obtained in exchange for operating lease obligations</w:t>
            </w:r>
          </w:p>
        </w:tc>
        <w:tc>
          <w:tcPr>
            <w:tcW w:w="2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8"/>
                <w:szCs w:val="18"/>
                <w:color w:val="auto"/>
                <w:w w:val="94"/>
              </w:rPr>
              <w:t>Right-of-use assets obtained in exchange for finance lease obligations</w:t>
            </w:r>
          </w:p>
        </w:tc>
        <w:tc>
          <w:tcPr>
            <w:tcW w:w="24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40" w:type="dxa"/>
            <w:vAlign w:val="bottom"/>
            <w:vMerge w:val="restart"/>
          </w:tcPr>
          <w:p>
            <w:pPr>
              <w:jc w:val="right"/>
              <w:ind w:right="1650"/>
              <w:spacing w:after="0"/>
              <w:rPr>
                <w:sz w:val="20"/>
                <w:szCs w:val="20"/>
                <w:color w:val="auto"/>
              </w:rPr>
            </w:pPr>
            <w:r>
              <w:rPr>
                <w:rFonts w:ascii="Arial" w:cs="Arial" w:eastAsia="Arial" w:hAnsi="Arial"/>
                <w:sz w:val="18"/>
                <w:szCs w:val="18"/>
                <w:color w:val="auto"/>
              </w:rPr>
              <w:t>18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-1028065</wp:posOffset>
            </wp:positionV>
            <wp:extent cx="1311275"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11275" cy="1797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-694055</wp:posOffset>
            </wp:positionV>
            <wp:extent cx="1311275" cy="205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1127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color w:val="auto"/>
        </w:rPr>
        <w:t>As of September 30, 2023 and December 31, 2022, supplemental balance sheet information related to leases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31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r>
      <w:tr>
        <w:trPr>
          <w:trHeight w:val="236"/>
        </w:trPr>
        <w:tc>
          <w:tcPr>
            <w:tcW w:w="31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600" w:type="dxa"/>
            <w:vAlign w:val="bottom"/>
            <w:shd w:val="clear" w:color="auto" w:fill="CFF0FC"/>
          </w:tcPr>
          <w:p>
            <w:pPr>
              <w:ind w:left="660"/>
              <w:spacing w:after="0"/>
              <w:rPr>
                <w:sz w:val="20"/>
                <w:szCs w:val="20"/>
                <w:color w:val="auto"/>
              </w:rPr>
            </w:pPr>
            <w:r>
              <w:rPr>
                <w:rFonts w:ascii="Arial" w:cs="Arial" w:eastAsia="Arial" w:hAnsi="Arial"/>
                <w:sz w:val="18"/>
                <w:szCs w:val="18"/>
                <w:b w:val="1"/>
                <w:bCs w:val="1"/>
                <w:color w:val="auto"/>
              </w:rPr>
              <w:t>Balance Sheet Location</w:t>
            </w: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7"/>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600" w:type="dxa"/>
            <w:vAlign w:val="bottom"/>
          </w:tcPr>
          <w:p>
            <w:pPr>
              <w:ind w:left="66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10,594</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12,341</w:t>
            </w:r>
          </w:p>
        </w:tc>
      </w:tr>
      <w:tr>
        <w:trPr>
          <w:trHeight w:val="20"/>
        </w:trPr>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3"/>
        </w:trPr>
        <w:tc>
          <w:tcPr>
            <w:tcW w:w="31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Finance lease right-of-use assets</w:t>
            </w:r>
          </w:p>
        </w:tc>
        <w:tc>
          <w:tcPr>
            <w:tcW w:w="460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1,519</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1,876</w:t>
            </w:r>
          </w:p>
        </w:tc>
      </w:tr>
      <w:tr>
        <w:trPr>
          <w:trHeight w:val="226"/>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600" w:type="dxa"/>
            <w:vAlign w:val="bottom"/>
          </w:tcPr>
          <w:p>
            <w:pPr>
              <w:ind w:left="660"/>
              <w:spacing w:after="0"/>
              <w:rPr>
                <w:sz w:val="20"/>
                <w:szCs w:val="20"/>
                <w:color w:val="auto"/>
              </w:rPr>
            </w:pPr>
            <w:r>
              <w:rPr>
                <w:rFonts w:ascii="Arial" w:cs="Arial" w:eastAsia="Arial" w:hAnsi="Arial"/>
                <w:sz w:val="18"/>
                <w:szCs w:val="18"/>
                <w:b w:val="1"/>
                <w:bCs w:val="1"/>
                <w:color w:val="auto"/>
              </w:rPr>
              <w:t>Balance Sheet Location</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81"/>
        </w:trPr>
        <w:tc>
          <w:tcPr>
            <w:tcW w:w="31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460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color w:val="auto"/>
              </w:rPr>
              <w:t>Accrued and other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12,635</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14,461</w:t>
            </w:r>
          </w:p>
        </w:tc>
      </w:tr>
      <w:tr>
        <w:trPr>
          <w:trHeight w:val="230"/>
        </w:trPr>
        <w:tc>
          <w:tcPr>
            <w:tcW w:w="316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Finance lease liabilities</w:t>
            </w:r>
            <w:r>
              <w:rPr>
                <w:rFonts w:ascii="Arial" w:cs="Arial" w:eastAsia="Arial" w:hAnsi="Arial"/>
                <w:sz w:val="24"/>
                <w:szCs w:val="24"/>
                <w:color w:val="auto"/>
                <w:vertAlign w:val="superscript"/>
              </w:rPr>
              <w:t>(1)</w:t>
            </w:r>
          </w:p>
        </w:tc>
        <w:tc>
          <w:tcPr>
            <w:tcW w:w="4600" w:type="dxa"/>
            <w:vAlign w:val="bottom"/>
          </w:tcPr>
          <w:p>
            <w:pPr>
              <w:ind w:left="660"/>
              <w:spacing w:after="0"/>
              <w:rPr>
                <w:sz w:val="20"/>
                <w:szCs w:val="20"/>
                <w:color w:val="auto"/>
              </w:rPr>
            </w:pPr>
            <w:r>
              <w:rPr>
                <w:rFonts w:ascii="Arial" w:cs="Arial" w:eastAsia="Arial" w:hAnsi="Arial"/>
                <w:sz w:val="18"/>
                <w:szCs w:val="18"/>
                <w:color w:val="auto"/>
              </w:rPr>
              <w:t>Accrued and other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510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1,011</w:t>
            </w:r>
          </w:p>
        </w:tc>
      </w:tr>
      <w:tr>
        <w:trPr>
          <w:trHeight w:val="20"/>
        </w:trPr>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-642620</wp:posOffset>
            </wp:positionV>
            <wp:extent cx="137160"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-307975</wp:posOffset>
            </wp:positionV>
            <wp:extent cx="137160" cy="205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205740"/>
                    </a:xfrm>
                    <a:prstGeom prst="rect">
                      <a:avLst/>
                    </a:prstGeom>
                    <a:noFill/>
                  </pic:spPr>
                </pic:pic>
              </a:graphicData>
            </a:graphic>
          </wp:anchor>
        </w:drawing>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Recorded net of a $1.4 million upfront payment made upon execution of the finance lease arrangement.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2023 and December 31, 2022, the weighted-average remaining lease term and weighted-average interest rate associated with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214"/>
        </w:trPr>
        <w:tc>
          <w:tcPr>
            <w:tcW w:w="76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8"/>
                <w:szCs w:val="18"/>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680" w:type="dxa"/>
            <w:vAlign w:val="bottom"/>
          </w:tcPr>
          <w:p>
            <w:pPr>
              <w:ind w:left="120"/>
              <w:spacing w:after="0"/>
              <w:rPr>
                <w:sz w:val="20"/>
                <w:szCs w:val="20"/>
                <w:color w:val="auto"/>
              </w:rPr>
            </w:pPr>
            <w:r>
              <w:rPr>
                <w:rFonts w:ascii="Arial" w:cs="Arial" w:eastAsia="Arial" w:hAnsi="Arial"/>
                <w:sz w:val="18"/>
                <w:szCs w:val="18"/>
                <w:color w:val="auto"/>
              </w:rPr>
              <w:t>Weighted-average remaining lease term (years)</w:t>
            </w: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r>
      <w:tr>
        <w:trPr>
          <w:trHeight w:val="20"/>
        </w:trPr>
        <w:tc>
          <w:tcPr>
            <w:tcW w:w="7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Weighted-average discount rate</w:t>
            </w:r>
          </w:p>
        </w:tc>
        <w:tc>
          <w:tcPr>
            <w:tcW w:w="6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768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89"/>
        </w:trPr>
        <w:tc>
          <w:tcPr>
            <w:tcW w:w="7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Weighted-average remaining lease term (years)</w:t>
            </w:r>
          </w:p>
        </w:tc>
        <w:tc>
          <w:tcPr>
            <w:tcW w:w="6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60" w:type="dxa"/>
            <w:vAlign w:val="bottom"/>
            <w:gridSpan w:val="6"/>
          </w:tcPr>
          <w:p>
            <w:pPr>
              <w:ind w:left="240"/>
              <w:spacing w:after="0"/>
              <w:rPr>
                <w:sz w:val="20"/>
                <w:szCs w:val="20"/>
                <w:color w:val="auto"/>
              </w:rPr>
            </w:pPr>
            <w:r>
              <w:rPr>
                <w:rFonts w:ascii="Arial" w:cs="Arial" w:eastAsia="Arial" w:hAnsi="Arial"/>
                <w:sz w:val="18"/>
                <w:szCs w:val="18"/>
                <w:color w:val="auto"/>
              </w:rPr>
              <w:t>As of September 30, 2023, the maturities of the Company’s operating and finance lease liabilities are as follows: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Finance Leases</w:t>
            </w: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(three months remaining)</w:t>
            </w:r>
          </w:p>
        </w:tc>
        <w:tc>
          <w:tcPr>
            <w:tcW w:w="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tcBorders>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3,039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2026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2,070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2,095</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4,283</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14,842</w:t>
            </w: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(2,207 )</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(26 )</w:t>
            </w: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12,635</w:t>
            </w:r>
          </w:p>
        </w:tc>
        <w:tc>
          <w:tcPr>
            <w:tcW w:w="1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auto"/>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-2536825</wp:posOffset>
            </wp:positionV>
            <wp:extent cx="124333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-2202180</wp:posOffset>
            </wp:positionV>
            <wp:extent cx="1243330"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43330" cy="20574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IMAX Corporation as a Lessor</w:t>
      </w:r>
    </w:p>
    <w:p>
      <w:pPr>
        <w:spacing w:after="0" w:line="198"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3(o) of the Company’s audited Consolidated Financial Statements included in its 2022 Form 10-K. Under the Company’s sales-type lease arrangements, the customer has the ability and the right to operate the hardware components or direct others to operate them in a manner determined by the customer. The Company’s lease portfolio terms are typically non-cancellable for 10 years or longer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jc w:val="both"/>
        <w:ind w:firstLine="224"/>
        <w:spacing w:after="0" w:line="287" w:lineRule="auto"/>
        <w:rPr>
          <w:sz w:val="20"/>
          <w:szCs w:val="20"/>
          <w:color w:val="auto"/>
        </w:rPr>
      </w:pPr>
      <w:r>
        <w:rPr>
          <w:rFonts w:ascii="Arial" w:cs="Arial" w:eastAsia="Arial" w:hAnsi="Arial"/>
          <w:sz w:val="16"/>
          <w:szCs w:val="16"/>
          <w:color w:val="auto"/>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requiring the customer to pay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14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following lease payments are expected to be received by the Company for its sales-type leases and joint revenue sharing arrangements in each of the next five years and thereafter following the September 30, 2023 balance sheet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Sales-Type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right"/>
              <w:ind w:right="454"/>
              <w:spacing w:after="0"/>
              <w:rPr>
                <w:sz w:val="20"/>
                <w:szCs w:val="20"/>
                <w:color w:val="auto"/>
              </w:rPr>
            </w:pPr>
            <w:r>
              <w:rPr>
                <w:rFonts w:ascii="Arial" w:cs="Arial" w:eastAsia="Arial" w:hAnsi="Arial"/>
                <w:sz w:val="14"/>
                <w:szCs w:val="14"/>
                <w:b w:val="1"/>
                <w:bCs w:val="1"/>
                <w:color w:val="auto"/>
              </w:rPr>
              <w:t>Joint Revenue</w:t>
            </w:r>
          </w:p>
        </w:tc>
        <w:tc>
          <w:tcPr>
            <w:tcW w:w="100" w:type="dxa"/>
            <w:vAlign w:val="bottom"/>
          </w:tcPr>
          <w:p>
            <w:pPr>
              <w:spacing w:after="0"/>
              <w:rPr>
                <w:sz w:val="15"/>
                <w:szCs w:val="15"/>
                <w:color w:val="auto"/>
              </w:rPr>
            </w:pP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Leases</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Sharing Arrangements</w:t>
            </w:r>
          </w:p>
        </w:tc>
        <w:tc>
          <w:tcPr>
            <w:tcW w:w="100" w:type="dxa"/>
            <w:vAlign w:val="bottom"/>
          </w:tcPr>
          <w:p>
            <w:pPr>
              <w:spacing w:after="0"/>
              <w:rPr>
                <w:sz w:val="16"/>
                <w:szCs w:val="16"/>
                <w:color w:val="auto"/>
              </w:rPr>
            </w:pPr>
          </w:p>
        </w:tc>
      </w:tr>
      <w:tr>
        <w:trPr>
          <w:trHeight w:val="237"/>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(three months remaining)</w:t>
            </w:r>
          </w:p>
        </w:tc>
        <w:tc>
          <w:tcPr>
            <w:tcW w:w="1400" w:type="dxa"/>
            <w:vAlign w:val="bottom"/>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20"/>
                <w:szCs w:val="20"/>
                <w:color w:val="auto"/>
              </w:rPr>
            </w:pP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color w:val="auto"/>
              </w:rPr>
              <w:t>2024</w:t>
            </w:r>
          </w:p>
        </w:tc>
        <w:tc>
          <w:tcPr>
            <w:tcW w:w="1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r>
        <w:trPr>
          <w:trHeight w:val="24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color w:val="auto"/>
              </w:rPr>
              <w:t>2026</w:t>
            </w:r>
          </w:p>
        </w:tc>
        <w:tc>
          <w:tcPr>
            <w:tcW w:w="1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4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69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88"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of September 30, 2023 and December 31, 2022, Inventories consist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28"/>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25,365</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45,365</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As of September 30, 2023, Inventories include finished goods of $6.5 million (December 31, 2022 — $3.5 million) for which title had passed to the customer, but the criteria for revenue recognition were not met as of the balance sheet date.</w:t>
      </w:r>
    </w:p>
    <w:p>
      <w:pPr>
        <w:spacing w:after="0" w:line="130"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During the three and nine months ended September 30, 2023, the Company recorded a recovery of $0.2 million and write-downs of $0.1 million, and a recovery of $0.2 million and write-downs of $0.2 million, respectively, (2022 — write-downs of $0.2 million and write-downs of $0.5 million, respectively) in Costs and Expenses Applicable to Revenues ― Technology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6. Borrowings</w:t>
      </w:r>
    </w:p>
    <w:p>
      <w:pPr>
        <w:spacing w:after="0" w:line="20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Revolving Credit Facility Borrowings, Net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2023 and December 31, 2022, Revolving Credit Facility Borrowings, Net includes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Wells Fargo Credit Facility borrowings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HSBC China Facility borrowings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Bank of China Facility borrowings</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(1,205 )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(1,759 )</w:t>
            </w:r>
          </w:p>
        </w:tc>
      </w:tr>
      <w:tr>
        <w:trPr>
          <w:trHeight w:val="277"/>
        </w:trPr>
        <w:tc>
          <w:tcPr>
            <w:tcW w:w="76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Revolving Credit Facility Borrowings, net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23,903</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-25400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Wells Fargo Credit Agreement</w:t>
      </w:r>
    </w:p>
    <w:p>
      <w:pPr>
        <w:spacing w:after="0" w:line="18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14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increase its borrowing capacity by the greater of $140.0 million, for a total of $440.0 million, or by the Company’s EBITDA for the sum of the four most recently ended fiscal quarters, subject to certain conditions, depending on the mix of revolving loans and/or term loans under the incremental facility and subject to conditions set forth in the Credit Agreement.</w:t>
      </w:r>
    </w:p>
    <w:p>
      <w:pPr>
        <w:spacing w:after="0" w:line="160"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People’s Republic of China (“the PRC”) to a maximum of $75.0 million, relative to Adjusted EBITDA per Credit Facility for the four prior quarters. The Senior Secured Net Leverage Ratio is calculated using Adjusted EBITDA per Credit Facility determined on a trailing twelve-month basis. The Company was in compliance with this requirement as of September 30, 2023 as the Senior Secured Net Leverage Ratio was 0.00:1.00.</w:t>
      </w:r>
    </w:p>
    <w:p>
      <w:pPr>
        <w:spacing w:after="0" w:line="152"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Loans under the Credit Facility bear interest, at the Company’s option, at (i) Term Secure Overnight Financing Rate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p>
    <w:p>
      <w:pPr>
        <w:spacing w:after="0" w:line="146"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As of September 30, 2023, borrowings under the Credit Facility were $20.0 million (December 31, 2022 — $25.0 million) and bear interest at Term SOFR, plus a margin of 1.75% per annum based on the Company’s total leverage ratio. The effective interest rate for the three and nine months ended September 30, 2023 was 7.10% and 6.75%, respectively. There were no amounts drawn under the Credit Facility during the nine months ended September 30, 2022.</w:t>
      </w:r>
    </w:p>
    <w:p>
      <w:pPr>
        <w:spacing w:after="0" w:line="160"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14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Company incurred fees of approximately $2.5 million in connection with the March 25, 2022 amendment of the Credit Agreement, which are being amortized on a straight-line basis over the term of the Credit Agreement. In the first quarter of 2022, the Company expensed $0.4 million in unamortized deferred financing costs associated with lenders that are no longer parties to the Credit Agreement.</w:t>
      </w:r>
    </w:p>
    <w:p>
      <w:pPr>
        <w:spacing w:after="0" w:line="143"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As of September 30, 2023, the Company had a $130.0 million Standby Letter of Credit (“LC”) outstanding under the Credit Facility, and no advance payment guarantees outstanding. As of December 31, 2022, the Company did not have any letters of credit or advance payment guarantees outstanding under the Credit Facility. As of September 30, 2023, the amount available for future borrowings under the Credit Facility was $150.0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jc w:val="both"/>
        <w:ind w:firstLine="224"/>
        <w:spacing w:after="0" w:line="254" w:lineRule="auto"/>
        <w:rPr>
          <w:sz w:val="20"/>
          <w:szCs w:val="20"/>
          <w:color w:val="auto"/>
        </w:rPr>
      </w:pPr>
      <w:r>
        <w:rPr>
          <w:rFonts w:ascii="Arial" w:cs="Arial" w:eastAsia="Arial" w:hAnsi="Arial"/>
          <w:sz w:val="18"/>
          <w:szCs w:val="18"/>
          <w:color w:val="auto"/>
        </w:rPr>
        <w:t>In conjunction with the proposal to acquire the outstanding 96.3 million shares in IMAX China Holding, Inc. (“IMAX China”) (the “China Transaction”), the Company obtained a consent on June 30, 2023 under the Credit Facility to temporarily increase the Letter of Credit Accommodations Sublimit from $25.0 million to $130.0 million. On July 11, 2023, the Company obtained a LC in the amount of $130.0 million in favor of Morgan Stanley Asia Limited, the financial adviser for the China Transaction, to provide certainty of funds for the proposed proceeds and transaction costs payable with respect to the China Transaction. At the Extraordinary General Meeting of IMAX China shareholders held on October 9, 2023, the vast majority voted in favor of the China Transaction; however, the Company did not receive approval from 90% of disinterested IMAX China shareholders as required by Hong Kong law and, as a result, the Company's proposal to acquire IMAX China's outstanding shares did not proceed. Consequently, the LC was canceled effective October 11, 2023.</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Facility</w:t>
      </w:r>
    </w:p>
    <w:p>
      <w:pPr>
        <w:spacing w:after="0" w:line="185"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Within the Credit Facility, the Company is able to purchase foreign currency forward contracts and/or other swap arrangements. As of September 30, 2023, the net unrealized loss on the Company’s outstanding foreign currency forward contracts was $(0.2) million, representing the amount by which the notional value of these forward contracts exceeded their fair value (December 31, 2022 — net unrealized loss of $(0.6) million). As of September 30, 2023, the notional value of the Company’s outstanding foreign currency forward contracts was $41.6 million (December 31, 2022 — $24.7 million).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 of China Facility</w:t>
      </w:r>
    </w:p>
    <w:p>
      <w:pPr>
        <w:spacing w:after="0" w:line="198"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June 2022, IMAX (Shanghai) Multimedia Technology Co., Ltd. (“IMAX Shanghai”), one of the Company’s majority-owned subsidiaries in China, renewed its unsecured revolving facility with Bank of China for up to 200.0 million Chinese Renminbi (“RMB”) ($27.9 million), including RMB 10.0 million ($1.4 million) for letters of guarantee, to fund ongoing working capital requirements (the “Bank of China Facility”). The Bank of China Facility expired in September 2023 and has been renewed to February 21, 2024.</w:t>
      </w:r>
    </w:p>
    <w:p>
      <w:pPr>
        <w:spacing w:after="0" w:line="14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As of September 30, 2023, there were no borrowings outstanding under the Bank of China Facility and outstanding letters of guarantee were RMB 2.7 million ($0.4 million). As of December 31, 2022, outstanding Bank of China Facility borrowings were RMB 2.6 million ($0.4 million) and outstanding letters of guarantee were RMB 2.8 million ($0.4 million).</w:t>
      </w:r>
    </w:p>
    <w:p>
      <w:pPr>
        <w:spacing w:after="0" w:line="143"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As of September 30, 2023, the amount available for future borrowings under the Bank of China Facility was RMB 190.0 million ($26.5 million) and the amount available for letters of guarantee was RMB 7.2 million ($1.0 million). The amount available for future borrowings under the Bank of China Facility is not subject to a standby fee. The effective interest rate for the three and nine months ended September 30, 2023 was 3.85% (2022 — 4.15%).</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HSBC China Facility</w:t>
      </w:r>
    </w:p>
    <w:p>
      <w:pPr>
        <w:spacing w:after="0" w:line="18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In June 2022, IMAX Shanghai entered into an unsecured revolving facility for up to RMB 200.0 million ($27.9 million) with HSBC Bank (China) Company Limited, Shanghai Branch to fund ongoing working capital requirements (the “HSBC China Facility”). As of September 30, 2023, RMB 36.7 million ($5.1 million) of borrowings were outstanding under the HSBC China Facility (December 31, 2022 — RMB 87.0 million or $12.5 million. As of September 30, 2023, the amount available for future borrowings under the HSBC China Facility was RMB 163.3 million ($22.8 million). The effective interest rate for the three and nine months ended September 30, 2023 was 3.88%. There were no amounts drawn under the HSBC China Facility for the three and nine months ended September 30, 2022.</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NBC Facility</w:t>
      </w:r>
    </w:p>
    <w:p>
      <w:pPr>
        <w:spacing w:after="0" w:line="198"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In October 2019, the Company entered into a $5.0 million facility with National Bank of Canada (the “NBC Facility”) fully insured by Export Development Canada for use solely in conjunction with the issuance of performance guarantees and letters of credit. The NBC Facility has been renewed to August 21, 2024. The NBC Facility is renewable on the same terms and conditions on an annual basis. The Company did not have any letters of credit or advance payment guarantees outstanding as of September 30, 2023 and December 31, 2022 under the NBC Facility.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Convertible Notes and Other Borrowings, Net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2023 and December 31, 2022, Convertible Notes and Other Borrowings, Net includes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FF0FC"/>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Unamortized discounts and debt issuance costs</w:t>
            </w:r>
          </w:p>
        </w:tc>
        <w:tc>
          <w:tcPr>
            <w:tcW w:w="24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(3,742 )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(4,870 )</w:t>
            </w: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226,258</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7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 Economic Development Loan</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Unaccreted interest benefit</w:t>
            </w:r>
          </w:p>
        </w:tc>
        <w:tc>
          <w:tcPr>
            <w:tcW w:w="24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(940 )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(1,030 )</w:t>
            </w: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Federal Economic Development Loan,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7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Convertible Notes and Other Borrowings, net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228,449</w:t>
            </w:r>
          </w:p>
        </w:tc>
        <w:tc>
          <w:tcPr>
            <w:tcW w:w="3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226,912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378"/>
        </w:trPr>
        <w:tc>
          <w:tcPr>
            <w:tcW w:w="7640" w:type="dxa"/>
            <w:vAlign w:val="bottom"/>
          </w:tcPr>
          <w:p>
            <w:pPr>
              <w:ind w:left="240"/>
              <w:spacing w:after="0"/>
              <w:rPr>
                <w:sz w:val="20"/>
                <w:szCs w:val="20"/>
                <w:color w:val="auto"/>
              </w:rPr>
            </w:pPr>
            <w:r>
              <w:rPr>
                <w:rFonts w:ascii="Arial" w:cs="Arial" w:eastAsia="Arial" w:hAnsi="Arial"/>
                <w:sz w:val="18"/>
                <w:szCs w:val="18"/>
                <w:i w:val="1"/>
                <w:iCs w:val="1"/>
                <w:color w:val="auto"/>
              </w:rPr>
              <w:t>Convertible Notes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-1233805</wp:posOffset>
            </wp:positionV>
            <wp:extent cx="7747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-599440</wp:posOffset>
            </wp:positionV>
            <wp:extent cx="7747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-273685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-256540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w:t>
      </w:r>
    </w:p>
    <w:p>
      <w:pPr>
        <w:spacing w:after="0" w:line="14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43"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6"/>
          <w:szCs w:val="16"/>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39"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52"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40"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jc w:val="both"/>
        <w:ind w:firstLine="224"/>
        <w:spacing w:after="0" w:line="259" w:lineRule="auto"/>
        <w:rPr>
          <w:sz w:val="20"/>
          <w:szCs w:val="20"/>
          <w:color w:val="auto"/>
        </w:rPr>
      </w:pPr>
      <w:r>
        <w:rPr>
          <w:rFonts w:ascii="Arial" w:cs="Arial" w:eastAsia="Arial" w:hAnsi="Arial"/>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60"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147"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The Company recorded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Federal Economic Development Loan</w:t>
      </w:r>
    </w:p>
    <w:p>
      <w:pPr>
        <w:spacing w:after="0" w:line="198"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Company’s wholly-owned subsidiary, SSIMWAVE, entered into a contribution agreement with the Federal Economic Development Agency for Southern Ontario (the “Federal Economic Development Loan”) on May 29, 2019, under which SSIMWAVE received $4.2 million Canadian Dollars (“CAD”) ($3.1 million) by way of repayable contributions toward certain eligible projects costs. The contributions under the agreement cover 35% of the eligible and supported costs of SSIMWAVE between January 10, 2019 and December 31, 2022. The contributions are repayable over 60 months, with repayments estimated to begin in January 2024, with an annual interest rate of 0%.</w:t>
      </w:r>
    </w:p>
    <w:p>
      <w:pPr>
        <w:spacing w:after="0" w:line="147"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The benefit of the interest free loan has been determined by calculating the present value of the payments using a market-based interest rate and comparing this to the proceeds received. The benefit is being recorded as the interest free benefit of government funding within Interest Income on the Condensed Consolidated Statements of Operations. No benefit was recorded for the three and nine months ended September 30, 2023, as the Company received the maximum contribution. The obligation is being accreted to its maturity amount, resulting in an interest expense of $0.1 million and $0.2 million during the three and nine months ended September 30, 2023, respectively, which is being recorded within Interest Expense on the Company’s Condensed Consolidated Statements of Operations.</w:t>
      </w:r>
    </w:p>
    <w:p>
      <w:pPr>
        <w:spacing w:after="0" w:line="152"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As of September 30, 2023, the Federal Economic Development Loan has a carrying value of $2.2 million, net of unaccreted interest benefit and is recorded within Convertible Notes and Other Borrowings, Net on the Company’s Condensed Consolidated Balance Sheets.</w:t>
      </w:r>
    </w:p>
    <w:p>
      <w:pPr>
        <w:spacing w:after="0" w:line="139"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w:t>
      </w:r>
    </w:p>
    <w:p>
      <w:pPr>
        <w:spacing w:after="0" w:line="185"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8"/>
          <w:szCs w:val="18"/>
          <w:color w:val="auto"/>
        </w:rPr>
        <w:t>In the ordinary course of its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Contingencies and guarantees</w:t>
      </w:r>
    </w:p>
    <w:p>
      <w:pPr>
        <w:spacing w:after="0" w:line="198" w:lineRule="exact"/>
        <w:rPr>
          <w:sz w:val="20"/>
          <w:szCs w:val="20"/>
          <w:color w:val="auto"/>
        </w:rPr>
      </w:pPr>
    </w:p>
    <w:p>
      <w:pPr>
        <w:jc w:val="both"/>
        <w:ind w:firstLine="223"/>
        <w:spacing w:after="0" w:line="269" w:lineRule="auto"/>
        <w:rPr>
          <w:sz w:val="20"/>
          <w:szCs w:val="20"/>
          <w:color w:val="auto"/>
        </w:rPr>
      </w:pPr>
      <w:r>
        <w:rPr>
          <w:rFonts w:ascii="Arial" w:cs="Arial" w:eastAsia="Arial" w:hAnsi="Arial"/>
          <w:sz w:val="17"/>
          <w:szCs w:val="17"/>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145" w:lineRule="exact"/>
        <w:rPr>
          <w:sz w:val="20"/>
          <w:szCs w:val="20"/>
          <w:color w:val="auto"/>
        </w:rPr>
      </w:pPr>
    </w:p>
    <w:p>
      <w:pPr>
        <w:jc w:val="both"/>
        <w:ind w:firstLine="231"/>
        <w:spacing w:after="0" w:line="287" w:lineRule="auto"/>
        <w:tabs>
          <w:tab w:leader="none" w:pos="438"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$26.0 million, inclusive of interest, as of September 30, 2023.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27" w:lineRule="exact"/>
        <w:rPr>
          <w:rFonts w:ascii="Arial" w:cs="Arial" w:eastAsia="Arial" w:hAnsi="Arial"/>
          <w:sz w:val="16"/>
          <w:szCs w:val="16"/>
          <w:color w:val="auto"/>
        </w:rPr>
      </w:pPr>
    </w:p>
    <w:p>
      <w:pPr>
        <w:jc w:val="both"/>
        <w:ind w:firstLine="231"/>
        <w:spacing w:after="0" w:line="263" w:lineRule="auto"/>
        <w:tabs>
          <w:tab w:leader="none" w:pos="50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56" w:lineRule="exact"/>
        <w:rPr>
          <w:rFonts w:ascii="Arial" w:cs="Arial" w:eastAsia="Arial" w:hAnsi="Arial"/>
          <w:sz w:val="18"/>
          <w:szCs w:val="18"/>
          <w:color w:val="auto"/>
        </w:rPr>
      </w:pPr>
    </w:p>
    <w:p>
      <w:pPr>
        <w:jc w:val="both"/>
        <w:ind w:firstLine="231"/>
        <w:spacing w:after="0" w:line="275" w:lineRule="auto"/>
        <w:tabs>
          <w:tab w:leader="none" w:pos="539"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36"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Financial Guarantees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subsidiaries of the Company have provided significant financial guarantees to third parties under the Credit Agreement.</w:t>
      </w:r>
    </w:p>
    <w:p>
      <w:pPr>
        <w:spacing w:after="0" w:line="198"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Product Warranties</w:t>
      </w:r>
    </w:p>
    <w:p>
      <w:pPr>
        <w:spacing w:after="0" w:line="185" w:lineRule="exact"/>
        <w:rPr>
          <w:sz w:val="20"/>
          <w:szCs w:val="20"/>
          <w:color w:val="auto"/>
        </w:rPr>
      </w:pPr>
    </w:p>
    <w:p>
      <w:pPr>
        <w:ind w:firstLine="223"/>
        <w:spacing w:after="0" w:line="277" w:lineRule="auto"/>
        <w:rPr>
          <w:sz w:val="20"/>
          <w:szCs w:val="20"/>
          <w:color w:val="auto"/>
        </w:rPr>
      </w:pPr>
      <w:r>
        <w:rPr>
          <w:rFonts w:ascii="Arial" w:cs="Arial" w:eastAsia="Arial" w:hAnsi="Arial"/>
          <w:sz w:val="18"/>
          <w:szCs w:val="18"/>
          <w:color w:val="auto"/>
        </w:rPr>
        <w:t>The Company’s accrual for product warranties, which is recorded within Accrued and Other Liabilities in the Condensed Consolidated Balance Sheets, was $0.1 million and $nil as of September 30, 2023 and December 31,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6"/>
          <w:szCs w:val="16"/>
          <w:b w:val="1"/>
          <w:bCs w:val="1"/>
          <w:i w:val="1"/>
          <w:iCs w:val="1"/>
          <w:color w:val="auto"/>
        </w:rPr>
        <w:t>Director and Officer Indemnifications</w:t>
      </w:r>
    </w:p>
    <w:p>
      <w:pPr>
        <w:spacing w:after="0" w:line="198" w:lineRule="exact"/>
        <w:rPr>
          <w:sz w:val="20"/>
          <w:szCs w:val="20"/>
          <w:color w:val="auto"/>
        </w:rPr>
      </w:pPr>
    </w:p>
    <w:p>
      <w:pPr>
        <w:jc w:val="both"/>
        <w:ind w:firstLine="224"/>
        <w:spacing w:after="0" w:line="290" w:lineRule="auto"/>
        <w:rPr>
          <w:sz w:val="20"/>
          <w:szCs w:val="20"/>
          <w:color w:val="auto"/>
        </w:rPr>
      </w:pPr>
      <w:r>
        <w:rPr>
          <w:rFonts w:ascii="Arial" w:cs="Arial" w:eastAsia="Arial" w:hAnsi="Arial"/>
          <w:sz w:val="16"/>
          <w:szCs w:val="16"/>
          <w:color w:val="auto"/>
        </w:rPr>
        <w:t xml:space="preserve">The Company’s by-laws contain an indemnification of its current directors and officers, former directors and officers, and persons who have acted at its request to be a director and/or officer of an entity in which the Company is a shareholder or creditor, to indemnify them, to the extent permitted by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against expenses (including legal fees), judgments, fines and any amounts actually and reasonably incurred by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September 30, 2023 and December 31, 2022, with respect to this indemnity.</w:t>
      </w:r>
    </w:p>
    <w:p>
      <w:pPr>
        <w:spacing w:after="0" w:line="125" w:lineRule="exact"/>
        <w:rPr>
          <w:sz w:val="20"/>
          <w:szCs w:val="20"/>
          <w:color w:val="auto"/>
        </w:rPr>
      </w:pPr>
    </w:p>
    <w:p>
      <w:pPr>
        <w:ind w:left="600" w:hanging="368"/>
        <w:spacing w:after="0"/>
        <w:tabs>
          <w:tab w:leader="none" w:pos="6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Indemnification Agreements</w:t>
      </w:r>
    </w:p>
    <w:p>
      <w:pPr>
        <w:spacing w:after="0" w:line="185"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8. Condensed Consolidated Statements of Operations – Supplemental Information</w:t>
      </w:r>
    </w:p>
    <w:p>
      <w:pPr>
        <w:spacing w:after="0" w:line="20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Selling Expenses</w:t>
      </w:r>
    </w:p>
    <w:p>
      <w:pPr>
        <w:spacing w:after="0" w:line="18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three and nine months ended September 30,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33"/>
        </w:trPr>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98"/>
              <w:spacing w:after="0" w:line="133" w:lineRule="exact"/>
              <w:rPr>
                <w:sz w:val="20"/>
                <w:szCs w:val="20"/>
                <w:color w:val="auto"/>
              </w:rPr>
            </w:pPr>
            <w:r>
              <w:rPr>
                <w:rFonts w:ascii="Arial" w:cs="Arial" w:eastAsia="Arial" w:hAnsi="Arial"/>
                <w:sz w:val="14"/>
                <w:szCs w:val="14"/>
                <w:b w:val="1"/>
                <w:bCs w:val="1"/>
                <w:color w:val="auto"/>
                <w:w w:val="96"/>
              </w:rPr>
              <w:t>Marketing</w:t>
            </w:r>
          </w:p>
        </w:tc>
        <w:tc>
          <w:tcPr>
            <w:tcW w:w="300" w:type="dxa"/>
            <w:vAlign w:val="bottom"/>
          </w:tcPr>
          <w:p>
            <w:pPr>
              <w:spacing w:after="0"/>
              <w:rPr>
                <w:sz w:val="11"/>
                <w:szCs w:val="11"/>
                <w:color w:val="auto"/>
              </w:rPr>
            </w:pPr>
          </w:p>
        </w:tc>
        <w:tc>
          <w:tcPr>
            <w:tcW w:w="1160" w:type="dxa"/>
            <w:vAlign w:val="bottom"/>
          </w:tcPr>
          <w:p>
            <w:pPr>
              <w:jc w:val="center"/>
              <w:ind w:left="199"/>
              <w:spacing w:after="0" w:line="133"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96"/>
              <w:spacing w:after="0" w:line="133" w:lineRule="exact"/>
              <w:rPr>
                <w:sz w:val="20"/>
                <w:szCs w:val="20"/>
                <w:color w:val="auto"/>
              </w:rPr>
            </w:pPr>
            <w:r>
              <w:rPr>
                <w:rFonts w:ascii="Arial" w:cs="Arial" w:eastAsia="Arial" w:hAnsi="Arial"/>
                <w:sz w:val="14"/>
                <w:szCs w:val="14"/>
                <w:b w:val="1"/>
                <w:bCs w:val="1"/>
                <w:color w:val="auto"/>
                <w:w w:val="99"/>
              </w:rPr>
              <w:t>Marketing</w:t>
            </w:r>
          </w:p>
        </w:tc>
        <w:tc>
          <w:tcPr>
            <w:tcW w:w="100" w:type="dxa"/>
            <w:vAlign w:val="bottom"/>
          </w:tcPr>
          <w:p>
            <w:pPr>
              <w:spacing w:after="0"/>
              <w:rPr>
                <w:sz w:val="11"/>
                <w:szCs w:val="11"/>
                <w:color w:val="auto"/>
              </w:rPr>
            </w:pPr>
          </w:p>
        </w:tc>
      </w:tr>
      <w:tr>
        <w:trPr>
          <w:trHeight w:val="185"/>
        </w:trPr>
        <w:tc>
          <w:tcPr>
            <w:tcW w:w="4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Commissions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6"/>
                <w:szCs w:val="16"/>
                <w:color w:val="auto"/>
              </w:rPr>
            </w:pPr>
          </w:p>
        </w:tc>
        <w:tc>
          <w:tcPr>
            <w:tcW w:w="116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9"/>
              </w:rPr>
              <w:t>Commissions</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6"/>
                <w:szCs w:val="16"/>
                <w:color w:val="auto"/>
              </w:rPr>
            </w:pPr>
          </w:p>
        </w:tc>
      </w:tr>
      <w:tr>
        <w:trPr>
          <w:trHeight w:val="237"/>
        </w:trPr>
        <w:tc>
          <w:tcPr>
            <w:tcW w:w="4360" w:type="dxa"/>
            <w:vAlign w:val="bottom"/>
            <w:gridSpan w:val="2"/>
            <w:shd w:val="clear" w:color="auto" w:fill="CFF0FC"/>
          </w:tcPr>
          <w:p>
            <w:pPr>
              <w:ind w:left="20"/>
              <w:spacing w:after="0" w:line="236" w:lineRule="exact"/>
              <w:rPr>
                <w:sz w:val="20"/>
                <w:szCs w:val="20"/>
                <w:color w:val="auto"/>
              </w:rPr>
            </w:pPr>
            <w:r>
              <w:rPr>
                <w:rFonts w:ascii="Arial" w:cs="Arial" w:eastAsia="Arial" w:hAnsi="Arial"/>
                <w:sz w:val="18"/>
                <w:szCs w:val="18"/>
                <w:color w:val="auto"/>
              </w:rPr>
              <w:t>Technology sales</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20"/>
                <w:szCs w:val="20"/>
                <w:color w:val="auto"/>
              </w:rPr>
            </w:pPr>
          </w:p>
        </w:tc>
      </w:tr>
      <w:tr>
        <w:trPr>
          <w:trHeight w:val="243"/>
        </w:trPr>
        <w:tc>
          <w:tcPr>
            <w:tcW w:w="43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Image enhancement and maintenance services</w:t>
            </w:r>
            <w:r>
              <w:rPr>
                <w:rFonts w:ascii="Arial" w:cs="Arial" w:eastAsia="Arial" w:hAnsi="Arial"/>
                <w:sz w:val="24"/>
                <w:szCs w:val="24"/>
                <w:color w:val="auto"/>
                <w:vertAlign w:val="superscript"/>
              </w:rPr>
              <w:t>(2)</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2,744</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r>
      <w:tr>
        <w:trPr>
          <w:trHeight w:val="243"/>
        </w:trPr>
        <w:tc>
          <w:tcPr>
            <w:tcW w:w="436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Technology rentals</w:t>
            </w:r>
            <w:r>
              <w:rPr>
                <w:rFonts w:ascii="Arial" w:cs="Arial" w:eastAsia="Arial" w:hAnsi="Arial"/>
                <w:sz w:val="24"/>
                <w:szCs w:val="24"/>
                <w:color w:val="auto"/>
                <w:vertAlign w:val="superscript"/>
              </w:rPr>
              <w:t>(3)</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w:t>
            </w:r>
          </w:p>
        </w:tc>
        <w:tc>
          <w:tcPr>
            <w:tcW w:w="300" w:type="dxa"/>
            <w:vAlign w:val="bottom"/>
          </w:tcPr>
          <w:p>
            <w:pPr>
              <w:spacing w:after="0"/>
              <w:rPr>
                <w:sz w:val="20"/>
                <w:szCs w:val="20"/>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494</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15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2023</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33"/>
        </w:trPr>
        <w:tc>
          <w:tcPr>
            <w:tcW w:w="15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198"/>
              <w:spacing w:after="0" w:line="133" w:lineRule="exact"/>
              <w:rPr>
                <w:sz w:val="20"/>
                <w:szCs w:val="20"/>
                <w:color w:val="auto"/>
              </w:rPr>
            </w:pPr>
            <w:r>
              <w:rPr>
                <w:rFonts w:ascii="Arial" w:cs="Arial" w:eastAsia="Arial" w:hAnsi="Arial"/>
                <w:sz w:val="14"/>
                <w:szCs w:val="14"/>
                <w:b w:val="1"/>
                <w:bCs w:val="1"/>
                <w:color w:val="auto"/>
                <w:w w:val="96"/>
              </w:rPr>
              <w:t>Marketing</w:t>
            </w:r>
          </w:p>
        </w:tc>
        <w:tc>
          <w:tcPr>
            <w:tcW w:w="300" w:type="dxa"/>
            <w:vAlign w:val="bottom"/>
          </w:tcPr>
          <w:p>
            <w:pPr>
              <w:spacing w:after="0"/>
              <w:rPr>
                <w:sz w:val="11"/>
                <w:szCs w:val="11"/>
                <w:color w:val="auto"/>
              </w:rPr>
            </w:pPr>
          </w:p>
        </w:tc>
        <w:tc>
          <w:tcPr>
            <w:tcW w:w="1160" w:type="dxa"/>
            <w:vAlign w:val="bottom"/>
          </w:tcPr>
          <w:p>
            <w:pPr>
              <w:jc w:val="center"/>
              <w:ind w:left="199"/>
              <w:spacing w:after="0" w:line="133"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ind w:right="196"/>
              <w:spacing w:after="0" w:line="133" w:lineRule="exact"/>
              <w:rPr>
                <w:sz w:val="20"/>
                <w:szCs w:val="20"/>
                <w:color w:val="auto"/>
              </w:rPr>
            </w:pPr>
            <w:r>
              <w:rPr>
                <w:rFonts w:ascii="Arial" w:cs="Arial" w:eastAsia="Arial" w:hAnsi="Arial"/>
                <w:sz w:val="14"/>
                <w:szCs w:val="14"/>
                <w:b w:val="1"/>
                <w:bCs w:val="1"/>
                <w:color w:val="auto"/>
                <w:w w:val="99"/>
              </w:rPr>
              <w:t>Marketing</w:t>
            </w:r>
          </w:p>
        </w:tc>
        <w:tc>
          <w:tcPr>
            <w:tcW w:w="100" w:type="dxa"/>
            <w:vAlign w:val="bottom"/>
          </w:tcPr>
          <w:p>
            <w:pPr>
              <w:spacing w:after="0"/>
              <w:rPr>
                <w:sz w:val="11"/>
                <w:szCs w:val="11"/>
                <w:color w:val="auto"/>
              </w:rPr>
            </w:pPr>
          </w:p>
        </w:tc>
      </w:tr>
      <w:tr>
        <w:trPr>
          <w:trHeight w:val="185"/>
        </w:trPr>
        <w:tc>
          <w:tcPr>
            <w:tcW w:w="4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Commissions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6"/>
                <w:szCs w:val="16"/>
                <w:color w:val="auto"/>
              </w:rPr>
            </w:pPr>
          </w:p>
        </w:tc>
        <w:tc>
          <w:tcPr>
            <w:tcW w:w="1160" w:type="dxa"/>
            <w:vAlign w:val="bottom"/>
            <w:tcBorders>
              <w:bottom w:val="single" w:sz="8" w:color="auto"/>
            </w:tcBorders>
          </w:tcPr>
          <w:p>
            <w:pPr>
              <w:jc w:val="center"/>
              <w:ind w:left="219"/>
              <w:spacing w:after="0"/>
              <w:rPr>
                <w:sz w:val="20"/>
                <w:szCs w:val="20"/>
                <w:color w:val="auto"/>
              </w:rPr>
            </w:pPr>
            <w:r>
              <w:rPr>
                <w:rFonts w:ascii="Arial" w:cs="Arial" w:eastAsia="Arial" w:hAnsi="Arial"/>
                <w:sz w:val="14"/>
                <w:szCs w:val="14"/>
                <w:b w:val="1"/>
                <w:bCs w:val="1"/>
                <w:color w:val="auto"/>
                <w:w w:val="89"/>
              </w:rPr>
              <w:t>Commissions</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Pr>
          <w:p>
            <w:pPr>
              <w:spacing w:after="0"/>
              <w:rPr>
                <w:sz w:val="16"/>
                <w:szCs w:val="16"/>
                <w:color w:val="auto"/>
              </w:rPr>
            </w:pPr>
          </w:p>
        </w:tc>
      </w:tr>
      <w:tr>
        <w:trPr>
          <w:trHeight w:val="237"/>
        </w:trPr>
        <w:tc>
          <w:tcPr>
            <w:tcW w:w="4360" w:type="dxa"/>
            <w:vAlign w:val="bottom"/>
            <w:gridSpan w:val="2"/>
            <w:shd w:val="clear" w:color="auto" w:fill="CFF0FC"/>
          </w:tcPr>
          <w:p>
            <w:pPr>
              <w:ind w:left="20"/>
              <w:spacing w:after="0" w:line="236" w:lineRule="exact"/>
              <w:rPr>
                <w:sz w:val="20"/>
                <w:szCs w:val="20"/>
                <w:color w:val="auto"/>
              </w:rPr>
            </w:pPr>
            <w:r>
              <w:rPr>
                <w:rFonts w:ascii="Arial" w:cs="Arial" w:eastAsia="Arial" w:hAnsi="Arial"/>
                <w:sz w:val="18"/>
                <w:szCs w:val="18"/>
                <w:color w:val="auto"/>
              </w:rPr>
              <w:t>Technology sales</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20"/>
                <w:szCs w:val="20"/>
                <w:color w:val="auto"/>
              </w:rPr>
            </w:pPr>
          </w:p>
        </w:tc>
      </w:tr>
      <w:tr>
        <w:trPr>
          <w:trHeight w:val="243"/>
        </w:trPr>
        <w:tc>
          <w:tcPr>
            <w:tcW w:w="43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Image enhancement and maintenance services</w:t>
            </w:r>
            <w:r>
              <w:rPr>
                <w:rFonts w:ascii="Arial" w:cs="Arial" w:eastAsia="Arial" w:hAnsi="Arial"/>
                <w:sz w:val="24"/>
                <w:szCs w:val="24"/>
                <w:color w:val="auto"/>
                <w:vertAlign w:val="superscript"/>
              </w:rPr>
              <w:t>(2)</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13,088</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21"/>
                <w:szCs w:val="21"/>
                <w:color w:val="auto"/>
              </w:rPr>
            </w:pPr>
          </w:p>
        </w:tc>
      </w:tr>
      <w:tr>
        <w:trPr>
          <w:trHeight w:val="243"/>
        </w:trPr>
        <w:tc>
          <w:tcPr>
            <w:tcW w:w="436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Technology rentals</w:t>
            </w:r>
            <w:r>
              <w:rPr>
                <w:rFonts w:ascii="Arial" w:cs="Arial" w:eastAsia="Arial" w:hAnsi="Arial"/>
                <w:sz w:val="24"/>
                <w:szCs w:val="24"/>
                <w:color w:val="auto"/>
                <w:vertAlign w:val="superscript"/>
              </w:rPr>
              <w:t>(3)</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(64 )</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FF0FC"/>
          </w:tcPr>
          <w:p>
            <w:pPr>
              <w:spacing w:after="0"/>
              <w:rPr>
                <w:sz w:val="21"/>
                <w:szCs w:val="21"/>
                <w:color w:val="auto"/>
              </w:rPr>
            </w:pPr>
          </w:p>
        </w:tc>
      </w:tr>
      <w:tr>
        <w:trPr>
          <w:trHeight w:val="230"/>
        </w:trPr>
        <w:tc>
          <w:tcPr>
            <w:tcW w:w="436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14,798</w:t>
            </w:r>
          </w:p>
        </w:tc>
        <w:tc>
          <w:tcPr>
            <w:tcW w:w="30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252</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12,990</w:t>
            </w:r>
          </w:p>
        </w:tc>
        <w:tc>
          <w:tcPr>
            <w:tcW w:w="100" w:type="dxa"/>
            <w:vAlign w:val="bottom"/>
            <w:tcBorders>
              <w:top w:val="single" w:sz="8" w:color="CFF0FC"/>
            </w:tcBorders>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-1619885</wp:posOffset>
            </wp:positionV>
            <wp:extent cx="77470" cy="3429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-1619885</wp:posOffset>
            </wp:positionV>
            <wp:extent cx="77470" cy="3429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-1619885</wp:posOffset>
            </wp:positionV>
            <wp:extent cx="68580" cy="3429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655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655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-290830</wp:posOffset>
            </wp:positionV>
            <wp:extent cx="77470"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-290830</wp:posOffset>
            </wp:positionV>
            <wp:extent cx="7747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-290830</wp:posOffset>
            </wp:positionV>
            <wp:extent cx="68580"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hanging="512"/>
        <w:spacing w:after="0" w:line="277"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commissions paid prior to the recognition of the related revenue are deferred and recognized upon the client acceptance of the IMAX System. Direct advertising and marketing costs for each IMAX System are expensed as incurred.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Film exploitation costs, including advertising and marketing costs, are expensed as incurred.</w:t>
      </w:r>
    </w:p>
    <w:p>
      <w:pPr>
        <w:spacing w:after="0" w:line="117" w:lineRule="exact"/>
        <w:rPr>
          <w:rFonts w:ascii="Arial" w:cs="Arial" w:eastAsia="Arial" w:hAnsi="Arial"/>
          <w:sz w:val="18"/>
          <w:szCs w:val="18"/>
          <w:color w:val="auto"/>
        </w:rPr>
      </w:pPr>
    </w:p>
    <w:p>
      <w:pPr>
        <w:jc w:val="both"/>
        <w:ind w:left="520" w:right="20" w:hanging="512"/>
        <w:spacing w:after="0" w:line="25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In the second quarter of 2022, a $0.3 million reversal of accrued commissions was recorded due to such performance-based adjustments. Direct advertising and marketing costs for each IMAX System are expensed as incurred.</w:t>
      </w:r>
    </w:p>
    <w:p>
      <w:pPr>
        <w:spacing w:after="0" w:line="146" w:lineRule="exact"/>
        <w:rPr>
          <w:rFonts w:ascii="Arial" w:cs="Arial" w:eastAsia="Arial" w:hAnsi="Arial"/>
          <w:sz w:val="18"/>
          <w:szCs w:val="18"/>
          <w:color w:val="auto"/>
        </w:rPr>
      </w:pPr>
    </w:p>
    <w:p>
      <w:pPr>
        <w:ind w:left="580" w:hanging="378"/>
        <w:spacing w:after="0"/>
        <w:tabs>
          <w:tab w:leader="none" w:pos="580"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w:t>
      </w:r>
    </w:p>
    <w:p>
      <w:pPr>
        <w:spacing w:after="0" w:line="185"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Included in Selling, General and Administrative Expenses for the three and nine months ended September 30, 2023 are foreign currency net losses of $(0.2) million and $(0.8) million, respectively, (2022 — net losses of $(1.2) million and $(3.0) million, respectively) resulting from changes in exchange rates related to foreign currency denominated monetary assets and liabilities. (See Note 15(c) for additional information.)</w:t>
      </w:r>
    </w:p>
    <w:p>
      <w:pPr>
        <w:spacing w:after="0" w:line="138" w:lineRule="exact"/>
        <w:rPr>
          <w:sz w:val="20"/>
          <w:szCs w:val="20"/>
          <w:color w:val="auto"/>
        </w:rPr>
      </w:pPr>
    </w:p>
    <w:p>
      <w:pPr>
        <w:ind w:left="620" w:hanging="418"/>
        <w:spacing w:after="0"/>
        <w:tabs>
          <w:tab w:leader="none" w:pos="6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Arrangements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85" w:lineRule="exact"/>
        <w:rPr>
          <w:sz w:val="20"/>
          <w:szCs w:val="20"/>
          <w:color w:val="auto"/>
        </w:rPr>
      </w:pPr>
    </w:p>
    <w:p>
      <w:pPr>
        <w:jc w:val="both"/>
        <w:ind w:right="20" w:firstLine="224"/>
        <w:spacing w:after="0" w:line="277" w:lineRule="auto"/>
        <w:rPr>
          <w:sz w:val="20"/>
          <w:szCs w:val="20"/>
          <w:color w:val="auto"/>
        </w:rPr>
      </w:pPr>
      <w:r>
        <w:rPr>
          <w:rFonts w:ascii="Arial" w:cs="Arial" w:eastAsia="Arial" w:hAnsi="Arial"/>
          <w:sz w:val="18"/>
          <w:szCs w:val="18"/>
          <w:color w:val="auto"/>
        </w:rPr>
        <w:t>The accounting policy for the Company’s joint revenue sharing arrangements is disclosed in Note 3(o) of the Company’s audited Consolidated Financial Statements in its 2022 Form 10-K.</w:t>
      </w:r>
    </w:p>
    <w:p>
      <w:pPr>
        <w:spacing w:after="0" w:line="143"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and nine months ended September 30, 2023, such revenues totaled $23.1 million and $63.8 million, respectively (2022 — $13.5 million and $46.2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ind w:left="240"/>
        <w:spacing w:after="0"/>
        <w:rPr>
          <w:sz w:val="20"/>
          <w:szCs w:val="20"/>
          <w:color w:val="auto"/>
        </w:rPr>
      </w:pPr>
      <w:r>
        <w:rPr>
          <w:rFonts w:ascii="Arial" w:cs="Arial" w:eastAsia="Arial" w:hAnsi="Arial"/>
          <w:sz w:val="18"/>
          <w:szCs w:val="18"/>
          <w:i w:val="1"/>
          <w:iCs w:val="1"/>
          <w:color w:val="auto"/>
        </w:rPr>
        <w:t>IMAX Film Remastering and Distribution</w:t>
      </w:r>
    </w:p>
    <w:p>
      <w:pPr>
        <w:spacing w:after="0" w:line="198"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In an IMAX film remastering and distribution (formerly known as “IMAX DMR”)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mainland China, where the Company receives a lower percentage of net box office receipts for certain Hollywood films. The accounting policy for the Company’s IMAX film remastering and distribution arrangements is disclosed in Note 3(o) of the Company’s audited Consolidated Financial Statements in its 2022 Form 10-K.</w:t>
      </w:r>
    </w:p>
    <w:p>
      <w:pPr>
        <w:spacing w:after="0" w:line="13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Revenue attributable to transactions arising between the Company and its customers under IMAX film remastering and distribution arrangements are included in Revenues – Image Enhancement and Maintenance Services. For the three and nine months ended September 30, 2023, such revenues totaled $42.5 million and $101.8 million, respectively, (2022 — $19.9 million and $67.1 million, respectively). (See Note 12(a) for a disaggregated presentation of the Company’s revenues.)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98"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4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As of September 30, 2023, the Company is party to one co-produced film arrangement, which represents the VIE total assets balance of $1.4 million and liabilities balance of $0.3 million, and four other co-produced film arrangements, the terms of which are similar. The accounting policies relating to co-produced film arrangements are disclosed in Notes 3(a) and 3(o) of the Company’s 2022 Form 10-K.</w:t>
      </w:r>
    </w:p>
    <w:p>
      <w:pPr>
        <w:spacing w:after="0" w:line="14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For the three and nine months ended September 30, 2023, an expense of $0.2 million and $0.5 million, respectively, (2022 — $0.2 million and $0.6 million, respectively) attributable to transactions between the Company and other parties involved in the production of the films have been included in Costs and Expenses Applicable to Revenues ― Image Enhancement and Maintenance Services.</w:t>
      </w:r>
    </w:p>
    <w:p>
      <w:pPr>
        <w:spacing w:after="0" w:line="153"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 Supplemental Information</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other operating assets and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0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0"/>
                <w:szCs w:val="20"/>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 (increase) in:</w:t>
            </w:r>
          </w:p>
        </w:tc>
        <w:tc>
          <w:tcPr>
            <w:tcW w:w="34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Financing receivables</w:t>
            </w:r>
          </w:p>
        </w:tc>
        <w:tc>
          <w:tcPr>
            <w:tcW w:w="38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5,096</w:t>
            </w:r>
          </w:p>
        </w:tc>
        <w:tc>
          <w:tcPr>
            <w:tcW w:w="28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3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(1,767 )</w:t>
            </w:r>
          </w:p>
        </w:tc>
        <w:tc>
          <w:tcPr>
            <w:tcW w:w="6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(2,006 )</w:t>
            </w: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Variable consideration receivables</w:t>
            </w:r>
          </w:p>
        </w:tc>
        <w:tc>
          <w:tcPr>
            <w:tcW w:w="3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(14,990 )</w:t>
            </w:r>
          </w:p>
        </w:tc>
        <w:tc>
          <w:tcPr>
            <w:tcW w:w="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3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(4,615 )</w:t>
            </w: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21"/>
                <w:szCs w:val="2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Increase (decrease) in:</w:t>
            </w:r>
          </w:p>
        </w:tc>
        <w:tc>
          <w:tcPr>
            <w:tcW w:w="3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3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FF0FC"/>
          </w:tcPr>
          <w:p>
            <w:pPr>
              <w:spacing w:after="0"/>
              <w:rPr>
                <w:sz w:val="21"/>
                <w:szCs w:val="21"/>
                <w:color w:val="auto"/>
              </w:rPr>
            </w:pPr>
          </w:p>
        </w:tc>
      </w:tr>
      <w:tr>
        <w:trPr>
          <w:trHeight w:val="243"/>
        </w:trPr>
        <w:tc>
          <w:tcPr>
            <w:tcW w:w="4060" w:type="dxa"/>
            <w:vAlign w:val="bottom"/>
          </w:tcPr>
          <w:p>
            <w:pPr>
              <w:ind w:left="120"/>
              <w:spacing w:after="0"/>
              <w:rPr>
                <w:sz w:val="20"/>
                <w:szCs w:val="20"/>
                <w:color w:val="auto"/>
              </w:rPr>
            </w:pPr>
            <w:r>
              <w:rPr>
                <w:rFonts w:ascii="Arial" w:cs="Arial" w:eastAsia="Arial" w:hAnsi="Arial"/>
                <w:sz w:val="18"/>
                <w:szCs w:val="18"/>
                <w:color w:val="auto"/>
              </w:rPr>
              <w:t>Accrued and other liabilities</w:t>
            </w:r>
          </w:p>
        </w:tc>
        <w:tc>
          <w:tcPr>
            <w:tcW w:w="3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gridSpan w:val="2"/>
          </w:tcPr>
          <w:p>
            <w:pPr>
              <w:jc w:val="right"/>
              <w:ind w:right="141"/>
              <w:spacing w:after="0"/>
              <w:rPr>
                <w:sz w:val="20"/>
                <w:szCs w:val="20"/>
                <w:color w:val="auto"/>
              </w:rPr>
            </w:pPr>
            <w:r>
              <w:rPr>
                <w:rFonts w:ascii="Arial" w:cs="Arial" w:eastAsia="Arial" w:hAnsi="Arial"/>
                <w:sz w:val="18"/>
                <w:szCs w:val="18"/>
                <w:color w:val="auto"/>
              </w:rPr>
              <w:t>(388 )</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(20,621 )</w:t>
            </w:r>
          </w:p>
        </w:tc>
      </w:tr>
      <w:tr>
        <w:trPr>
          <w:trHeight w:val="270"/>
        </w:trPr>
        <w:tc>
          <w:tcPr>
            <w:tcW w:w="4060" w:type="dxa"/>
            <w:vAlign w:val="bottom"/>
            <w:tcBorders>
              <w:bottom w:val="single" w:sz="8" w:color="CFF0FC"/>
            </w:tcBorders>
            <w:shd w:val="clear" w:color="auto" w:fill="CFF0FC"/>
          </w:tcPr>
          <w:p>
            <w:pPr>
              <w:spacing w:after="0"/>
              <w:rPr>
                <w:sz w:val="23"/>
                <w:szCs w:val="23"/>
                <w:color w:val="auto"/>
              </w:rPr>
            </w:pPr>
          </w:p>
        </w:tc>
        <w:tc>
          <w:tcPr>
            <w:tcW w:w="34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635"/>
        </w:trPr>
        <w:tc>
          <w:tcPr>
            <w:tcW w:w="4060" w:type="dxa"/>
            <w:vAlign w:val="bottom"/>
          </w:tcPr>
          <w:p>
            <w:pPr>
              <w:spacing w:after="0"/>
              <w:rPr>
                <w:sz w:val="24"/>
                <w:szCs w:val="24"/>
                <w:color w:val="auto"/>
              </w:rPr>
            </w:pPr>
          </w:p>
        </w:tc>
        <w:tc>
          <w:tcPr>
            <w:tcW w:w="3420" w:type="dxa"/>
            <w:vAlign w:val="bottom"/>
          </w:tcPr>
          <w:p>
            <w:pPr>
              <w:jc w:val="right"/>
              <w:ind w:right="1670"/>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-513715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-496570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Depreciation and amortization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15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7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Film assets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16,720</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13,249</w:t>
            </w:r>
          </w:p>
        </w:tc>
        <w:tc>
          <w:tcPr>
            <w:tcW w:w="100" w:type="dxa"/>
            <w:vAlign w:val="bottom"/>
            <w:shd w:val="clear" w:color="auto" w:fill="CFF0FC"/>
          </w:tcPr>
          <w:p>
            <w:pPr>
              <w:spacing w:after="0"/>
              <w:rPr>
                <w:sz w:val="20"/>
                <w:szCs w:val="20"/>
                <w:color w:val="auto"/>
              </w:rPr>
            </w:pPr>
          </w:p>
        </w:tc>
      </w:tr>
      <w:tr>
        <w:trPr>
          <w:trHeight w:val="23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Equipment supporting joint revenue sharing arrangements</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17,228</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16,639</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gridSpan w:val="2"/>
          </w:tcPr>
          <w:p>
            <w:pPr>
              <w:ind w:left="120"/>
              <w:spacing w:after="0" w:line="243" w:lineRule="exact"/>
              <w:rPr>
                <w:sz w:val="20"/>
                <w:szCs w:val="20"/>
                <w:color w:val="auto"/>
              </w:rPr>
            </w:pPr>
            <w:r>
              <w:rPr>
                <w:rFonts w:ascii="Arial" w:cs="Arial" w:eastAsia="Arial" w:hAnsi="Arial"/>
                <w:sz w:val="18"/>
                <w:szCs w:val="18"/>
                <w:color w:val="auto"/>
              </w:rPr>
              <w:t>Other property, plant and equipment</w:t>
            </w:r>
            <w:r>
              <w:rPr>
                <w:rFonts w:ascii="Arial" w:cs="Arial" w:eastAsia="Arial" w:hAnsi="Arial"/>
                <w:sz w:val="24"/>
                <w:szCs w:val="24"/>
                <w:color w:val="auto"/>
                <w:vertAlign w:val="superscript"/>
              </w:rPr>
              <w:t>(1)</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6,937</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21"/>
                <w:szCs w:val="21"/>
                <w:color w:val="auto"/>
              </w:rPr>
            </w:pPr>
          </w:p>
        </w:tc>
      </w:tr>
      <w:tr>
        <w:trPr>
          <w:trHeight w:val="243"/>
        </w:trPr>
        <w:tc>
          <w:tcPr>
            <w:tcW w:w="748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Other intangible assets</w:t>
            </w:r>
            <w:r>
              <w:rPr>
                <w:rFonts w:ascii="Arial" w:cs="Arial" w:eastAsia="Arial" w:hAnsi="Arial"/>
                <w:sz w:val="24"/>
                <w:szCs w:val="24"/>
                <w:color w:val="auto"/>
                <w:vertAlign w:val="superscript"/>
              </w:rPr>
              <w:t>(2)</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2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Other assets</w:t>
            </w:r>
            <w:r>
              <w:rPr>
                <w:rFonts w:ascii="Arial" w:cs="Arial" w:eastAsia="Arial" w:hAnsi="Arial"/>
                <w:sz w:val="24"/>
                <w:szCs w:val="24"/>
                <w:color w:val="auto"/>
                <w:vertAlign w:val="superscript"/>
              </w:rPr>
              <w:t>(3)</w:t>
            </w: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r>
      <w:tr>
        <w:trPr>
          <w:trHeight w:val="270"/>
        </w:trPr>
        <w:tc>
          <w:tcPr>
            <w:tcW w:w="1500" w:type="dxa"/>
            <w:vAlign w:val="bottom"/>
            <w:tcBorders>
              <w:bottom w:val="single" w:sz="8" w:color="CFF0FC"/>
            </w:tcBorders>
            <w:shd w:val="clear" w:color="auto" w:fill="CFF0FC"/>
          </w:tcPr>
          <w:p>
            <w:pPr>
              <w:spacing w:after="0"/>
              <w:rPr>
                <w:sz w:val="23"/>
                <w:szCs w:val="23"/>
                <w:color w:val="auto"/>
              </w:rPr>
            </w:pPr>
          </w:p>
        </w:tc>
        <w:tc>
          <w:tcPr>
            <w:tcW w:w="598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46,477</w:t>
            </w:r>
          </w:p>
        </w:tc>
        <w:tc>
          <w:tcPr>
            <w:tcW w:w="28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22"/>
        </w:trPr>
        <w:tc>
          <w:tcPr>
            <w:tcW w:w="1500" w:type="dxa"/>
            <w:vAlign w:val="bottom"/>
            <w:tcBorders>
              <w:bottom w:val="single" w:sz="8" w:color="auto"/>
            </w:tcBorders>
          </w:tcPr>
          <w:p>
            <w:pPr>
              <w:spacing w:after="0"/>
              <w:rPr>
                <w:sz w:val="10"/>
                <w:szCs w:val="10"/>
                <w:color w:val="auto"/>
              </w:rPr>
            </w:pPr>
          </w:p>
        </w:tc>
        <w:tc>
          <w:tcPr>
            <w:tcW w:w="5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-119380</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-102235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80" w:hanging="372"/>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amortization of laser projection systems, camera, and lens upgrades recorded in Research and Development on the Condensed Consolidated Statements of Operations of $0.4 million in the nine months ended September 30, 2023 (2022 — $0.6 million).</w:t>
      </w:r>
    </w:p>
    <w:p>
      <w:pPr>
        <w:spacing w:after="0" w:line="129"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amortization of licenses and intellectual property recorded in Research and Development on the Condensed Consolidated Statements of Operations of $1.0 million in the nine months ended September 30, 2023 (2022 — $1.0 million).</w:t>
      </w:r>
    </w:p>
    <w:p>
      <w:pPr>
        <w:spacing w:after="0" w:line="143" w:lineRule="exact"/>
        <w:rPr>
          <w:rFonts w:ascii="Arial" w:cs="Arial" w:eastAsia="Arial" w:hAnsi="Arial"/>
          <w:sz w:val="18"/>
          <w:szCs w:val="18"/>
          <w:color w:val="auto"/>
        </w:rPr>
      </w:pPr>
    </w:p>
    <w:p>
      <w:pPr>
        <w:ind w:left="380" w:hanging="372"/>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amortization of lessee incentives provided by the Company to its customers under joint revenue sharing arrangements.</w:t>
      </w:r>
    </w:p>
    <w:p>
      <w:pPr>
        <w:spacing w:after="0" w:line="184" w:lineRule="exact"/>
        <w:rPr>
          <w:rFonts w:ascii="Arial" w:cs="Arial" w:eastAsia="Arial" w:hAnsi="Arial"/>
          <w:sz w:val="18"/>
          <w:szCs w:val="18"/>
          <w:color w:val="auto"/>
        </w:rPr>
      </w:pPr>
    </w:p>
    <w:p>
      <w:pPr>
        <w:ind w:left="600" w:hanging="368"/>
        <w:spacing w:after="0"/>
        <w:tabs>
          <w:tab w:leader="none" w:pos="600" w:val="left"/>
        </w:tabs>
        <w:numPr>
          <w:ilvl w:val="1"/>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Write-downs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150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7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440" w:type="dxa"/>
            <w:vAlign w:val="bottom"/>
            <w:gridSpan w:val="2"/>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4"/>
                <w:szCs w:val="24"/>
                <w:color w:val="auto"/>
                <w:vertAlign w:val="superscript"/>
              </w:rPr>
              <w:t>(1)</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00" w:type="dxa"/>
            <w:vAlign w:val="bottom"/>
            <w:shd w:val="clear" w:color="auto" w:fill="CFF0FC"/>
          </w:tcPr>
          <w:p>
            <w:pPr>
              <w:spacing w:after="0"/>
              <w:rPr>
                <w:sz w:val="20"/>
                <w:szCs w:val="20"/>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gridSpan w:val="2"/>
            <w:shd w:val="clear" w:color="auto" w:fill="CFF0FC"/>
          </w:tcPr>
          <w:p>
            <w:pPr>
              <w:ind w:left="120"/>
              <w:spacing w:after="0" w:line="249" w:lineRule="exact"/>
              <w:rPr>
                <w:sz w:val="20"/>
                <w:szCs w:val="20"/>
                <w:color w:val="auto"/>
              </w:rPr>
            </w:pPr>
            <w:r>
              <w:rPr>
                <w:rFonts w:ascii="Arial" w:cs="Arial" w:eastAsia="Arial" w:hAnsi="Arial"/>
                <w:sz w:val="18"/>
                <w:szCs w:val="18"/>
                <w:color w:val="auto"/>
              </w:rPr>
              <w:t>Equipment supporting joint revenue sharing arrangements</w:t>
            </w:r>
            <w:r>
              <w:rPr>
                <w:rFonts w:ascii="Arial" w:cs="Arial" w:eastAsia="Arial" w:hAnsi="Arial"/>
                <w:sz w:val="24"/>
                <w:szCs w:val="24"/>
                <w:color w:val="auto"/>
                <w:vertAlign w:val="superscript"/>
              </w:rPr>
              <w:t>(2)</w:t>
            </w:r>
          </w:p>
        </w:tc>
        <w:tc>
          <w:tcPr>
            <w:tcW w:w="4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Other property, plant and equipment</w:t>
            </w: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49"/>
        </w:trPr>
        <w:tc>
          <w:tcPr>
            <w:tcW w:w="7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intangible assets</w:t>
            </w:r>
          </w:p>
        </w:tc>
        <w:tc>
          <w:tcPr>
            <w:tcW w:w="44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r>
      <w:tr>
        <w:trPr>
          <w:trHeight w:val="249"/>
        </w:trPr>
        <w:tc>
          <w:tcPr>
            <w:tcW w:w="7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Film assets</w:t>
            </w:r>
          </w:p>
        </w:tc>
        <w:tc>
          <w:tcPr>
            <w:tcW w:w="4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15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2"/>
        </w:trPr>
        <w:tc>
          <w:tcPr>
            <w:tcW w:w="1500" w:type="dxa"/>
            <w:vAlign w:val="bottom"/>
            <w:tcBorders>
              <w:bottom w:val="single" w:sz="8" w:color="auto"/>
            </w:tcBorders>
          </w:tcPr>
          <w:p>
            <w:pPr>
              <w:spacing w:after="0"/>
              <w:rPr>
                <w:sz w:val="10"/>
                <w:szCs w:val="10"/>
                <w:color w:val="auto"/>
              </w:rPr>
            </w:pPr>
          </w:p>
        </w:tc>
        <w:tc>
          <w:tcPr>
            <w:tcW w:w="5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-281940</wp:posOffset>
            </wp:positionV>
            <wp:extent cx="768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left="380" w:hanging="372"/>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 the nine months ended September 30, 2022, the Company recognized a full impairment of its RMB 30.0 million (4.5 million) investment in the film </w:t>
      </w:r>
      <w:r>
        <w:rPr>
          <w:rFonts w:ascii="Arial" w:cs="Arial" w:eastAsia="Arial" w:hAnsi="Arial"/>
          <w:sz w:val="18"/>
          <w:szCs w:val="18"/>
          <w:i w:val="1"/>
          <w:iCs w:val="1"/>
          <w:color w:val="auto"/>
        </w:rPr>
        <w:t xml:space="preserve">Mozart from Space </w:t>
      </w:r>
      <w:r>
        <w:rPr>
          <w:rFonts w:ascii="Arial" w:cs="Arial" w:eastAsia="Arial" w:hAnsi="Arial"/>
          <w:sz w:val="18"/>
          <w:szCs w:val="18"/>
          <w:color w:val="auto"/>
        </w:rPr>
        <w:t>based on projected box office results and distribution costs.</w:t>
      </w:r>
    </w:p>
    <w:p>
      <w:pPr>
        <w:spacing w:after="0" w:line="129" w:lineRule="exact"/>
        <w:rPr>
          <w:rFonts w:ascii="Arial" w:cs="Arial" w:eastAsia="Arial" w:hAnsi="Arial"/>
          <w:sz w:val="18"/>
          <w:szCs w:val="18"/>
          <w:color w:val="auto"/>
        </w:rPr>
      </w:pPr>
    </w:p>
    <w:p>
      <w:pPr>
        <w:jc w:val="both"/>
        <w:ind w:left="380" w:hanging="372"/>
        <w:spacing w:after="0" w:line="286"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nine months ended September 30, 2023, the Company recorded charges of $0.5 million (2022 ― $0.2 million) in Costs and Expenses Applicable to Revenues ― Technology Rentals mostly related to the write-down of leased xenon-based digital systems which were taken out of service in connection with customer upgrades to laser-based digital systems, as well as the closure of one IMAX System.</w:t>
      </w:r>
    </w:p>
    <w:p>
      <w:pPr>
        <w:spacing w:after="0" w:line="124" w:lineRule="exact"/>
        <w:rPr>
          <w:rFonts w:ascii="Arial" w:cs="Arial" w:eastAsia="Arial" w:hAnsi="Arial"/>
          <w:sz w:val="17"/>
          <w:szCs w:val="17"/>
          <w:color w:val="auto"/>
        </w:rPr>
      </w:pPr>
    </w:p>
    <w:p>
      <w:pPr>
        <w:ind w:left="600" w:hanging="368"/>
        <w:spacing w:after="0"/>
        <w:tabs>
          <w:tab w:leader="none" w:pos="600" w:val="left"/>
        </w:tabs>
        <w:numPr>
          <w:ilvl w:val="1"/>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non-cash investing activities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40" w:type="dxa"/>
            <w:vAlign w:val="bottom"/>
            <w:gridSpan w:val="3"/>
          </w:tcPr>
          <w:p>
            <w:pPr>
              <w:jc w:val="center"/>
              <w:ind w:right="1068"/>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74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center"/>
              <w:ind w:right="1068"/>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7440" w:type="dxa"/>
            <w:vAlign w:val="bottom"/>
          </w:tcPr>
          <w:p>
            <w:pPr>
              <w:spacing w:after="0"/>
              <w:rPr>
                <w:sz w:val="20"/>
                <w:szCs w:val="20"/>
                <w:color w:val="auto"/>
              </w:rPr>
            </w:pPr>
            <w:r>
              <w:rPr>
                <w:rFonts w:ascii="Arial" w:cs="Arial" w:eastAsia="Arial" w:hAnsi="Arial"/>
                <w:sz w:val="14"/>
                <w:szCs w:val="14"/>
                <w:i w:val="1"/>
                <w:iCs w:val="1"/>
                <w:color w:val="auto"/>
              </w:rPr>
              <w:t>(In thousands of U.S. Dollars)</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(decrease) increase in accruals related to:</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Cash consideration in respect of SSIMWAVE acquisition</w:t>
            </w:r>
          </w:p>
        </w:tc>
        <w:tc>
          <w:tcPr>
            <w:tcW w:w="27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2"/>
              </w:rPr>
              <w:t>Investment in equipment supporting joint revenue sharing arrangements</w:t>
            </w:r>
          </w:p>
        </w:tc>
        <w:tc>
          <w:tcPr>
            <w:tcW w:w="20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(493 )</w:t>
            </w:r>
          </w:p>
        </w:tc>
        <w:tc>
          <w:tcPr>
            <w:tcW w:w="6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120"/>
              <w:spacing w:after="0"/>
              <w:rPr>
                <w:sz w:val="20"/>
                <w:szCs w:val="20"/>
                <w:color w:val="auto"/>
              </w:rPr>
            </w:pPr>
            <w:r>
              <w:rPr>
                <w:rFonts w:ascii="Arial" w:cs="Arial" w:eastAsia="Arial" w:hAnsi="Arial"/>
                <w:sz w:val="18"/>
                <w:szCs w:val="18"/>
                <w:color w:val="auto"/>
              </w:rPr>
              <w:t>Acquisition of other intangible assets</w:t>
            </w:r>
          </w:p>
        </w:tc>
        <w:tc>
          <w:tcPr>
            <w:tcW w:w="2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(31 )</w:t>
            </w:r>
          </w:p>
        </w:tc>
        <w:tc>
          <w:tcPr>
            <w:tcW w:w="6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2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20" w:type="dxa"/>
            <w:vAlign w:val="bottom"/>
          </w:tcPr>
          <w:p>
            <w:pPr>
              <w:spacing w:after="0"/>
              <w:rPr>
                <w:sz w:val="20"/>
                <w:szCs w:val="20"/>
                <w:color w:val="auto"/>
              </w:rPr>
            </w:pPr>
          </w:p>
        </w:tc>
        <w:tc>
          <w:tcPr>
            <w:tcW w:w="27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(407 )</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40" w:type="dxa"/>
            <w:vAlign w:val="bottom"/>
            <w:vMerge w:val="restart"/>
          </w:tcPr>
          <w:p>
            <w:pPr>
              <w:jc w:val="right"/>
              <w:ind w:right="1650"/>
              <w:spacing w:after="0"/>
              <w:rPr>
                <w:sz w:val="20"/>
                <w:szCs w:val="20"/>
                <w:color w:val="auto"/>
              </w:rPr>
            </w:pPr>
            <w:r>
              <w:rPr>
                <w:rFonts w:ascii="Arial" w:cs="Arial" w:eastAsia="Arial" w:hAnsi="Arial"/>
                <w:sz w:val="18"/>
                <w:szCs w:val="18"/>
                <w:color w:val="auto"/>
              </w:rPr>
              <w:t>29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42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-676275</wp:posOffset>
            </wp:positionV>
            <wp:extent cx="7747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600" w:hanging="368"/>
        <w:spacing w:after="0"/>
        <w:tabs>
          <w:tab w:leader="none" w:pos="600" w:val="left"/>
        </w:tabs>
        <w:numPr>
          <w:ilvl w:val="1"/>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three months ended September 30, 2023, the Company recorded income tax expense of $6.6 million (2022 — $2.3 million). The Company’s effective tax rate differs from the combined Canadian federal and provincial statutory income tax rate due to the following factors: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214"/>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8"/>
                <w:szCs w:val="18"/>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rates)</w:t>
            </w:r>
          </w:p>
        </w:tc>
        <w:tc>
          <w:tcPr>
            <w:tcW w:w="160" w:type="dxa"/>
            <w:vAlign w:val="bottom"/>
          </w:tcPr>
          <w:p>
            <w:pPr>
              <w:spacing w:after="0"/>
              <w:rPr>
                <w:sz w:val="14"/>
                <w:szCs w:val="14"/>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4"/>
                <w:szCs w:val="14"/>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 at combined statutory rates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FF0FC"/>
          </w:tcPr>
          <w:p>
            <w:pPr>
              <w:spacing w:after="0"/>
              <w:rPr>
                <w:sz w:val="20"/>
                <w:szCs w:val="20"/>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Adjustments resulting from:</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 in valuation allowance</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(693 )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(4,264 )</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FF0FC"/>
          </w:tcPr>
          <w:p>
            <w:pPr>
              <w:spacing w:after="0"/>
              <w:rPr>
                <w:sz w:val="21"/>
                <w:szCs w:val="21"/>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Shortfall tax benefits related to share-based compensation</w:t>
            </w:r>
          </w:p>
        </w:tc>
        <w:tc>
          <w:tcPr>
            <w:tcW w:w="160" w:type="dxa"/>
            <w:vAlign w:val="bottom"/>
          </w:tcPr>
          <w:p>
            <w:pPr>
              <w:spacing w:after="0"/>
              <w:rPr>
                <w:sz w:val="20"/>
                <w:szCs w:val="20"/>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(2 )</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to tax reserves</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(292 )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(176 )</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21"/>
                <w:szCs w:val="21"/>
                <w:color w:val="auto"/>
              </w:rPr>
            </w:pPr>
          </w:p>
        </w:tc>
      </w:tr>
      <w:tr>
        <w:trPr>
          <w:trHeight w:val="215"/>
        </w:trPr>
        <w:tc>
          <w:tcPr>
            <w:tcW w:w="6320" w:type="dxa"/>
            <w:vAlign w:val="bottom"/>
          </w:tcPr>
          <w:p>
            <w:pPr>
              <w:ind w:left="200"/>
              <w:spacing w:after="0"/>
              <w:rPr>
                <w:sz w:val="20"/>
                <w:szCs w:val="20"/>
                <w:color w:val="auto"/>
              </w:rPr>
            </w:pPr>
            <w:r>
              <w:rPr>
                <w:rFonts w:ascii="Arial" w:cs="Arial" w:eastAsia="Arial" w:hAnsi="Arial"/>
                <w:sz w:val="18"/>
                <w:szCs w:val="18"/>
                <w:color w:val="auto"/>
                <w:w w:val="97"/>
              </w:rPr>
              <w:t>Changes to deferred tax assets and liabilities resulting from audit and other tax</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return adjustments</w:t>
            </w:r>
          </w:p>
        </w:tc>
        <w:tc>
          <w:tcPr>
            <w:tcW w:w="160" w:type="dxa"/>
            <w:vAlign w:val="bottom"/>
          </w:tcPr>
          <w:p>
            <w:pPr>
              <w:spacing w:after="0"/>
              <w:rPr>
                <w:sz w:val="20"/>
                <w:szCs w:val="20"/>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(430 )</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(102 )</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r>
      <w:tr>
        <w:trPr>
          <w:trHeight w:val="250"/>
        </w:trPr>
        <w:tc>
          <w:tcPr>
            <w:tcW w:w="6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(6,555 )</w:t>
            </w: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(2,348 )</w:t>
            </w:r>
          </w:p>
        </w:tc>
        <w:tc>
          <w:tcPr>
            <w:tcW w:w="10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-187960</wp:posOffset>
            </wp:positionV>
            <wp:extent cx="7747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68580"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7"/>
          <w:szCs w:val="17"/>
          <w:color w:val="auto"/>
        </w:rPr>
        <w:t>For the three months ended September 30, 2023, the Company recorded an additional $0.7 million (2022 — increase of $4.3 million) valuation allowance against deferred tax assets. The valuation allowance includes an increase of $0.7 million in reporting entities where it was concluded that it is more likely than not that the benefit from deferred tax assets will not be realized. Accordingly, the tax benefit associated with the current period losses in these reporting entities is not reflected in the Company’s Condensed Consolidated Statements of Operations. As of each reporting date, management considers further evidence, both positive and negative, that could affect its view of the future realization of deferred tax assets. As of September 30, 2023, management assessed whether sufficient future taxable income will be generated to permit use of existing deferred tax assets and concluded that it is more likely than not that the benefit from deferred tax assets will not be realized.</w:t>
      </w:r>
    </w:p>
    <w:p>
      <w:pPr>
        <w:spacing w:after="0" w:line="150"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nine months ended September 30, 2023, the Company recorded income tax expense of $14.9 million (2022 — $8.1 million). The Company’s effective tax rate differs from the combined Canadian federal and provincial statutory income tax rate due to the following factors: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4"/>
        </w:trPr>
        <w:tc>
          <w:tcPr>
            <w:tcW w:w="6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69"/>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 except rates)</w:t>
            </w:r>
          </w:p>
        </w:tc>
        <w:tc>
          <w:tcPr>
            <w:tcW w:w="160" w:type="dxa"/>
            <w:vAlign w:val="bottom"/>
          </w:tcPr>
          <w:p>
            <w:pPr>
              <w:spacing w:after="0"/>
              <w:rPr>
                <w:sz w:val="14"/>
                <w:szCs w:val="14"/>
                <w:color w:val="auto"/>
              </w:rPr>
            </w:pPr>
          </w:p>
        </w:tc>
        <w:tc>
          <w:tcPr>
            <w:tcW w:w="114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36"/>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 at combined statutory rates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(11,834</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4,205</w:t>
            </w:r>
          </w:p>
        </w:tc>
        <w:tc>
          <w:tcPr>
            <w:tcW w:w="28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Adjustments resulting from:</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Increase of valuation allowance</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(2,377 )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(14,699 )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Shortfall excess tax benefits related to share-based compensation</w:t>
            </w:r>
          </w:p>
        </w:tc>
        <w:tc>
          <w:tcPr>
            <w:tcW w:w="1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(83 )</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(154 )</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9"/>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to tax reserves</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(841 )</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(587 )</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5"/>
        </w:trPr>
        <w:tc>
          <w:tcPr>
            <w:tcW w:w="6320" w:type="dxa"/>
            <w:vAlign w:val="bottom"/>
          </w:tcPr>
          <w:p>
            <w:pPr>
              <w:ind w:left="200"/>
              <w:spacing w:after="0"/>
              <w:rPr>
                <w:sz w:val="20"/>
                <w:szCs w:val="20"/>
                <w:color w:val="auto"/>
              </w:rPr>
            </w:pPr>
            <w:r>
              <w:rPr>
                <w:rFonts w:ascii="Arial" w:cs="Arial" w:eastAsia="Arial" w:hAnsi="Arial"/>
                <w:sz w:val="18"/>
                <w:szCs w:val="18"/>
                <w:color w:val="auto"/>
                <w:w w:val="97"/>
              </w:rPr>
              <w:t>Changes to deferred tax assets and liabilities resulting from audit and other tax</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return adjustments</w:t>
            </w:r>
          </w:p>
        </w:tc>
        <w:tc>
          <w:tcPr>
            <w:tcW w:w="160" w:type="dxa"/>
            <w:vAlign w:val="bottom"/>
          </w:tcPr>
          <w:p>
            <w:pPr>
              <w:spacing w:after="0"/>
              <w:rPr>
                <w:sz w:val="20"/>
                <w:szCs w:val="20"/>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(609 )</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2,395</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0"/>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300" w:type="dxa"/>
            <w:vAlign w:val="bottom"/>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8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(14,901</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554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 w:name="page31"/>
    <w:bookmarkEnd w:id="30"/>
    <w:p>
      <w:pPr>
        <w:jc w:val="both"/>
        <w:ind w:firstLine="224"/>
        <w:spacing w:after="0" w:line="269" w:lineRule="auto"/>
        <w:rPr>
          <w:sz w:val="20"/>
          <w:szCs w:val="20"/>
          <w:color w:val="auto"/>
        </w:rPr>
      </w:pPr>
      <w:r>
        <w:rPr>
          <w:rFonts w:ascii="Arial" w:cs="Arial" w:eastAsia="Arial" w:hAnsi="Arial"/>
          <w:sz w:val="17"/>
          <w:szCs w:val="17"/>
          <w:color w:val="auto"/>
        </w:rPr>
        <w:t>As of September 30, 2023, the Company’s Condensed Consolidated Balance Sheets include deferred income tax assets of $12.0 million, net of a valuation allowance of $65.2 million (December 31, 2022 — $9.9 million, net of a valuation allowance of $62.9 million). A net increase of $2.4 million in the valuation allowance recorded in the nine months ended September 30, 2023, includes an increase of $3.7 million in reporting entities where it was concluded that it is more likely than not that the benefit from deferred tax assets will not be realized, partially offset by a decrease of $1.3 million related to the recognition of certain losses in IMAX China that management now considers to be realizable. Accordingly, the tax benefit associated with the current period losses in these reporting entities is not reflected in the Company's Condensed Consolidated Statements of Operations. The valuation allowance is determined at the level of each reporting entity and is expected to reverse at the point in time when management determines it is more likely than not that the reporting entity will incur sufficient tax liabilities to allow it to utilize the deferred tax assets against which the valuation allowance is recorded. As of each reporting date, management considers further evidence, both positive and negative, that could affect its view of the future realization of deferred tax assets. As of September 30, 2023, management assessed whether sufficient future taxable income will be generated to permit use of existing deferred tax assets and concluded that it is more likely than not that the benefit from deferred tax assets will not be realized.</w:t>
      </w:r>
    </w:p>
    <w:p>
      <w:pPr>
        <w:spacing w:after="0" w:line="15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As of September 30, 2023, the Company’s Condensed Consolidated Balance Sheets also include deferred tax liabilities of $13.3 million (December 31, 2022 — $14.9 million) primarily related to foreign withholding taxes associated with the remaining balance of unrepatriated historical earnings that will not be indefinitely reinvested outside of Canada.</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Income Tax Effect on Other Comprehensive Income (Loss)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(Expense) Benefit related to the components of Other Comprehensive Income (Loss)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5"/>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6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9"/>
                <w:szCs w:val="19"/>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40" w:type="dxa"/>
            <w:vAlign w:val="bottom"/>
          </w:tcPr>
          <w:p>
            <w:pPr>
              <w:spacing w:after="0"/>
              <w:rPr>
                <w:sz w:val="18"/>
                <w:szCs w:val="18"/>
                <w:color w:val="auto"/>
              </w:rPr>
            </w:pPr>
          </w:p>
        </w:tc>
        <w:tc>
          <w:tcPr>
            <w:tcW w:w="880" w:type="dxa"/>
            <w:vAlign w:val="bottom"/>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34"/>
              <w:spacing w:after="0"/>
              <w:rPr>
                <w:sz w:val="20"/>
                <w:szCs w:val="20"/>
                <w:color w:val="auto"/>
              </w:rPr>
            </w:pPr>
            <w:r>
              <w:rPr>
                <w:rFonts w:ascii="Arial" w:cs="Arial" w:eastAsia="Arial" w:hAnsi="Arial"/>
                <w:sz w:val="14"/>
                <w:szCs w:val="14"/>
                <w:b w:val="1"/>
                <w:bCs w:val="1"/>
                <w:color w:val="auto"/>
                <w:w w:val="89"/>
              </w:rPr>
              <w:t>2022</w:t>
            </w:r>
          </w:p>
        </w:tc>
      </w:tr>
      <w:tr>
        <w:trPr>
          <w:trHeight w:val="236"/>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change in cash flow hedging instruments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411</w:t>
            </w: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20"/>
                <w:szCs w:val="20"/>
                <w:color w:val="auto"/>
              </w:rPr>
            </w:pPr>
          </w:p>
        </w:tc>
        <w:tc>
          <w:tcPr>
            <w:tcW w:w="38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488</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Realized change in cash flow hedging instruments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(46 )</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Defined benefit and postretirement benefit plans</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(36 )</w:t>
            </w:r>
          </w:p>
        </w:tc>
      </w:tr>
      <w:tr>
        <w:trPr>
          <w:trHeight w:val="237"/>
        </w:trPr>
        <w:tc>
          <w:tcPr>
            <w:tcW w:w="6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274</w:t>
            </w:r>
          </w:p>
        </w:tc>
        <w:tc>
          <w:tcPr>
            <w:tcW w:w="8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380</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8"/>
              <w:spacing w:after="0"/>
              <w:rPr>
                <w:sz w:val="20"/>
                <w:szCs w:val="20"/>
                <w:color w:val="auto"/>
              </w:rPr>
            </w:pPr>
            <w:r>
              <w:rPr>
                <w:rFonts w:ascii="Arial" w:cs="Arial" w:eastAsia="Arial" w:hAnsi="Arial"/>
                <w:sz w:val="18"/>
                <w:szCs w:val="18"/>
                <w:color w:val="auto"/>
              </w:rPr>
              <w:t>30</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408</w:t>
            </w:r>
          </w:p>
        </w:tc>
      </w:tr>
      <w:tr>
        <w:trPr>
          <w:trHeight w:val="20"/>
        </w:trPr>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-187960</wp:posOffset>
            </wp:positionV>
            <wp:extent cx="9398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85725"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-187960</wp:posOffset>
            </wp:positionV>
            <wp:extent cx="6858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Reserves</w:t>
      </w:r>
    </w:p>
    <w:p>
      <w:pPr>
        <w:spacing w:after="0" w:line="188" w:lineRule="exact"/>
        <w:rPr>
          <w:rFonts w:ascii="Arial" w:cs="Arial" w:eastAsia="Arial" w:hAnsi="Arial"/>
          <w:sz w:val="18"/>
          <w:szCs w:val="18"/>
          <w:b w:val="1"/>
          <w:bCs w:val="1"/>
          <w:color w:val="auto"/>
        </w:rPr>
      </w:pPr>
    </w:p>
    <w:p>
      <w:pPr>
        <w:ind w:left="600" w:hanging="377"/>
        <w:spacing w:after="0"/>
        <w:tabs>
          <w:tab w:leader="none" w:pos="600" w:val="left"/>
        </w:tabs>
        <w:numPr>
          <w:ilvl w:val="1"/>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98" w:lineRule="exact"/>
        <w:rPr>
          <w:sz w:val="20"/>
          <w:szCs w:val="20"/>
          <w:color w:val="auto"/>
        </w:rPr>
      </w:pPr>
    </w:p>
    <w:p>
      <w:pPr>
        <w:ind w:firstLine="224"/>
        <w:spacing w:after="0" w:line="342" w:lineRule="auto"/>
        <w:rPr>
          <w:sz w:val="20"/>
          <w:szCs w:val="20"/>
          <w:color w:val="auto"/>
        </w:rPr>
      </w:pPr>
      <w:r>
        <w:rPr>
          <w:rFonts w:ascii="Arial" w:cs="Arial" w:eastAsia="Arial" w:hAnsi="Arial"/>
          <w:sz w:val="16"/>
          <w:szCs w:val="16"/>
          <w:color w:val="auto"/>
        </w:rPr>
        <w:t>For the three and nine months ended September 30, 2023, share-based compensation expense totaled $5.2 million and $17.1 million, respectively, (2022 — $5.4 million and $19.1 million, respectively) and is reflected in the following accounts in the Condensed Consolidated Statements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r>
      <w:tr>
        <w:trPr>
          <w:trHeight w:val="228"/>
        </w:trPr>
        <w:tc>
          <w:tcPr>
            <w:tcW w:w="4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 applicable to revenues</w:t>
            </w: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FF0FC"/>
          </w:tcPr>
          <w:p>
            <w:pPr>
              <w:spacing w:after="0"/>
              <w:rPr>
                <w:sz w:val="20"/>
                <w:szCs w:val="20"/>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16,537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tcPr>
          <w:p>
            <w:pPr>
              <w:spacing w:after="0"/>
              <w:rPr>
                <w:sz w:val="20"/>
                <w:szCs w:val="20"/>
                <w:color w:val="auto"/>
              </w:rPr>
            </w:pPr>
          </w:p>
        </w:tc>
      </w:tr>
      <w:tr>
        <w:trPr>
          <w:trHeight w:val="24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FF0FC"/>
          </w:tcPr>
          <w:p>
            <w:pPr>
              <w:spacing w:after="0"/>
              <w:rPr>
                <w:sz w:val="21"/>
                <w:szCs w:val="2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Executive transition costs</w:t>
            </w: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(499 )</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7"/>
        </w:trPr>
        <w:tc>
          <w:tcPr>
            <w:tcW w:w="438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17,100</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4380" w:type="dxa"/>
            <w:vAlign w:val="bottom"/>
          </w:tcPr>
          <w:p>
            <w:pPr>
              <w:spacing w:after="0"/>
              <w:rPr>
                <w:sz w:val="24"/>
                <w:szCs w:val="24"/>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-504825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-487680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-504825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-487680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-504825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-487680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color w:val="auto"/>
        </w:rPr>
        <w:t>The following table summarizes the Company’s share-based compensation expense by each award type: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5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Pr>
          <w:p>
            <w:pPr>
              <w:spacing w:after="0"/>
              <w:rPr>
                <w:sz w:val="19"/>
                <w:szCs w:val="19"/>
                <w:color w:val="auto"/>
              </w:rPr>
            </w:pPr>
          </w:p>
        </w:tc>
        <w:tc>
          <w:tcPr>
            <w:tcW w:w="10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449</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Restricted Share Units</w:t>
            </w:r>
          </w:p>
        </w:tc>
        <w:tc>
          <w:tcPr>
            <w:tcW w:w="28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3,516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9,880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11,405</w:t>
            </w: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Stock Units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1,864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4,909</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5,317</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IMAX China Stock Options</w:t>
            </w:r>
          </w:p>
        </w:tc>
        <w:tc>
          <w:tcPr>
            <w:tcW w:w="280" w:type="dxa"/>
            <w:vAlign w:val="bottom"/>
          </w:tcPr>
          <w:p>
            <w:pPr>
              <w:spacing w:after="0"/>
              <w:rPr>
                <w:sz w:val="20"/>
                <w:szCs w:val="20"/>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w:t>
            </w:r>
          </w:p>
        </w:tc>
      </w:tr>
      <w:tr>
        <w:trPr>
          <w:trHeight w:val="249"/>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IMAX China Long Term Incentive Plan Restricted Share Units</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1,816</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1,712</w:t>
            </w: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IMAX China Long Term Incentive Plan Performance Stock Units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w:t>
            </w:r>
          </w:p>
        </w:tc>
      </w:tr>
      <w:tr>
        <w:trPr>
          <w:trHeight w:val="277"/>
        </w:trPr>
        <w:tc>
          <w:tcPr>
            <w:tcW w:w="57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5,218</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5,404</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17,100</w:t>
            </w:r>
          </w:p>
        </w:tc>
        <w:tc>
          <w:tcPr>
            <w:tcW w:w="1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-25400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three and nine months ended September 30, 2023, the Company's share-based compensation expense includes nil and $1.7 million related to restricted share units granted to non-employees (2022 — nil and $1.3 million).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Summary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summarizes the activity under the Company’s Stock Option Plan (“SOP”) and the IMAX Corporation Second Amended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Restated Long-Term Incentive Plan (as may be amended, “IMAX LTIP”) for the nine months ended September 30, 2023 and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500" w:type="dxa"/>
            <w:vAlign w:val="bottom"/>
            <w:gridSpan w:val="3"/>
            <w:vMerge w:val="restart"/>
          </w:tcPr>
          <w:p>
            <w:pPr>
              <w:jc w:val="right"/>
              <w:ind w:right="65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Price Per Share</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3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473"/>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outstanding, beginning of period</w:t>
            </w:r>
          </w:p>
        </w:tc>
        <w:tc>
          <w:tcPr>
            <w:tcW w:w="11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3,604,739</w:t>
            </w:r>
          </w:p>
        </w:tc>
        <w:tc>
          <w:tcPr>
            <w:tcW w:w="14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3,736,157</w:t>
            </w: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Expired</w:t>
            </w:r>
          </w:p>
        </w:tc>
        <w:tc>
          <w:tcPr>
            <w:tcW w:w="1180" w:type="dxa"/>
            <w:vAlign w:val="bottom"/>
          </w:tcPr>
          <w:p>
            <w:pPr>
              <w:jc w:val="right"/>
              <w:spacing w:after="0"/>
              <w:rPr>
                <w:sz w:val="20"/>
                <w:szCs w:val="20"/>
                <w:color w:val="auto"/>
              </w:rPr>
            </w:pPr>
            <w:r>
              <w:rPr>
                <w:rFonts w:ascii="Arial" w:cs="Arial" w:eastAsia="Arial" w:hAnsi="Arial"/>
                <w:sz w:val="18"/>
                <w:szCs w:val="18"/>
                <w:color w:val="auto"/>
              </w:rPr>
              <w:t>(275,317 )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(126,569 )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49"/>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Cancelled</w:t>
            </w: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(4,849 )</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36"/>
        </w:trPr>
        <w:tc>
          <w:tcPr>
            <w:tcW w:w="5960" w:type="dxa"/>
            <w:vAlign w:val="bottom"/>
          </w:tcPr>
          <w:p>
            <w:pPr>
              <w:ind w:left="20"/>
              <w:spacing w:after="0"/>
              <w:rPr>
                <w:sz w:val="20"/>
                <w:szCs w:val="20"/>
                <w:color w:val="auto"/>
              </w:rPr>
            </w:pPr>
            <w:r>
              <w:rPr>
                <w:rFonts w:ascii="Arial" w:cs="Arial" w:eastAsia="Arial" w:hAnsi="Arial"/>
                <w:sz w:val="18"/>
                <w:szCs w:val="18"/>
                <w:color w:val="auto"/>
              </w:rPr>
              <w:t>Stock options outstanding, end of period</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3,329,422</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3,604,739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Stock options exercisable, end of period</w:t>
            </w:r>
          </w:p>
        </w:tc>
        <w:tc>
          <w:tcPr>
            <w:tcW w:w="11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3,329,422</w:t>
            </w:r>
          </w:p>
        </w:tc>
        <w:tc>
          <w:tcPr>
            <w:tcW w:w="14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3,523,032</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-367665</wp:posOffset>
            </wp:positionV>
            <wp:extent cx="7747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-367665</wp:posOffset>
            </wp:positionV>
            <wp:extent cx="6858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options are no longer granted under the Company’s previously approved SOP.</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LTIP Restricted Share Units (“RSU”) Summary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respect of RSUs issued under the IMAX LTIP for the nine months ended September 30,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500" w:type="dxa"/>
            <w:vAlign w:val="bottom"/>
            <w:gridSpan w:val="3"/>
            <w:vMerge w:val="restart"/>
          </w:tcPr>
          <w:p>
            <w:pPr>
              <w:jc w:val="right"/>
              <w:ind w:right="630"/>
              <w:spacing w:after="0"/>
              <w:rPr>
                <w:sz w:val="20"/>
                <w:szCs w:val="20"/>
                <w:color w:val="auto"/>
              </w:rPr>
            </w:pPr>
            <w:r>
              <w:rPr>
                <w:rFonts w:ascii="Arial" w:cs="Arial" w:eastAsia="Arial" w:hAnsi="Arial"/>
                <w:sz w:val="14"/>
                <w:szCs w:val="14"/>
                <w:b w:val="1"/>
                <w:bCs w:val="1"/>
                <w:color w:val="auto"/>
              </w:rPr>
              <w:t>Number of Awards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Weighted Average Grant Date</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1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3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outstanding, beginning of period</w:t>
            </w:r>
          </w:p>
        </w:tc>
        <w:tc>
          <w:tcPr>
            <w:tcW w:w="11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1,252,044</w:t>
            </w:r>
          </w:p>
        </w:tc>
        <w:tc>
          <w:tcPr>
            <w:tcW w:w="14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1,457,883</w:t>
            </w:r>
          </w:p>
        </w:tc>
        <w:tc>
          <w:tcPr>
            <w:tcW w:w="1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898,680</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694,131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4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settled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(742,406 )</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(714,496 )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18.68</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180" w:type="dxa"/>
            <w:vAlign w:val="bottom"/>
          </w:tcPr>
          <w:p>
            <w:pPr>
              <w:jc w:val="right"/>
              <w:spacing w:after="0"/>
              <w:rPr>
                <w:sz w:val="20"/>
                <w:szCs w:val="20"/>
                <w:color w:val="auto"/>
              </w:rPr>
            </w:pPr>
            <w:r>
              <w:rPr>
                <w:rFonts w:ascii="Arial" w:cs="Arial" w:eastAsia="Arial" w:hAnsi="Arial"/>
                <w:sz w:val="18"/>
                <w:szCs w:val="18"/>
                <w:color w:val="auto"/>
              </w:rPr>
              <w:t>(95,510 )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(108,504 )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19.22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RSUs outstanding, end of period</w:t>
            </w:r>
          </w:p>
        </w:tc>
        <w:tc>
          <w:tcPr>
            <w:tcW w:w="11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1,312,808</w:t>
            </w:r>
          </w:p>
        </w:tc>
        <w:tc>
          <w:tcPr>
            <w:tcW w:w="1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1,329,014</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774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774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LTIP Performance Stock Units (“PSU”) Summary</w:t>
      </w:r>
    </w:p>
    <w:p>
      <w:pPr>
        <w:spacing w:after="0" w:line="198"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Company grants two types of PSU awards, one which vests based on a combination of employee service and the achievement of certain EBITDA-based targets and one which vests based on a combination of employee service and the achievement of total shareholder return (“TSR”) targets. The achievement of the EBITDA and TSR targets in these PSUs is determined over a three-year performance period. At the conclusion of the three-year performance period, the number of PSUs that ultimately vest can range from 0% to a maximum vesting opportunity of 175% of the initial award, depending upon actual performance versus the established EBITDA and stock-price targets.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jc w:val="both"/>
        <w:ind w:firstLine="224"/>
        <w:spacing w:after="0" w:line="257" w:lineRule="auto"/>
        <w:rPr>
          <w:sz w:val="20"/>
          <w:szCs w:val="20"/>
          <w:color w:val="auto"/>
        </w:rPr>
      </w:pPr>
      <w:r>
        <w:rPr>
          <w:rFonts w:ascii="Arial" w:cs="Arial" w:eastAsia="Arial" w:hAnsi="Arial"/>
          <w:sz w:val="18"/>
          <w:szCs w:val="18"/>
          <w:color w:val="auto"/>
        </w:rPr>
        <w:t>The grant date fair value of PSUs with EBITDA-based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161"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46"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The amount and timing of compensation expense recognized for PSUs with EBITDA-based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nine months ended September 30, 2023 and 2022 includes adjustments reflecting management’s estimate of the number of PSUs with EBITDA-based targets expected to vest.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activity in respect of PSUs issued under the IMAX LTIP for the nine months ended September 30,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4"/>
                <w:szCs w:val="14"/>
                <w:color w:val="auto"/>
              </w:rPr>
            </w:pPr>
          </w:p>
        </w:tc>
        <w:tc>
          <w:tcPr>
            <w:tcW w:w="23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9"/>
              </w:rPr>
              <w:t>Weighted Average Grant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Fair Value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PSUs outstanding, beginning of period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931,716</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613,405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Granted</w:t>
            </w:r>
            <w:r>
              <w:rPr>
                <w:rFonts w:ascii="Arial" w:cs="Arial" w:eastAsia="Arial" w:hAnsi="Arial"/>
                <w:sz w:val="24"/>
                <w:szCs w:val="24"/>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585,602</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359,138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(215,376 )</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(37,266 )</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Vested and settled</w:t>
            </w:r>
            <w:r>
              <w:rPr>
                <w:rFonts w:ascii="Arial" w:cs="Arial" w:eastAsia="Arial" w:hAnsi="Arial"/>
                <w:sz w:val="24"/>
                <w:szCs w:val="24"/>
                <w:color w:val="auto"/>
                <w:vertAlign w:val="superscript"/>
              </w:rPr>
              <w:t>(1)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(368,602 )</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PSUs outstanding, end of period</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933,340</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935,277</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-119380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-102235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-119380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-102235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380" w:hanging="372"/>
        <w:spacing w:after="0" w:line="34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the nine months ended September 30, 2023, the balance of shares granted includes 157,963 additional shares, at a weighted average grant date fair value per share of $16.92, as PSUs granted in 2020 with EBITDA-based targets vested at 175% on account of full achievement of the targets.</w:t>
      </w:r>
    </w:p>
    <w:p>
      <w:pPr>
        <w:spacing w:after="0" w:line="124" w:lineRule="exact"/>
        <w:rPr>
          <w:sz w:val="20"/>
          <w:szCs w:val="20"/>
          <w:color w:val="auto"/>
        </w:rPr>
      </w:pPr>
    </w:p>
    <w:p>
      <w:pPr>
        <w:jc w:val="both"/>
        <w:ind w:right="20" w:firstLine="224"/>
        <w:spacing w:after="0" w:line="277" w:lineRule="auto"/>
        <w:rPr>
          <w:sz w:val="20"/>
          <w:szCs w:val="20"/>
          <w:color w:val="auto"/>
        </w:rPr>
      </w:pPr>
      <w:r>
        <w:rPr>
          <w:rFonts w:ascii="Arial" w:cs="Arial" w:eastAsia="Arial" w:hAnsi="Arial"/>
          <w:sz w:val="18"/>
          <w:szCs w:val="18"/>
          <w:color w:val="auto"/>
        </w:rPr>
        <w:t>As of September 30, 2023, the maximum number of shares of common stock that may be issued with respect to PSUs outstanding is 1,610,087, assuming full achievement of the EBITDA and TSR targets.</w:t>
      </w:r>
    </w:p>
    <w:p>
      <w:pPr>
        <w:spacing w:after="0" w:line="143"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Issuer Purchases of Equity Securities</w:t>
      </w:r>
    </w:p>
    <w:p>
      <w:pPr>
        <w:spacing w:after="0" w:line="185"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6"/>
          <w:szCs w:val="16"/>
          <w:color w:val="auto"/>
        </w:rPr>
        <w:t>On June 12, 2017, the Company announced that its Board of Directors approved a $200.0 million share repurchase program for its common shares that would have expired on June 30, 2020, which was subsequently extended for a 12-month period in 2020, 2021, and 2023 and increased in the total share repurchase authority to $400.0 million. In 2023, the Company’s Board of Directors approved a 36-month extension to its share repurchase program through June 30, 2026. As of September 30, 2023, the Company has $191.2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26"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7"/>
          <w:szCs w:val="17"/>
          <w:color w:val="auto"/>
        </w:rPr>
        <w:t>During the three and nine months ended September 30, 2023, the Company repurchased 13,981 and 144,482 common shares, respectively, at an average price of $18.00 and $15.47 per share, respectively, for a total of $0.3 million and $2.2 million, respectively, excluding commissions. The repurchases for the nine months ended September 30, 2023 excludes repurchases of 140,000 shares with trade dates in December 2022, which were settled in January 2023 at an average price of $14.45 per share, for a total of $2.0 million, excluding commissions. During the three and nine months ended September 30, 2022, the Company repurchased 418,496 and 3,501,696 common shares, respectively, at an average price of $14.62 and $15.82 per share, for a total of $6.1 million and $55.4 million, respectively, excluding commissions. During the nine months ended September 30, 2023 and 2022, there were no shares purchases in the administration of employee share-based plans.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jc w:val="both"/>
        <w:ind w:right="20" w:firstLine="224"/>
        <w:spacing w:after="0" w:line="277" w:lineRule="auto"/>
        <w:rPr>
          <w:sz w:val="20"/>
          <w:szCs w:val="20"/>
          <w:color w:val="auto"/>
        </w:rPr>
      </w:pPr>
      <w:r>
        <w:rPr>
          <w:rFonts w:ascii="Arial" w:cs="Arial" w:eastAsia="Arial" w:hAnsi="Arial"/>
          <w:sz w:val="18"/>
          <w:szCs w:val="18"/>
          <w:color w:val="auto"/>
        </w:rPr>
        <w:t>Subsequent to September 30, 2023 and through October 24, 2023, the Company repurchased 229,598 common shares at an average price of $17.85 per share for a total cost of $4.1 million, excluding commission.</w:t>
      </w:r>
    </w:p>
    <w:p>
      <w:pPr>
        <w:spacing w:after="0" w:line="143" w:lineRule="exact"/>
        <w:rPr>
          <w:sz w:val="20"/>
          <w:szCs w:val="20"/>
          <w:color w:val="auto"/>
        </w:rPr>
      </w:pPr>
    </w:p>
    <w:p>
      <w:pPr>
        <w:jc w:val="both"/>
        <w:ind w:right="20" w:firstLine="224"/>
        <w:spacing w:after="0" w:line="277" w:lineRule="auto"/>
        <w:rPr>
          <w:sz w:val="20"/>
          <w:szCs w:val="20"/>
          <w:color w:val="auto"/>
        </w:rPr>
      </w:pPr>
      <w:r>
        <w:rPr>
          <w:rFonts w:ascii="Arial" w:cs="Arial" w:eastAsia="Arial" w:hAnsi="Arial"/>
          <w:sz w:val="18"/>
          <w:szCs w:val="18"/>
          <w:color w:val="auto"/>
        </w:rPr>
        <w:t>As of September 30, 2023 and December 31, 2022, the IMAX LTIP trustee did not hold any shares. Any shares held with the trustee are recorded at cost and are reported as a reduction against Capital Stock on the Company’s Condensed Consolidated Balance Sheets.</w:t>
      </w:r>
    </w:p>
    <w:p>
      <w:pPr>
        <w:spacing w:after="0" w:line="130"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In 2022, IMAX China's shareholders granted its Board of Directors a general mandate authorizing the Board, subject to applicable laws, to repurchase shares of IMAX China not to exceed 10% of the total number of issued shares as of June 23, 2022 (34,063,480 shares). This program expired on the date of the 2023 Annual General Meeting of IMAX China on June 6, 2023. During the 2023 Annual General Meeting, shareholders approved the repurchase of shares of IMAX China not to exceed 10% of the total number of shares as of June 6, 2023 (33,959,314 shares). This program will be valid until the 2024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124"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6"/>
          <w:szCs w:val="16"/>
          <w:color w:val="auto"/>
        </w:rPr>
        <w:t>During the three and nine months ended September 30, 2023, IMAX China did not repurchase any common shares. During the three and nine months ended September 30, 2022, IMAX China repurchased 1,513,800 and 2,961,800 common shares, respectively, at an average price of 6.20 Hong Kong Dollar ("HKD") and HKD 8.00 per share ($0.79 and $1.02 per share), respectively, for a total of HKD 9.4 million and HKD 23.8 million or $1.2 million and $3.0 million, respectively.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13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Basic and Diluted Weighted Average Shares Outstanding</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228"/>
        </w:trPr>
        <w:tc>
          <w:tcPr>
            <w:tcW w:w="6060" w:type="dxa"/>
            <w:vAlign w:val="bottom"/>
          </w:tcPr>
          <w:p>
            <w:pPr>
              <w:spacing w:after="0"/>
              <w:rPr>
                <w:sz w:val="19"/>
                <w:szCs w:val="19"/>
                <w:color w:val="auto"/>
              </w:rPr>
            </w:pPr>
          </w:p>
        </w:tc>
        <w:tc>
          <w:tcPr>
            <w:tcW w:w="176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60" w:type="dxa"/>
            <w:vAlign w:val="bottom"/>
          </w:tcPr>
          <w:p>
            <w:pPr>
              <w:spacing w:after="0"/>
              <w:rPr>
                <w:sz w:val="19"/>
                <w:szCs w:val="19"/>
                <w:color w:val="auto"/>
              </w:rPr>
            </w:pPr>
          </w:p>
        </w:tc>
        <w:tc>
          <w:tcPr>
            <w:tcW w:w="11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9"/>
                <w:szCs w:val="19"/>
                <w:color w:val="auto"/>
              </w:rPr>
            </w:pPr>
          </w:p>
        </w:tc>
      </w:tr>
      <w:tr>
        <w:trPr>
          <w:trHeight w:val="237"/>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060" w:type="dxa"/>
            <w:vAlign w:val="bottom"/>
          </w:tcPr>
          <w:p>
            <w:pPr>
              <w:ind w:left="20"/>
              <w:spacing w:after="0"/>
              <w:rPr>
                <w:sz w:val="20"/>
                <w:szCs w:val="20"/>
                <w:color w:val="auto"/>
              </w:rPr>
            </w:pPr>
            <w:r>
              <w:rPr>
                <w:rFonts w:ascii="Arial" w:cs="Arial" w:eastAsia="Arial" w:hAnsi="Arial"/>
                <w:sz w:val="18"/>
                <w:szCs w:val="18"/>
                <w:color w:val="auto"/>
              </w:rPr>
              <w:t>Issued and outstanding, beginning of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54,620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56,095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54,149</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58,654</w:t>
            </w:r>
          </w:p>
        </w:tc>
        <w:tc>
          <w:tcPr>
            <w:tcW w:w="100" w:type="dxa"/>
            <w:vAlign w:val="bottom"/>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shares (repurchased) issued, net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(2 )</w:t>
            </w: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(56 )</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(1,353 )</w:t>
            </w:r>
          </w:p>
        </w:tc>
      </w:tr>
      <w:tr>
        <w:trPr>
          <w:trHeight w:val="236"/>
        </w:trPr>
        <w:tc>
          <w:tcPr>
            <w:tcW w:w="60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54,618</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56,039</w:t>
            </w:r>
          </w:p>
        </w:tc>
        <w:tc>
          <w:tcPr>
            <w:tcW w:w="22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54,424</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Borders>
              <w:top w:val="single" w:sz="8" w:color="CFF0FC"/>
            </w:tcBorders>
          </w:tcPr>
          <w:p>
            <w:pPr>
              <w:spacing w:after="0"/>
              <w:rPr>
                <w:sz w:val="20"/>
                <w:szCs w:val="20"/>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effect of potential common shares, if dilutive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55,535</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56,039</w:t>
            </w:r>
          </w:p>
        </w:tc>
        <w:tc>
          <w:tcPr>
            <w:tcW w:w="22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55,261</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Borders>
              <w:top w:val="single" w:sz="8" w:color="CFF0FC"/>
            </w:tcBorders>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-504825</wp:posOffset>
            </wp:positionV>
            <wp:extent cx="77470"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-504825</wp:posOffset>
            </wp:positionV>
            <wp:extent cx="68580" cy="162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-504825</wp:posOffset>
            </wp:positionV>
            <wp:extent cx="68580" cy="162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-187960</wp:posOffset>
            </wp:positionV>
            <wp:extent cx="7747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68580"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For the three and nine months ended September 30, 2023, the calculation of diluted weighted average shares outstanding excludes 3,395,488 and 3,398,228 shares, respectively (2022 — 6,178,413 shares, respectively) that are issuable upon the vesting or exercise of share-based compensation including: (i) 29,702 and 32,442 RSUs, respectively (2022 — 1,329,014 RSUs, respectively), (ii) 36,364 PSUs, respectively (2022 — 1,244,660 PSUs, respectively) and (iii) 3,329,422 stock options, respectively (2022 — 3,604,739 stock options, respectively), as the effect would be anti-dilutive.</w:t>
      </w:r>
    </w:p>
    <w:p>
      <w:pPr>
        <w:spacing w:after="0" w:line="117"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The calculation of diluted weighted average shares outstanding for the three and nine months ended September 30, 2023 and 2022 also excludes any shares potentially issuable upon the conversion of the Convertible Notes as the average market price of the Company’s common shares during the period of time they were outstanding was less than the approximate $28.75 per common share conversion price of the Convertible Notes.</w:t>
      </w:r>
    </w:p>
    <w:p>
      <w:pPr>
        <w:spacing w:after="0" w:line="13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Statutory Surplus Reserve</w:t>
      </w:r>
    </w:p>
    <w:p>
      <w:pPr>
        <w:spacing w:after="0" w:line="18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jc w:val="both"/>
        <w:ind w:firstLine="224"/>
        <w:spacing w:after="0" w:line="275" w:lineRule="auto"/>
        <w:rPr>
          <w:sz w:val="20"/>
          <w:szCs w:val="20"/>
          <w:color w:val="auto"/>
        </w:rPr>
      </w:pPr>
      <w:r>
        <w:rPr>
          <w:rFonts w:ascii="Arial" w:cs="Arial" w:eastAsia="Arial" w:hAnsi="Arial"/>
          <w:sz w:val="17"/>
          <w:szCs w:val="17"/>
          <w:color w:val="auto"/>
        </w:rPr>
        <w:t xml:space="preserve">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its registered capital. </w:t>
      </w:r>
      <w:r>
        <w:rPr>
          <w:rFonts w:ascii="Arial" w:cs="Arial" w:eastAsia="Arial" w:hAnsi="Arial"/>
          <w:sz w:val="17"/>
          <w:szCs w:val="17"/>
          <w:color w:val="333333"/>
        </w:rPr>
        <w:t>The statutory surplus reserve is non-distributable other than during liquidation and may</w:t>
      </w:r>
      <w:r>
        <w:rPr>
          <w:rFonts w:ascii="Arial" w:cs="Arial" w:eastAsia="Arial" w:hAnsi="Arial"/>
          <w:sz w:val="17"/>
          <w:szCs w:val="17"/>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49" w:lineRule="exact"/>
        <w:rPr>
          <w:sz w:val="20"/>
          <w:szCs w:val="20"/>
          <w:color w:val="auto"/>
        </w:rPr>
      </w:pPr>
    </w:p>
    <w:p>
      <w:pPr>
        <w:jc w:val="both"/>
        <w:ind w:right="20" w:firstLine="294"/>
        <w:spacing w:after="0" w:line="277" w:lineRule="auto"/>
        <w:rPr>
          <w:sz w:val="20"/>
          <w:szCs w:val="20"/>
          <w:color w:val="auto"/>
        </w:rPr>
      </w:pPr>
      <w:r>
        <w:rPr>
          <w:rFonts w:ascii="Arial" w:cs="Arial" w:eastAsia="Arial" w:hAnsi="Arial"/>
          <w:sz w:val="18"/>
          <w:szCs w:val="18"/>
          <w:color w:val="auto"/>
        </w:rPr>
        <w:t>The statutory surplus reserve of RMB 36.4 million ($5.6 million) has reached 50% of its PRC subsidiaries’ registered capital, as such no further contributions to the reserve are required.</w:t>
      </w:r>
    </w:p>
    <w:p>
      <w:pPr>
        <w:spacing w:after="0" w:line="12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Disaggregated Information About Revenue</w:t>
      </w:r>
    </w:p>
    <w:p>
      <w:pPr>
        <w:spacing w:after="0" w:line="198"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In the first quarter of 2023, the Company updated its reportable segments (see Note 13). Prior period comparatives have been revised to conform with the current period presentation. The following tables summarize the Company’s Revenues by reportable segment and revenue stream type for the three and nine months ended September 30,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255"/>
              <w:spacing w:after="0"/>
              <w:rPr>
                <w:sz w:val="20"/>
                <w:szCs w:val="20"/>
                <w:color w:val="auto"/>
              </w:rPr>
            </w:pPr>
            <w:r>
              <w:rPr>
                <w:rFonts w:ascii="Arial" w:cs="Arial" w:eastAsia="Arial" w:hAnsi="Arial"/>
                <w:sz w:val="14"/>
                <w:szCs w:val="14"/>
                <w:b w:val="1"/>
                <w:bCs w:val="1"/>
                <w:color w:val="auto"/>
                <w:w w:val="93"/>
              </w:rPr>
              <w:t>Three Months Ended September 30, 2023</w:t>
            </w: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3"/>
              </w:rPr>
              <w:t>Image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Enhancement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9"/>
              </w:rPr>
              <w:t>Technology</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and Maintenance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Technology Sales</w:t>
            </w:r>
          </w:p>
        </w:tc>
        <w:tc>
          <w:tcPr>
            <w:tcW w:w="12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Rentals</w:t>
            </w:r>
          </w:p>
        </w:tc>
        <w:tc>
          <w:tcPr>
            <w:tcW w:w="2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Finance Income</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Content Solutions Segment</w:t>
            </w: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Film Remastering and Distribution</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42,481</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Content Solutions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44,214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Technology Products and Services Segment</w:t>
            </w:r>
          </w:p>
        </w:tc>
        <w:tc>
          <w:tcPr>
            <w:tcW w:w="3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System Sales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16,443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System Rentals</w:t>
            </w: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23,008</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Maintenance</w:t>
            </w:r>
          </w:p>
        </w:tc>
        <w:tc>
          <w:tcPr>
            <w:tcW w:w="3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14,353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Income</w:t>
            </w: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16,443</w:t>
            </w: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14,353</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23,008</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56,169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Sub-total for reportable segments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16,443</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58,567</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23,008</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All Other</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18,273</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60,250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23,008</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103,896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center"/>
              <w:ind w:left="255"/>
              <w:spacing w:after="0"/>
              <w:rPr>
                <w:sz w:val="20"/>
                <w:szCs w:val="20"/>
                <w:color w:val="auto"/>
              </w:rPr>
            </w:pPr>
            <w:r>
              <w:rPr>
                <w:rFonts w:ascii="Arial" w:cs="Arial" w:eastAsia="Arial" w:hAnsi="Arial"/>
                <w:sz w:val="14"/>
                <w:szCs w:val="14"/>
                <w:b w:val="1"/>
                <w:bCs w:val="1"/>
                <w:color w:val="auto"/>
                <w:w w:val="93"/>
              </w:rPr>
              <w:t>Nine Months Ended September 30, 2023</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3"/>
              </w:rPr>
              <w:t>Image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Enhancement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9"/>
              </w:rPr>
              <w:t>Technology</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and Maintenance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Technology Sales</w:t>
            </w:r>
          </w:p>
        </w:tc>
        <w:tc>
          <w:tcPr>
            <w:tcW w:w="12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Rentals</w:t>
            </w:r>
          </w:p>
        </w:tc>
        <w:tc>
          <w:tcPr>
            <w:tcW w:w="2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Finance Income</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Content Solutions Segment</w:t>
            </w: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Film Remastering and Distribution</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101,772</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101,772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Content Solutions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107,605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Technology Products and Services Segment</w:t>
            </w:r>
          </w:p>
        </w:tc>
        <w:tc>
          <w:tcPr>
            <w:tcW w:w="38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System Sales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60,296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System Rentals</w:t>
            </w: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62,612</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Maintenance</w:t>
            </w:r>
          </w:p>
        </w:tc>
        <w:tc>
          <w:tcPr>
            <w:tcW w:w="3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42,395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Income</w:t>
            </w:r>
          </w:p>
        </w:tc>
        <w:tc>
          <w:tcPr>
            <w:tcW w:w="3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60,296</w:t>
            </w: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42,395</w:t>
            </w:r>
          </w:p>
        </w:tc>
        <w:tc>
          <w:tcPr>
            <w:tcW w:w="3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62,612</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171,813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Sub-total for reportable segments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60,296</w:t>
            </w:r>
          </w:p>
        </w:tc>
        <w:tc>
          <w:tcPr>
            <w:tcW w:w="3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62,612</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All Other</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65,455</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154,244</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62,612</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4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-5005705</wp:posOffset>
            </wp:positionV>
            <wp:extent cx="7747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-5005705</wp:posOffset>
            </wp:positionV>
            <wp:extent cx="685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-5005705</wp:posOffset>
            </wp:positionV>
            <wp:extent cx="6858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-5005705</wp:posOffset>
            </wp:positionV>
            <wp:extent cx="685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-5005705</wp:posOffset>
            </wp:positionV>
            <wp:extent cx="685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-4062730</wp:posOffset>
            </wp:positionV>
            <wp:extent cx="77470"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-4062730</wp:posOffset>
            </wp:positionV>
            <wp:extent cx="6858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-4062730</wp:posOffset>
            </wp:positionV>
            <wp:extent cx="68580" cy="1714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-4062730</wp:posOffset>
            </wp:positionV>
            <wp:extent cx="68580" cy="1714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1714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-3736975</wp:posOffset>
            </wp:positionV>
            <wp:extent cx="77470" cy="1714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-3736975</wp:posOffset>
            </wp:positionV>
            <wp:extent cx="68580" cy="1714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-3736975</wp:posOffset>
            </wp:positionV>
            <wp:extent cx="6858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-3736975</wp:posOffset>
            </wp:positionV>
            <wp:extent cx="685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1714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-3411220</wp:posOffset>
            </wp:positionV>
            <wp:extent cx="3600450" cy="7372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00450" cy="7372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-2219325</wp:posOffset>
            </wp:positionV>
            <wp:extent cx="7747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-2219325</wp:posOffset>
            </wp:positionV>
            <wp:extent cx="685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-2219325</wp:posOffset>
            </wp:positionV>
            <wp:extent cx="68580" cy="1714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-2219325</wp:posOffset>
            </wp:positionV>
            <wp:extent cx="68580" cy="1714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1714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-1276350</wp:posOffset>
            </wp:positionV>
            <wp:extent cx="7747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-1276350</wp:posOffset>
            </wp:positionV>
            <wp:extent cx="68580" cy="1714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-1276350</wp:posOffset>
            </wp:positionV>
            <wp:extent cx="6858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-1276350</wp:posOffset>
            </wp:positionV>
            <wp:extent cx="68580"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-950595</wp:posOffset>
            </wp:positionV>
            <wp:extent cx="77470" cy="1714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-950595</wp:posOffset>
            </wp:positionV>
            <wp:extent cx="68580" cy="1714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-950595</wp:posOffset>
            </wp:positionV>
            <wp:extent cx="68580" cy="1714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-950595</wp:posOffset>
            </wp:positionV>
            <wp:extent cx="68580" cy="1714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1714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-624840</wp:posOffset>
            </wp:positionV>
            <wp:extent cx="774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-608330</wp:posOffset>
            </wp:positionV>
            <wp:extent cx="774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-624840</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-608330</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-624840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-608330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-624840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-608330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235"/>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3"/>
              </w:rPr>
              <w:t>Image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Enhancement 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9"/>
              </w:rPr>
              <w:t>Technology</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Maintenance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Technology Sales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Rentals</w:t>
            </w:r>
          </w:p>
        </w:tc>
        <w:tc>
          <w:tcPr>
            <w:tcW w:w="26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Finance Income</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Content Solutions Segment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Film Remastering and Distribution</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19,919</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Content Solutions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Technology Products and Services Segment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System Sales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17,145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System Rentals</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Maintenance</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13,940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Finance Income</w:t>
            </w: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13,940</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Sub-total for reportable segments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17,145</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35,907</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All Other</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18,065</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235"/>
              <w:spacing w:after="0"/>
              <w:rPr>
                <w:sz w:val="20"/>
                <w:szCs w:val="20"/>
                <w:color w:val="auto"/>
              </w:rPr>
            </w:pPr>
            <w:r>
              <w:rPr>
                <w:rFonts w:ascii="Arial" w:cs="Arial" w:eastAsia="Arial" w:hAnsi="Arial"/>
                <w:sz w:val="14"/>
                <w:szCs w:val="14"/>
                <w:b w:val="1"/>
                <w:bCs w:val="1"/>
                <w:color w:val="auto"/>
                <w:w w:val="93"/>
              </w:rPr>
              <w:t>Nine Months Ended September 30, 2022</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3"/>
              </w:rPr>
              <w:t>Image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Enhancement 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9"/>
              </w:rPr>
              <w:t>Technology</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4"/>
              </w:rPr>
              <w:t>Maintenance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Technology Sales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6"/>
              </w:rPr>
              <w:t>Services</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Rentals</w:t>
            </w:r>
          </w:p>
        </w:tc>
        <w:tc>
          <w:tcPr>
            <w:tcW w:w="26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Finance Income</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Content Solutions Segment</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Film Remastering and Distribution</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67,063</w:t>
            </w: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67,063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Content Solutions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5,418</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Technology Products and Services Segment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System Sales</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32,511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System Rentals</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color w:val="auto"/>
              </w:rPr>
              <w:t>Maintenance</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43,565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Finance Income</w:t>
            </w: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43,565</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43,708</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Sub-total for reportable segments</w:t>
            </w: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32,511</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116,046</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43,726</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198,761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All Other</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35,270</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117,285</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43,726</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202,759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-4405630</wp:posOffset>
            </wp:positionV>
            <wp:extent cx="77470" cy="1714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-4405630</wp:posOffset>
            </wp:positionV>
            <wp:extent cx="68580" cy="1714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-4405630</wp:posOffset>
            </wp:positionV>
            <wp:extent cx="68580" cy="1714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-4405630</wp:posOffset>
            </wp:positionV>
            <wp:extent cx="68580" cy="1714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1714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-3462655</wp:posOffset>
            </wp:positionV>
            <wp:extent cx="77470" cy="1714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-3462655</wp:posOffset>
            </wp:positionV>
            <wp:extent cx="68580" cy="1714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-3462655</wp:posOffset>
            </wp:positionV>
            <wp:extent cx="68580" cy="1714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-3462655</wp:posOffset>
            </wp:positionV>
            <wp:extent cx="68580"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-3136900</wp:posOffset>
            </wp:positionV>
            <wp:extent cx="77470" cy="1714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-3136900</wp:posOffset>
            </wp:positionV>
            <wp:extent cx="68580" cy="1714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-3136900</wp:posOffset>
            </wp:positionV>
            <wp:extent cx="6858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-3136900</wp:posOffset>
            </wp:positionV>
            <wp:extent cx="68580" cy="1714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-2811145</wp:posOffset>
            </wp:positionV>
            <wp:extent cx="3600450" cy="7372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00450" cy="73723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-1619885</wp:posOffset>
            </wp:positionV>
            <wp:extent cx="77470" cy="1714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-1619885</wp:posOffset>
            </wp:positionV>
            <wp:extent cx="68580"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-1619885</wp:posOffset>
            </wp:positionV>
            <wp:extent cx="68580" cy="1714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-1619885</wp:posOffset>
            </wp:positionV>
            <wp:extent cx="68580" cy="1714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1714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-676275</wp:posOffset>
            </wp:positionV>
            <wp:extent cx="7747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-676275</wp:posOffset>
            </wp:positionV>
            <wp:extent cx="68580" cy="1714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-676275</wp:posOffset>
            </wp:positionV>
            <wp:extent cx="68580" cy="1714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-676275</wp:posOffset>
            </wp:positionV>
            <wp:extent cx="68580" cy="1714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714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-350520</wp:posOffset>
            </wp:positionV>
            <wp:extent cx="77470" cy="1714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-350520</wp:posOffset>
            </wp:positionV>
            <wp:extent cx="68580" cy="1714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-350520</wp:posOffset>
            </wp:positionV>
            <wp:extent cx="68580" cy="1714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-350520</wp:posOffset>
            </wp:positionV>
            <wp:extent cx="68580" cy="1714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For the three and nine months ended September 30, 2023, revenues earned from Technology Sales include variable consideration of $4.0 million and $21.3 million, respectively (2022 — $2.6 million and $3.9 million, respectively). Variable consideration revenues represent an estimate of the contingent fees that may become due if certain annual minimum box office receipt thresholds are exceeded and are recorded as revenue in the period when the sale is recognized and may be adjusted in future periods based on actual results and changes in estimates over the term of the system agreement.</w:t>
      </w:r>
    </w:p>
    <w:p>
      <w:pPr>
        <w:spacing w:after="0" w:line="13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three and nine months ended September 30, 2023, revenues earned from leasing arrangements total $22.8 million and $65.6 million (2022 — $13.6 million and $46.3 million, respectively), including $23.0 million and $62.6 million, respectively, in Revenues ― Technology Rentals (2022 — $12.5 million and $43.7 million, respectively), and $0.2 million and $3.4 million, respectively, in Revenues ― Technology Sales (2022 — $1.1 million and $2.6 million,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36" w:name="page37"/>
    <w:bookmarkEnd w:id="36"/>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Deferred Revenue</w:t>
      </w:r>
    </w:p>
    <w:p>
      <w:pPr>
        <w:spacing w:after="0" w:line="198" w:lineRule="exact"/>
        <w:rPr>
          <w:sz w:val="20"/>
          <w:szCs w:val="20"/>
          <w:color w:val="auto"/>
        </w:rPr>
      </w:pPr>
    </w:p>
    <w:p>
      <w:pPr>
        <w:jc w:val="both"/>
        <w:ind w:firstLine="281"/>
        <w:spacing w:after="0" w:line="291" w:lineRule="auto"/>
        <w:rPr>
          <w:sz w:val="20"/>
          <w:szCs w:val="20"/>
          <w:color w:val="auto"/>
        </w:rPr>
      </w:pPr>
      <w:r>
        <w:rPr>
          <w:rFonts w:ascii="Arial" w:cs="Arial" w:eastAsia="Arial" w:hAnsi="Arial"/>
          <w:sz w:val="16"/>
          <w:szCs w:val="16"/>
          <w:color w:val="auto"/>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September 30, 2023, $18.9 million of consideration has been deferred in relation to outstanding maintenance services to be provided on existing maintenance contracts (December 31, 2022 — $21.0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26"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spacing w:after="0" w:line="14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During the three and nine months ended September 30, 2023, $18.3 million and $59.3 million of revenue, respectively, was recognized that was included in the $70.9 million balance of deferred revenue as of December 31, 2022. During the three and nine months ended September 30, 2022, $19.3 million and $50.5 million of revenue, respectively, was recognized that was included in the $81.3 million balance of deferred revenue as of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225" w:lineRule="exact"/>
        <w:rPr>
          <w:sz w:val="20"/>
          <w:szCs w:val="20"/>
          <w:color w:val="auto"/>
        </w:rPr>
      </w:pPr>
    </w:p>
    <w:p>
      <w:pPr>
        <w:jc w:val="both"/>
        <w:ind w:firstLine="210"/>
        <w:spacing w:after="0" w:line="281" w:lineRule="auto"/>
        <w:rPr>
          <w:sz w:val="20"/>
          <w:szCs w:val="20"/>
          <w:color w:val="auto"/>
        </w:rPr>
      </w:pPr>
      <w:r>
        <w:rPr>
          <w:rFonts w:ascii="Arial" w:cs="Arial" w:eastAsia="Arial" w:hAnsi="Arial"/>
          <w:sz w:val="17"/>
          <w:szCs w:val="17"/>
          <w:color w:val="auto"/>
        </w:rPr>
        <w:t>The Company</w:t>
      </w:r>
      <w:r>
        <w:rPr>
          <w:rFonts w:ascii="Arial" w:cs="Arial" w:eastAsia="Arial" w:hAnsi="Arial"/>
          <w:sz w:val="17"/>
          <w:szCs w:val="17"/>
          <w:b w:val="1"/>
          <w:bCs w:val="1"/>
          <w:color w:val="auto"/>
        </w:rPr>
        <w:t>’</w:t>
      </w:r>
      <w:r>
        <w:rPr>
          <w:rFonts w:ascii="Arial" w:cs="Arial" w:eastAsia="Arial" w:hAnsi="Arial"/>
          <w:sz w:val="17"/>
          <w:szCs w:val="17"/>
          <w:color w:val="auto"/>
        </w:rPr>
        <w:t>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w:t>
      </w:r>
      <w:r>
        <w:rPr>
          <w:rFonts w:ascii="Arial" w:cs="Arial" w:eastAsia="Arial" w:hAnsi="Arial"/>
          <w:sz w:val="17"/>
          <w:szCs w:val="17"/>
          <w:b w:val="1"/>
          <w:bCs w:val="1"/>
          <w:color w:val="auto"/>
        </w:rPr>
        <w:t>’</w:t>
      </w:r>
      <w:r>
        <w:rPr>
          <w:rFonts w:ascii="Arial" w:cs="Arial" w:eastAsia="Arial" w:hAnsi="Arial"/>
          <w:sz w:val="17"/>
          <w:szCs w:val="17"/>
          <w:color w:val="auto"/>
        </w:rPr>
        <w:t>s segments.</w:t>
      </w:r>
    </w:p>
    <w:p>
      <w:pPr>
        <w:spacing w:after="0" w:line="128"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In the first quarter of 2023, the Company revised its internal segment reporting, including the information provided to the CODM to assess segment performance and allocate resources. Accordingly, the Company has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are reported within All Other. Prior period comparatives have been revised to conform with the current period presentation.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has the following reportable segments:</w:t>
      </w:r>
    </w:p>
    <w:p>
      <w:pPr>
        <w:spacing w:after="0" w:line="225" w:lineRule="exact"/>
        <w:rPr>
          <w:sz w:val="20"/>
          <w:szCs w:val="20"/>
          <w:color w:val="auto"/>
        </w:rPr>
      </w:pPr>
    </w:p>
    <w:p>
      <w:pPr>
        <w:jc w:val="both"/>
        <w:ind w:left="1140" w:hanging="758"/>
        <w:spacing w:after="0" w:line="259"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Content Solutions,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186" w:lineRule="exact"/>
        <w:rPr>
          <w:rFonts w:ascii="Arial" w:cs="Arial" w:eastAsia="Arial" w:hAnsi="Arial"/>
          <w:sz w:val="18"/>
          <w:szCs w:val="18"/>
          <w:color w:val="auto"/>
        </w:rPr>
      </w:pPr>
    </w:p>
    <w:p>
      <w:pPr>
        <w:jc w:val="both"/>
        <w:ind w:left="1140" w:hanging="758"/>
        <w:spacing w:after="0" w:line="263"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 Products and Services, which includes results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spacing w:after="0" w:line="157"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Transactions between segments are valued at exchange value. Inter-segment profits are eliminated upon consolidation, as well as for the disclosures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ind w:left="240"/>
        <w:spacing w:after="0"/>
        <w:rPr>
          <w:sz w:val="20"/>
          <w:szCs w:val="20"/>
          <w:color w:val="auto"/>
        </w:rPr>
      </w:pPr>
      <w:r>
        <w:rPr>
          <w:rFonts w:ascii="Arial" w:cs="Arial" w:eastAsia="Arial" w:hAnsi="Arial"/>
          <w:sz w:val="16"/>
          <w:szCs w:val="16"/>
          <w:color w:val="auto"/>
        </w:rPr>
        <w:t>The following table presents the Company’s revenue and gross margin by reportable segment for the three months ended September 30,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Margin</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Content Solutions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44,214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26,407</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9,140</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Technology Products and Services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45,542</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21,752</w:t>
            </w:r>
          </w:p>
        </w:tc>
        <w:tc>
          <w:tcPr>
            <w:tcW w:w="100" w:type="dxa"/>
            <w:vAlign w:val="bottom"/>
            <w:tcBorders>
              <w:bottom w:val="single" w:sz="8" w:color="CFF0FC"/>
            </w:tcBorders>
          </w:tcPr>
          <w:p>
            <w:pPr>
              <w:spacing w:after="0"/>
              <w:rPr>
                <w:sz w:val="20"/>
                <w:szCs w:val="20"/>
                <w:color w:val="auto"/>
              </w:rPr>
            </w:pPr>
          </w:p>
        </w:tc>
      </w:tr>
      <w:tr>
        <w:trPr>
          <w:trHeight w:val="23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 for reportable segments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100,383</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60,168</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5840" w:type="dxa"/>
            <w:vAlign w:val="bottom"/>
          </w:tcPr>
          <w:p>
            <w:pPr>
              <w:ind w:left="2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r>
      <w:tr>
        <w:trPr>
          <w:trHeight w:val="277"/>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103,896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68,755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62,715</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31,701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45020" cy="3473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and gross margin by reportable segment for the nine months ended September 30,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Margin</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7"/>
        </w:trPr>
        <w:tc>
          <w:tcPr>
            <w:tcW w:w="5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Content Solutions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72,499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64,397</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39,121</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Technology Products and Services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171,813</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126,262</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100,066</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65,875</w:t>
            </w:r>
          </w:p>
        </w:tc>
        <w:tc>
          <w:tcPr>
            <w:tcW w:w="100" w:type="dxa"/>
            <w:vAlign w:val="bottom"/>
            <w:tcBorders>
              <w:bottom w:val="single" w:sz="8" w:color="CFF0FC"/>
            </w:tcBorders>
          </w:tcPr>
          <w:p>
            <w:pPr>
              <w:spacing w:after="0"/>
              <w:rPr>
                <w:sz w:val="20"/>
                <w:szCs w:val="20"/>
                <w:color w:val="auto"/>
              </w:rPr>
            </w:pPr>
          </w:p>
        </w:tc>
      </w:tr>
      <w:tr>
        <w:trPr>
          <w:trHeight w:val="236"/>
        </w:trPr>
        <w:tc>
          <w:tcPr>
            <w:tcW w:w="58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Sub-total for reportable segments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279,418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198,761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164,463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584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(2)</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9,403</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r>
      <w:tr>
        <w:trPr>
          <w:trHeight w:val="276"/>
        </w:trPr>
        <w:tc>
          <w:tcPr>
            <w:tcW w:w="58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288,821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202,759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170,653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1500" w:type="dxa"/>
            <w:vAlign w:val="bottom"/>
            <w:tcBorders>
              <w:bottom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145020" cy="3473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left="380" w:hanging="372"/>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largest customer represents 11% and 8% of total Revenues for the three and nine months ended September 30, 2023, respectively (2022 — 11% and 13%, respectively). No single customer comprises more than 10% of the Company’s total Accounts Receivable as of September 30, 2023 and December 31, 2022.</w:t>
      </w:r>
    </w:p>
    <w:p>
      <w:pPr>
        <w:spacing w:after="0" w:line="143"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includes the results from the Company's streaming and consumer technology business, as well as other ancillary activities.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85"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Revenue by geographic area is based on the location of the customer. Revenue related to IMAX film remastering and distribution is presented based upon the geographic location of the IMAX System that exhibits the remastered films. IMAX film remastering and distribution revenue is generated through contractual relationships with studios and other third parties and these may not be in the same geographical location as the IMAX System.</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revenues by geographic area for the three months ended September 30, 2023 and 2022: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6"/>
              </w:rPr>
              <w:t>Three Months Ended September 30,</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380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80" w:type="dxa"/>
            <w:vAlign w:val="bottom"/>
          </w:tcPr>
          <w:p>
            <w:pPr>
              <w:spacing w:after="0"/>
              <w:rPr>
                <w:sz w:val="19"/>
                <w:szCs w:val="19"/>
                <w:color w:val="auto"/>
              </w:rPr>
            </w:pPr>
          </w:p>
        </w:tc>
        <w:tc>
          <w:tcPr>
            <w:tcW w:w="1360" w:type="dxa"/>
            <w:vAlign w:val="bottom"/>
          </w:tcPr>
          <w:p>
            <w:pPr>
              <w:ind w:left="280"/>
              <w:spacing w:after="0"/>
              <w:rPr>
                <w:sz w:val="20"/>
                <w:szCs w:val="20"/>
                <w:color w:val="auto"/>
              </w:rPr>
            </w:pPr>
            <w:r>
              <w:rPr>
                <w:rFonts w:ascii="Arial" w:cs="Arial" w:eastAsia="Arial" w:hAnsi="Arial"/>
                <w:sz w:val="14"/>
                <w:szCs w:val="14"/>
                <w:b w:val="1"/>
                <w:bCs w:val="1"/>
                <w:color w:val="auto"/>
              </w:rPr>
              <w:t>2023</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67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672"/>
              <w:spacing w:after="0"/>
              <w:rPr>
                <w:sz w:val="20"/>
                <w:szCs w:val="20"/>
                <w:color w:val="auto"/>
              </w:rPr>
            </w:pPr>
            <w:r>
              <w:rPr>
                <w:rFonts w:ascii="Arial" w:cs="Arial" w:eastAsia="Arial" w:hAnsi="Arial"/>
                <w:sz w:val="14"/>
                <w:szCs w:val="14"/>
                <w:b w:val="1"/>
                <w:bCs w:val="1"/>
                <w:color w:val="auto"/>
              </w:rPr>
              <w:t>2022</w:t>
            </w:r>
          </w:p>
        </w:tc>
      </w:tr>
      <w:tr>
        <w:trPr>
          <w:trHeight w:val="23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33,216</w:t>
            </w:r>
          </w:p>
        </w:tc>
        <w:tc>
          <w:tcPr>
            <w:tcW w:w="2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23,168</w:t>
            </w:r>
          </w:p>
        </w:tc>
        <w:tc>
          <w:tcPr>
            <w:tcW w:w="18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92,768</w:t>
            </w:r>
          </w:p>
        </w:tc>
        <w:tc>
          <w:tcPr>
            <w:tcW w:w="2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75,881</w:t>
            </w: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Greater China</w:t>
            </w:r>
          </w:p>
        </w:tc>
        <w:tc>
          <w:tcPr>
            <w:tcW w:w="380" w:type="dxa"/>
            <w:vAlign w:val="bottom"/>
          </w:tcPr>
          <w:p>
            <w:pPr>
              <w:spacing w:after="0"/>
              <w:rPr>
                <w:sz w:val="20"/>
                <w:szCs w:val="20"/>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28,297</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14,889</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73,975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47,602</w:t>
            </w:r>
          </w:p>
        </w:tc>
      </w:tr>
      <w:tr>
        <w:trPr>
          <w:trHeight w:val="249"/>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Western Europe</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13,849</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8,938</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43,827</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26,700</w:t>
            </w: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Asia (excluding China)</w:t>
            </w:r>
          </w:p>
        </w:tc>
        <w:tc>
          <w:tcPr>
            <w:tcW w:w="380" w:type="dxa"/>
            <w:vAlign w:val="bottom"/>
          </w:tcPr>
          <w:p>
            <w:pPr>
              <w:spacing w:after="0"/>
              <w:rPr>
                <w:sz w:val="20"/>
                <w:szCs w:val="20"/>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18,042</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13,921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44,649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31,045</w:t>
            </w:r>
          </w:p>
        </w:tc>
      </w:tr>
      <w:tr>
        <w:trPr>
          <w:trHeight w:val="249"/>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15,685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5,520</w:t>
            </w: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0"/>
                <w:szCs w:val="20"/>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2,069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2,397</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6,505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6,826</w:t>
            </w:r>
          </w:p>
        </w:tc>
      </w:tr>
      <w:tr>
        <w:trPr>
          <w:trHeight w:val="243"/>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 of the World</w:t>
            </w:r>
          </w:p>
        </w:tc>
        <w:tc>
          <w:tcPr>
            <w:tcW w:w="3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4,036</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3,662</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11,412</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9,185</w:t>
            </w: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103,896</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68,755</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288,821</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202,759</w:t>
            </w:r>
          </w:p>
        </w:tc>
      </w:tr>
      <w:tr>
        <w:trPr>
          <w:trHeight w:val="20"/>
        </w:trPr>
        <w:tc>
          <w:tcPr>
            <w:tcW w:w="3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-187960</wp:posOffset>
            </wp:positionV>
            <wp:extent cx="137160"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1885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-187960</wp:posOffset>
            </wp:positionV>
            <wp:extent cx="111125" cy="1885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128905" cy="1885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15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United States and Greater China each comprises greater than 10% of the Company’s total revenues for the nine months ended September 30, 2023 and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14. Employee’s Pension and Postretirement Benefits</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 Defined Benefit Plan</w:t>
      </w:r>
    </w:p>
    <w:p>
      <w:pPr>
        <w:spacing w:after="0" w:line="185" w:lineRule="exact"/>
        <w:rPr>
          <w:sz w:val="20"/>
          <w:szCs w:val="20"/>
          <w:color w:val="auto"/>
        </w:rPr>
      </w:pPr>
    </w:p>
    <w:p>
      <w:pPr>
        <w:jc w:val="both"/>
        <w:ind w:firstLine="223"/>
        <w:spacing w:after="0" w:line="291" w:lineRule="auto"/>
        <w:rPr>
          <w:sz w:val="20"/>
          <w:szCs w:val="20"/>
          <w:color w:val="auto"/>
        </w:rPr>
      </w:pPr>
      <w:r>
        <w:rPr>
          <w:rFonts w:ascii="Arial" w:cs="Arial" w:eastAsia="Arial" w:hAnsi="Arial"/>
          <w:sz w:val="16"/>
          <w:szCs w:val="16"/>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pacing w:after="0" w:line="126" w:lineRule="exact"/>
        <w:rPr>
          <w:sz w:val="20"/>
          <w:szCs w:val="20"/>
          <w:color w:val="auto"/>
        </w:rPr>
      </w:pPr>
    </w:p>
    <w:p>
      <w:pPr>
        <w:jc w:val="both"/>
        <w:ind w:firstLine="223"/>
        <w:spacing w:after="0" w:line="279" w:lineRule="auto"/>
        <w:rPr>
          <w:sz w:val="20"/>
          <w:szCs w:val="20"/>
          <w:color w:val="auto"/>
        </w:rPr>
      </w:pPr>
      <w:r>
        <w:rPr>
          <w:rFonts w:ascii="Arial" w:cs="Arial" w:eastAsia="Arial" w:hAnsi="Arial"/>
          <w:sz w:val="17"/>
          <w:szCs w:val="17"/>
          <w:color w:val="auto"/>
        </w:rPr>
        <w:t>As of September 30, 2023, the Company’s projected benefit obligation under the SERP is $17.9 million (December 31, 2022 — $17.3 million). For the three and nine months ended September 30, 2023, the Company recorded interest costs of $0.2 million and $0.6 million, respectively, (2022 — less than $0.1 million and $0.1 million, respectively) related to the SERP. The Company expects to recognize additional interest costs of $0.2 million related to the SERP during the remainder of 2023. No contributions are expected to be made to the SERP in 2023.</w:t>
      </w:r>
    </w:p>
    <w:p>
      <w:pPr>
        <w:spacing w:after="0" w:line="14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Defined Contribution Pension Plan</w:t>
      </w:r>
    </w:p>
    <w:p>
      <w:pPr>
        <w:spacing w:after="0" w:line="185"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nine months ended September 30, 2023, the Company contributed and recorded expense of $0.3 million and $0.9 million, respectively, (2022 — $0.4 million and $0.9 million, respectively) to its Canadian defined contribution plan and $0.2 million and $0.7 million, respectively, (2022 — $0.1 million and $0.5 million, respectively) to its defined contribution employee plan under Section 401(k) of the U.S. Internal Revenue Code.</w:t>
      </w:r>
    </w:p>
    <w:p>
      <w:pPr>
        <w:spacing w:after="0" w:line="136"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Postretirement Benefits – Executives</w:t>
      </w:r>
    </w:p>
    <w:p>
      <w:pPr>
        <w:spacing w:after="0" w:line="198"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147"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8"/>
          <w:szCs w:val="18"/>
          <w:color w:val="auto"/>
        </w:rPr>
        <w:t>As of September 30, 2023, the Company’s postretirement benefits obligation under this plan is $0.5 million (December 31, 2022 — $0.5 million). For the three and nine months ended September 30, 2023, the Company has recorded an expense of less than $0.1 million (2022 — less than $0.1 million) related to this plan.</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Postretirement Benefits – Canadian Employees</w:t>
      </w:r>
    </w:p>
    <w:p>
      <w:pPr>
        <w:spacing w:after="0" w:line="198"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The Company has an unfunded postretirement plan for its Canadian employees meeting specific eligibility requirements. The Company will provide eligible participants, upon retirement, with health and welfare benefits. As of September 30, 2023, the Company’s postretirement benefits obligation under this plan is $0.9 million (December 31, 2022 — $1.0 million). For the three and nine months ended September 30, 2023, the Company has recorded expense of less than $0.1 million and $0.1 million, respectively, (2022 — less than $0.1 million and $0.1 million, respectively) related to this plan.</w:t>
      </w:r>
    </w:p>
    <w:p>
      <w:pPr>
        <w:spacing w:after="0" w:line="117"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Deferred Compensation Benefit Plan</w:t>
      </w:r>
    </w:p>
    <w:p>
      <w:pPr>
        <w:spacing w:after="0" w:line="18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jc w:val="both"/>
        <w:ind w:firstLine="224"/>
        <w:spacing w:after="0" w:line="259" w:lineRule="auto"/>
        <w:rPr>
          <w:sz w:val="20"/>
          <w:szCs w:val="20"/>
          <w:color w:val="auto"/>
        </w:rPr>
      </w:pPr>
      <w:r>
        <w:rPr>
          <w:rFonts w:ascii="Arial" w:cs="Arial" w:eastAsia="Arial" w:hAnsi="Arial"/>
          <w:sz w:val="18"/>
          <w:szCs w:val="18"/>
          <w:color w:val="auto"/>
        </w:rPr>
        <w:t>As of September 30, 2023, the benefit obligation related to the Retirement Plan was $4.1 million (December 31, 2022 — $3.9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16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Retirement Plan is funded by an investment in company-owned life insurance (“COLI”), which is recorded at its fair value on the Company’s Condensed Consolidated Balance Sheets within Prepaid Expenses. As of September 30, 2023, fair value of the COLI asset was $3.5 million (December 31, 2022 — $3.4 million). Gains and losses resulting from changes in the cash surrender value of the COLI asset are recognized in the Condensed Consolidated Statements of Operations within Realized and Unrealized Investment Gains.</w:t>
      </w:r>
    </w:p>
    <w:p>
      <w:pPr>
        <w:spacing w:after="0" w:line="14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Instruments</w:t>
      </w:r>
    </w:p>
    <w:p>
      <w:pPr>
        <w:spacing w:after="0" w:line="198"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The Company maintains cash with various major financial institutions. The Company’s cash is invested with highly rated financial institutions. The Company’s $109.6 million balance of cash and cash equivalents as of September 30, 2023 (December 31, 2022 — $97.4 million) includes $88.6 million in cash held outside of Canada (December 31, 2022 — $79.7 million). As of September 30, 2023, cash and cash equivalents held by IMAX China was $78.3 million (December 31, 2022 —$75.0 million), of which $31.5 million was held in the PRC (December 31, 2022 — $43.7 million).</w:t>
      </w:r>
    </w:p>
    <w:p>
      <w:pPr>
        <w:spacing w:after="0" w:line="13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18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As of September 30, 2023</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As of December 31, 2022</w:t>
            </w:r>
          </w:p>
        </w:tc>
      </w:tr>
      <w:tr>
        <w:trPr>
          <w:trHeight w:val="133"/>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73"/>
              <w:spacing w:after="0" w:line="133" w:lineRule="exact"/>
              <w:rPr>
                <w:sz w:val="20"/>
                <w:szCs w:val="20"/>
                <w:color w:val="auto"/>
              </w:rPr>
            </w:pPr>
            <w:r>
              <w:rPr>
                <w:rFonts w:ascii="Arial" w:cs="Arial" w:eastAsia="Arial" w:hAnsi="Arial"/>
                <w:sz w:val="14"/>
                <w:szCs w:val="14"/>
                <w:b w:val="1"/>
                <w:bCs w:val="1"/>
                <w:color w:val="auto"/>
              </w:rPr>
              <w:t>Estimated</w:t>
            </w:r>
          </w:p>
        </w:tc>
      </w:tr>
      <w:tr>
        <w:trPr>
          <w:trHeight w:val="185"/>
        </w:trPr>
        <w:tc>
          <w:tcPr>
            <w:tcW w:w="58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20" w:type="dxa"/>
            <w:vAlign w:val="bottom"/>
            <w:shd w:val="clear" w:color="auto" w:fill="CFF0FC"/>
          </w:tcPr>
          <w:p>
            <w:pPr>
              <w:spacing w:after="0"/>
              <w:rPr>
                <w:sz w:val="15"/>
                <w:szCs w:val="15"/>
                <w:color w:val="auto"/>
              </w:rPr>
            </w:pPr>
          </w:p>
        </w:tc>
        <w:tc>
          <w:tcPr>
            <w:tcW w:w="578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color w:val="auto"/>
              </w:rPr>
              <w:t>Level 1</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auto"/>
            </w:tcBorders>
            <w:shd w:val="clear" w:color="auto" w:fill="CFF0FC"/>
          </w:tcPr>
          <w:p>
            <w:pPr>
              <w:spacing w:after="0"/>
              <w:rPr>
                <w:sz w:val="2"/>
                <w:szCs w:val="2"/>
                <w:color w:val="auto"/>
              </w:rPr>
            </w:pPr>
          </w:p>
        </w:tc>
        <w:tc>
          <w:tcPr>
            <w:tcW w:w="52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80" w:type="dxa"/>
            <w:vAlign w:val="bottom"/>
            <w:gridSpan w:val="2"/>
          </w:tcPr>
          <w:p>
            <w:pPr>
              <w:spacing w:after="0" w:line="24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4"/>
                <w:szCs w:val="24"/>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109,603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109,603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97,401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97,401</w:t>
            </w:r>
          </w:p>
        </w:tc>
      </w:tr>
      <w:tr>
        <w:trPr>
          <w:trHeight w:val="243"/>
        </w:trPr>
        <w:tc>
          <w:tcPr>
            <w:tcW w:w="5800" w:type="dxa"/>
            <w:vAlign w:val="bottom"/>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Equity securities</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1,035</w:t>
            </w:r>
          </w:p>
        </w:tc>
      </w:tr>
      <w:tr>
        <w:trPr>
          <w:trHeight w:val="189"/>
        </w:trPr>
        <w:tc>
          <w:tcPr>
            <w:tcW w:w="580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800" w:type="dxa"/>
            <w:vAlign w:val="bottom"/>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Net financed sales receivables</w:t>
            </w:r>
            <w:r>
              <w:rPr>
                <w:rFonts w:ascii="Arial" w:cs="Arial" w:eastAsia="Arial" w:hAnsi="Arial"/>
                <w:sz w:val="24"/>
                <w:szCs w:val="24"/>
                <w:color w:val="auto"/>
                <w:vertAlign w:val="superscript"/>
              </w:rPr>
              <w:t>(3)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96,360</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96,604</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101,052</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100,059</w:t>
            </w:r>
          </w:p>
        </w:tc>
      </w:tr>
      <w:tr>
        <w:trPr>
          <w:trHeight w:val="243"/>
        </w:trPr>
        <w:tc>
          <w:tcPr>
            <w:tcW w:w="580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Net investment in sales-type leases</w:t>
            </w:r>
            <w:r>
              <w:rPr>
                <w:rFonts w:ascii="Arial" w:cs="Arial" w:eastAsia="Arial" w:hAnsi="Arial"/>
                <w:sz w:val="24"/>
                <w:szCs w:val="24"/>
                <w:color w:val="auto"/>
                <w:vertAlign w:val="superscript"/>
              </w:rPr>
              <w:t>(3)</w:t>
            </w: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28,962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28,244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28,332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27,972</w:t>
            </w:r>
          </w:p>
        </w:tc>
      </w:tr>
      <w:tr>
        <w:trPr>
          <w:trHeight w:val="243"/>
        </w:trPr>
        <w:tc>
          <w:tcPr>
            <w:tcW w:w="5800" w:type="dxa"/>
            <w:vAlign w:val="bottom"/>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Equity securities</w:t>
            </w:r>
            <w:r>
              <w:rPr>
                <w:rFonts w:ascii="Arial" w:cs="Arial" w:eastAsia="Arial" w:hAnsi="Arial"/>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1,000</w:t>
            </w:r>
          </w:p>
        </w:tc>
      </w:tr>
      <w:tr>
        <w:trPr>
          <w:trHeight w:val="243"/>
        </w:trPr>
        <w:tc>
          <w:tcPr>
            <w:tcW w:w="580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COLI</w:t>
            </w:r>
            <w:r>
              <w:rPr>
                <w:rFonts w:ascii="Arial" w:cs="Arial" w:eastAsia="Arial" w:hAnsi="Arial"/>
                <w:sz w:val="24"/>
                <w:szCs w:val="24"/>
                <w:color w:val="auto"/>
                <w:vertAlign w:val="superscript"/>
              </w:rPr>
              <w:t>(4)</w:t>
            </w: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3,490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3,490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3,398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3,398</w:t>
            </w:r>
          </w:p>
        </w:tc>
      </w:tr>
      <w:tr>
        <w:trPr>
          <w:trHeight w:val="243"/>
        </w:trPr>
        <w:tc>
          <w:tcPr>
            <w:tcW w:w="5800" w:type="dxa"/>
            <w:vAlign w:val="bottom"/>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(649 )</w:t>
            </w:r>
          </w:p>
        </w:tc>
      </w:tr>
      <w:tr>
        <w:trPr>
          <w:trHeight w:val="243"/>
        </w:trPr>
        <w:tc>
          <w:tcPr>
            <w:tcW w:w="580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Wells Fargo Credit Facility borrowings</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(25,000 )</w:t>
            </w:r>
          </w:p>
        </w:tc>
      </w:tr>
      <w:tr>
        <w:trPr>
          <w:trHeight w:val="243"/>
        </w:trPr>
        <w:tc>
          <w:tcPr>
            <w:tcW w:w="5800" w:type="dxa"/>
            <w:vAlign w:val="bottom"/>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HSBC China Facility borrowings</w:t>
            </w:r>
            <w:r>
              <w:rPr>
                <w:rFonts w:ascii="Arial" w:cs="Arial" w:eastAsia="Arial" w:hAnsi="Arial"/>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(12,496 )</w:t>
            </w:r>
          </w:p>
        </w:tc>
      </w:tr>
      <w:tr>
        <w:trPr>
          <w:trHeight w:val="243"/>
        </w:trPr>
        <w:tc>
          <w:tcPr>
            <w:tcW w:w="580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Bank of China Facility borrowings</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(374 )</w:t>
            </w:r>
          </w:p>
        </w:tc>
      </w:tr>
      <w:tr>
        <w:trPr>
          <w:trHeight w:val="243"/>
        </w:trPr>
        <w:tc>
          <w:tcPr>
            <w:tcW w:w="5800" w:type="dxa"/>
            <w:vAlign w:val="bottom"/>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Federal Economic Development Loan</w:t>
            </w:r>
            <w:r>
              <w:rPr>
                <w:rFonts w:ascii="Arial" w:cs="Arial" w:eastAsia="Arial" w:hAnsi="Arial"/>
                <w:sz w:val="24"/>
                <w:szCs w:val="24"/>
                <w:color w:val="auto"/>
                <w:vertAlign w:val="superscript"/>
              </w:rPr>
              <w:t>(3)</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(2,191 )</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(1,782 )</w:t>
            </w:r>
          </w:p>
        </w:tc>
      </w:tr>
      <w:tr>
        <w:trPr>
          <w:trHeight w:val="315"/>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Convertible Notes</w:t>
            </w:r>
            <w:r>
              <w:rPr>
                <w:rFonts w:ascii="Arial" w:cs="Arial" w:eastAsia="Arial" w:hAnsi="Arial"/>
                <w:sz w:val="24"/>
                <w:szCs w:val="24"/>
                <w:color w:val="auto"/>
                <w:vertAlign w:val="superscript"/>
              </w:rPr>
              <w:t>(5)</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(230,000 )</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(215,273 )</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(230,000 )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(196,717 )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9512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is determined using quoted prices in active markets.</w:t>
      </w:r>
    </w:p>
    <w:p>
      <w:pPr>
        <w:spacing w:after="0" w:line="198"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is estimated based on discounting future cash flows at currently available interest rates with comparable terms.</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Measured at cash surrender value, which approximates fair value.</w:t>
      </w:r>
    </w:p>
    <w:p>
      <w:pPr>
        <w:spacing w:after="0" w:line="184" w:lineRule="exact"/>
        <w:rPr>
          <w:rFonts w:ascii="Arial" w:cs="Arial" w:eastAsia="Arial" w:hAnsi="Arial"/>
          <w:sz w:val="18"/>
          <w:szCs w:val="18"/>
          <w:color w:val="auto"/>
        </w:rPr>
      </w:pPr>
    </w:p>
    <w:p>
      <w:pPr>
        <w:jc w:val="center"/>
        <w:ind w:left="5540" w:right="820" w:hanging="5532"/>
        <w:spacing w:after="0" w:line="527" w:lineRule="auto"/>
        <w:tabs>
          <w:tab w:leader="none" w:pos="3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is determined using quoted market prices that are observable in the market or that could be derived from observable market data.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Foreign Exchange Risk Management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is exposed to market risk from changes in foreign currency rates.</w:t>
      </w:r>
    </w:p>
    <w:p>
      <w:pPr>
        <w:spacing w:after="0" w:line="185" w:lineRule="exact"/>
        <w:rPr>
          <w:sz w:val="20"/>
          <w:szCs w:val="20"/>
          <w:color w:val="auto"/>
        </w:rPr>
      </w:pPr>
    </w:p>
    <w:p>
      <w:pPr>
        <w:jc w:val="both"/>
        <w:ind w:firstLine="224"/>
        <w:spacing w:after="0" w:line="291" w:lineRule="auto"/>
        <w:rPr>
          <w:sz w:val="20"/>
          <w:szCs w:val="20"/>
          <w:color w:val="auto"/>
        </w:rPr>
      </w:pPr>
      <w:r>
        <w:rPr>
          <w:rFonts w:ascii="Arial" w:cs="Arial" w:eastAsia="Arial" w:hAnsi="Arial"/>
          <w:sz w:val="16"/>
          <w:szCs w:val="16"/>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87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126"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September 30, 2023 (the “Foreign Currency Hedges”), with settlement dates throughout 2023 and 2024.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(“AOCI”) and reclassified to the Condensed Consolidated Statements of Operations when the forecasted transaction occurs. Any ineffective portion is recognized immediately in the Condensed Consolidated Statements of Operations.</w:t>
      </w:r>
    </w:p>
    <w:p>
      <w:pPr>
        <w:spacing w:after="0" w:line="158" w:lineRule="exact"/>
        <w:rPr>
          <w:sz w:val="20"/>
          <w:szCs w:val="20"/>
          <w:color w:val="auto"/>
        </w:rPr>
      </w:pPr>
    </w:p>
    <w:p>
      <w:pPr>
        <w:jc w:val="both"/>
        <w:ind w:firstLine="224"/>
        <w:spacing w:after="0" w:line="342" w:lineRule="auto"/>
        <w:rPr>
          <w:sz w:val="20"/>
          <w:szCs w:val="20"/>
          <w:color w:val="auto"/>
        </w:rPr>
      </w:pPr>
      <w:r>
        <w:rPr>
          <w:rFonts w:ascii="Arial" w:cs="Arial" w:eastAsia="Arial" w:hAnsi="Arial"/>
          <w:sz w:val="16"/>
          <w:szCs w:val="16"/>
          <w:color w:val="auto"/>
        </w:rPr>
        <w:t>The notional value of foreign currency cash flow hedging instruments that qualify for hedge accounting as of September 30, 2023 was $41.6 million (December 31, 2022 — $24.7 million). The Company currently does not hold any derivatives which are not designated as hedging instruments.</w:t>
      </w:r>
    </w:p>
    <w:p>
      <w:pPr>
        <w:spacing w:after="0" w:line="83"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Fair value of derivatives in foreign exchange contracts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8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442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3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442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32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r>
      <w:tr>
        <w:trPr>
          <w:trHeight w:val="249"/>
        </w:trPr>
        <w:tc>
          <w:tcPr>
            <w:tcW w:w="4420" w:type="dxa"/>
            <w:vAlign w:val="bottom"/>
            <w:shd w:val="clear" w:color="auto" w:fill="CFF0FC"/>
          </w:tcPr>
          <w:p>
            <w:pPr>
              <w:spacing w:after="0"/>
              <w:rPr>
                <w:sz w:val="21"/>
                <w:szCs w:val="21"/>
                <w:color w:val="auto"/>
              </w:rPr>
            </w:pPr>
          </w:p>
        </w:tc>
        <w:tc>
          <w:tcPr>
            <w:tcW w:w="3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and other liabilities</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(311 )</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(699 )</w:t>
            </w:r>
          </w:p>
        </w:tc>
      </w:tr>
      <w:tr>
        <w:trPr>
          <w:trHeight w:val="230"/>
        </w:trPr>
        <w:tc>
          <w:tcPr>
            <w:tcW w:w="4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Derivatives in foreign currency hedging relationships are as follows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Derivative Loss</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1940" w:type="dxa"/>
            <w:vAlign w:val="bottom"/>
          </w:tcPr>
          <w:p>
            <w:pPr>
              <w:ind w:left="100"/>
              <w:spacing w:after="0"/>
              <w:rPr>
                <w:sz w:val="20"/>
                <w:szCs w:val="20"/>
                <w:color w:val="auto"/>
              </w:rPr>
            </w:pPr>
            <w:r>
              <w:rPr>
                <w:rFonts w:ascii="Arial" w:cs="Arial" w:eastAsia="Arial" w:hAnsi="Arial"/>
                <w:sz w:val="18"/>
                <w:szCs w:val="18"/>
                <w:color w:val="auto"/>
              </w:rPr>
              <w:t>Recognized in OCI</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3460" w:type="dxa"/>
            <w:vAlign w:val="bottom"/>
            <w:shd w:val="clear" w:color="auto" w:fill="CFF0FC"/>
          </w:tcPr>
          <w:p>
            <w:pPr>
              <w:spacing w:after="0"/>
              <w:rPr>
                <w:sz w:val="24"/>
                <w:szCs w:val="24"/>
                <w:color w:val="auto"/>
              </w:rPr>
            </w:pPr>
          </w:p>
        </w:tc>
        <w:tc>
          <w:tcPr>
            <w:tcW w:w="1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(Effective Portion)</w:t>
            </w: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(1,048 )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(1,567 )</w:t>
            </w: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4"/>
              </w:rPr>
              <w:t>(226 )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(1,862 )</w:t>
            </w:r>
          </w:p>
        </w:tc>
        <w:tc>
          <w:tcPr>
            <w:tcW w:w="0" w:type="dxa"/>
            <w:vAlign w:val="bottom"/>
          </w:tcPr>
          <w:p>
            <w:pPr>
              <w:spacing w:after="0"/>
              <w:rPr>
                <w:sz w:val="1"/>
                <w:szCs w:val="1"/>
                <w:color w:val="auto"/>
              </w:rPr>
            </w:pPr>
          </w:p>
        </w:tc>
      </w:tr>
      <w:tr>
        <w:trPr>
          <w:trHeight w:val="468"/>
        </w:trPr>
        <w:tc>
          <w:tcPr>
            <w:tcW w:w="3460" w:type="dxa"/>
            <w:vAlign w:val="bottom"/>
            <w:tcBorders>
              <w:top w:val="single" w:sz="8" w:color="CFF0FC"/>
            </w:tcBorders>
          </w:tcPr>
          <w:p>
            <w:pPr>
              <w:spacing w:after="0"/>
              <w:rPr>
                <w:sz w:val="24"/>
                <w:szCs w:val="24"/>
                <w:color w:val="auto"/>
              </w:rPr>
            </w:pPr>
          </w:p>
        </w:tc>
        <w:tc>
          <w:tcPr>
            <w:tcW w:w="1940" w:type="dxa"/>
            <w:vAlign w:val="bottom"/>
            <w:tcBorders>
              <w:top w:val="single" w:sz="8" w:color="CFF0FC"/>
            </w:tcBorders>
          </w:tcPr>
          <w:p>
            <w:pPr>
              <w:spacing w:after="0"/>
              <w:rPr>
                <w:sz w:val="20"/>
                <w:szCs w:val="20"/>
                <w:color w:val="auto"/>
              </w:rPr>
            </w:pPr>
            <w:r>
              <w:rPr>
                <w:rFonts w:ascii="Arial" w:cs="Arial" w:eastAsia="Arial" w:hAnsi="Arial"/>
                <w:sz w:val="14"/>
                <w:szCs w:val="14"/>
                <w:b w:val="1"/>
                <w:bCs w:val="1"/>
                <w:color w:val="auto"/>
              </w:rPr>
              <w:t>Location of Derivative Loss</w:t>
            </w:r>
          </w:p>
        </w:tc>
        <w:tc>
          <w:tcPr>
            <w:tcW w:w="5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4"/>
                <w:szCs w:val="14"/>
                <w:b w:val="1"/>
                <w:bCs w:val="1"/>
                <w:color w:val="auto"/>
              </w:rPr>
              <w:t>Reclassified from AOCI</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September 30,</w:t>
            </w:r>
          </w:p>
        </w:tc>
        <w:tc>
          <w:tcPr>
            <w:tcW w:w="230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(Effective Portion)</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1940" w:type="dxa"/>
            <w:vAlign w:val="bottom"/>
          </w:tcPr>
          <w:p>
            <w:pPr>
              <w:ind w:left="100"/>
              <w:spacing w:after="0"/>
              <w:rPr>
                <w:sz w:val="20"/>
                <w:szCs w:val="20"/>
                <w:color w:val="auto"/>
              </w:rPr>
            </w:pPr>
            <w:r>
              <w:rPr>
                <w:rFonts w:ascii="Arial" w:cs="Arial" w:eastAsia="Arial" w:hAnsi="Arial"/>
                <w:sz w:val="18"/>
                <w:szCs w:val="18"/>
                <w:color w:val="auto"/>
                <w:w w:val="94"/>
              </w:rPr>
              <w:t>administrative expenses</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(174 )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(80 )</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(636 )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vMerge w:val="restart"/>
          </w:tcPr>
          <w:p>
            <w:pPr>
              <w:jc w:val="right"/>
              <w:ind w:right="13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-1465580</wp:posOffset>
            </wp:positionV>
            <wp:extent cx="2528570" cy="643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28570" cy="643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jc w:val="both"/>
        <w:ind w:right="20" w:firstLine="224"/>
        <w:spacing w:after="0" w:line="277" w:lineRule="auto"/>
        <w:rPr>
          <w:sz w:val="20"/>
          <w:szCs w:val="20"/>
          <w:color w:val="auto"/>
        </w:rPr>
      </w:pPr>
      <w:r>
        <w:rPr>
          <w:rFonts w:ascii="Arial" w:cs="Arial" w:eastAsia="Arial" w:hAnsi="Arial"/>
          <w:sz w:val="18"/>
          <w:szCs w:val="18"/>
          <w:color w:val="auto"/>
        </w:rPr>
        <w:t>The Company’s estimated net amount of the existing loss as of September 30, 2023 is $(0.2) million, which is expected to be reclassified to the Condensed Consolidated Statements of Operations within the next twelve months.</w:t>
      </w:r>
    </w:p>
    <w:p>
      <w:pPr>
        <w:spacing w:after="0" w:line="143"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Investments in Equity Securities</w:t>
      </w:r>
    </w:p>
    <w:p>
      <w:pPr>
        <w:spacing w:after="0" w:line="18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Company had an investment in the shares of an exchange traded fund which was classified as an equity investment. During the quarter ended September 30, 2023, the investment was liquidated (December 31, 2022 — $1.0 million) and was recorded within Investment in Equity Securities in the Condensed Consolidated Balance Sheets.</w:t>
      </w:r>
    </w:p>
    <w:p>
      <w:pPr>
        <w:spacing w:after="0" w:line="14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Company held an investment in the preferred shares of enterprises which meets the criteria for classification as an equity security carried at historical cost, net of impairment charges. The carrying value of the equity security investment was $1.0 million as of September 30, 2023 (December 31, 2022 — $1.0 million) and is recorded within Other Assets in the Condensed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16. Executive Transition Costs</w:t>
      </w:r>
    </w:p>
    <w:p>
      <w:pPr>
        <w:spacing w:after="0" w:line="202"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On March 13, 2023, the Company and Megan Colligan, President, IMAX Entertainment and Executive Vice President of the Company, agreed to conclude Ms. Colligan’s employment with the Company, effective April 30, 2023. Pursuant to the employment agreement between the Company and Ms. Colligan, dated as of October 10, 2018, and the letter agreement between the Company and Ms. Colligan, dated as of March 15, 2023, the Company recognized executive transition costs of $1.4 million associated with the departure of Ms. Colligan during the first quarter of 2023. The costs include severance of $1.6 million, transition services covering three months of $0.8 million, and the reversal of previously recognized share-based compensation costs of $1.0 million for PSU forfeitures. There were no additional costs incurred in the third quarter of 2023.</w:t>
      </w:r>
    </w:p>
    <w:p>
      <w:pPr>
        <w:spacing w:after="0" w:line="133"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88" w:lineRule="exact"/>
        <w:rPr>
          <w:rFonts w:ascii="Arial" w:cs="Arial" w:eastAsia="Arial" w:hAnsi="Arial"/>
          <w:sz w:val="18"/>
          <w:szCs w:val="18"/>
          <w:b w:val="1"/>
          <w:bCs w:val="1"/>
          <w:color w:val="auto"/>
        </w:rPr>
      </w:pPr>
    </w:p>
    <w:p>
      <w:pPr>
        <w:ind w:left="600" w:hanging="368"/>
        <w:spacing w:after="0"/>
        <w:tabs>
          <w:tab w:leader="none" w:pos="60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98"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The Company indirectly owns 71.63% of IMAX China, whose shares trade on the Hong Kong Stock Exchange (December 31, 2022 — 71.73%). IMAX China remains a consolidated subsidiary of the Company. As of September 30, 2023, the balance of the Company’s non-controlling interest in IMAX China is $69.7 million (December 31, 2022 — $65.7 million). For the three and nine months ended September 30, 2023, the net income attributable to the non-controlling interest in IMAX China is $3.0 million and $7.0 million, respectively, (2022 — $1.2 million and $1.5 million, respectively).</w:t>
      </w:r>
    </w:p>
    <w:p>
      <w:pPr>
        <w:spacing w:after="0" w:line="117"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6"/>
          <w:szCs w:val="16"/>
          <w:b w:val="1"/>
          <w:bCs w:val="1"/>
          <w:i w:val="1"/>
          <w:iCs w:val="1"/>
          <w:color w:val="auto"/>
        </w:rPr>
        <w:t>Other Non-Controlling Interest</w:t>
      </w:r>
    </w:p>
    <w:p>
      <w:pPr>
        <w:spacing w:after="0" w:line="18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September 30, 2023,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6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6"/>
          <w:szCs w:val="16"/>
          <w:b w:val="1"/>
          <w:bCs w:val="1"/>
          <w:i w:val="1"/>
          <w:iCs w:val="1"/>
          <w:color w:val="auto"/>
        </w:rPr>
        <w:t>Non-Controlling Interest in Temporary Equity</w:t>
      </w:r>
    </w:p>
    <w:p>
      <w:pPr>
        <w:spacing w:after="0" w:line="18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following table summarizes the movement of the non-controlling interest in temporary equity related to the Original Film Fund for the nine months ended 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4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45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20"/>
                <w:szCs w:val="20"/>
                <w:color w:val="auto"/>
              </w:rPr>
            </w:pPr>
          </w:p>
        </w:tc>
      </w:tr>
      <w:tr>
        <w:trPr>
          <w:trHeight w:val="237"/>
        </w:trPr>
        <w:tc>
          <w:tcPr>
            <w:tcW w:w="3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(61 )</w:t>
            </w:r>
          </w:p>
        </w:tc>
        <w:tc>
          <w:tcPr>
            <w:tcW w:w="3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r>
      <w:tr>
        <w:trPr>
          <w:trHeight w:val="277"/>
        </w:trPr>
        <w:tc>
          <w:tcPr>
            <w:tcW w:w="3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45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5"/>
        </w:trPr>
        <w:tc>
          <w:tcPr>
            <w:tcW w:w="3640" w:type="dxa"/>
            <w:vAlign w:val="bottom"/>
          </w:tcPr>
          <w:p>
            <w:pPr>
              <w:spacing w:after="0"/>
              <w:rPr>
                <w:sz w:val="24"/>
                <w:szCs w:val="24"/>
                <w:color w:val="auto"/>
              </w:rPr>
            </w:pPr>
          </w:p>
        </w:tc>
        <w:tc>
          <w:tcPr>
            <w:tcW w:w="4580" w:type="dxa"/>
            <w:vAlign w:val="bottom"/>
          </w:tcPr>
          <w:p>
            <w:pPr>
              <w:jc w:val="right"/>
              <w:ind w:right="241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-521970</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-504825</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202"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On January 13, 2023, the Company, China International Communications Group (“CICG”), and Beach House Pictures Pte Ltd (“Beach House”) entered into an agreement to co-finance a documentary film titled “The Elephant Odyssey.” A member of the Company’s Board of Directors and a member of its Audit Committee is the ultimate controlling shareholder in Blue Ant Media (“Blue Ant”), a media company which he co-founded in 2011. Blue Ant, in turn, owns 70% of Beach House. The total budget for the film is approximately $2.6 million, of which CICG is responsible for $0.3 million or 10%. The Company and Beach House have agreed to finance $1.7 million or 75% and $0.6 million or 25% of the remaining budget, respectively. As of September 30, 2023, the Company has made payments of $0.3 million under the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Discussion and Analysis of Financial Condition and Results of Operations</w:t>
      </w:r>
    </w:p>
    <w:p>
      <w:pPr>
        <w:spacing w:after="0" w:line="202"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and nine months ended September 30, 2023 and 2022. In the first quarter of 2023, the Company revised its internal segment reporting, including the information provided to its Chief Operating Decision Maker (“CODM”) to assess segment performance and allocate resources, and, as a result, updated its reportable segments. Prior period comparatives in this MD&amp;A have been revised to conform with the updated segment reporting presentation. MD&amp;A should be read in conjunction with Note 13, “Segment Reporting,” in the accompanying Condensed Consolidated Financial Statements in Item 1.</w:t>
      </w:r>
    </w:p>
    <w:p>
      <w:pPr>
        <w:spacing w:after="0" w:line="13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As of September 30, 2023, the Company indirectly owns 71.63% of IMAX China Holding, Inc. (“IMAX China”), whose shares trade on the Hong Kong Stock Exchange. IMAX China is a consolidated subsidiary of the Company. For the three months ended September 30, 2023, net income attributable to IMAX China is $11.0 million, of which $7.9 million is attributable to the shareholders of the Company (2022 — net income of $4.2 million and $3.0 million, respectively).</w:t>
      </w:r>
    </w:p>
    <w:p>
      <w:pPr>
        <w:spacing w:after="0" w:line="146"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On July 12, 2023, the Company announced it filed a proposal to acquire the outstanding 96.3 million shares in IMAX China for approximately 10 Hong Kong Dollars (“HKD”) per share in cash ($124.0 million) (the “China Transaction”). The offer represented an approximate 49% premium to the 30-trading day average closing price. At the Extraordinary General Meeting of IMAX China shareholders held on October 9, 2023, the vast majority voted in favor of the China Transaction, however, the Company did not receive approval from 90% of disinterested IMAX China shareholders as required by Hong Kong law and, as a result, the Company's proposal to acquire IMAX China's outstanding shares did not proceed.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89" w:lineRule="exact"/>
        <w:rPr>
          <w:sz w:val="20"/>
          <w:szCs w:val="20"/>
          <w:color w:val="auto"/>
        </w:rPr>
      </w:pPr>
    </w:p>
    <w:p>
      <w:pPr>
        <w:jc w:val="both"/>
        <w:ind w:firstLine="223"/>
        <w:spacing w:after="0" w:line="281"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statements regarding the emergence of Cineworld from bankruptcy, as well as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related to the adverse impact of the COVID-19 pandemic;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risks related to the Company’s growth and operations in China; the performance of IMAX DMR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the failure to convert system backlog into revenue; changes in laws or regulations; any statements of belief and any statements of assumptions underlying any of the foregoing; other factors and risks outlined in the Company’s periodic filings with the SEC or in Canada, the System for Electronic Document Analysis and Retrieval (the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IMAX</w:t>
      </w:r>
      <w:r>
        <w:rPr>
          <w:rFonts w:ascii="Arial" w:cs="Arial" w:eastAsia="Arial" w:hAnsi="Arial"/>
          <w:sz w:val="24"/>
          <w:szCs w:val="24"/>
          <w:color w:val="auto"/>
          <w:vertAlign w:val="superscript"/>
        </w:rPr>
        <w:t>®</w:t>
      </w:r>
      <w:r>
        <w:rPr>
          <w:rFonts w:ascii="Arial" w:cs="Arial" w:eastAsia="Arial" w:hAnsi="Arial"/>
          <w:sz w:val="18"/>
          <w:szCs w:val="18"/>
          <w:color w:val="auto"/>
        </w:rPr>
        <w:t>, IMAX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3D, Experience It In IMAX</w:t>
      </w:r>
      <w:r>
        <w:rPr>
          <w:rFonts w:ascii="Arial" w:cs="Arial" w:eastAsia="Arial" w:hAnsi="Arial"/>
          <w:sz w:val="24"/>
          <w:szCs w:val="24"/>
          <w:color w:val="auto"/>
          <w:vertAlign w:val="superscript"/>
        </w:rPr>
        <w:t>®</w:t>
      </w:r>
      <w:r>
        <w:rPr>
          <w:rFonts w:ascii="Arial" w:cs="Arial" w:eastAsia="Arial" w:hAnsi="Arial"/>
          <w:sz w:val="18"/>
          <w:szCs w:val="18"/>
          <w:color w:val="auto"/>
        </w:rPr>
        <w:t>, The IMAX Experience</w:t>
      </w:r>
      <w:r>
        <w:rPr>
          <w:rFonts w:ascii="Arial" w:cs="Arial" w:eastAsia="Arial" w:hAnsi="Arial"/>
          <w:sz w:val="24"/>
          <w:szCs w:val="24"/>
          <w:color w:val="auto"/>
          <w:vertAlign w:val="superscript"/>
        </w:rPr>
        <w:t>®</w:t>
      </w:r>
      <w:r>
        <w:rPr>
          <w:rFonts w:ascii="Arial" w:cs="Arial" w:eastAsia="Arial" w:hAnsi="Arial"/>
          <w:sz w:val="18"/>
          <w:szCs w:val="18"/>
          <w:color w:val="auto"/>
        </w:rPr>
        <w:t>, DMR</w:t>
      </w:r>
      <w:r>
        <w:rPr>
          <w:rFonts w:ascii="Arial" w:cs="Arial" w:eastAsia="Arial" w:hAnsi="Arial"/>
          <w:sz w:val="24"/>
          <w:szCs w:val="24"/>
          <w:color w:val="auto"/>
          <w:vertAlign w:val="superscript"/>
        </w:rPr>
        <w:t>®</w:t>
      </w:r>
      <w:r>
        <w:rPr>
          <w:rFonts w:ascii="Arial" w:cs="Arial" w:eastAsia="Arial" w:hAnsi="Arial"/>
          <w:sz w:val="18"/>
          <w:szCs w:val="18"/>
          <w:color w:val="auto"/>
        </w:rPr>
        <w:t>, Filmed For IMAX</w:t>
      </w:r>
      <w:r>
        <w:rPr>
          <w:rFonts w:ascii="Arial" w:cs="Arial" w:eastAsia="Arial" w:hAnsi="Arial"/>
          <w:sz w:val="24"/>
          <w:szCs w:val="24"/>
          <w:color w:val="auto"/>
          <w:vertAlign w:val="superscript"/>
        </w:rPr>
        <w:t>TM</w:t>
      </w:r>
      <w:r>
        <w:rPr>
          <w:rFonts w:ascii="Arial" w:cs="Arial" w:eastAsia="Arial" w:hAnsi="Arial"/>
          <w:sz w:val="18"/>
          <w:szCs w:val="18"/>
          <w:color w:val="auto"/>
        </w:rPr>
        <w:t>, IMAX Live</w:t>
      </w:r>
      <w:r>
        <w:rPr>
          <w:rFonts w:ascii="Arial" w:cs="Arial" w:eastAsia="Arial" w:hAnsi="Arial"/>
          <w:sz w:val="24"/>
          <w:szCs w:val="24"/>
          <w:color w:val="auto"/>
          <w:vertAlign w:val="superscript"/>
        </w:rPr>
        <w:t>TM</w:t>
      </w:r>
      <w:r>
        <w:rPr>
          <w:rFonts w:ascii="Arial" w:cs="Arial" w:eastAsia="Arial" w:hAnsi="Arial"/>
          <w:sz w:val="18"/>
          <w:szCs w:val="18"/>
          <w:color w:val="auto"/>
        </w:rPr>
        <w:t>, IMAX Enhanced</w:t>
      </w:r>
      <w:r>
        <w:rPr>
          <w:rFonts w:ascii="Arial" w:cs="Arial" w:eastAsia="Arial" w:hAnsi="Arial"/>
          <w:sz w:val="24"/>
          <w:szCs w:val="24"/>
          <w:color w:val="auto"/>
          <w:vertAlign w:val="superscript"/>
        </w:rPr>
        <w:t>®</w:t>
      </w:r>
      <w:r>
        <w:rPr>
          <w:rFonts w:ascii="Arial" w:cs="Arial" w:eastAsia="Arial" w:hAnsi="Arial"/>
          <w:sz w:val="18"/>
          <w:szCs w:val="18"/>
          <w:color w:val="auto"/>
        </w:rPr>
        <w:t>, Stream Smart</w:t>
      </w:r>
      <w:r>
        <w:rPr>
          <w:rFonts w:ascii="Arial" w:cs="Arial" w:eastAsia="Arial" w:hAnsi="Arial"/>
          <w:sz w:val="24"/>
          <w:szCs w:val="24"/>
          <w:b w:val="1"/>
          <w:bCs w:val="1"/>
          <w:color w:val="auto"/>
          <w:vertAlign w:val="superscript"/>
        </w:rPr>
        <w:t>TM</w:t>
      </w:r>
      <w:r>
        <w:rPr>
          <w:rFonts w:ascii="Arial" w:cs="Arial" w:eastAsia="Arial" w:hAnsi="Arial"/>
          <w:sz w:val="18"/>
          <w:szCs w:val="18"/>
          <w:color w:val="auto"/>
        </w:rPr>
        <w:t>, and SSIMWAVE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are trademarks and trade names of the Company or its subsidiaries that are registered or otherwise protected under laws of various jurisdictions.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revise any forward-looking statements, whether as a result of new information, future events or otherwise.</w:t>
      </w:r>
    </w:p>
    <w:p>
      <w:pPr>
        <w:spacing w:after="0" w:line="198"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www.sedar.com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3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and SEDAR filings and public conference calls and webcasts.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6"/>
          <w:szCs w:val="16"/>
          <w:color w:val="auto"/>
        </w:rPr>
        <w:t>IMAX is a premier global technology platform for entertainment and events. Through its proprietary software, theater architecture, patented intellectual property, and specialized equipment, IMAX offers a unique end-to-end solution to create superior, immersive content experiences for which the IMAX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and, increasingly, exclusive experiences ranging from live performances to interactive events with leading artists and creators.</w:t>
      </w:r>
    </w:p>
    <w:p>
      <w:pPr>
        <w:spacing w:after="0" w:line="133"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and the sale or lease of premium IMAX theater systems (“IMAX System(s)”).</w:t>
      </w:r>
    </w:p>
    <w:p>
      <w:pPr>
        <w:spacing w:after="0" w:line="143"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does not own the locations, except for one, in the IMAX network, and is not an exhibitor, but instead sells or leases IMAX Systems to exhibitor customers along with a license to use its trademarks and ongoing maintenance services.</w:t>
      </w:r>
    </w:p>
    <w:p>
      <w:pPr>
        <w:spacing w:after="0" w:line="161"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As of September 30, 2023, there were 1,731 IMAX Systems in 87 countries and territories, including 1,651 commercial multiplexes, 12 commercial destinations, and 68 institutional locations in the Company’s global network. This compares to 1,703 IMAX Systems in 87 countries and territories as of September 30, 2022, including 1,622 commercial multiplexes, 12 commercial destinations, and 69 institutional locations in the Company’s global network. (See the table under “IMAX Network and Backlog” for additional information on the composition of the IMAX network.)</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IMAX Systems provide the Company’s exhibitor customers with a combination of the following benefits:</w:t>
      </w:r>
    </w:p>
    <w:p>
      <w:pPr>
        <w:spacing w:after="0" w:line="185" w:lineRule="exact"/>
        <w:rPr>
          <w:sz w:val="20"/>
          <w:szCs w:val="20"/>
          <w:color w:val="auto"/>
        </w:rPr>
      </w:pPr>
    </w:p>
    <w:p>
      <w:pPr>
        <w:ind w:left="600" w:right="20" w:hanging="368"/>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exhibit content that has been enhanced through the IMAX film remastering (formerly known as “IMAX DMR”) process, which results in higher image and sound fidelity than conventional cinema experiences;</w:t>
      </w:r>
    </w:p>
    <w:p>
      <w:pPr>
        <w:spacing w:after="0" w:line="143" w:lineRule="exact"/>
        <w:rPr>
          <w:rFonts w:ascii="Arial" w:cs="Arial" w:eastAsia="Arial" w:hAnsi="Arial"/>
          <w:sz w:val="18"/>
          <w:szCs w:val="18"/>
          <w:color w:val="auto"/>
        </w:rPr>
      </w:pPr>
    </w:p>
    <w:p>
      <w:pPr>
        <w:ind w:left="600" w:right="20" w:hanging="368"/>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29" w:lineRule="exact"/>
        <w:rPr>
          <w:rFonts w:ascii="Arial" w:cs="Arial" w:eastAsia="Arial" w:hAnsi="Arial"/>
          <w:sz w:val="18"/>
          <w:szCs w:val="18"/>
          <w:color w:val="auto"/>
        </w:rPr>
      </w:pPr>
    </w:p>
    <w:p>
      <w:pPr>
        <w:ind w:left="600" w:right="20" w:hanging="368"/>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29" w:lineRule="exact"/>
        <w:rPr>
          <w:rFonts w:ascii="Arial" w:cs="Arial" w:eastAsia="Arial" w:hAnsi="Arial"/>
          <w:sz w:val="18"/>
          <w:szCs w:val="18"/>
          <w:color w:val="auto"/>
        </w:rPr>
      </w:pPr>
    </w:p>
    <w:p>
      <w:pPr>
        <w:ind w:left="600" w:hanging="368"/>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every specific spot in a theater equipped with an IMAX System;</w:t>
      </w:r>
    </w:p>
    <w:p>
      <w:pPr>
        <w:spacing w:after="0" w:line="143" w:lineRule="exact"/>
        <w:rPr>
          <w:rFonts w:ascii="Arial" w:cs="Arial" w:eastAsia="Arial" w:hAnsi="Arial"/>
          <w:sz w:val="18"/>
          <w:szCs w:val="18"/>
          <w:color w:val="auto"/>
        </w:rPr>
      </w:pPr>
    </w:p>
    <w:p>
      <w:pPr>
        <w:ind w:left="600" w:hanging="3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w:t>
      </w:r>
    </w:p>
    <w:p>
      <w:pPr>
        <w:spacing w:after="0" w:line="184" w:lineRule="exact"/>
        <w:rPr>
          <w:rFonts w:ascii="Arial" w:cs="Arial" w:eastAsia="Arial" w:hAnsi="Arial"/>
          <w:sz w:val="18"/>
          <w:szCs w:val="18"/>
          <w:color w:val="auto"/>
        </w:rPr>
      </w:pPr>
    </w:p>
    <w:p>
      <w:pPr>
        <w:ind w:left="600" w:hanging="3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ongoing maintenance and extended warranty services, and</w:t>
      </w:r>
    </w:p>
    <w:p>
      <w:pPr>
        <w:spacing w:after="0" w:line="184" w:lineRule="exact"/>
        <w:rPr>
          <w:rFonts w:ascii="Arial" w:cs="Arial" w:eastAsia="Arial" w:hAnsi="Arial"/>
          <w:sz w:val="18"/>
          <w:szCs w:val="18"/>
          <w:color w:val="auto"/>
        </w:rPr>
      </w:pPr>
    </w:p>
    <w:p>
      <w:pPr>
        <w:ind w:left="600" w:hanging="3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jc w:val="both"/>
        <w:ind w:firstLine="224"/>
        <w:spacing w:after="0" w:line="259" w:lineRule="auto"/>
        <w:rPr>
          <w:sz w:val="20"/>
          <w:szCs w:val="20"/>
          <w:color w:val="auto"/>
        </w:rPr>
      </w:pPr>
      <w:r>
        <w:rPr>
          <w:rFonts w:ascii="Arial" w:cs="Arial" w:eastAsia="Arial" w:hAnsi="Arial"/>
          <w:sz w:val="18"/>
          <w:szCs w:val="18"/>
          <w:color w:val="auto"/>
        </w:rPr>
        <w:t>In addition, select movies shown in the IMAX network are filmed using proprietary IMAX film cameras or IMAX certified digital cameras, which offer filmmakers customized guidance and a workflow process to provide further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160"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Together, these components create a more intense, immersive, and exciting experience than a traditional theater, enabling audiences in IMAX locations to feel as if they are a part of the on-screen action.</w:t>
      </w:r>
    </w:p>
    <w:p>
      <w:pPr>
        <w:spacing w:after="0" w:line="13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7"/>
          <w:szCs w:val="17"/>
          <w:color w:val="auto"/>
        </w:rPr>
        <w:t xml:space="preserve">As a result of the engineering and scientific achievements that are a hallmark of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23"/>
          <w:szCs w:val="23"/>
          <w:color w:val="auto"/>
          <w:vertAlign w:val="superscript"/>
        </w:rPr>
        <w:t>®</w:t>
      </w:r>
      <w:r>
        <w:rPr>
          <w:rFonts w:ascii="Arial" w:cs="Arial" w:eastAsia="Arial" w:hAnsi="Arial"/>
          <w:sz w:val="17"/>
          <w:szCs w:val="17"/>
          <w:color w:val="auto"/>
        </w:rPr>
        <w:t>, the Company’s exhibitor customers typically charge a premium for films released in the IMAX network over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films exhibited in the IMAX network has helped establish IMAX as a key premium distribution and marketing platform for Hollywood and foreign local language movie studios.</w:t>
      </w:r>
    </w:p>
    <w:p>
      <w:pPr>
        <w:spacing w:after="0" w:line="157" w:lineRule="exact"/>
        <w:rPr>
          <w:sz w:val="20"/>
          <w:szCs w:val="20"/>
          <w:color w:val="auto"/>
        </w:rPr>
      </w:pPr>
    </w:p>
    <w:p>
      <w:pPr>
        <w:jc w:val="both"/>
        <w:ind w:firstLine="224"/>
        <w:spacing w:after="0" w:line="237" w:lineRule="auto"/>
        <w:rPr>
          <w:sz w:val="20"/>
          <w:szCs w:val="20"/>
          <w:color w:val="auto"/>
        </w:rPr>
      </w:pPr>
      <w:r>
        <w:rPr>
          <w:rFonts w:ascii="Arial" w:cs="Arial" w:eastAsia="Arial" w:hAnsi="Arial"/>
          <w:sz w:val="17"/>
          <w:szCs w:val="17"/>
          <w:color w:val="auto"/>
        </w:rPr>
        <w:t>In addition, the Company continues to experiment in bringing new, innovative IMAX Live</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events and experiences to audiences worldwide. The Company has a footprint of connected IMAX Systems capable of delivering live, interactive content with low latency and superior sight and sound.</w:t>
      </w:r>
    </w:p>
    <w:p>
      <w:pPr>
        <w:spacing w:after="0" w:line="17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spacing w:after="0" w:line="146"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In September 2022, the Company acquired SSIMWAVE Inc. (“SSIMWAVE”), a leader in AI-driven video quality solutions for media and entertainment companies. The acquisition of SSIMWAVE marks a significant expansion of the Company’s streaming and consumer technology strategy to deliver the highest quality images on any screen, while also creating cost efficiencies to streaming companies, broadcasters and other companies that transmit visual data — to drive new, recurring revenue and grow its global leadership in entertainment technology.</w:t>
      </w:r>
    </w:p>
    <w:p>
      <w:pPr>
        <w:spacing w:after="0" w:line="131"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7"/>
          <w:szCs w:val="17"/>
          <w:color w:val="auto"/>
        </w:rPr>
        <w:t>Commencing in March 2022, in response to numerous sanctions imposed by the United States, Canada and the European Union on companies transacting in Russia and Belarus resulting from ongoing conflict between Russia and Ukraine, the Company suspended its operations in Russia and Belarus. As of September 30, 2023, the IMAX network includes 54 systems in Russia, eight systems in Ukraine, and one system in Belarus and the Company's backlog includes 14 systems in Russia, one system in Ukraine, and five systems in Belarus with a total fixed contracted value of $22.9 million. In the first quarter of 2022, the Company recorded provisions for potential credit losses against substantially all of its receivables in Russia due to uncertainties associated with the ongoing conflict. These receivables relate to existing sale agreements as the Company is not party to any joint revenue sharing arrangements in these countries. In addition, exhibitors in Russia, Ukraine, and Belarus were placed on nonaccrual status for maintenance revenue and finance income beginning in the first quarter of 2022. Beginning in the second quarter of 2023, due to the resumption of operations throughout Ukraine's theatrical exhibition industry, as evidenced by the reopening of all IMAX Systems in Ukraine and payments received from exhibitor customers, the Company recognized maintenance revenue and finance income. The Company continues to closely monitor the evolving impacts of this conflict (including the sanctions imposed by the United States, Canada and the European Union) and its effects on the global economy and the Company. (See Note 3 of Notes to Condensed Consolidated Financial Statements in Part I, Item 1 and “Risk Factors - The Company conducts business internationally, which exposes it to uncertainties and risks that could negatively affect its operations, sales, and future growth prospects.” in Part I, Item 1A of the Company’s 2022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jc w:val="both"/>
        <w:ind w:firstLine="224"/>
        <w:spacing w:after="0" w:line="268" w:lineRule="auto"/>
        <w:rPr>
          <w:sz w:val="20"/>
          <w:szCs w:val="20"/>
          <w:color w:val="auto"/>
        </w:rPr>
      </w:pPr>
      <w:r>
        <w:rPr>
          <w:rFonts w:ascii="Arial" w:cs="Arial" w:eastAsia="Arial" w:hAnsi="Arial"/>
          <w:sz w:val="17"/>
          <w:szCs w:val="17"/>
          <w:color w:val="auto"/>
        </w:rPr>
        <w:t>On September 7, 2022, Cineworld Group plc (“Cineworld”), the parent company of Regal, and certain of its subsidiaries and Regal CineMedia Holdings, LLC, filed petitions for reorganization under Chapter 11 of the United States Bankruptcy Code in the Southern District of Texas. The Company had an unsecured pre-petition claim of $11.4 million related to receivables from the entities included in the reorganization proceedings. On October 21, 2022, the Company was ratified by the bankruptcy court (the “Court”) as a critical vendor of Cineworld, allowing the Company to collect pre-petition amounts owed to it by Cineworld, and requiring Cineworld to stay current on the Company’s post-petition receivables. On November 8, 2022, the Company entered into a trade agreement with Cineworld (the “Trade Agreement”), pursuant to which Cineworld affirmed its pre-petition obligations to the Company and its post-petition obligations to the Company during the Chapter 11 proceedings, the amount of the receivables owed to the Company and agreed to a payment plan under which all amounts due will be settled over the period from November 9, 2022 to April 12, 2023. As of April 17, 2023, the Company had received all of the payments due from Cineworld in accordance with the terms of the Trade Agreement with respect to the pre-petition obligations. The Court approved Cineworld's Plan of Reorganization (the “Plan”) on June 28, 2023, in which Cineworld disclosed that it plans to emerge from the Chapter 11 proceedings on or about July 28, 2023. On August 30, 2023, the Company and Cineworld entered into a Joint Stipulation and Agreed Order which was entered by the Court on September 21, 2023 (the “Stipulation”) pursuant to which Cineworld assumed its global agreement with IMAX (the “Global Agreement”). The Stipulation provides that all amounts owed to IMAX will be paid by Cineworld and set out a revised timetable for all systems installations required of Cineworld under the Global Agreement. Cineworld has emerged from the Chapter 11 proceedings and the Stipulation finalizes all matters between IMAX and Cineworld as a result of the restructuring. The Company has determined that no additional provision for expected credit losses is required.</w:t>
      </w:r>
    </w:p>
    <w:p>
      <w:pPr>
        <w:spacing w:after="0" w:line="153"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The COVID-19 pandemic and the measures to prevent its spread have impacted and may continue to impact the Company’s business and the global economy. For additional discussion regarding the risks related to the COVID-19 pandemic on the Company’s business, see “Risk Factors – The Company experienced a significant decrease in its revenues, earnings and cash flows due to the COVID-19 pandemic and its business, financial condition and results of operations may continue to be significantly harmed in future reporting periods” in Part I, Item 1A of the Company’s 2022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The historical results of operations for the three and nine months ended September 30, 2023 and 2022 reflect the results of operations for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will be reported within All Other. (See Note 13 of Notes to Condensed Consolidated Financial Statements in Part I, Item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Solutions</w:t>
      </w:r>
    </w:p>
    <w:p>
      <w:pPr>
        <w:spacing w:after="0" w:line="189"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The Content Solutions segment earns revenue from the digital remastering of films and other content into IMAX formats for distribution across the IMAX network. To a lesser extent, the Content Solutions segment also earns revenue from the distribution of large-format documentary films and exclusive experiences ranging from live performance to interactive events with leading artists and creators, as well as the provision of film post-production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Film Remastering and Distribution</w:t>
      </w:r>
    </w:p>
    <w:p>
      <w:pPr>
        <w:spacing w:after="0" w:line="198" w:lineRule="exact"/>
        <w:rPr>
          <w:sz w:val="20"/>
          <w:szCs w:val="20"/>
          <w:color w:val="auto"/>
        </w:rPr>
      </w:pPr>
    </w:p>
    <w:p>
      <w:pPr>
        <w:jc w:val="both"/>
        <w:ind w:firstLine="224"/>
        <w:spacing w:after="0" w:line="296" w:lineRule="auto"/>
        <w:rPr>
          <w:sz w:val="20"/>
          <w:szCs w:val="20"/>
          <w:color w:val="auto"/>
        </w:rPr>
      </w:pPr>
      <w:r>
        <w:rPr>
          <w:rFonts w:ascii="Arial" w:cs="Arial" w:eastAsia="Arial" w:hAnsi="Arial"/>
          <w:sz w:val="16"/>
          <w:szCs w:val="16"/>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GBO less applicable sales taxes), except for within Greater China, where the Company receives a lower percentage of net box office receipts for certain Hollywood films.</w:t>
      </w:r>
    </w:p>
    <w:p>
      <w:pPr>
        <w:spacing w:after="0" w:line="121"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 xml:space="preserve">IMAX film remastering digitally enhances the image resolution of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across the IMAX network is remastered for IMAX digital sound systems. Unlike the soundtracks played in conventional theaters, IMAX remastered soundtracks are uncompressed and full fidelity. IMAX sound systems use proprietary loudspeaker systems and proprietary surround sound configurations that ensure every theater seat is in an optimal listening position.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jc w:val="both"/>
        <w:ind w:firstLine="224"/>
        <w:spacing w:after="0" w:line="260" w:lineRule="auto"/>
        <w:rPr>
          <w:sz w:val="20"/>
          <w:szCs w:val="20"/>
          <w:color w:val="auto"/>
        </w:rPr>
      </w:pPr>
      <w:r>
        <w:rPr>
          <w:rFonts w:ascii="Arial" w:cs="Arial" w:eastAsia="Arial" w:hAnsi="Arial"/>
          <w:sz w:val="17"/>
          <w:szCs w:val="17"/>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program for select films under which filmmakers craft films from their inception in numerous ways to optimize </w:t>
      </w:r>
      <w:r>
        <w:rPr>
          <w:rFonts w:ascii="Arial" w:cs="Arial" w:eastAsia="Arial" w:hAnsi="Arial"/>
          <w:sz w:val="17"/>
          <w:szCs w:val="17"/>
          <w:i w:val="1"/>
          <w:iCs w:val="1"/>
          <w:color w:val="auto"/>
        </w:rPr>
        <w:t>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The program includes incremental and bespoke marketing support, which box office metrics demonstrate audiences respond extremely favorably to, and drives higher market share for IMAX.</w:t>
      </w:r>
    </w:p>
    <w:p>
      <w:pPr>
        <w:spacing w:after="0" w:line="162"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France and South Korea. More recently, the Company has further diversified its strategy by distributing local language films in both native and foreign markets.</w:t>
      </w:r>
    </w:p>
    <w:p>
      <w:pPr>
        <w:spacing w:after="0" w:line="131"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following table provides detailed information about the films that were released to the Company’s global network during the three and nine months ended 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2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4"/>
              </w:rPr>
              <w:t>For the Three Months Ended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Nine Months Ended</w:t>
            </w:r>
          </w:p>
        </w:tc>
        <w:tc>
          <w:tcPr>
            <w:tcW w:w="100" w:type="dxa"/>
            <w:vAlign w:val="bottom"/>
          </w:tcPr>
          <w:p>
            <w:pPr>
              <w:spacing w:after="0"/>
              <w:rPr>
                <w:sz w:val="16"/>
                <w:szCs w:val="16"/>
                <w:color w:val="auto"/>
              </w:rPr>
            </w:pPr>
          </w:p>
        </w:tc>
      </w:tr>
      <w:tr>
        <w:trPr>
          <w:trHeight w:val="228"/>
        </w:trPr>
        <w:tc>
          <w:tcPr>
            <w:tcW w:w="15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640" w:type="dxa"/>
            <w:vAlign w:val="bottom"/>
            <w:gridSpan w:val="3"/>
          </w:tcPr>
          <w:p>
            <w:pPr>
              <w:ind w:left="6300"/>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8"/>
                <w:szCs w:val="18"/>
                <w:color w:val="auto"/>
              </w:rPr>
            </w:pPr>
          </w:p>
        </w:tc>
        <w:tc>
          <w:tcPr>
            <w:tcW w:w="128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30"/>
        </w:trPr>
        <w:tc>
          <w:tcPr>
            <w:tcW w:w="5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Hollywood film releases</w:t>
            </w:r>
          </w:p>
        </w:tc>
        <w:tc>
          <w:tcPr>
            <w:tcW w:w="76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640" w:type="dxa"/>
            <w:vAlign w:val="bottom"/>
            <w:gridSpan w:val="3"/>
          </w:tcPr>
          <w:p>
            <w:pPr>
              <w:ind w:left="20"/>
              <w:spacing w:after="0"/>
              <w:rPr>
                <w:sz w:val="20"/>
                <w:szCs w:val="20"/>
                <w:color w:val="auto"/>
              </w:rPr>
            </w:pPr>
            <w:r>
              <w:rPr>
                <w:rFonts w:ascii="Arial" w:cs="Arial" w:eastAsia="Arial" w:hAnsi="Arial"/>
                <w:sz w:val="18"/>
                <w:szCs w:val="18"/>
                <w:color w:val="auto"/>
              </w:rPr>
              <w:t>Local language film releases:</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India</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r>
      <w:tr>
        <w:trPr>
          <w:trHeight w:val="249"/>
        </w:trPr>
        <w:tc>
          <w:tcPr>
            <w:tcW w:w="6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Japan</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South Korea</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49"/>
        </w:trPr>
        <w:tc>
          <w:tcPr>
            <w:tcW w:w="6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France</w:t>
            </w:r>
          </w:p>
        </w:tc>
        <w:tc>
          <w:tcPr>
            <w:tcW w:w="1500" w:type="dxa"/>
            <w:vAlign w:val="bottom"/>
            <w:gridSpan w:val="3"/>
            <w:shd w:val="clear" w:color="auto" w:fill="CFF0FC"/>
          </w:tcPr>
          <w:p>
            <w:pPr>
              <w:jc w:val="right"/>
              <w:ind w:right="1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6640" w:type="dxa"/>
            <w:vAlign w:val="bottom"/>
            <w:gridSpan w:val="3"/>
          </w:tcPr>
          <w:p>
            <w:pPr>
              <w:ind w:left="120"/>
              <w:spacing w:after="0"/>
              <w:rPr>
                <w:sz w:val="20"/>
                <w:szCs w:val="20"/>
                <w:color w:val="auto"/>
              </w:rPr>
            </w:pPr>
            <w:r>
              <w:rPr>
                <w:rFonts w:ascii="Arial" w:cs="Arial" w:eastAsia="Arial" w:hAnsi="Arial"/>
                <w:sz w:val="18"/>
                <w:szCs w:val="18"/>
                <w:color w:val="auto"/>
              </w:rPr>
              <w:t>Malaysia</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Indonesia</w:t>
            </w:r>
          </w:p>
        </w:tc>
        <w:tc>
          <w:tcPr>
            <w:tcW w:w="7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gridSpan w:val="3"/>
          </w:tcPr>
          <w:p>
            <w:pPr>
              <w:ind w:left="200"/>
              <w:spacing w:after="0"/>
              <w:rPr>
                <w:sz w:val="20"/>
                <w:szCs w:val="20"/>
                <w:color w:val="auto"/>
              </w:rPr>
            </w:pPr>
            <w:r>
              <w:rPr>
                <w:rFonts w:ascii="Arial" w:cs="Arial" w:eastAsia="Arial" w:hAnsi="Arial"/>
                <w:sz w:val="18"/>
                <w:szCs w:val="18"/>
                <w:color w:val="auto"/>
              </w:rPr>
              <w:t>Total local language film releases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r>
      <w:tr>
        <w:trPr>
          <w:trHeight w:val="283"/>
        </w:trPr>
        <w:tc>
          <w:tcPr>
            <w:tcW w:w="588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Total film releases</w:t>
            </w:r>
            <w:r>
              <w:rPr>
                <w:rFonts w:ascii="Arial" w:cs="Arial" w:eastAsia="Arial" w:hAnsi="Arial"/>
                <w:sz w:val="24"/>
                <w:szCs w:val="24"/>
                <w:color w:val="auto"/>
                <w:vertAlign w:val="superscript"/>
              </w:rPr>
              <w:t>(1)</w:t>
            </w:r>
          </w:p>
        </w:tc>
        <w:tc>
          <w:tcPr>
            <w:tcW w:w="76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-1687830</wp:posOffset>
            </wp:positionV>
            <wp:extent cx="76835" cy="162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-1687830</wp:posOffset>
            </wp:positionV>
            <wp:extent cx="68580" cy="162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-1687830</wp:posOffset>
            </wp:positionV>
            <wp:extent cx="68580" cy="162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162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-445135</wp:posOffset>
            </wp:positionV>
            <wp:extent cx="76835" cy="1714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-445135</wp:posOffset>
            </wp:positionV>
            <wp:extent cx="68580" cy="1714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1714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1714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-119380</wp:posOffset>
            </wp:positionV>
            <wp:extent cx="768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-102235</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-119380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-102235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-119380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-102235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left="380" w:right="20" w:hanging="372"/>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2023, the films released to the Company’s global network include two and five with IMAX DNA (2022 — four and ten, respectively).</w:t>
      </w:r>
    </w:p>
    <w:p>
      <w:pPr>
        <w:spacing w:after="0" w:line="130"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 xml:space="preserve">The films distributed through the Company’s global network during the nine months ended September 30, 2023 which generated the highest IMAX box office totals include </w:t>
      </w:r>
      <w:r>
        <w:rPr>
          <w:rFonts w:ascii="Arial" w:cs="Arial" w:eastAsia="Arial" w:hAnsi="Arial"/>
          <w:sz w:val="17"/>
          <w:szCs w:val="17"/>
          <w:i w:val="1"/>
          <w:iCs w:val="1"/>
          <w:color w:val="auto"/>
        </w:rPr>
        <w:t>Oppenheimer</w:t>
      </w:r>
      <w:r>
        <w:rPr>
          <w:rFonts w:ascii="Arial" w:cs="Arial" w:eastAsia="Arial" w:hAnsi="Arial"/>
          <w:sz w:val="17"/>
          <w:szCs w:val="17"/>
          <w:color w:val="auto"/>
        </w:rPr>
        <w:t xml:space="preserve">, </w:t>
      </w:r>
      <w:r>
        <w:rPr>
          <w:rFonts w:ascii="Arial" w:cs="Arial" w:eastAsia="Arial" w:hAnsi="Arial"/>
          <w:sz w:val="17"/>
          <w:szCs w:val="17"/>
          <w:i w:val="1"/>
          <w:iCs w:val="1"/>
          <w:color w:val="auto"/>
        </w:rPr>
        <w:t>Avatar: The Way of Water, The Super Mario Bros. Movie, The Wandering Earth 2</w:t>
      </w:r>
      <w:r>
        <w:rPr>
          <w:rFonts w:ascii="Arial" w:cs="Arial" w:eastAsia="Arial" w:hAnsi="Arial"/>
          <w:sz w:val="17"/>
          <w:szCs w:val="17"/>
          <w:color w:val="auto"/>
        </w:rPr>
        <w:t xml:space="preserve"> (China local language)</w:t>
      </w:r>
      <w:r>
        <w:rPr>
          <w:rFonts w:ascii="Arial" w:cs="Arial" w:eastAsia="Arial" w:hAnsi="Arial"/>
          <w:sz w:val="17"/>
          <w:szCs w:val="17"/>
          <w:i w:val="1"/>
          <w:iCs w:val="1"/>
          <w:color w:val="auto"/>
        </w:rPr>
        <w:t>, Guardians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Galaxy Vol. 3, Mission: Impossible – Dead Reckoning Part One, </w:t>
      </w:r>
      <w:r>
        <w:rPr>
          <w:rFonts w:ascii="Arial" w:cs="Arial" w:eastAsia="Arial" w:hAnsi="Arial"/>
          <w:sz w:val="17"/>
          <w:szCs w:val="17"/>
          <w:color w:val="auto"/>
        </w:rPr>
        <w:t>and</w:t>
      </w:r>
      <w:r>
        <w:rPr>
          <w:rFonts w:ascii="Arial" w:cs="Arial" w:eastAsia="Arial" w:hAnsi="Arial"/>
          <w:sz w:val="17"/>
          <w:szCs w:val="17"/>
          <w:i w:val="1"/>
          <w:iCs w:val="1"/>
          <w:color w:val="auto"/>
        </w:rPr>
        <w:t xml:space="preserve"> Ant-Man and the Wasp: Quantumania.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ind w:firstLine="224"/>
        <w:spacing w:after="0" w:line="277" w:lineRule="auto"/>
        <w:rPr>
          <w:sz w:val="20"/>
          <w:szCs w:val="20"/>
          <w:color w:val="auto"/>
        </w:rPr>
      </w:pPr>
      <w:r>
        <w:rPr>
          <w:rFonts w:ascii="Arial" w:cs="Arial" w:eastAsia="Arial" w:hAnsi="Arial"/>
          <w:sz w:val="18"/>
          <w:szCs w:val="18"/>
          <w:color w:val="auto"/>
        </w:rPr>
        <w:t>In addition to the 67 IMAX films released through the Company’s global network during the nine months ended September 30, 2023, the Company has announced the following additional 15 titles to be released throughout the remainder of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Scheduled</w:t>
            </w: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83"/>
        </w:trPr>
        <w:tc>
          <w:tcPr>
            <w:tcW w:w="15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right="1398"/>
              <w:spacing w:after="0"/>
              <w:rPr>
                <w:sz w:val="20"/>
                <w:szCs w:val="20"/>
                <w:color w:val="auto"/>
              </w:rPr>
            </w:pPr>
            <w:r>
              <w:rPr>
                <w:rFonts w:ascii="Arial" w:cs="Arial" w:eastAsia="Arial" w:hAnsi="Arial"/>
                <w:sz w:val="18"/>
                <w:szCs w:val="18"/>
                <w:b w:val="1"/>
                <w:bCs w:val="1"/>
                <w:color w:val="auto"/>
                <w:w w:val="97"/>
              </w:rPr>
              <w:t>Title</w:t>
            </w:r>
          </w:p>
        </w:tc>
        <w:tc>
          <w:tcPr>
            <w:tcW w:w="18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Studio</w:t>
            </w:r>
          </w:p>
        </w:tc>
        <w:tc>
          <w:tcPr>
            <w:tcW w:w="1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Release Date</w:t>
            </w:r>
            <w:r>
              <w:rPr>
                <w:rFonts w:ascii="Arial" w:cs="Arial" w:eastAsia="Arial" w:hAnsi="Arial"/>
                <w:sz w:val="24"/>
                <w:szCs w:val="24"/>
                <w:b w:val="1"/>
                <w:bCs w:val="1"/>
                <w:color w:val="auto"/>
                <w:w w:val="85"/>
                <w:vertAlign w:val="superscript"/>
              </w:rPr>
              <w:t>(1)</w:t>
            </w:r>
          </w:p>
        </w:tc>
        <w:tc>
          <w:tcPr>
            <w:tcW w:w="18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IMAX DNA</w:t>
            </w:r>
          </w:p>
        </w:tc>
      </w:tr>
      <w:tr>
        <w:trPr>
          <w:trHeight w:val="223"/>
        </w:trPr>
        <w:tc>
          <w:tcPr>
            <w:tcW w:w="4060" w:type="dxa"/>
            <w:vAlign w:val="bottom"/>
            <w:gridSpan w:val="2"/>
            <w:shd w:val="clear" w:color="auto" w:fill="CFF0FC"/>
          </w:tcPr>
          <w:p>
            <w:pPr>
              <w:jc w:val="center"/>
              <w:spacing w:after="0"/>
              <w:rPr>
                <w:sz w:val="20"/>
                <w:szCs w:val="20"/>
                <w:color w:val="auto"/>
              </w:rPr>
            </w:pPr>
            <w:r>
              <w:rPr>
                <w:rFonts w:ascii="Arial" w:cs="Arial" w:eastAsia="Arial" w:hAnsi="Arial"/>
                <w:sz w:val="16"/>
                <w:szCs w:val="16"/>
                <w:i w:val="1"/>
                <w:iCs w:val="1"/>
                <w:color w:val="auto"/>
                <w:w w:val="93"/>
              </w:rPr>
              <w:t>The Exorcist: Believer</w:t>
            </w:r>
          </w:p>
        </w:tc>
        <w:tc>
          <w:tcPr>
            <w:tcW w:w="18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Universal Pictures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October 2023</w:t>
            </w:r>
          </w:p>
        </w:tc>
        <w:tc>
          <w:tcPr>
            <w:tcW w:w="180" w:type="dxa"/>
            <w:vAlign w:val="bottom"/>
            <w:shd w:val="clear" w:color="auto" w:fill="CFF0FC"/>
          </w:tcPr>
          <w:p>
            <w:pPr>
              <w:spacing w:after="0"/>
              <w:rPr>
                <w:sz w:val="19"/>
                <w:szCs w:val="19"/>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0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1"/>
              </w:rPr>
              <w:t>Taylor Swift: The ERAS Tour Movie</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AMC</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0"/>
              </w:rPr>
              <w:t>October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1500" w:type="dxa"/>
            <w:vAlign w:val="bottom"/>
            <w:shd w:val="clear" w:color="auto" w:fill="CFF0FC"/>
          </w:tcPr>
          <w:p>
            <w:pPr>
              <w:spacing w:after="0"/>
              <w:rPr>
                <w:sz w:val="20"/>
                <w:szCs w:val="20"/>
                <w:color w:val="auto"/>
              </w:rPr>
            </w:pPr>
          </w:p>
        </w:tc>
        <w:tc>
          <w:tcPr>
            <w:tcW w:w="2560" w:type="dxa"/>
            <w:vAlign w:val="bottom"/>
            <w:shd w:val="clear" w:color="auto" w:fill="CFF0FC"/>
          </w:tcPr>
          <w:p>
            <w:pPr>
              <w:jc w:val="center"/>
              <w:ind w:right="1418"/>
              <w:spacing w:after="0" w:line="239" w:lineRule="exact"/>
              <w:rPr>
                <w:sz w:val="20"/>
                <w:szCs w:val="20"/>
                <w:color w:val="auto"/>
              </w:rPr>
            </w:pPr>
            <w:r>
              <w:rPr>
                <w:rFonts w:ascii="Arial" w:cs="Arial" w:eastAsia="Arial" w:hAnsi="Arial"/>
                <w:sz w:val="16"/>
                <w:szCs w:val="16"/>
                <w:i w:val="1"/>
                <w:iCs w:val="1"/>
                <w:color w:val="auto"/>
                <w:w w:val="86"/>
              </w:rPr>
              <w:t>Leo</w:t>
            </w:r>
            <w:r>
              <w:rPr>
                <w:rFonts w:ascii="Arial" w:cs="Arial" w:eastAsia="Arial" w:hAnsi="Arial"/>
                <w:sz w:val="21"/>
                <w:szCs w:val="21"/>
                <w:color w:val="auto"/>
                <w:w w:val="86"/>
                <w:vertAlign w:val="superscript"/>
              </w:rPr>
              <w:t>(2)</w:t>
            </w:r>
          </w:p>
        </w:tc>
        <w:tc>
          <w:tcPr>
            <w:tcW w:w="180" w:type="dxa"/>
            <w:vAlign w:val="bottom"/>
            <w:shd w:val="clear" w:color="auto" w:fill="CFF0FC"/>
          </w:tcPr>
          <w:p>
            <w:pPr>
              <w:spacing w:after="0"/>
              <w:rPr>
                <w:sz w:val="20"/>
                <w:szCs w:val="20"/>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Seven Screen Studio</w:t>
            </w: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October 2023</w:t>
            </w:r>
          </w:p>
        </w:tc>
        <w:tc>
          <w:tcPr>
            <w:tcW w:w="180" w:type="dxa"/>
            <w:vAlign w:val="bottom"/>
            <w:shd w:val="clear" w:color="auto" w:fill="CFF0FC"/>
          </w:tcPr>
          <w:p>
            <w:pPr>
              <w:spacing w:after="0"/>
              <w:rPr>
                <w:sz w:val="20"/>
                <w:szCs w:val="20"/>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0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6"/>
              </w:rPr>
              <w:t>Killers of the Flower Moon</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Paramount Pictures/Apple</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0"/>
              </w:rPr>
              <w:t>October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1500" w:type="dxa"/>
            <w:vAlign w:val="bottom"/>
            <w:shd w:val="clear" w:color="auto" w:fill="CFF0FC"/>
          </w:tcPr>
          <w:p>
            <w:pPr>
              <w:spacing w:after="0"/>
              <w:rPr>
                <w:sz w:val="20"/>
                <w:szCs w:val="20"/>
                <w:color w:val="auto"/>
              </w:rPr>
            </w:pPr>
          </w:p>
        </w:tc>
        <w:tc>
          <w:tcPr>
            <w:tcW w:w="2560" w:type="dxa"/>
            <w:vAlign w:val="bottom"/>
            <w:shd w:val="clear" w:color="auto" w:fill="CFF0FC"/>
          </w:tcPr>
          <w:p>
            <w:pPr>
              <w:jc w:val="center"/>
              <w:ind w:right="1418"/>
              <w:spacing w:after="0" w:line="239" w:lineRule="exact"/>
              <w:rPr>
                <w:sz w:val="20"/>
                <w:szCs w:val="20"/>
                <w:color w:val="auto"/>
              </w:rPr>
            </w:pPr>
            <w:r>
              <w:rPr>
                <w:rFonts w:ascii="Arial" w:cs="Arial" w:eastAsia="Arial" w:hAnsi="Arial"/>
                <w:sz w:val="16"/>
                <w:szCs w:val="16"/>
                <w:i w:val="1"/>
                <w:iCs w:val="1"/>
                <w:color w:val="auto"/>
                <w:w w:val="80"/>
              </w:rPr>
              <w:t xml:space="preserve">Tee Yod </w:t>
            </w:r>
            <w:r>
              <w:rPr>
                <w:rFonts w:ascii="Arial" w:cs="Arial" w:eastAsia="Arial" w:hAnsi="Arial"/>
                <w:sz w:val="21"/>
                <w:szCs w:val="21"/>
                <w:color w:val="auto"/>
                <w:w w:val="80"/>
                <w:vertAlign w:val="superscript"/>
              </w:rPr>
              <w:t>(2)</w:t>
            </w:r>
          </w:p>
        </w:tc>
        <w:tc>
          <w:tcPr>
            <w:tcW w:w="180" w:type="dxa"/>
            <w:vAlign w:val="bottom"/>
            <w:shd w:val="clear" w:color="auto" w:fill="CFF0FC"/>
          </w:tcPr>
          <w:p>
            <w:pPr>
              <w:spacing w:after="0"/>
              <w:rPr>
                <w:sz w:val="20"/>
                <w:szCs w:val="20"/>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M Pictures</w:t>
            </w: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October 2023</w:t>
            </w:r>
          </w:p>
        </w:tc>
        <w:tc>
          <w:tcPr>
            <w:tcW w:w="180" w:type="dxa"/>
            <w:vAlign w:val="bottom"/>
            <w:shd w:val="clear" w:color="auto" w:fill="CFF0FC"/>
          </w:tcPr>
          <w:p>
            <w:pPr>
              <w:spacing w:after="0"/>
              <w:rPr>
                <w:sz w:val="20"/>
                <w:szCs w:val="20"/>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29"/>
        </w:trPr>
        <w:tc>
          <w:tcPr>
            <w:tcW w:w="4060" w:type="dxa"/>
            <w:vAlign w:val="bottom"/>
            <w:gridSpan w:val="2"/>
          </w:tcPr>
          <w:p>
            <w:pPr>
              <w:jc w:val="center"/>
              <w:spacing w:after="0" w:line="230" w:lineRule="exact"/>
              <w:rPr>
                <w:sz w:val="20"/>
                <w:szCs w:val="20"/>
                <w:color w:val="auto"/>
              </w:rPr>
            </w:pPr>
            <w:r>
              <w:rPr>
                <w:rFonts w:ascii="Arial" w:cs="Arial" w:eastAsia="Arial" w:hAnsi="Arial"/>
                <w:sz w:val="16"/>
                <w:szCs w:val="16"/>
                <w:i w:val="1"/>
                <w:iCs w:val="1"/>
                <w:color w:val="auto"/>
                <w:w w:val="91"/>
              </w:rPr>
              <w:t>Godzilla Minus One</w:t>
            </w:r>
            <w:r>
              <w:rPr>
                <w:rFonts w:ascii="Arial" w:cs="Arial" w:eastAsia="Arial" w:hAnsi="Arial"/>
                <w:sz w:val="21"/>
                <w:szCs w:val="21"/>
                <w:color w:val="auto"/>
                <w:w w:val="91"/>
                <w:vertAlign w:val="superscript"/>
              </w:rPr>
              <w:t>(2)</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3"/>
              </w:rPr>
              <w:t>Toho</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November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29"/>
        </w:trPr>
        <w:tc>
          <w:tcPr>
            <w:tcW w:w="1500" w:type="dxa"/>
            <w:vAlign w:val="bottom"/>
            <w:shd w:val="clear" w:color="auto" w:fill="CFF0FC"/>
          </w:tcPr>
          <w:p>
            <w:pPr>
              <w:spacing w:after="0"/>
              <w:rPr>
                <w:sz w:val="19"/>
                <w:szCs w:val="19"/>
                <w:color w:val="auto"/>
              </w:rPr>
            </w:pPr>
          </w:p>
        </w:tc>
        <w:tc>
          <w:tcPr>
            <w:tcW w:w="2560" w:type="dxa"/>
            <w:vAlign w:val="bottom"/>
            <w:shd w:val="clear" w:color="auto" w:fill="CFF0FC"/>
          </w:tcPr>
          <w:p>
            <w:pPr>
              <w:jc w:val="center"/>
              <w:ind w:right="1418"/>
              <w:spacing w:after="0"/>
              <w:rPr>
                <w:sz w:val="20"/>
                <w:szCs w:val="20"/>
                <w:color w:val="auto"/>
              </w:rPr>
            </w:pPr>
            <w:r>
              <w:rPr>
                <w:rFonts w:ascii="Arial" w:cs="Arial" w:eastAsia="Arial" w:hAnsi="Arial"/>
                <w:sz w:val="16"/>
                <w:szCs w:val="16"/>
                <w:i w:val="1"/>
                <w:iCs w:val="1"/>
                <w:color w:val="auto"/>
                <w:w w:val="93"/>
              </w:rPr>
              <w:t>The Marvels</w:t>
            </w:r>
          </w:p>
        </w:tc>
        <w:tc>
          <w:tcPr>
            <w:tcW w:w="18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Walt Disney Studios</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November 2023</w:t>
            </w:r>
          </w:p>
        </w:tc>
        <w:tc>
          <w:tcPr>
            <w:tcW w:w="180" w:type="dxa"/>
            <w:vAlign w:val="bottom"/>
            <w:shd w:val="clear" w:color="auto" w:fill="CFF0FC"/>
          </w:tcPr>
          <w:p>
            <w:pPr>
              <w:spacing w:after="0"/>
              <w:rPr>
                <w:sz w:val="19"/>
                <w:szCs w:val="19"/>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Expanded Aspect Ratio</w:t>
            </w:r>
          </w:p>
        </w:tc>
      </w:tr>
      <w:tr>
        <w:trPr>
          <w:trHeight w:val="230"/>
        </w:trPr>
        <w:tc>
          <w:tcPr>
            <w:tcW w:w="1500" w:type="dxa"/>
            <w:vAlign w:val="bottom"/>
          </w:tcPr>
          <w:p>
            <w:pPr>
              <w:spacing w:after="0"/>
              <w:rPr>
                <w:sz w:val="19"/>
                <w:szCs w:val="19"/>
                <w:color w:val="auto"/>
              </w:rPr>
            </w:pPr>
          </w:p>
        </w:tc>
        <w:tc>
          <w:tcPr>
            <w:tcW w:w="2560" w:type="dxa"/>
            <w:vAlign w:val="bottom"/>
          </w:tcPr>
          <w:p>
            <w:pPr>
              <w:jc w:val="center"/>
              <w:ind w:right="1418"/>
              <w:spacing w:after="0" w:line="230" w:lineRule="exact"/>
              <w:rPr>
                <w:sz w:val="20"/>
                <w:szCs w:val="20"/>
                <w:color w:val="auto"/>
              </w:rPr>
            </w:pPr>
            <w:r>
              <w:rPr>
                <w:rFonts w:ascii="Arial" w:cs="Arial" w:eastAsia="Arial" w:hAnsi="Arial"/>
                <w:sz w:val="16"/>
                <w:szCs w:val="16"/>
                <w:i w:val="1"/>
                <w:iCs w:val="1"/>
                <w:color w:val="auto"/>
                <w:w w:val="86"/>
              </w:rPr>
              <w:t>Tiger 3</w:t>
            </w:r>
            <w:r>
              <w:rPr>
                <w:rFonts w:ascii="Arial" w:cs="Arial" w:eastAsia="Arial" w:hAnsi="Arial"/>
                <w:sz w:val="21"/>
                <w:szCs w:val="21"/>
                <w:color w:val="auto"/>
                <w:w w:val="86"/>
                <w:vertAlign w:val="superscript"/>
              </w:rPr>
              <w:t>(2)</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1"/>
              </w:rPr>
              <w:t>Yash Raj Films</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November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29"/>
        </w:trPr>
        <w:tc>
          <w:tcPr>
            <w:tcW w:w="4060" w:type="dxa"/>
            <w:vAlign w:val="bottom"/>
            <w:gridSpan w:val="2"/>
            <w:shd w:val="clear" w:color="auto" w:fill="CFF0FC"/>
          </w:tcPr>
          <w:p>
            <w:pPr>
              <w:jc w:val="center"/>
              <w:spacing w:after="0"/>
              <w:rPr>
                <w:sz w:val="20"/>
                <w:szCs w:val="20"/>
                <w:color w:val="auto"/>
              </w:rPr>
            </w:pPr>
            <w:r>
              <w:rPr>
                <w:rFonts w:ascii="Arial" w:cs="Arial" w:eastAsia="Arial" w:hAnsi="Arial"/>
                <w:sz w:val="16"/>
                <w:szCs w:val="16"/>
                <w:i w:val="1"/>
                <w:iCs w:val="1"/>
                <w:color w:val="auto"/>
                <w:w w:val="90"/>
              </w:rPr>
              <w:t>The Hunger Games: Ballad of Songbirds and Snakes</w:t>
            </w:r>
          </w:p>
        </w:tc>
        <w:tc>
          <w:tcPr>
            <w:tcW w:w="18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Lionsgate</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November 2023</w:t>
            </w:r>
          </w:p>
        </w:tc>
        <w:tc>
          <w:tcPr>
            <w:tcW w:w="180" w:type="dxa"/>
            <w:vAlign w:val="bottom"/>
            <w:shd w:val="clear" w:color="auto" w:fill="CFF0FC"/>
          </w:tcPr>
          <w:p>
            <w:pPr>
              <w:spacing w:after="0"/>
              <w:rPr>
                <w:sz w:val="19"/>
                <w:szCs w:val="19"/>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Expanded Aspect Ratio</w:t>
            </w:r>
          </w:p>
        </w:tc>
      </w:tr>
      <w:tr>
        <w:trPr>
          <w:trHeight w:val="230"/>
        </w:trPr>
        <w:tc>
          <w:tcPr>
            <w:tcW w:w="1500" w:type="dxa"/>
            <w:vAlign w:val="bottom"/>
          </w:tcPr>
          <w:p>
            <w:pPr>
              <w:spacing w:after="0"/>
              <w:rPr>
                <w:sz w:val="19"/>
                <w:szCs w:val="19"/>
                <w:color w:val="auto"/>
              </w:rPr>
            </w:pPr>
          </w:p>
        </w:tc>
        <w:tc>
          <w:tcPr>
            <w:tcW w:w="2560" w:type="dxa"/>
            <w:vAlign w:val="bottom"/>
          </w:tcPr>
          <w:p>
            <w:pPr>
              <w:jc w:val="center"/>
              <w:ind w:right="1398"/>
              <w:spacing w:after="0" w:line="230" w:lineRule="exact"/>
              <w:rPr>
                <w:sz w:val="20"/>
                <w:szCs w:val="20"/>
                <w:color w:val="auto"/>
              </w:rPr>
            </w:pPr>
            <w:r>
              <w:rPr>
                <w:rFonts w:ascii="Arial" w:cs="Arial" w:eastAsia="Arial" w:hAnsi="Arial"/>
                <w:sz w:val="16"/>
                <w:szCs w:val="16"/>
                <w:i w:val="1"/>
                <w:iCs w:val="1"/>
                <w:color w:val="auto"/>
                <w:w w:val="89"/>
              </w:rPr>
              <w:t>Kubi</w:t>
            </w:r>
            <w:r>
              <w:rPr>
                <w:rFonts w:ascii="Arial" w:cs="Arial" w:eastAsia="Arial" w:hAnsi="Arial"/>
                <w:sz w:val="21"/>
                <w:szCs w:val="21"/>
                <w:color w:val="auto"/>
                <w:w w:val="89"/>
                <w:vertAlign w:val="superscript"/>
              </w:rPr>
              <w:t>(2)</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3"/>
              </w:rPr>
              <w:t>Toho</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November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29"/>
        </w:trPr>
        <w:tc>
          <w:tcPr>
            <w:tcW w:w="1500" w:type="dxa"/>
            <w:vAlign w:val="bottom"/>
            <w:shd w:val="clear" w:color="auto" w:fill="CFF0FC"/>
          </w:tcPr>
          <w:p>
            <w:pPr>
              <w:spacing w:after="0"/>
              <w:rPr>
                <w:sz w:val="19"/>
                <w:szCs w:val="19"/>
                <w:color w:val="auto"/>
              </w:rPr>
            </w:pPr>
          </w:p>
        </w:tc>
        <w:tc>
          <w:tcPr>
            <w:tcW w:w="2560" w:type="dxa"/>
            <w:vAlign w:val="bottom"/>
            <w:shd w:val="clear" w:color="auto" w:fill="CFF0FC"/>
          </w:tcPr>
          <w:p>
            <w:pPr>
              <w:jc w:val="center"/>
              <w:ind w:right="1418"/>
              <w:spacing w:after="0"/>
              <w:rPr>
                <w:sz w:val="20"/>
                <w:szCs w:val="20"/>
                <w:color w:val="auto"/>
              </w:rPr>
            </w:pPr>
            <w:r>
              <w:rPr>
                <w:rFonts w:ascii="Arial" w:cs="Arial" w:eastAsia="Arial" w:hAnsi="Arial"/>
                <w:sz w:val="16"/>
                <w:szCs w:val="16"/>
                <w:i w:val="1"/>
                <w:iCs w:val="1"/>
                <w:color w:val="auto"/>
                <w:w w:val="90"/>
              </w:rPr>
              <w:t>Napoleon</w:t>
            </w:r>
          </w:p>
        </w:tc>
        <w:tc>
          <w:tcPr>
            <w:tcW w:w="180" w:type="dxa"/>
            <w:vAlign w:val="bottom"/>
            <w:shd w:val="clear" w:color="auto" w:fill="CFF0FC"/>
          </w:tcPr>
          <w:p>
            <w:pPr>
              <w:spacing w:after="0"/>
              <w:rPr>
                <w:sz w:val="19"/>
                <w:szCs w:val="19"/>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Sony Pictures/Apple</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November 2023</w:t>
            </w:r>
          </w:p>
        </w:tc>
        <w:tc>
          <w:tcPr>
            <w:tcW w:w="180" w:type="dxa"/>
            <w:vAlign w:val="bottom"/>
            <w:shd w:val="clear" w:color="auto" w:fill="CFF0FC"/>
          </w:tcPr>
          <w:p>
            <w:pPr>
              <w:spacing w:after="0"/>
              <w:rPr>
                <w:sz w:val="19"/>
                <w:szCs w:val="19"/>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0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1"/>
              </w:rPr>
              <w:t>Renaissance: A Film by Beyoncé</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rPr>
              <w:t>AMC</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December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1500" w:type="dxa"/>
            <w:vAlign w:val="bottom"/>
            <w:shd w:val="clear" w:color="auto" w:fill="CFF0FC"/>
          </w:tcPr>
          <w:p>
            <w:pPr>
              <w:spacing w:after="0"/>
              <w:rPr>
                <w:sz w:val="20"/>
                <w:szCs w:val="20"/>
                <w:color w:val="auto"/>
              </w:rPr>
            </w:pPr>
          </w:p>
        </w:tc>
        <w:tc>
          <w:tcPr>
            <w:tcW w:w="2560" w:type="dxa"/>
            <w:vAlign w:val="bottom"/>
            <w:shd w:val="clear" w:color="auto" w:fill="CFF0FC"/>
          </w:tcPr>
          <w:p>
            <w:pPr>
              <w:jc w:val="center"/>
              <w:ind w:right="1398"/>
              <w:spacing w:after="0"/>
              <w:rPr>
                <w:sz w:val="20"/>
                <w:szCs w:val="20"/>
                <w:color w:val="auto"/>
              </w:rPr>
            </w:pPr>
            <w:r>
              <w:rPr>
                <w:rFonts w:ascii="Arial" w:cs="Arial" w:eastAsia="Arial" w:hAnsi="Arial"/>
                <w:sz w:val="16"/>
                <w:szCs w:val="16"/>
                <w:i w:val="1"/>
                <w:iCs w:val="1"/>
                <w:color w:val="auto"/>
                <w:w w:val="88"/>
              </w:rPr>
              <w:t>Wonka</w:t>
            </w:r>
          </w:p>
        </w:tc>
        <w:tc>
          <w:tcPr>
            <w:tcW w:w="180" w:type="dxa"/>
            <w:vAlign w:val="bottom"/>
            <w:shd w:val="clear" w:color="auto" w:fill="CFF0FC"/>
          </w:tcPr>
          <w:p>
            <w:pPr>
              <w:spacing w:after="0"/>
              <w:rPr>
                <w:sz w:val="20"/>
                <w:szCs w:val="20"/>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December 2023</w:t>
            </w:r>
          </w:p>
        </w:tc>
        <w:tc>
          <w:tcPr>
            <w:tcW w:w="180" w:type="dxa"/>
            <w:vAlign w:val="bottom"/>
            <w:shd w:val="clear" w:color="auto" w:fill="CFF0FC"/>
          </w:tcPr>
          <w:p>
            <w:pPr>
              <w:spacing w:after="0"/>
              <w:rPr>
                <w:sz w:val="20"/>
                <w:szCs w:val="20"/>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220"/>
        </w:trPr>
        <w:tc>
          <w:tcPr>
            <w:tcW w:w="40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1"/>
              </w:rPr>
              <w:t>Aquaman and the Lost Kingdom</w:t>
            </w:r>
          </w:p>
        </w:tc>
        <w:tc>
          <w:tcPr>
            <w:tcW w:w="18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0"/>
              </w:rPr>
              <w:t>Warner Bros. Pictures</w:t>
            </w:r>
          </w:p>
        </w:tc>
        <w:tc>
          <w:tcPr>
            <w:tcW w:w="1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1"/>
              </w:rPr>
              <w:t>December 2023</w:t>
            </w:r>
          </w:p>
        </w:tc>
        <w:tc>
          <w:tcPr>
            <w:tcW w:w="18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9"/>
              </w:rPr>
              <w:t>Filmed For IMAX</w:t>
            </w:r>
          </w:p>
        </w:tc>
      </w:tr>
      <w:tr>
        <w:trPr>
          <w:trHeight w:val="239"/>
        </w:trPr>
        <w:tc>
          <w:tcPr>
            <w:tcW w:w="1500" w:type="dxa"/>
            <w:vAlign w:val="bottom"/>
            <w:shd w:val="clear" w:color="auto" w:fill="CFF0FC"/>
          </w:tcPr>
          <w:p>
            <w:pPr>
              <w:spacing w:after="0"/>
              <w:rPr>
                <w:sz w:val="20"/>
                <w:szCs w:val="20"/>
                <w:color w:val="auto"/>
              </w:rPr>
            </w:pPr>
          </w:p>
        </w:tc>
        <w:tc>
          <w:tcPr>
            <w:tcW w:w="2560" w:type="dxa"/>
            <w:vAlign w:val="bottom"/>
            <w:shd w:val="clear" w:color="auto" w:fill="CFF0FC"/>
          </w:tcPr>
          <w:p>
            <w:pPr>
              <w:jc w:val="center"/>
              <w:ind w:right="1398"/>
              <w:spacing w:after="0" w:line="239" w:lineRule="exact"/>
              <w:rPr>
                <w:sz w:val="20"/>
                <w:szCs w:val="20"/>
                <w:color w:val="auto"/>
              </w:rPr>
            </w:pPr>
            <w:r>
              <w:rPr>
                <w:rFonts w:ascii="Arial" w:cs="Arial" w:eastAsia="Arial" w:hAnsi="Arial"/>
                <w:sz w:val="16"/>
                <w:szCs w:val="16"/>
                <w:i w:val="1"/>
                <w:iCs w:val="1"/>
                <w:color w:val="auto"/>
                <w:w w:val="88"/>
              </w:rPr>
              <w:t>Salaar</w:t>
            </w:r>
            <w:r>
              <w:rPr>
                <w:rFonts w:ascii="Arial" w:cs="Arial" w:eastAsia="Arial" w:hAnsi="Arial"/>
                <w:sz w:val="21"/>
                <w:szCs w:val="21"/>
                <w:color w:val="auto"/>
                <w:w w:val="88"/>
                <w:vertAlign w:val="superscript"/>
              </w:rPr>
              <w:t>(2)</w:t>
            </w:r>
          </w:p>
        </w:tc>
        <w:tc>
          <w:tcPr>
            <w:tcW w:w="180" w:type="dxa"/>
            <w:vAlign w:val="bottom"/>
            <w:shd w:val="clear" w:color="auto" w:fill="CFF0FC"/>
          </w:tcPr>
          <w:p>
            <w:pPr>
              <w:spacing w:after="0"/>
              <w:rPr>
                <w:sz w:val="20"/>
                <w:szCs w:val="20"/>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Hombale Films</w:t>
            </w: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1"/>
              </w:rPr>
              <w:t>December 2023</w:t>
            </w:r>
          </w:p>
        </w:tc>
        <w:tc>
          <w:tcPr>
            <w:tcW w:w="180" w:type="dxa"/>
            <w:vAlign w:val="bottom"/>
            <w:shd w:val="clear" w:color="auto" w:fill="CFF0FC"/>
          </w:tcPr>
          <w:p>
            <w:pPr>
              <w:spacing w:after="0"/>
              <w:rPr>
                <w:sz w:val="20"/>
                <w:szCs w:val="20"/>
                <w:color w:val="auto"/>
              </w:rPr>
            </w:pPr>
          </w:p>
        </w:tc>
        <w:tc>
          <w:tcPr>
            <w:tcW w:w="29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35"/>
        </w:trPr>
        <w:tc>
          <w:tcPr>
            <w:tcW w:w="1500" w:type="dxa"/>
            <w:vAlign w:val="bottom"/>
            <w:tcBorders>
              <w:bottom w:val="single" w:sz="8" w:color="auto"/>
            </w:tcBorders>
          </w:tcPr>
          <w:p>
            <w:pPr>
              <w:spacing w:after="0"/>
              <w:rPr>
                <w:sz w:val="11"/>
                <w:szCs w:val="11"/>
                <w:color w:val="auto"/>
              </w:rPr>
            </w:pPr>
          </w:p>
        </w:tc>
        <w:tc>
          <w:tcPr>
            <w:tcW w:w="2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80" w:type="dxa"/>
            <w:vAlign w:val="bottom"/>
          </w:tcPr>
          <w:p>
            <w:pPr>
              <w:spacing w:after="0"/>
              <w:rPr>
                <w:sz w:val="11"/>
                <w:szCs w:val="11"/>
                <w:color w:val="auto"/>
              </w:rPr>
            </w:pPr>
          </w:p>
        </w:tc>
      </w:tr>
    </w:tbl>
    <w:p>
      <w:pPr>
        <w:spacing w:after="0" w:line="161"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scheduled release dates in the table above are subject to change, may vary by territory, and may not reflect the date(s) of limited premiere events.</w:t>
      </w:r>
    </w:p>
    <w:p>
      <w:pPr>
        <w:spacing w:after="0" w:line="221" w:lineRule="exact"/>
        <w:rPr>
          <w:rFonts w:ascii="Arial" w:cs="Arial" w:eastAsia="Arial" w:hAnsi="Arial"/>
          <w:sz w:val="16"/>
          <w:szCs w:val="16"/>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language film.</w:t>
      </w:r>
    </w:p>
    <w:p>
      <w:pPr>
        <w:spacing w:after="0" w:line="18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The Company remains in active negotiations with studios, both domestically and internationally, for additional films to fill out its short- and long-term film slate for the IMAX network.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Content Solutions</w:t>
      </w:r>
    </w:p>
    <w:p>
      <w:pPr>
        <w:spacing w:after="0" w:line="198"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7"/>
          <w:szCs w:val="17"/>
          <w:color w:val="auto"/>
        </w:rPr>
        <w:t xml:space="preserve">The Company distributes large-format documentary films, primarily to institutional theaters. The Company receives as its distribution fee either a fixed amount or a fixed percentage of the theater box office receipts and, following the recoupment of its costs, is typically entitled to receive an additional percentage of gross revenues as participation revenues. In May 2023, the Company announced Amazon Studios has acquired worldwide rights to the Company’s original documentary </w:t>
      </w:r>
      <w:r>
        <w:rPr>
          <w:rFonts w:ascii="Arial" w:cs="Arial" w:eastAsia="Arial" w:hAnsi="Arial"/>
          <w:sz w:val="17"/>
          <w:szCs w:val="17"/>
          <w:i w:val="1"/>
          <w:iCs w:val="1"/>
          <w:color w:val="auto"/>
        </w:rPr>
        <w:t>The Blue Angels</w:t>
      </w:r>
      <w:r>
        <w:rPr>
          <w:rFonts w:ascii="Arial" w:cs="Arial" w:eastAsia="Arial" w:hAnsi="Arial"/>
          <w:sz w:val="17"/>
          <w:szCs w:val="17"/>
          <w:color w:val="auto"/>
        </w:rPr>
        <w:t xml:space="preserve">, filmed with IMAX cameras. In July 2023, the Company also announced the completed production of </w:t>
      </w:r>
      <w:r>
        <w:rPr>
          <w:rFonts w:ascii="Arial" w:cs="Arial" w:eastAsia="Arial" w:hAnsi="Arial"/>
          <w:sz w:val="17"/>
          <w:szCs w:val="17"/>
          <w:i w:val="1"/>
          <w:iCs w:val="1"/>
          <w:color w:val="auto"/>
        </w:rPr>
        <w:t>Deep Sky</w:t>
      </w:r>
      <w:r>
        <w:rPr>
          <w:rFonts w:ascii="Arial" w:cs="Arial" w:eastAsia="Arial" w:hAnsi="Arial"/>
          <w:sz w:val="17"/>
          <w:szCs w:val="17"/>
          <w:color w:val="auto"/>
        </w:rPr>
        <w:t>, a documentary on NASA's Webb Telescope in collaboration with Crazy Boat Pictures Ltd. and filmmaker Nathaniel Kahn, which was released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the IMAX network on October 20, 2023, as well as the start of production of </w:t>
      </w:r>
      <w:r>
        <w:rPr>
          <w:rFonts w:ascii="Arial" w:cs="Arial" w:eastAsia="Arial" w:hAnsi="Arial"/>
          <w:sz w:val="17"/>
          <w:szCs w:val="17"/>
          <w:i w:val="1"/>
          <w:iCs w:val="1"/>
          <w:color w:val="auto"/>
        </w:rPr>
        <w:t>The Elephant Odyssey,</w:t>
      </w:r>
      <w:r>
        <w:rPr>
          <w:rFonts w:ascii="Arial" w:cs="Arial" w:eastAsia="Arial" w:hAnsi="Arial"/>
          <w:sz w:val="17"/>
          <w:szCs w:val="17"/>
          <w:color w:val="auto"/>
        </w:rPr>
        <w:t xml:space="preserve"> a documentary in collaboration with Beach House Pictures Pte Ltd and China International Communications Group.</w:t>
      </w:r>
    </w:p>
    <w:p>
      <w:pPr>
        <w:spacing w:after="0" w:line="15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addition, the Company continues to experiment in bringing new, innovative IMAX Live events and experiences to audiences worldwide. The Company has a footprint of connected IMAX Systems capable of delivering live, interactive content with low latency and superior sight and sound. As of September 30, 2023, 254 systems in the IMAX network across North America, Europe and Asia were configured with connectivity to deliver live and interactive events.</w:t>
      </w:r>
    </w:p>
    <w:p>
      <w:pPr>
        <w:spacing w:after="0" w:line="151" w:lineRule="exact"/>
        <w:rPr>
          <w:sz w:val="20"/>
          <w:szCs w:val="20"/>
          <w:color w:val="auto"/>
        </w:rPr>
      </w:pPr>
    </w:p>
    <w:p>
      <w:pPr>
        <w:jc w:val="both"/>
        <w:ind w:firstLine="224"/>
        <w:spacing w:after="0" w:line="239" w:lineRule="auto"/>
        <w:rPr>
          <w:sz w:val="20"/>
          <w:szCs w:val="20"/>
          <w:color w:val="auto"/>
        </w:rPr>
      </w:pPr>
      <w:r>
        <w:rPr>
          <w:rFonts w:ascii="Arial" w:cs="Arial" w:eastAsia="Arial" w:hAnsi="Arial"/>
          <w:sz w:val="18"/>
          <w:szCs w:val="18"/>
          <w:color w:val="auto"/>
        </w:rPr>
        <w:t>In the nine months ended September 30, 2023, the Company partnered with A24 for the IMAX Live 40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anniversary screening of Jonathan Demme’s </w:t>
      </w:r>
      <w:r>
        <w:rPr>
          <w:rFonts w:ascii="Arial" w:cs="Arial" w:eastAsia="Arial" w:hAnsi="Arial"/>
          <w:sz w:val="18"/>
          <w:szCs w:val="18"/>
          <w:i w:val="1"/>
          <w:iCs w:val="1"/>
          <w:color w:val="auto"/>
        </w:rPr>
        <w:t xml:space="preserve">Stop Making Sense </w:t>
      </w:r>
      <w:r>
        <w:rPr>
          <w:rFonts w:ascii="Arial" w:cs="Arial" w:eastAsia="Arial" w:hAnsi="Arial"/>
          <w:sz w:val="18"/>
          <w:szCs w:val="18"/>
          <w:color w:val="auto"/>
        </w:rPr>
        <w:t>at the Toronto International Film Festival, which became the highest grossing IMAX Live event of all time. The Company also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partnered with United Artists Releases for an IMAX premiere event consisting of red carpet interviews and behind the scenes footage, followed by a special advanced screening of </w:t>
      </w:r>
      <w:r>
        <w:rPr>
          <w:rFonts w:ascii="Arial" w:cs="Arial" w:eastAsia="Arial" w:hAnsi="Arial"/>
          <w:sz w:val="18"/>
          <w:szCs w:val="18"/>
          <w:i w:val="1"/>
          <w:iCs w:val="1"/>
          <w:color w:val="auto"/>
        </w:rPr>
        <w:t>Creed III</w:t>
      </w:r>
      <w:r>
        <w:rPr>
          <w:rFonts w:ascii="Arial" w:cs="Arial" w:eastAsia="Arial" w:hAnsi="Arial"/>
          <w:sz w:val="18"/>
          <w:szCs w:val="18"/>
          <w:color w:val="auto"/>
        </w:rPr>
        <w:t>, which was later released across the IMAX global network, among various other live events and special screenings presented throughout 2023.</w:t>
      </w:r>
    </w:p>
    <w:p>
      <w:pPr>
        <w:spacing w:after="0" w:line="178" w:lineRule="exact"/>
        <w:rPr>
          <w:sz w:val="20"/>
          <w:szCs w:val="20"/>
          <w:color w:val="auto"/>
        </w:rPr>
      </w:pPr>
    </w:p>
    <w:p>
      <w:pPr>
        <w:jc w:val="both"/>
        <w:ind w:firstLine="224"/>
        <w:spacing w:after="0" w:line="308" w:lineRule="auto"/>
        <w:rPr>
          <w:sz w:val="20"/>
          <w:szCs w:val="20"/>
          <w:color w:val="auto"/>
        </w:rPr>
      </w:pPr>
      <w:r>
        <w:rPr>
          <w:rFonts w:ascii="Arial" w:cs="Arial" w:eastAsia="Arial" w:hAnsi="Arial"/>
          <w:sz w:val="17"/>
          <w:szCs w:val="17"/>
          <w:color w:val="auto"/>
        </w:rPr>
        <w:t>The Company provides film post-production services for large-format films, whether produced by IMAX or third parties, and digital post-production services. In addition, the Company also provides IMAX film and digital cameras to content creators under the IMAX certified camera program.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Technology Products and Services</w:t>
      </w:r>
    </w:p>
    <w:p>
      <w:pPr>
        <w:spacing w:after="0" w:line="202"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Technology Product and Services segment earns revenue principally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Sales-Type Lease Arrangements</w:t>
      </w:r>
    </w:p>
    <w:p>
      <w:pPr>
        <w:spacing w:after="0" w:line="185" w:lineRule="exact"/>
        <w:rPr>
          <w:sz w:val="20"/>
          <w:szCs w:val="20"/>
          <w:color w:val="auto"/>
        </w:rPr>
      </w:pPr>
    </w:p>
    <w:p>
      <w:pPr>
        <w:jc w:val="both"/>
        <w:ind w:firstLine="224"/>
        <w:spacing w:after="0" w:line="288" w:lineRule="auto"/>
        <w:rPr>
          <w:sz w:val="20"/>
          <w:szCs w:val="20"/>
          <w:color w:val="auto"/>
        </w:rPr>
      </w:pPr>
      <w:r>
        <w:rPr>
          <w:rFonts w:ascii="Arial" w:cs="Arial" w:eastAsia="Arial" w:hAnsi="Arial"/>
          <w:sz w:val="16"/>
          <w:szCs w:val="16"/>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141"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In sale arrangements, title to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14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revenue earned from customers under the Company’s IMAX System sale or sales-type lease agreements varies from quarter-to-quarter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w:t>
      </w:r>
    </w:p>
    <w:p>
      <w:pPr>
        <w:spacing w:after="0" w:line="198" w:lineRule="exact"/>
        <w:rPr>
          <w:sz w:val="20"/>
          <w:szCs w:val="20"/>
          <w:color w:val="auto"/>
        </w:rPr>
      </w:pPr>
    </w:p>
    <w:p>
      <w:pPr>
        <w:jc w:val="both"/>
        <w:ind w:firstLine="224"/>
        <w:spacing w:after="0" w:line="273" w:lineRule="auto"/>
        <w:rPr>
          <w:sz w:val="20"/>
          <w:szCs w:val="20"/>
          <w:color w:val="auto"/>
        </w:rPr>
      </w:pPr>
      <w:r>
        <w:rPr>
          <w:rFonts w:ascii="Arial" w:cs="Arial" w:eastAsia="Arial" w:hAnsi="Arial"/>
          <w:sz w:val="17"/>
          <w:szCs w:val="17"/>
          <w:color w:val="auto"/>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137"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 The fixed upfront payment is recognized when the lease term commences and is recorded within Revenues – Technology Sales. The contingent rent is recognized as revenue over the lease term and is recorded within Revenues – Technology Rentals.</w:t>
      </w:r>
    </w:p>
    <w:p>
      <w:pPr>
        <w:spacing w:after="0" w:line="124"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22"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jc w:val="both"/>
        <w:ind w:firstLine="224"/>
        <w:spacing w:after="0" w:line="277" w:lineRule="auto"/>
        <w:rPr>
          <w:sz w:val="20"/>
          <w:szCs w:val="20"/>
          <w:color w:val="auto"/>
        </w:rPr>
      </w:pPr>
      <w:r>
        <w:rPr>
          <w:rFonts w:ascii="Arial" w:cs="Arial" w:eastAsia="Arial" w:hAnsi="Arial"/>
          <w:sz w:val="18"/>
          <w:szCs w:val="18"/>
          <w:color w:val="auto"/>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spacing w:after="0" w:line="143"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7"/>
          <w:szCs w:val="17"/>
          <w:color w:val="auto"/>
        </w:rPr>
        <w:t>Joint revenue sharing arrangements have been an important factor in the expansion of the Company’s commercial theater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September 30, 2023, the Company had 905 locations under joint revenue sharing arrangements in its global commercial multiplex network. The Company also had contracts in backlog for 294 systems under joint revenue sharing arrangements as of September 30, 2023, including 66 upgrades to existing locations and 228 new locations.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Streaming and Consumer Technology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Streaming and Consumer Technology includes the Streaming Technology and IMAX Enhanced product services.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Streaming Technology is comprised of several software products including:</w:t>
      </w:r>
    </w:p>
    <w:p>
      <w:pPr>
        <w:spacing w:after="0" w:line="117" w:lineRule="exact"/>
        <w:rPr>
          <w:sz w:val="20"/>
          <w:szCs w:val="20"/>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Stream Smart - A non-disruptive additive product service that retains quality and reduces bitrate within existing video compression workflows.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VOD Monitor - Provides quality control and quality assurance viewer experience across entire third-party libraries fast that can be deployed on-premise or within private and/or public cloud environments.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Live Monitor - Allows operational observability for all live channels to detect and resolve root causes fast and improves performance with trend reports.</w:t>
      </w:r>
    </w:p>
    <w:p>
      <w:pPr>
        <w:spacing w:after="0" w:line="170" w:lineRule="exact"/>
        <w:rPr>
          <w:sz w:val="20"/>
          <w:szCs w:val="20"/>
          <w:color w:val="auto"/>
        </w:rPr>
      </w:pPr>
    </w:p>
    <w:p>
      <w:pPr>
        <w:ind w:right="860" w:firstLine="180"/>
        <w:spacing w:after="0" w:line="308" w:lineRule="auto"/>
        <w:rPr>
          <w:sz w:val="20"/>
          <w:szCs w:val="20"/>
          <w:color w:val="auto"/>
        </w:rPr>
      </w:pPr>
      <w:r>
        <w:rPr>
          <w:rFonts w:ascii="Arial" w:cs="Arial" w:eastAsia="Arial" w:hAnsi="Arial"/>
          <w:sz w:val="17"/>
          <w:szCs w:val="17"/>
          <w:color w:val="auto"/>
        </w:rPr>
        <w:t>These AI-powered products allow streaming platforms and broadcasters to automate workflows to deliver the highest quality content viewing experiences to their subscribers while reducing costs, which helps drive customer acquisition, engagement, and retention.</w:t>
      </w:r>
    </w:p>
    <w:p>
      <w:pPr>
        <w:spacing w:after="0" w:line="14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 xml:space="preserve">IMAX Enhanced is a solution, made in partnership with audio leader DTS (an Xperi subsidiary), to bring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into the home. IMAX Enhanced provides end-to-end premium technology across streaming content and best-in-class entertainment devices, offering consumers high-fidelity playback of image and sound in the home and beyond, including the following features:</w:t>
      </w:r>
    </w:p>
    <w:p>
      <w:pPr>
        <w:spacing w:after="0" w:line="76"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IMAX's expanded aspect ratio, which is available on select titles and streaming platforms, including Disney+;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IMAX's proprietary remastering technology, which produces more vivid, higher-fidelity 4K HDR images on premium televisions;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IMAX's Signature Sound, which is specially recreated and calibrated for the home by DTS to unlock more immersive audio.</w:t>
      </w:r>
    </w:p>
    <w:p>
      <w:pPr>
        <w:spacing w:after="0" w:line="22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At present, certified global device partners include Sony Electronics, Hisense, TCL, LG, Phillips, Hewlett Packard, Xiaomi, Sound United and Honor, among others. As of September 30, 2023, more than 250 IMAX Enhanced titles have been released across five of the biggest streaming platforms worldwide: Disney+, Sony Bravia CORE, Tencent Video, iQiyi and Rakuten TV.</w:t>
      </w:r>
    </w:p>
    <w:p>
      <w:pPr>
        <w:spacing w:after="0" w:line="157"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All Other also includes revenues from the following sources: one owned and operated IMAX theater in Sacramento, California; a commercial arrangement with one theater resulting in the sharing of profits and losses; providing management services to three other theaters; and offering production advice and technical assistance to both documentary and Hollywood filmmakers.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IMAX NETWORK AND BACKLOG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following table provides detailed information about the IMAX network by type and geographic location as of September 30, 2023 and 2022. For additional information regarding the composition of the IMAX network, see “Marketing and Customers” in Part I, Item 1 of the Company’s 2022 Form 10-K.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16"/>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ind w:right="174"/>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16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1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Institutional</w:t>
            </w:r>
          </w:p>
        </w:tc>
        <w:tc>
          <w:tcPr>
            <w:tcW w:w="120" w:type="dxa"/>
            <w:vAlign w:val="bottom"/>
          </w:tcPr>
          <w:p>
            <w:pPr>
              <w:spacing w:after="0"/>
              <w:rPr>
                <w:sz w:val="11"/>
                <w:szCs w:val="11"/>
                <w:color w:val="auto"/>
              </w:rPr>
            </w:pPr>
          </w:p>
        </w:tc>
        <w:tc>
          <w:tcPr>
            <w:tcW w:w="8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12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1"/>
                <w:szCs w:val="11"/>
                <w:color w:val="auto"/>
              </w:rPr>
            </w:pPr>
          </w:p>
        </w:tc>
        <w:tc>
          <w:tcPr>
            <w:tcW w:w="1120" w:type="dxa"/>
            <w:vAlign w:val="bottom"/>
          </w:tcPr>
          <w:p>
            <w:pPr>
              <w:jc w:val="right"/>
              <w:ind w:right="159"/>
              <w:spacing w:after="0" w:line="133"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1"/>
                <w:szCs w:val="11"/>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Institutional</w:t>
            </w:r>
          </w:p>
        </w:tc>
        <w:tc>
          <w:tcPr>
            <w:tcW w:w="100" w:type="dxa"/>
            <w:vAlign w:val="bottom"/>
          </w:tcPr>
          <w:p>
            <w:pPr>
              <w:spacing w:after="0"/>
              <w:rPr>
                <w:sz w:val="11"/>
                <w:szCs w:val="11"/>
                <w:color w:val="auto"/>
              </w:rPr>
            </w:pPr>
          </w:p>
        </w:tc>
        <w:tc>
          <w:tcPr>
            <w:tcW w:w="100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Multiplex</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Destination</w:t>
            </w:r>
          </w:p>
        </w:tc>
        <w:tc>
          <w:tcPr>
            <w:tcW w:w="1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Multiplex</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Destination</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7"/>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36"/>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36"/>
              <w:spacing w:after="0"/>
              <w:rPr>
                <w:sz w:val="20"/>
                <w:szCs w:val="20"/>
                <w:color w:val="auto"/>
              </w:rPr>
            </w:pPr>
            <w:r>
              <w:rPr>
                <w:rFonts w:ascii="Arial" w:cs="Arial" w:eastAsia="Arial" w:hAnsi="Arial"/>
                <w:sz w:val="18"/>
                <w:szCs w:val="18"/>
                <w:color w:val="auto"/>
              </w:rPr>
              <w:t>48</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40</w:t>
            </w: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6"/>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9"/>
        </w:trPr>
        <w:tc>
          <w:tcPr>
            <w:tcW w:w="1720" w:type="dxa"/>
            <w:vAlign w:val="bottom"/>
            <w:gridSpan w:val="2"/>
            <w:shd w:val="clear" w:color="auto" w:fill="CFF0FC"/>
          </w:tcPr>
          <w:p>
            <w:pPr>
              <w:ind w:left="20"/>
              <w:spacing w:after="0" w:line="249" w:lineRule="exact"/>
              <w:rPr>
                <w:sz w:val="20"/>
                <w:szCs w:val="20"/>
                <w:color w:val="auto"/>
              </w:rPr>
            </w:pPr>
            <w:r>
              <w:rPr>
                <w:rFonts w:ascii="Arial" w:cs="Arial" w:eastAsia="Arial" w:hAnsi="Arial"/>
                <w:sz w:val="18"/>
                <w:szCs w:val="18"/>
                <w:color w:val="auto"/>
              </w:rPr>
              <w:t>Greater China</w:t>
            </w:r>
            <w:r>
              <w:rPr>
                <w:rFonts w:ascii="Arial" w:cs="Arial" w:eastAsia="Arial" w:hAnsi="Arial"/>
                <w:sz w:val="24"/>
                <w:szCs w:val="24"/>
                <w:color w:val="auto"/>
                <w:vertAlign w:val="superscript"/>
              </w:rPr>
              <w:t>(1)</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799</w:t>
            </w:r>
          </w:p>
        </w:tc>
        <w:tc>
          <w:tcPr>
            <w:tcW w:w="12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5"/>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Asia (excluding</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gridSpan w:val="2"/>
          </w:tcPr>
          <w:p>
            <w:pPr>
              <w:ind w:left="20"/>
              <w:spacing w:after="0"/>
              <w:rPr>
                <w:sz w:val="20"/>
                <w:szCs w:val="20"/>
                <w:color w:val="auto"/>
              </w:rPr>
            </w:pPr>
            <w:r>
              <w:rPr>
                <w:rFonts w:ascii="Arial" w:cs="Arial" w:eastAsia="Arial" w:hAnsi="Arial"/>
                <w:sz w:val="18"/>
                <w:szCs w:val="18"/>
                <w:color w:val="auto"/>
              </w:rPr>
              <w:t>Greater China)</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152</w:t>
            </w:r>
          </w:p>
        </w:tc>
        <w:tc>
          <w:tcPr>
            <w:tcW w:w="128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36"/>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36"/>
              <w:spacing w:after="0"/>
              <w:rPr>
                <w:sz w:val="20"/>
                <w:szCs w:val="20"/>
                <w:color w:val="auto"/>
              </w:rPr>
            </w:pPr>
            <w:r>
              <w:rPr>
                <w:rFonts w:ascii="Arial" w:cs="Arial" w:eastAsia="Arial" w:hAnsi="Arial"/>
                <w:sz w:val="18"/>
                <w:szCs w:val="18"/>
                <w:color w:val="auto"/>
              </w:rPr>
              <w:t>156</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131</w:t>
            </w: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36"/>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36"/>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0"/>
        </w:trPr>
        <w:tc>
          <w:tcPr>
            <w:tcW w:w="1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Western Europe</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120</w:t>
            </w:r>
          </w:p>
        </w:tc>
        <w:tc>
          <w:tcPr>
            <w:tcW w:w="12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132</w:t>
            </w:r>
          </w:p>
        </w:tc>
        <w:tc>
          <w:tcPr>
            <w:tcW w:w="12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117</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Latin America</w:t>
            </w:r>
            <w:r>
              <w:rPr>
                <w:rFonts w:ascii="Arial" w:cs="Arial" w:eastAsia="Arial" w:hAnsi="Arial"/>
                <w:sz w:val="24"/>
                <w:szCs w:val="24"/>
                <w:color w:val="auto"/>
                <w:vertAlign w:val="superscript"/>
              </w:rPr>
              <w:t>(2)</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1280" w:type="dxa"/>
            <w:vAlign w:val="bottom"/>
            <w:gridSpan w:val="2"/>
          </w:tcPr>
          <w:p>
            <w:pPr>
              <w:jc w:val="right"/>
              <w:ind w:right="36"/>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36"/>
              <w:spacing w:after="0"/>
              <w:rPr>
                <w:sz w:val="20"/>
                <w:szCs w:val="20"/>
                <w:color w:val="auto"/>
              </w:rPr>
            </w:pPr>
            <w:r>
              <w:rPr>
                <w:rFonts w:ascii="Arial" w:cs="Arial" w:eastAsia="Arial" w:hAnsi="Arial"/>
                <w:sz w:val="18"/>
                <w:szCs w:val="18"/>
                <w:color w:val="auto"/>
              </w:rPr>
              <w:t>64</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55</w:t>
            </w: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36"/>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36"/>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1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Rest of the World</w:t>
            </w:r>
          </w:p>
        </w:tc>
        <w:tc>
          <w:tcPr>
            <w:tcW w:w="11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17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Total</w:t>
            </w:r>
            <w:r>
              <w:rPr>
                <w:rFonts w:ascii="Arial" w:cs="Arial" w:eastAsia="Arial" w:hAnsi="Arial"/>
                <w:sz w:val="24"/>
                <w:szCs w:val="24"/>
                <w:color w:val="auto"/>
                <w:vertAlign w:val="superscript"/>
              </w:rPr>
              <w:t>(3)</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1,651</w:t>
            </w:r>
          </w:p>
        </w:tc>
        <w:tc>
          <w:tcPr>
            <w:tcW w:w="1280" w:type="dxa"/>
            <w:vAlign w:val="bottom"/>
            <w:gridSpan w:val="2"/>
          </w:tcPr>
          <w:p>
            <w:pPr>
              <w:jc w:val="right"/>
              <w:ind w:right="39"/>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ind w:right="36"/>
              <w:spacing w:after="0"/>
              <w:rPr>
                <w:sz w:val="20"/>
                <w:szCs w:val="20"/>
                <w:color w:val="auto"/>
              </w:rPr>
            </w:pPr>
            <w:r>
              <w:rPr>
                <w:rFonts w:ascii="Arial" w:cs="Arial" w:eastAsia="Arial" w:hAnsi="Arial"/>
                <w:sz w:val="18"/>
                <w:szCs w:val="18"/>
                <w:color w:val="auto"/>
              </w:rPr>
              <w:t>68</w:t>
            </w:r>
          </w:p>
        </w:tc>
        <w:tc>
          <w:tcPr>
            <w:tcW w:w="1000" w:type="dxa"/>
            <w:vAlign w:val="bottom"/>
            <w:gridSpan w:val="2"/>
          </w:tcPr>
          <w:p>
            <w:pPr>
              <w:jc w:val="right"/>
              <w:ind w:right="36"/>
              <w:spacing w:after="0"/>
              <w:rPr>
                <w:sz w:val="20"/>
                <w:szCs w:val="20"/>
                <w:color w:val="auto"/>
              </w:rPr>
            </w:pPr>
            <w:r>
              <w:rPr>
                <w:rFonts w:ascii="Arial" w:cs="Arial" w:eastAsia="Arial" w:hAnsi="Arial"/>
                <w:sz w:val="18"/>
                <w:szCs w:val="18"/>
                <w:color w:val="auto"/>
              </w:rPr>
              <w:t>1,731</w:t>
            </w:r>
          </w:p>
        </w:tc>
        <w:tc>
          <w:tcPr>
            <w:tcW w:w="1240" w:type="dxa"/>
            <w:vAlign w:val="bottom"/>
            <w:gridSpan w:val="2"/>
          </w:tcPr>
          <w:p>
            <w:pPr>
              <w:jc w:val="right"/>
              <w:ind w:right="39"/>
              <w:spacing w:after="0"/>
              <w:rPr>
                <w:sz w:val="20"/>
                <w:szCs w:val="20"/>
                <w:color w:val="auto"/>
              </w:rPr>
            </w:pPr>
            <w:r>
              <w:rPr>
                <w:rFonts w:ascii="Arial" w:cs="Arial" w:eastAsia="Arial" w:hAnsi="Arial"/>
                <w:sz w:val="18"/>
                <w:szCs w:val="18"/>
                <w:color w:val="auto"/>
              </w:rPr>
              <w:t>1,622</w:t>
            </w: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36"/>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jc w:val="right"/>
              <w:ind w:right="36"/>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-281940</wp:posOffset>
            </wp:positionV>
            <wp:extent cx="76835" cy="1885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-281940</wp:posOffset>
            </wp:positionV>
            <wp:extent cx="76835" cy="1885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-281940</wp:posOffset>
            </wp:positionV>
            <wp:extent cx="68580"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-281940</wp:posOffset>
            </wp:positionV>
            <wp:extent cx="68580" cy="1885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-281940</wp:posOffset>
            </wp:positionV>
            <wp:extent cx="68580" cy="1885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-281940</wp:posOffset>
            </wp:positionV>
            <wp:extent cx="68580" cy="1885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-281940</wp:posOffset>
            </wp:positionV>
            <wp:extent cx="68580" cy="1885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Period-to-period changes in the table above are reported net of the effect of permanently closed locations.</w:t>
      </w:r>
    </w:p>
    <w:p>
      <w:pPr>
        <w:spacing w:after="0" w:line="198"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The Company currently believes that over time its commercial multiplex network could grow to over 3,300 IMAX Systems worldwide from 1,651 as of September 30, 2023. The Company believes that the majority of its future growth will come from international markets. As of September 30, 2023,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including Russia, are outlined in “Risk Factors – The Company conducts business internationally, which exposes it to uncertainties and risks that could negatively affect its operations, sales and future growth prospects” in Part I, Item 1A of the Company’s 2022 Form 10-K.</w:t>
      </w:r>
    </w:p>
    <w:p>
      <w:pPr>
        <w:spacing w:after="0" w:line="154" w:lineRule="exact"/>
        <w:rPr>
          <w:sz w:val="20"/>
          <w:szCs w:val="20"/>
          <w:color w:val="auto"/>
        </w:rPr>
      </w:pPr>
    </w:p>
    <w:p>
      <w:pPr>
        <w:jc w:val="both"/>
        <w:ind w:firstLine="224"/>
        <w:spacing w:after="0" w:line="284" w:lineRule="auto"/>
        <w:rPr>
          <w:sz w:val="20"/>
          <w:szCs w:val="20"/>
          <w:color w:val="auto"/>
        </w:rPr>
      </w:pPr>
      <w:r>
        <w:rPr>
          <w:rFonts w:ascii="Arial" w:cs="Arial" w:eastAsia="Arial" w:hAnsi="Arial"/>
          <w:sz w:val="17"/>
          <w:szCs w:val="17"/>
          <w:color w:val="auto"/>
        </w:rPr>
        <w:t>In the nine months ended September 30, 2023 the Company’s revenue generated from its Greater China operations represents 26% of consolidated revenue</w:t>
      </w:r>
      <w:r>
        <w:rPr>
          <w:rFonts w:ascii="Arial" w:cs="Arial" w:eastAsia="Arial" w:hAnsi="Arial"/>
          <w:sz w:val="18"/>
          <w:szCs w:val="18"/>
          <w:color w:val="auto"/>
        </w:rPr>
        <w:t>.</w:t>
      </w:r>
      <w:r>
        <w:rPr>
          <w:rFonts w:ascii="Arial" w:cs="Arial" w:eastAsia="Arial" w:hAnsi="Arial"/>
          <w:sz w:val="17"/>
          <w:szCs w:val="17"/>
          <w:color w:val="auto"/>
        </w:rPr>
        <w:t xml:space="preserve"> As of September 30, 2023, the Company had 798 IMAX Systems operating in Greater China with an additional 193 systems in backlog. The Company has a partnership in China with Wanda Film (“Wanda”). As of September 30, 2023, through the Company’s partnership with Wanda, there were 376 IMAX Systems operational in Greater China of which 362 are under the parties’ joint revenue sharing arrangements.</w:t>
      </w:r>
    </w:p>
    <w:p>
      <w:pPr>
        <w:spacing w:after="0" w:line="128" w:lineRule="exact"/>
        <w:rPr>
          <w:sz w:val="20"/>
          <w:szCs w:val="20"/>
          <w:color w:val="auto"/>
        </w:rPr>
      </w:pPr>
    </w:p>
    <w:p>
      <w:pPr>
        <w:jc w:val="both"/>
        <w:ind w:firstLine="224"/>
        <w:spacing w:after="0" w:line="296" w:lineRule="auto"/>
        <w:rPr>
          <w:sz w:val="20"/>
          <w:szCs w:val="20"/>
          <w:color w:val="auto"/>
        </w:rPr>
      </w:pPr>
      <w:r>
        <w:rPr>
          <w:rFonts w:ascii="Arial" w:cs="Arial" w:eastAsia="Arial" w:hAnsi="Arial"/>
          <w:sz w:val="16"/>
          <w:szCs w:val="16"/>
          <w:color w:val="auto"/>
        </w:rPr>
        <w:t>In the nine months ended September 30, 2023, the IMAX network generated over $186.8 million in box office from local language films, representing approximately 21% of the Company’s total box office in the period. This year included Company records for the highest grossing Chinese New Year holiday, highest grossing local language title (</w:t>
      </w:r>
      <w:r>
        <w:rPr>
          <w:rFonts w:ascii="Arial" w:cs="Arial" w:eastAsia="Arial" w:hAnsi="Arial"/>
          <w:sz w:val="16"/>
          <w:szCs w:val="16"/>
          <w:i w:val="1"/>
          <w:iCs w:val="1"/>
          <w:color w:val="auto"/>
        </w:rPr>
        <w:t>Wandering Earth 2</w:t>
      </w:r>
      <w:r>
        <w:rPr>
          <w:rFonts w:ascii="Arial" w:cs="Arial" w:eastAsia="Arial" w:hAnsi="Arial"/>
          <w:sz w:val="16"/>
          <w:szCs w:val="16"/>
          <w:color w:val="auto"/>
        </w:rPr>
        <w:t xml:space="preserve">), and highest grossing summer season in China, as well as a number of local language opening weekend market share records. The Company is also seeing its local language films increasingly generate significant IMAX box office in markets outside of those in which they are released, such as the Japanese films </w:t>
      </w:r>
      <w:r>
        <w:rPr>
          <w:rFonts w:ascii="Arial" w:cs="Arial" w:eastAsia="Arial" w:hAnsi="Arial"/>
          <w:sz w:val="16"/>
          <w:szCs w:val="16"/>
          <w:i w:val="1"/>
          <w:iCs w:val="1"/>
          <w:color w:val="auto"/>
        </w:rPr>
        <w:t>Suzume</w:t>
      </w:r>
      <w:r>
        <w:rPr>
          <w:rFonts w:ascii="Arial" w:cs="Arial" w:eastAsia="Arial" w:hAnsi="Arial"/>
          <w:sz w:val="16"/>
          <w:szCs w:val="16"/>
          <w:color w:val="auto"/>
        </w:rPr>
        <w:t xml:space="preserve"> as well as the Indian films </w:t>
      </w:r>
      <w:r>
        <w:rPr>
          <w:rFonts w:ascii="Arial" w:cs="Arial" w:eastAsia="Arial" w:hAnsi="Arial"/>
          <w:sz w:val="16"/>
          <w:szCs w:val="16"/>
          <w:i w:val="1"/>
          <w:iCs w:val="1"/>
          <w:color w:val="auto"/>
        </w:rPr>
        <w:t>Pathaan</w:t>
      </w:r>
      <w:r>
        <w:rPr>
          <w:rFonts w:ascii="Arial" w:cs="Arial" w:eastAsia="Arial" w:hAnsi="Arial"/>
          <w:sz w:val="16"/>
          <w:szCs w:val="16"/>
          <w:color w:val="auto"/>
        </w:rPr>
        <w:t xml:space="preserve"> and </w:t>
      </w:r>
      <w:r>
        <w:rPr>
          <w:rFonts w:ascii="Arial" w:cs="Arial" w:eastAsia="Arial" w:hAnsi="Arial"/>
          <w:sz w:val="16"/>
          <w:szCs w:val="16"/>
          <w:i w:val="1"/>
          <w:iCs w:val="1"/>
          <w:color w:val="auto"/>
        </w:rPr>
        <w:t>Jawan.</w:t>
      </w:r>
    </w:p>
    <w:p>
      <w:pPr>
        <w:spacing w:after="0" w:line="134"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(See “Risk Factors – The Company faces risks in connection with its significant presence in China and the continued expansion of its business there” in Part II. Item 1A. of this Form 10-Q and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 of the Company’s 2022 Form 10-K.)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ind w:firstLine="224"/>
        <w:spacing w:after="0" w:line="277" w:lineRule="auto"/>
        <w:rPr>
          <w:sz w:val="20"/>
          <w:szCs w:val="20"/>
          <w:color w:val="auto"/>
        </w:rPr>
      </w:pPr>
      <w:r>
        <w:rPr>
          <w:rFonts w:ascii="Arial" w:cs="Arial" w:eastAsia="Arial" w:hAnsi="Arial"/>
          <w:sz w:val="18"/>
          <w:szCs w:val="18"/>
          <w:color w:val="auto"/>
        </w:rPr>
        <w:t>The following tables provide detailed information about the Company’s global commercial multiplex network by arrangement type and geographic location as of September 30, 2023 and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1"/>
              </w:rPr>
              <w:t>September 30, 2023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46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6"/>
              </w:rPr>
              <w:t>Commercial Multiplex Locations in IMAX Network</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3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Traditional</w:t>
            </w:r>
          </w:p>
        </w:tc>
        <w:tc>
          <w:tcPr>
            <w:tcW w:w="120" w:type="dxa"/>
            <w:vAlign w:val="bottom"/>
          </w:tcPr>
          <w:p>
            <w:pPr>
              <w:spacing w:after="0"/>
              <w:rPr>
                <w:sz w:val="11"/>
                <w:szCs w:val="11"/>
                <w:color w:val="auto"/>
              </w:rPr>
            </w:pPr>
          </w:p>
        </w:tc>
        <w:tc>
          <w:tcPr>
            <w:tcW w:w="128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rPr>
              <w:t>Hybrid</w:t>
            </w:r>
          </w:p>
        </w:tc>
        <w:tc>
          <w:tcPr>
            <w:tcW w:w="100" w:type="dxa"/>
            <w:vAlign w:val="bottom"/>
          </w:tcPr>
          <w:p>
            <w:pPr>
              <w:spacing w:after="0"/>
              <w:rPr>
                <w:sz w:val="11"/>
                <w:szCs w:val="11"/>
                <w:color w:val="auto"/>
              </w:rPr>
            </w:pPr>
          </w:p>
        </w:tc>
        <w:tc>
          <w:tcPr>
            <w:tcW w:w="1660" w:type="dxa"/>
            <w:vAlign w:val="bottom"/>
            <w:gridSpan w:val="3"/>
          </w:tcPr>
          <w:p>
            <w:pPr>
              <w:jc w:val="center"/>
              <w:ind w:right="480"/>
              <w:spacing w:after="0" w:line="133" w:lineRule="exact"/>
              <w:rPr>
                <w:sz w:val="20"/>
                <w:szCs w:val="20"/>
                <w:color w:val="auto"/>
              </w:rPr>
            </w:pPr>
            <w:r>
              <w:rPr>
                <w:rFonts w:ascii="Arial" w:cs="Arial" w:eastAsia="Arial" w:hAnsi="Arial"/>
                <w:sz w:val="14"/>
                <w:szCs w:val="14"/>
                <w:b w:val="1"/>
                <w:bCs w:val="1"/>
                <w:color w:val="auto"/>
                <w:w w:val="90"/>
              </w:rPr>
              <w:t>Sale / Sales-</w:t>
            </w: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JRSA</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JRSA</w:t>
            </w:r>
          </w:p>
        </w:tc>
        <w:tc>
          <w:tcPr>
            <w:tcW w:w="100" w:type="dxa"/>
            <w:vAlign w:val="bottom"/>
          </w:tcPr>
          <w:p>
            <w:pPr>
              <w:spacing w:after="0"/>
              <w:rPr>
                <w:sz w:val="16"/>
                <w:szCs w:val="16"/>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type Lease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403</w:t>
            </w:r>
          </w:p>
        </w:tc>
        <w:tc>
          <w:tcPr>
            <w:tcW w:w="14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109</w:t>
            </w:r>
          </w:p>
        </w:tc>
        <w:tc>
          <w:tcPr>
            <w:tcW w:w="138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38"/>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ind w:right="37"/>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Western Europe</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w:t>
            </w:r>
          </w:p>
        </w:tc>
        <w:tc>
          <w:tcPr>
            <w:tcW w:w="14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Latin America</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Rest of the World</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International Total</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500</w:t>
            </w:r>
          </w:p>
        </w:tc>
        <w:tc>
          <w:tcPr>
            <w:tcW w:w="1400" w:type="dxa"/>
            <w:vAlign w:val="bottom"/>
            <w:gridSpan w:val="2"/>
          </w:tcPr>
          <w:p>
            <w:pPr>
              <w:jc w:val="right"/>
              <w:ind w:right="38"/>
              <w:spacing w:after="0"/>
              <w:rPr>
                <w:sz w:val="20"/>
                <w:szCs w:val="20"/>
                <w:color w:val="auto"/>
              </w:rPr>
            </w:pPr>
            <w:r>
              <w:rPr>
                <w:rFonts w:ascii="Arial" w:cs="Arial" w:eastAsia="Arial" w:hAnsi="Arial"/>
                <w:sz w:val="18"/>
                <w:szCs w:val="18"/>
                <w:color w:val="auto"/>
              </w:rPr>
              <w:t>131</w:t>
            </w:r>
          </w:p>
        </w:tc>
        <w:tc>
          <w:tcPr>
            <w:tcW w:w="1380" w:type="dxa"/>
            <w:vAlign w:val="bottom"/>
            <w:gridSpan w:val="2"/>
          </w:tcPr>
          <w:p>
            <w:pPr>
              <w:jc w:val="right"/>
              <w:ind w:right="37"/>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36"/>
        </w:trPr>
        <w:tc>
          <w:tcPr>
            <w:tcW w:w="5760" w:type="dxa"/>
            <w:vAlign w:val="bottom"/>
            <w:gridSpan w:val="2"/>
            <w:vMerge w:val="restart"/>
          </w:tcPr>
          <w:p>
            <w:pPr>
              <w:ind w:left="20"/>
              <w:spacing w:after="0"/>
              <w:rPr>
                <w:sz w:val="20"/>
                <w:szCs w:val="20"/>
                <w:color w:val="auto"/>
              </w:rPr>
            </w:pPr>
            <w:r>
              <w:rPr>
                <w:rFonts w:ascii="Arial" w:cs="Arial" w:eastAsia="Arial" w:hAnsi="Arial"/>
                <w:sz w:val="18"/>
                <w:szCs w:val="18"/>
                <w:color w:val="auto"/>
              </w:rPr>
              <w:t>Worldwide Total</w:t>
            </w:r>
            <w:r>
              <w:rPr>
                <w:rFonts w:ascii="Arial" w:cs="Arial" w:eastAsia="Arial" w:hAnsi="Arial"/>
                <w:sz w:val="24"/>
                <w:szCs w:val="24"/>
                <w:color w:val="auto"/>
                <w:vertAlign w:val="superscript"/>
              </w:rPr>
              <w:t>(1)</w:t>
            </w:r>
          </w:p>
        </w:tc>
        <w:tc>
          <w:tcPr>
            <w:tcW w:w="13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3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760" w:type="dxa"/>
            <w:vAlign w:val="bottom"/>
            <w:gridSpan w:val="2"/>
            <w:vMerge w:val="continue"/>
          </w:tcPr>
          <w:p>
            <w:pPr>
              <w:spacing w:after="0"/>
              <w:rPr>
                <w:sz w:val="20"/>
                <w:szCs w:val="20"/>
                <w:color w:val="auto"/>
              </w:rPr>
            </w:pP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1"/>
              </w:rPr>
              <w:t>September 30, 2022</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46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6"/>
              </w:rPr>
              <w:t>Commercial Multiplex Locations in IMAX Network</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3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Traditional</w:t>
            </w:r>
          </w:p>
        </w:tc>
        <w:tc>
          <w:tcPr>
            <w:tcW w:w="120" w:type="dxa"/>
            <w:vAlign w:val="bottom"/>
          </w:tcPr>
          <w:p>
            <w:pPr>
              <w:spacing w:after="0"/>
              <w:rPr>
                <w:sz w:val="11"/>
                <w:szCs w:val="11"/>
                <w:color w:val="auto"/>
              </w:rPr>
            </w:pPr>
          </w:p>
        </w:tc>
        <w:tc>
          <w:tcPr>
            <w:tcW w:w="128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rPr>
              <w:t>Hybrid</w:t>
            </w:r>
          </w:p>
        </w:tc>
        <w:tc>
          <w:tcPr>
            <w:tcW w:w="100" w:type="dxa"/>
            <w:vAlign w:val="bottom"/>
          </w:tcPr>
          <w:p>
            <w:pPr>
              <w:spacing w:after="0"/>
              <w:rPr>
                <w:sz w:val="11"/>
                <w:szCs w:val="11"/>
                <w:color w:val="auto"/>
              </w:rPr>
            </w:pPr>
          </w:p>
        </w:tc>
        <w:tc>
          <w:tcPr>
            <w:tcW w:w="1660" w:type="dxa"/>
            <w:vAlign w:val="bottom"/>
            <w:gridSpan w:val="3"/>
          </w:tcPr>
          <w:p>
            <w:pPr>
              <w:jc w:val="center"/>
              <w:ind w:right="480"/>
              <w:spacing w:after="0" w:line="133" w:lineRule="exact"/>
              <w:rPr>
                <w:sz w:val="20"/>
                <w:szCs w:val="20"/>
                <w:color w:val="auto"/>
              </w:rPr>
            </w:pPr>
            <w:r>
              <w:rPr>
                <w:rFonts w:ascii="Arial" w:cs="Arial" w:eastAsia="Arial" w:hAnsi="Arial"/>
                <w:sz w:val="14"/>
                <w:szCs w:val="14"/>
                <w:b w:val="1"/>
                <w:bCs w:val="1"/>
                <w:color w:val="auto"/>
                <w:w w:val="90"/>
              </w:rPr>
              <w:t>Sale / Sales-</w:t>
            </w: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JRSA</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JRSA</w:t>
            </w:r>
          </w:p>
        </w:tc>
        <w:tc>
          <w:tcPr>
            <w:tcW w:w="100" w:type="dxa"/>
            <w:vAlign w:val="bottom"/>
          </w:tcPr>
          <w:p>
            <w:pPr>
              <w:spacing w:after="0"/>
              <w:rPr>
                <w:sz w:val="16"/>
                <w:szCs w:val="16"/>
                <w:color w:val="auto"/>
              </w:rPr>
            </w:pPr>
          </w:p>
        </w:tc>
        <w:tc>
          <w:tcPr>
            <w:tcW w:w="16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type Lease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400</w:t>
            </w:r>
          </w:p>
        </w:tc>
        <w:tc>
          <w:tcPr>
            <w:tcW w:w="14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112</w:t>
            </w:r>
          </w:p>
        </w:tc>
        <w:tc>
          <w:tcPr>
            <w:tcW w:w="138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ind w:right="38"/>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37"/>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9"/>
        </w:trPr>
        <w:tc>
          <w:tcPr>
            <w:tcW w:w="5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Western Europe</w:t>
            </w:r>
          </w:p>
        </w:tc>
        <w:tc>
          <w:tcPr>
            <w:tcW w:w="13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FF0FC"/>
          </w:tcPr>
          <w:p>
            <w:pPr>
              <w:jc w:val="right"/>
              <w:ind w:right="38"/>
              <w:spacing w:after="0"/>
              <w:rPr>
                <w:sz w:val="20"/>
                <w:szCs w:val="20"/>
                <w:color w:val="auto"/>
              </w:rPr>
            </w:pPr>
            <w:r>
              <w:rPr>
                <w:rFonts w:ascii="Arial" w:cs="Arial" w:eastAsia="Arial" w:hAnsi="Arial"/>
                <w:sz w:val="18"/>
                <w:szCs w:val="18"/>
                <w:color w:val="auto"/>
              </w:rPr>
              <w:t>28</w:t>
            </w:r>
          </w:p>
        </w:tc>
        <w:tc>
          <w:tcPr>
            <w:tcW w:w="138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Latin America</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Rest of the World</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International Total</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500</w:t>
            </w:r>
          </w:p>
        </w:tc>
        <w:tc>
          <w:tcPr>
            <w:tcW w:w="1400" w:type="dxa"/>
            <w:vAlign w:val="bottom"/>
            <w:gridSpan w:val="2"/>
          </w:tcPr>
          <w:p>
            <w:pPr>
              <w:jc w:val="right"/>
              <w:ind w:right="38"/>
              <w:spacing w:after="0"/>
              <w:rPr>
                <w:sz w:val="20"/>
                <w:szCs w:val="20"/>
                <w:color w:val="auto"/>
              </w:rPr>
            </w:pPr>
            <w:r>
              <w:rPr>
                <w:rFonts w:ascii="Arial" w:cs="Arial" w:eastAsia="Arial" w:hAnsi="Arial"/>
                <w:sz w:val="18"/>
                <w:szCs w:val="18"/>
                <w:color w:val="auto"/>
              </w:rPr>
              <w:t>144</w:t>
            </w:r>
          </w:p>
        </w:tc>
        <w:tc>
          <w:tcPr>
            <w:tcW w:w="1380" w:type="dxa"/>
            <w:vAlign w:val="bottom"/>
            <w:gridSpan w:val="2"/>
          </w:tcPr>
          <w:p>
            <w:pPr>
              <w:jc w:val="right"/>
              <w:ind w:right="37"/>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83"/>
        </w:trPr>
        <w:tc>
          <w:tcPr>
            <w:tcW w:w="5760" w:type="dxa"/>
            <w:vAlign w:val="bottom"/>
            <w:tcBorders>
              <w:top w:val="single" w:sz="8" w:color="CFF0FC"/>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Worldwide Total</w:t>
            </w:r>
            <w:r>
              <w:rPr>
                <w:rFonts w:ascii="Arial" w:cs="Arial" w:eastAsia="Arial" w:hAnsi="Arial"/>
                <w:sz w:val="24"/>
                <w:szCs w:val="24"/>
                <w:color w:val="auto"/>
                <w:vertAlign w:val="superscript"/>
              </w:rPr>
              <w:t>(1)</w:t>
            </w: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-3496945</wp:posOffset>
            </wp:positionV>
            <wp:extent cx="77470" cy="1631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-3496945</wp:posOffset>
            </wp:positionV>
            <wp:extent cx="68580" cy="1631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-3496945</wp:posOffset>
            </wp:positionV>
            <wp:extent cx="68580" cy="16319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-2562225</wp:posOffset>
            </wp:positionV>
            <wp:extent cx="77470" cy="50609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5060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-2562225</wp:posOffset>
            </wp:positionV>
            <wp:extent cx="68580" cy="5060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5060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-2562225</wp:posOffset>
            </wp:positionV>
            <wp:extent cx="68580" cy="5060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5060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-1379220</wp:posOffset>
            </wp:positionV>
            <wp:extent cx="77470" cy="1625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-1379220</wp:posOffset>
            </wp:positionV>
            <wp:extent cx="68580" cy="162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-1379220</wp:posOffset>
            </wp:positionV>
            <wp:extent cx="68580" cy="1625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-119380</wp:posOffset>
            </wp:positionV>
            <wp:extent cx="7747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-102235</wp:posOffset>
            </wp:positionV>
            <wp:extent cx="774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-445135</wp:posOffset>
            </wp:positionV>
            <wp:extent cx="77470" cy="1714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-102235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-445135</wp:posOffset>
            </wp:positionV>
            <wp:extent cx="68580" cy="1714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-119380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-102235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-445135</wp:posOffset>
            </wp:positionV>
            <wp:extent cx="68580" cy="1714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Period-to-period changes in the tables above are reported net of the effect of permanently closed systems.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backlog as of September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8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86"/>
              </w:rPr>
              <w:t>Systems</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Dollar Value</w:t>
            </w:r>
          </w:p>
        </w:tc>
        <w:tc>
          <w:tcPr>
            <w:tcW w:w="10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Systems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37"/>
        </w:trPr>
        <w:tc>
          <w:tcPr>
            <w:tcW w:w="2920" w:type="dxa"/>
            <w:vAlign w:val="bottom"/>
            <w:gridSpan w:val="2"/>
          </w:tcPr>
          <w:p>
            <w:pPr>
              <w:ind w:left="20"/>
              <w:spacing w:after="0" w:line="137" w:lineRule="exact"/>
              <w:rPr>
                <w:sz w:val="20"/>
                <w:szCs w:val="20"/>
                <w:color w:val="auto"/>
              </w:rPr>
            </w:pPr>
            <w:r>
              <w:rPr>
                <w:rFonts w:ascii="Arial" w:cs="Arial" w:eastAsia="Arial" w:hAnsi="Arial"/>
                <w:sz w:val="14"/>
                <w:szCs w:val="14"/>
                <w:i w:val="1"/>
                <w:iCs w:val="1"/>
                <w:color w:val="auto"/>
                <w:w w:val="97"/>
              </w:rPr>
              <w:t>(In thousands of U.S. Dollars, except number of</w:t>
            </w:r>
          </w:p>
        </w:tc>
        <w:tc>
          <w:tcPr>
            <w:tcW w:w="12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New</w:t>
            </w: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5"/>
              </w:rPr>
              <w:t>Upgrade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New</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Upgrade</w:t>
            </w:r>
          </w:p>
        </w:tc>
        <w:tc>
          <w:tcPr>
            <w:tcW w:w="100" w:type="dxa"/>
            <w:vAlign w:val="bottom"/>
          </w:tcPr>
          <w:p>
            <w:pPr>
              <w:spacing w:after="0"/>
              <w:rPr>
                <w:sz w:val="11"/>
                <w:szCs w:val="11"/>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New</w:t>
            </w:r>
          </w:p>
        </w:tc>
        <w:tc>
          <w:tcPr>
            <w:tcW w:w="100" w:type="dxa"/>
            <w:vAlign w:val="bottom"/>
          </w:tcPr>
          <w:p>
            <w:pPr>
              <w:spacing w:after="0"/>
              <w:rPr>
                <w:sz w:val="11"/>
                <w:szCs w:val="11"/>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Upgrade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New</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5"/>
              </w:rPr>
              <w:t>Upgrade</w:t>
            </w:r>
          </w:p>
        </w:tc>
        <w:tc>
          <w:tcPr>
            <w:tcW w:w="0" w:type="dxa"/>
            <w:vAlign w:val="bottom"/>
          </w:tcPr>
          <w:p>
            <w:pPr>
              <w:spacing w:after="0"/>
              <w:rPr>
                <w:sz w:val="1"/>
                <w:szCs w:val="1"/>
                <w:color w:val="auto"/>
              </w:rPr>
            </w:pPr>
          </w:p>
        </w:tc>
      </w:tr>
      <w:tr>
        <w:trPr>
          <w:trHeight w:val="167"/>
        </w:trPr>
        <w:tc>
          <w:tcPr>
            <w:tcW w:w="2920" w:type="dxa"/>
            <w:vAlign w:val="bottom"/>
            <w:gridSpan w:val="2"/>
          </w:tcPr>
          <w:p>
            <w:pPr>
              <w:ind w:left="20"/>
              <w:spacing w:after="0"/>
              <w:rPr>
                <w:sz w:val="20"/>
                <w:szCs w:val="20"/>
                <w:color w:val="auto"/>
              </w:rPr>
            </w:pPr>
            <w:r>
              <w:rPr>
                <w:rFonts w:ascii="Arial" w:cs="Arial" w:eastAsia="Arial" w:hAnsi="Arial"/>
                <w:sz w:val="14"/>
                <w:szCs w:val="14"/>
                <w:i w:val="1"/>
                <w:iCs w:val="1"/>
                <w:color w:val="auto"/>
              </w:rPr>
              <w:t>systems)</w:t>
            </w:r>
          </w:p>
        </w:tc>
        <w:tc>
          <w:tcPr>
            <w:tcW w:w="124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Sale and sales-type lease arrangements</w:t>
            </w:r>
          </w:p>
        </w:tc>
        <w:tc>
          <w:tcPr>
            <w:tcW w:w="96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w:t>
            </w: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184,394</w:t>
            </w: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20,001</w:t>
            </w:r>
          </w:p>
        </w:tc>
        <w:tc>
          <w:tcPr>
            <w:tcW w:w="1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175,617</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18,312</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rPr>
                <w:sz w:val="20"/>
                <w:szCs w:val="20"/>
                <w:color w:val="auto"/>
              </w:rPr>
            </w:pPr>
            <w:r>
              <w:rPr>
                <w:rFonts w:ascii="Arial" w:cs="Arial" w:eastAsia="Arial" w:hAnsi="Arial"/>
                <w:sz w:val="14"/>
                <w:szCs w:val="14"/>
                <w:color w:val="auto"/>
              </w:rPr>
              <w:t>Hybrid JRSA</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79,008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121</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88,604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4,785</w:t>
            </w:r>
          </w:p>
        </w:tc>
        <w:tc>
          <w:tcPr>
            <w:tcW w:w="0" w:type="dxa"/>
            <w:vAlign w:val="bottom"/>
          </w:tcPr>
          <w:p>
            <w:pPr>
              <w:spacing w:after="0"/>
              <w:rPr>
                <w:sz w:val="1"/>
                <w:szCs w:val="1"/>
                <w:color w:val="auto"/>
              </w:rPr>
            </w:pPr>
          </w:p>
        </w:tc>
      </w:tr>
      <w:tr>
        <w:trPr>
          <w:trHeight w:val="176"/>
        </w:trPr>
        <w:tc>
          <w:tcPr>
            <w:tcW w:w="2920" w:type="dxa"/>
            <w:vAlign w:val="bottom"/>
            <w:tcBorders>
              <w:bottom w:val="single" w:sz="8" w:color="CFF0FC"/>
            </w:tcBorders>
            <w:gridSpan w:val="2"/>
            <w:shd w:val="clear" w:color="auto" w:fill="CFF0FC"/>
          </w:tcPr>
          <w:p>
            <w:pPr>
              <w:ind w:left="20"/>
              <w:spacing w:after="0" w:line="175" w:lineRule="exact"/>
              <w:rPr>
                <w:sz w:val="20"/>
                <w:szCs w:val="20"/>
                <w:color w:val="auto"/>
              </w:rPr>
            </w:pPr>
            <w:r>
              <w:rPr>
                <w:rFonts w:ascii="Arial" w:cs="Arial" w:eastAsia="Arial" w:hAnsi="Arial"/>
                <w:sz w:val="14"/>
                <w:szCs w:val="14"/>
                <w:color w:val="auto"/>
              </w:rPr>
              <w:t>Traditional JRSA</w:t>
            </w:r>
            <w:r>
              <w:rPr>
                <w:rFonts w:ascii="Arial" w:cs="Arial" w:eastAsia="Arial" w:hAnsi="Arial"/>
                <w:sz w:val="19"/>
                <w:szCs w:val="19"/>
                <w:color w:val="auto"/>
                <w:vertAlign w:val="superscript"/>
              </w:rPr>
              <w:t>(1)(2)</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425</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2,425</w:t>
            </w: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3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263,827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23,336</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373</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116</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264,421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27,597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-239395</wp:posOffset>
            </wp:positionV>
            <wp:extent cx="77470" cy="1454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-239395</wp:posOffset>
            </wp:positionV>
            <wp:extent cx="85725" cy="1454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-239395</wp:posOffset>
            </wp:positionV>
            <wp:extent cx="85725" cy="1454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-239395</wp:posOffset>
            </wp:positionV>
            <wp:extent cx="68580" cy="1454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-239395</wp:posOffset>
            </wp:positionV>
            <wp:extent cx="68580" cy="1454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-239395</wp:posOffset>
            </wp:positionV>
            <wp:extent cx="77470" cy="1454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-239395</wp:posOffset>
            </wp:positionV>
            <wp:extent cx="77470" cy="1454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55" w:lineRule="exact"/>
        <w:rPr>
          <w:sz w:val="20"/>
          <w:szCs w:val="20"/>
          <w:color w:val="auto"/>
        </w:rPr>
      </w:pPr>
    </w:p>
    <w:p>
      <w:pPr>
        <w:jc w:val="both"/>
        <w:ind w:left="380" w:hanging="372"/>
        <w:spacing w:after="0" w:line="263"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38 IMAX Systems (2022 — 41)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spacing w:after="0" w:line="143"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consideration owed under traditional joint revenue sharing arrangements is typically a percentage of contingent box office receipts rather than requiring the customer to pay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spacing w:after="0" w:line="146"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The backlog reflects the minimum number of commitments for IMAX Systems according to the signed contracts. The dollar value fluctuates depending on the number of new arrangements signed from year-to-year, which adds to backlog and the installation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165" w:lineRule="exact"/>
        <w:rPr>
          <w:sz w:val="20"/>
          <w:szCs w:val="20"/>
          <w:color w:val="auto"/>
        </w:rPr>
      </w:pPr>
    </w:p>
    <w:p>
      <w:pPr>
        <w:jc w:val="both"/>
        <w:ind w:firstLine="223"/>
        <w:spacing w:after="0" w:line="257"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47"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color w:val="auto"/>
        </w:rPr>
        <w:t>The following tables provide detailed information about the Company’s backlog by arrangement type and geographic location as of 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September 30, 2023</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IMAX System Backlog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Traditional</w:t>
            </w:r>
          </w:p>
        </w:tc>
        <w:tc>
          <w:tcPr>
            <w:tcW w:w="24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Hybrid</w:t>
            </w:r>
          </w:p>
        </w:tc>
        <w:tc>
          <w:tcPr>
            <w:tcW w:w="2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Sale / 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type Lease</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Greater China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Asia (excluding Greater China)</w:t>
            </w: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Western Europe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Rest of the World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International Total</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Worldwide Total</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459"/>
        </w:trPr>
        <w:tc>
          <w:tcPr>
            <w:tcW w:w="15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September 30, 2022</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IMAX System Backlog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Traditional</w:t>
            </w:r>
          </w:p>
        </w:tc>
        <w:tc>
          <w:tcPr>
            <w:tcW w:w="24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Hybrid</w:t>
            </w:r>
          </w:p>
        </w:tc>
        <w:tc>
          <w:tcPr>
            <w:tcW w:w="2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Sale / 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JRSA</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type Lease</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Domestic Total (United States &amp; Canada)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Greater China</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Asia (excluding Greater China)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Western Europe</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0"/>
              <w:spacing w:after="0"/>
              <w:rPr>
                <w:sz w:val="20"/>
                <w:szCs w:val="20"/>
                <w:color w:val="auto"/>
              </w:rPr>
            </w:pPr>
            <w:r>
              <w:rPr>
                <w:rFonts w:ascii="Arial" w:cs="Arial" w:eastAsia="Arial" w:hAnsi="Arial"/>
                <w:sz w:val="18"/>
                <w:szCs w:val="18"/>
                <w:color w:val="auto"/>
              </w:rPr>
              <w:t>Rest of the World</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International Total</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Worldwide Total</w:t>
            </w:r>
          </w:p>
        </w:tc>
        <w:tc>
          <w:tcPr>
            <w:tcW w:w="1160" w:type="dxa"/>
            <w:vAlign w:val="bottom"/>
          </w:tcPr>
          <w:p>
            <w:pPr>
              <w:jc w:val="right"/>
              <w:spacing w:after="0"/>
              <w:rPr>
                <w:sz w:val="20"/>
                <w:szCs w:val="20"/>
                <w:color w:val="auto"/>
              </w:rPr>
            </w:pPr>
            <w:r>
              <w:rPr>
                <w:rFonts w:ascii="Arial" w:cs="Arial" w:eastAsia="Arial" w:hAnsi="Arial"/>
                <w:sz w:val="18"/>
                <w:szCs w:val="18"/>
                <w:color w:val="auto"/>
              </w:rPr>
              <w:t>192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500" w:type="dxa"/>
            <w:vAlign w:val="bottom"/>
            <w:tcBorders>
              <w:bottom w:val="single" w:sz="8" w:color="auto"/>
            </w:tcBorders>
          </w:tcPr>
          <w:p>
            <w:pPr>
              <w:spacing w:after="0"/>
              <w:rPr>
                <w:sz w:val="10"/>
                <w:szCs w:val="10"/>
                <w:color w:val="auto"/>
              </w:rPr>
            </w:pPr>
          </w:p>
        </w:tc>
        <w:tc>
          <w:tcPr>
            <w:tcW w:w="4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-3496945</wp:posOffset>
            </wp:positionV>
            <wp:extent cx="77470" cy="1631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-3496945</wp:posOffset>
            </wp:positionV>
            <wp:extent cx="68580" cy="16319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-3496945</wp:posOffset>
            </wp:positionV>
            <wp:extent cx="68580" cy="1631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-3496945</wp:posOffset>
            </wp:positionV>
            <wp:extent cx="68580" cy="1631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-2562225</wp:posOffset>
            </wp:positionV>
            <wp:extent cx="77470" cy="1714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-2562225</wp:posOffset>
            </wp:positionV>
            <wp:extent cx="68580" cy="1714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-2562225</wp:posOffset>
            </wp:positionV>
            <wp:extent cx="68580" cy="1714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-2562225</wp:posOffset>
            </wp:positionV>
            <wp:extent cx="68580" cy="1714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-2236470</wp:posOffset>
            </wp:positionV>
            <wp:extent cx="2674620" cy="8661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74620" cy="86614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-281940</wp:posOffset>
            </wp:positionV>
            <wp:extent cx="77470" cy="1885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-281940</wp:posOffset>
            </wp:positionV>
            <wp:extent cx="68580" cy="1885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-281940</wp:posOffset>
            </wp:positionV>
            <wp:extent cx="68580" cy="1885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-281940</wp:posOffset>
            </wp:positionV>
            <wp:extent cx="68580" cy="1885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334 IMAX Laser Systems (250 new and 84 upgrades of existing locations).</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317 IMAX Laser Systems (201 new and 116 upgrades of existing locations).</w:t>
      </w:r>
    </w:p>
    <w:p>
      <w:pPr>
        <w:spacing w:after="0" w:line="18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Approximately 37% of IMAX System arrangements in backlog as of September 30, 2023 are scheduled to be installed in international markets excluding Greater China (2022 — 29%). The Company's backlog in Greater China represents 40% of its total current backlog including upgrades in system type (2022 — 43%).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Signings and Installations</w:t>
      </w:r>
    </w:p>
    <w:p>
      <w:pPr>
        <w:spacing w:after="0" w:line="198"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The following tables provide detailed information about IMAX System signings and installations for the three and nine months ended September 30, 2023 and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220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For the Three Months Ended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6"/>
                <w:szCs w:val="16"/>
                <w:color w:val="auto"/>
              </w:rPr>
            </w:pPr>
          </w:p>
        </w:tc>
      </w:tr>
      <w:tr>
        <w:trPr>
          <w:trHeight w:val="228"/>
        </w:trPr>
        <w:tc>
          <w:tcPr>
            <w:tcW w:w="60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780" w:type="dxa"/>
            <w:vAlign w:val="bottom"/>
            <w:gridSpan w:val="2"/>
          </w:tcPr>
          <w:p>
            <w:pPr>
              <w:ind w:left="6460"/>
              <w:spacing w:after="0"/>
              <w:rPr>
                <w:sz w:val="20"/>
                <w:szCs w:val="20"/>
                <w:color w:val="auto"/>
              </w:rPr>
            </w:pPr>
            <w:r>
              <w:rPr>
                <w:rFonts w:ascii="Arial" w:cs="Arial" w:eastAsia="Arial" w:hAnsi="Arial"/>
                <w:sz w:val="14"/>
                <w:szCs w:val="14"/>
                <w:b w:val="1"/>
                <w:bCs w:val="1"/>
                <w:color w:val="auto"/>
                <w:w w:val="96"/>
              </w:rPr>
              <w:t>2023</w:t>
            </w:r>
          </w:p>
        </w:tc>
        <w:tc>
          <w:tcPr>
            <w:tcW w:w="1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30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8"/>
                <w:szCs w:val="18"/>
                <w:color w:val="auto"/>
              </w:rPr>
            </w:pPr>
          </w:p>
        </w:tc>
      </w:tr>
      <w:tr>
        <w:trPr>
          <w:trHeight w:val="237"/>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System Signings:</w:t>
            </w:r>
          </w:p>
        </w:tc>
        <w:tc>
          <w:tcPr>
            <w:tcW w:w="7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New IMAX Systems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 and sales-type lease arrangements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Hybrid JRSA</w:t>
            </w:r>
          </w:p>
        </w:tc>
        <w:tc>
          <w:tcPr>
            <w:tcW w:w="146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3"/>
        </w:trPr>
        <w:tc>
          <w:tcPr>
            <w:tcW w:w="6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Traditional JRSA</w:t>
            </w:r>
          </w:p>
        </w:tc>
        <w:tc>
          <w:tcPr>
            <w:tcW w:w="7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new IMAX Systems</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Upgrades of IMAX Systems</w:t>
            </w:r>
          </w:p>
        </w:tc>
        <w:tc>
          <w:tcPr>
            <w:tcW w:w="74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Sale and sales-type lease arrangements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3"/>
        </w:trPr>
        <w:tc>
          <w:tcPr>
            <w:tcW w:w="6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Traditional JRSA</w:t>
            </w:r>
          </w:p>
        </w:tc>
        <w:tc>
          <w:tcPr>
            <w:tcW w:w="7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upgrades of IMAX Systems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76"/>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IMAX System signings</w:t>
            </w: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74"/>
        </w:trPr>
        <w:tc>
          <w:tcPr>
            <w:tcW w:w="6040" w:type="dxa"/>
            <w:vAlign w:val="bottom"/>
          </w:tcPr>
          <w:p>
            <w:pPr>
              <w:spacing w:after="0"/>
              <w:rPr>
                <w:sz w:val="24"/>
                <w:szCs w:val="24"/>
                <w:color w:val="auto"/>
              </w:rPr>
            </w:pPr>
          </w:p>
        </w:tc>
        <w:tc>
          <w:tcPr>
            <w:tcW w:w="220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3"/>
              </w:rPr>
              <w:t>For the 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24"/>
                <w:szCs w:val="24"/>
                <w:color w:val="auto"/>
              </w:rPr>
            </w:pPr>
          </w:p>
        </w:tc>
      </w:tr>
      <w:tr>
        <w:trPr>
          <w:trHeight w:val="228"/>
        </w:trPr>
        <w:tc>
          <w:tcPr>
            <w:tcW w:w="60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bottom w:val="single" w:sz="8" w:color="auto"/>
            </w:tcBorders>
            <w:gridSpan w:val="3"/>
          </w:tcPr>
          <w:p>
            <w:pPr>
              <w:jc w:val="center"/>
              <w:ind w:left="637"/>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780" w:type="dxa"/>
            <w:vAlign w:val="bottom"/>
            <w:gridSpan w:val="2"/>
          </w:tcPr>
          <w:p>
            <w:pPr>
              <w:ind w:left="6460"/>
              <w:spacing w:after="0"/>
              <w:rPr>
                <w:sz w:val="20"/>
                <w:szCs w:val="20"/>
                <w:color w:val="auto"/>
              </w:rPr>
            </w:pPr>
            <w:r>
              <w:rPr>
                <w:rFonts w:ascii="Arial" w:cs="Arial" w:eastAsia="Arial" w:hAnsi="Arial"/>
                <w:sz w:val="14"/>
                <w:szCs w:val="14"/>
                <w:b w:val="1"/>
                <w:bCs w:val="1"/>
                <w:color w:val="auto"/>
                <w:w w:val="96"/>
              </w:rPr>
              <w:t>2023</w:t>
            </w:r>
          </w:p>
        </w:tc>
        <w:tc>
          <w:tcPr>
            <w:tcW w:w="1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130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8"/>
                <w:szCs w:val="18"/>
                <w:color w:val="auto"/>
              </w:rPr>
            </w:pPr>
          </w:p>
        </w:tc>
      </w:tr>
      <w:tr>
        <w:trPr>
          <w:trHeight w:val="237"/>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System Installations:</w:t>
            </w:r>
          </w:p>
        </w:tc>
        <w:tc>
          <w:tcPr>
            <w:tcW w:w="7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New IMAX Systems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7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 and sales-type lease arrangements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21"/>
                <w:szCs w:val="21"/>
                <w:color w:val="auto"/>
              </w:rPr>
            </w:pPr>
          </w:p>
        </w:tc>
      </w:tr>
      <w:tr>
        <w:trPr>
          <w:trHeight w:val="237"/>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Hybrid JRSA</w:t>
            </w:r>
          </w:p>
        </w:tc>
        <w:tc>
          <w:tcPr>
            <w:tcW w:w="1460" w:type="dxa"/>
            <w:vAlign w:val="bottom"/>
            <w:gridSpan w:val="3"/>
          </w:tcPr>
          <w:p>
            <w:pPr>
              <w:jc w:val="right"/>
              <w:ind w:right="11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43"/>
        </w:trPr>
        <w:tc>
          <w:tcPr>
            <w:tcW w:w="6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Traditional JRSA</w:t>
            </w:r>
          </w:p>
        </w:tc>
        <w:tc>
          <w:tcPr>
            <w:tcW w:w="7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new IMAX Systems</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r>
      <w:tr>
        <w:trPr>
          <w:trHeight w:val="24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Upgrades of IMAX Systems</w:t>
            </w:r>
          </w:p>
        </w:tc>
        <w:tc>
          <w:tcPr>
            <w:tcW w:w="74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780" w:type="dxa"/>
            <w:vAlign w:val="bottom"/>
            <w:gridSpan w:val="2"/>
          </w:tcPr>
          <w:p>
            <w:pPr>
              <w:ind w:left="120"/>
              <w:spacing w:after="0"/>
              <w:rPr>
                <w:sz w:val="20"/>
                <w:szCs w:val="20"/>
                <w:color w:val="auto"/>
              </w:rPr>
            </w:pPr>
            <w:r>
              <w:rPr>
                <w:rFonts w:ascii="Arial" w:cs="Arial" w:eastAsia="Arial" w:hAnsi="Arial"/>
                <w:sz w:val="18"/>
                <w:szCs w:val="18"/>
                <w:color w:val="auto"/>
              </w:rPr>
              <w:t>Sale and sales-type lease arrangements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3"/>
        </w:trPr>
        <w:tc>
          <w:tcPr>
            <w:tcW w:w="6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Traditional JRSA</w:t>
            </w:r>
          </w:p>
        </w:tc>
        <w:tc>
          <w:tcPr>
            <w:tcW w:w="7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780" w:type="dxa"/>
            <w:vAlign w:val="bottom"/>
            <w:gridSpan w:val="2"/>
          </w:tcPr>
          <w:p>
            <w:pPr>
              <w:ind w:left="200"/>
              <w:spacing w:after="0"/>
              <w:rPr>
                <w:sz w:val="20"/>
                <w:szCs w:val="20"/>
                <w:color w:val="auto"/>
              </w:rPr>
            </w:pPr>
            <w:r>
              <w:rPr>
                <w:rFonts w:ascii="Arial" w:cs="Arial" w:eastAsia="Arial" w:hAnsi="Arial"/>
                <w:sz w:val="18"/>
                <w:szCs w:val="18"/>
                <w:color w:val="auto"/>
              </w:rPr>
              <w:t>Total upgrades of IMAX Systems</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77"/>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IMAX System installations</w:t>
            </w: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-3350895</wp:posOffset>
            </wp:positionV>
            <wp:extent cx="76835" cy="1714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-3350895</wp:posOffset>
            </wp:positionV>
            <wp:extent cx="68580" cy="1714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-3350895</wp:posOffset>
            </wp:positionV>
            <wp:extent cx="68580" cy="171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1714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-2716530</wp:posOffset>
            </wp:positionV>
            <wp:extent cx="76835" cy="1714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-2716530</wp:posOffset>
            </wp:positionV>
            <wp:extent cx="6858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-2716530</wp:posOffset>
            </wp:positionV>
            <wp:extent cx="68580" cy="1714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1714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-2391410</wp:posOffset>
            </wp:positionV>
            <wp:extent cx="2588895" cy="6343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588895" cy="63436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-985520</wp:posOffset>
            </wp:positionV>
            <wp:extent cx="76835" cy="171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-985520</wp:posOffset>
            </wp:positionV>
            <wp:extent cx="68580" cy="1714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-985520</wp:posOffset>
            </wp:positionV>
            <wp:extent cx="68580" cy="1714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714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-351155</wp:posOffset>
            </wp:positionV>
            <wp:extent cx="76835"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-351155</wp:posOffset>
            </wp:positionV>
            <wp:extent cx="68580" cy="1714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-351155</wp:posOffset>
            </wp:positionV>
            <wp:extent cx="6858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768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768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firstLine="224"/>
        <w:spacing w:after="0" w:line="290" w:lineRule="auto"/>
        <w:rPr>
          <w:sz w:val="20"/>
          <w:szCs w:val="20"/>
          <w:color w:val="auto"/>
        </w:rPr>
      </w:pPr>
      <w:r>
        <w:rPr>
          <w:rFonts w:ascii="Arial" w:cs="Arial" w:eastAsia="Arial" w:hAnsi="Arial"/>
          <w:sz w:val="16"/>
          <w:szCs w:val="16"/>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other events to be exhibited across the IMAX network; (ii) the signing, installation, and financial performance of IMAX System arrangements, particularly those involving laser-based projection systems; (iii) the success of the Company’s investments in business evolution and brand extensions into streaming and consumer technology, including the integration of SSIMWAVE and the distribution of live events to the IMAX network,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Arial" w:cs="Arial" w:eastAsia="Arial" w:hAnsi="Arial"/>
          <w:sz w:val="16"/>
          <w:szCs w:val="16"/>
          <w:i w:val="1"/>
          <w:iCs w:val="1"/>
          <w:color w:val="auto"/>
        </w:rPr>
        <w:t>The</w:t>
      </w:r>
      <w:r>
        <w:rPr>
          <w:rFonts w:ascii="Arial" w:cs="Arial" w:eastAsia="Arial" w:hAnsi="Arial"/>
          <w:sz w:val="16"/>
          <w:szCs w:val="16"/>
          <w:color w:val="auto"/>
        </w:rPr>
        <w:t xml:space="preserve"> IMAX </w:t>
      </w:r>
      <w:r>
        <w:rPr>
          <w:rFonts w:ascii="Arial" w:cs="Arial" w:eastAsia="Arial" w:hAnsi="Arial"/>
          <w:sz w:val="16"/>
          <w:szCs w:val="16"/>
          <w:i w:val="1"/>
          <w:iCs w:val="1"/>
          <w:color w:val="auto"/>
        </w:rPr>
        <w:t>Experience</w:t>
      </w:r>
      <w:r>
        <w:rPr>
          <w:rFonts w:ascii="Arial" w:cs="Arial" w:eastAsia="Arial" w:hAnsi="Arial"/>
          <w:sz w:val="16"/>
          <w:szCs w:val="16"/>
          <w:color w:val="auto"/>
        </w:rPr>
        <w:t xml:space="preserve"> versus other out-of-home experiences; (vii) the overall execution, reliability, and consumer acceptance of </w:t>
      </w:r>
      <w:r>
        <w:rPr>
          <w:rFonts w:ascii="Arial" w:cs="Arial" w:eastAsia="Arial" w:hAnsi="Arial"/>
          <w:sz w:val="16"/>
          <w:szCs w:val="16"/>
          <w:i w:val="1"/>
          <w:iCs w:val="1"/>
          <w:color w:val="auto"/>
        </w:rPr>
        <w:t>The</w:t>
      </w:r>
      <w:r>
        <w:rPr>
          <w:rFonts w:ascii="Arial" w:cs="Arial" w:eastAsia="Arial" w:hAnsi="Arial"/>
          <w:sz w:val="16"/>
          <w:szCs w:val="16"/>
          <w:color w:val="auto"/>
        </w:rPr>
        <w:t xml:space="preserve"> IMAX </w:t>
      </w:r>
      <w:r>
        <w:rPr>
          <w:rFonts w:ascii="Arial" w:cs="Arial" w:eastAsia="Arial" w:hAnsi="Arial"/>
          <w:sz w:val="16"/>
          <w:szCs w:val="16"/>
          <w:i w:val="1"/>
          <w:iCs w:val="1"/>
          <w:color w:val="auto"/>
        </w:rPr>
        <w:t>Experience</w:t>
      </w:r>
      <w:r>
        <w:rPr>
          <w:rFonts w:ascii="Arial" w:cs="Arial" w:eastAsia="Arial" w:hAnsi="Arial"/>
          <w:sz w:val="16"/>
          <w:szCs w:val="16"/>
          <w:color w:val="auto"/>
        </w:rPr>
        <w:t>; and (viii) short- and long-term cash flow projections.</w:t>
      </w:r>
    </w:p>
    <w:p>
      <w:pPr>
        <w:spacing w:after="0" w:line="12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CEO is the Company’s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46"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The Company has two reportable segments: (i) Content Solutions, which principally includes content enhancement and distribution services, previously included within the IMAX DMR, Film Distribution and Film Post-Production segments, and (ii) Technology Products and Services, which principally includes the sale, lease, and maintenance of IMAX Systems, previously included within the JRSA, IMAX Systems, IMAX Maintenance, and Other Theater Business segments. The Company’s activities that do not meet the criteria to be considered a reportable segment are reported within All Other. Prior period comparatives have been revised to conform with the current period presentation. (See Note 13 of Notes to Condensed Consolidated Financial Statements in Part I, Item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2023 and 2022</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and Adjusted Net Income (Loss) Attributable to Common Shareholders</w:t>
      </w:r>
    </w:p>
    <w:p>
      <w:pPr>
        <w:spacing w:after="0" w:line="185" w:lineRule="exact"/>
        <w:rPr>
          <w:sz w:val="20"/>
          <w:szCs w:val="20"/>
          <w:color w:val="auto"/>
        </w:rPr>
      </w:pPr>
    </w:p>
    <w:p>
      <w:pPr>
        <w:jc w:val="both"/>
        <w:ind w:firstLine="224"/>
        <w:spacing w:after="0" w:line="213" w:lineRule="auto"/>
        <w:rPr>
          <w:sz w:val="20"/>
          <w:szCs w:val="20"/>
          <w:color w:val="auto"/>
        </w:rPr>
      </w:pPr>
      <w:r>
        <w:rPr>
          <w:rFonts w:ascii="Arial" w:cs="Arial" w:eastAsia="Arial" w:hAnsi="Arial"/>
          <w:sz w:val="18"/>
          <w:szCs w:val="18"/>
          <w:color w:val="auto"/>
        </w:rPr>
        <w:t>The following table presents the Company’s net income (loss) attributable to common shareholders and the associated per diluted share amounts, as well as adjusted net income (loss) attributable to common shareholders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adjusted net income (loss) attributable to common shareholders per diluted share</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for the three months ended September 30, 2023 and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15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89"/>
              </w:rPr>
              <w:t>2023</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33"/>
        </w:trPr>
        <w:tc>
          <w:tcPr>
            <w:tcW w:w="15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Per Diluted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16"/>
              <w:spacing w:after="0" w:line="133" w:lineRule="exact"/>
              <w:rPr>
                <w:sz w:val="20"/>
                <w:szCs w:val="20"/>
                <w:color w:val="auto"/>
              </w:rPr>
            </w:pPr>
            <w:r>
              <w:rPr>
                <w:rFonts w:ascii="Arial" w:cs="Arial" w:eastAsia="Arial" w:hAnsi="Arial"/>
                <w:sz w:val="14"/>
                <w:szCs w:val="14"/>
                <w:b w:val="1"/>
                <w:bCs w:val="1"/>
                <w:color w:val="auto"/>
              </w:rPr>
              <w:t>Per Diluted</w:t>
            </w:r>
          </w:p>
        </w:tc>
        <w:tc>
          <w:tcPr>
            <w:tcW w:w="100" w:type="dxa"/>
            <w:vAlign w:val="bottom"/>
          </w:tcPr>
          <w:p>
            <w:pPr>
              <w:spacing w:after="0"/>
              <w:rPr>
                <w:sz w:val="11"/>
                <w:szCs w:val="11"/>
                <w:color w:val="auto"/>
              </w:rPr>
            </w:pPr>
          </w:p>
        </w:tc>
      </w:tr>
      <w:tr>
        <w:trPr>
          <w:trHeight w:val="185"/>
        </w:trPr>
        <w:tc>
          <w:tcPr>
            <w:tcW w:w="6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 except per diluted share amounts)</w:t>
            </w:r>
          </w:p>
        </w:tc>
        <w:tc>
          <w:tcPr>
            <w:tcW w:w="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Loss</w:t>
            </w:r>
          </w:p>
        </w:tc>
        <w:tc>
          <w:tcPr>
            <w:tcW w:w="180" w:type="dxa"/>
            <w:vAlign w:val="bottom"/>
          </w:tcPr>
          <w:p>
            <w:pPr>
              <w:spacing w:after="0"/>
              <w:rPr>
                <w:sz w:val="16"/>
                <w:szCs w:val="16"/>
                <w:color w:val="auto"/>
              </w:rPr>
            </w:pPr>
          </w:p>
        </w:tc>
        <w:tc>
          <w:tcPr>
            <w:tcW w:w="7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Share</w:t>
            </w:r>
          </w:p>
        </w:tc>
      </w:tr>
      <w:tr>
        <w:trPr>
          <w:trHeight w:val="270"/>
        </w:trPr>
        <w:tc>
          <w:tcPr>
            <w:tcW w:w="6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11,990</w:t>
            </w:r>
          </w:p>
        </w:tc>
        <w:tc>
          <w:tcPr>
            <w:tcW w:w="3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3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0"/>
              </w:rPr>
              <w:t>(8,953</w:t>
            </w:r>
          </w:p>
        </w:tc>
        <w:tc>
          <w:tcPr>
            <w:tcW w:w="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66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Adjusted net income (loss) attributable to common shareholders</w:t>
            </w:r>
            <w:r>
              <w:rPr>
                <w:rFonts w:ascii="Arial" w:cs="Arial" w:eastAsia="Arial" w:hAnsi="Arial"/>
                <w:sz w:val="24"/>
                <w:szCs w:val="24"/>
                <w:color w:val="auto"/>
                <w:vertAlign w:val="superscript"/>
              </w:rPr>
              <w:t>(1)</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19,410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(3,027 )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(0.05 )</w:t>
            </w:r>
          </w:p>
        </w:tc>
      </w:tr>
      <w:tr>
        <w:trPr>
          <w:trHeight w:val="20"/>
        </w:trPr>
        <w:tc>
          <w:tcPr>
            <w:tcW w:w="15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5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-299720</wp:posOffset>
            </wp:positionV>
            <wp:extent cx="2331720" cy="2057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331720" cy="205740"/>
                    </a:xfrm>
                    <a:prstGeom prst="rect">
                      <a:avLst/>
                    </a:prstGeom>
                    <a:noFill/>
                  </pic:spPr>
                </pic:pic>
              </a:graphicData>
            </a:graphic>
          </wp:anchor>
        </w:drawing>
      </w:r>
    </w:p>
    <w:p>
      <w:pPr>
        <w:spacing w:after="0" w:line="6" w:lineRule="exact"/>
        <w:rPr>
          <w:sz w:val="20"/>
          <w:szCs w:val="20"/>
          <w:color w:val="auto"/>
        </w:rPr>
      </w:pPr>
    </w:p>
    <w:p>
      <w:pPr>
        <w:ind w:left="380" w:right="20" w:hanging="372"/>
        <w:spacing w:after="0" w:line="277" w:lineRule="auto"/>
        <w:tabs>
          <w:tab w:leader="none" w:pos="3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“Non-GAAP Financial Measures” for a description of this non-GAAP financial measure and a reconciliation to the most comparable GAAP amount.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ind w:left="24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8" w:lineRule="exact"/>
        <w:rPr>
          <w:sz w:val="20"/>
          <w:szCs w:val="20"/>
          <w:color w:val="auto"/>
        </w:rPr>
      </w:pPr>
    </w:p>
    <w:p>
      <w:pPr>
        <w:jc w:val="both"/>
        <w:ind w:right="60" w:firstLine="224"/>
        <w:spacing w:after="0" w:line="259" w:lineRule="auto"/>
        <w:rPr>
          <w:sz w:val="20"/>
          <w:szCs w:val="20"/>
          <w:color w:val="auto"/>
        </w:rPr>
      </w:pPr>
      <w:r>
        <w:rPr>
          <w:rFonts w:ascii="Arial" w:cs="Arial" w:eastAsia="Arial" w:hAnsi="Arial"/>
          <w:sz w:val="18"/>
          <w:szCs w:val="18"/>
          <w:color w:val="auto"/>
        </w:rPr>
        <w:t xml:space="preserve">During the three months ended September 30, 2023, the Company’s revenues and gross margin increased by $35.1 million, or 51%, and $31.0 million, or 98%, respectively, when compared to same period in 2022 principally due to the strength of IMAX GBO performance through the distribution of films such as </w:t>
      </w:r>
      <w:r>
        <w:rPr>
          <w:rFonts w:ascii="Arial" w:cs="Arial" w:eastAsia="Arial" w:hAnsi="Arial"/>
          <w:sz w:val="18"/>
          <w:szCs w:val="18"/>
          <w:i w:val="1"/>
          <w:iCs w:val="1"/>
          <w:color w:val="auto"/>
        </w:rPr>
        <w:t>Oppenheimer, Mission: Impossible - Dead Reckoning Part One,</w:t>
      </w:r>
      <w:r>
        <w:rPr>
          <w:rFonts w:ascii="Arial" w:cs="Arial" w:eastAsia="Arial" w:hAnsi="Arial"/>
          <w:sz w:val="18"/>
          <w:szCs w:val="18"/>
          <w:color w:val="auto"/>
        </w:rPr>
        <w:t xml:space="preserve"> and </w:t>
      </w:r>
      <w:r>
        <w:rPr>
          <w:rFonts w:ascii="Arial" w:cs="Arial" w:eastAsia="Arial" w:hAnsi="Arial"/>
          <w:sz w:val="18"/>
          <w:szCs w:val="18"/>
          <w:i w:val="1"/>
          <w:iCs w:val="1"/>
          <w:color w:val="auto"/>
        </w:rPr>
        <w:t>Creation of the Gods I: Kingdom of Storms</w:t>
      </w:r>
      <w:r>
        <w:rPr>
          <w:rFonts w:ascii="Arial" w:cs="Arial" w:eastAsia="Arial" w:hAnsi="Arial"/>
          <w:sz w:val="18"/>
          <w:szCs w:val="18"/>
          <w:color w:val="auto"/>
        </w:rPr>
        <w:t>, coupled with an increase in system sales in the current period</w:t>
      </w:r>
      <w:r>
        <w:rPr>
          <w:rFonts w:ascii="Arial" w:cs="Arial" w:eastAsia="Arial" w:hAnsi="Arial"/>
          <w:sz w:val="18"/>
          <w:szCs w:val="18"/>
          <w:i w:val="1"/>
          <w:iCs w:val="1"/>
          <w:color w:val="auto"/>
        </w:rPr>
        <w: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the Company’s revenue, gross margin and gross margin percentage by reportable segment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Revenue</w:t>
            </w: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Gross Margin %</w:t>
            </w:r>
          </w:p>
        </w:tc>
        <w:tc>
          <w:tcPr>
            <w:tcW w:w="160" w:type="dxa"/>
            <w:vAlign w:val="bottom"/>
          </w:tcPr>
          <w:p>
            <w:pPr>
              <w:spacing w:after="0"/>
              <w:rPr>
                <w:sz w:val="16"/>
                <w:szCs w:val="16"/>
                <w:color w:val="auto"/>
              </w:rPr>
            </w:pPr>
          </w:p>
        </w:tc>
      </w:tr>
      <w:tr>
        <w:trPr>
          <w:trHeight w:val="209"/>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00" w:type="dxa"/>
            <w:vAlign w:val="bottom"/>
            <w:gridSpan w:val="2"/>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r>
      <w:tr>
        <w:trPr>
          <w:trHeight w:val="466"/>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Content Solutions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44,214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21,967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9,140</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60 %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42 %</w:t>
            </w:r>
          </w:p>
        </w:tc>
      </w:tr>
      <w:tr>
        <w:trPr>
          <w:trHeight w:val="25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Technology Products and Services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56,169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45,542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21,752</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60 %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37"/>
        </w:trPr>
        <w:tc>
          <w:tcPr>
            <w:tcW w:w="4680" w:type="dxa"/>
            <w:vAlign w:val="bottom"/>
            <w:tcBorders>
              <w:top w:val="single" w:sz="8" w:color="CFF0FC"/>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Sub-total for reportable segments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100,383</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67,509</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60,168</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8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73 %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37"/>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103,896</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68,755</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62,715</w:t>
            </w: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31,701</w:t>
            </w:r>
          </w:p>
        </w:tc>
        <w:tc>
          <w:tcPr>
            <w:tcW w:w="200" w:type="dxa"/>
            <w:vAlign w:val="bottom"/>
            <w:gridSpan w:val="2"/>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-629285</wp:posOffset>
            </wp:positionV>
            <wp:extent cx="7145020" cy="527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5020" cy="527050"/>
                    </a:xfrm>
                    <a:prstGeom prst="rect">
                      <a:avLst/>
                    </a:prstGeom>
                    <a:noFill/>
                  </pic:spPr>
                </pic:pic>
              </a:graphicData>
            </a:graphic>
          </wp:anchor>
        </w:drawing>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All Other includes the results from Streaming and Consumer Technology and other ancillary activities.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Content Solutions</w:t>
      </w:r>
    </w:p>
    <w:p>
      <w:pPr>
        <w:spacing w:after="0" w:line="198" w:lineRule="exact"/>
        <w:rPr>
          <w:sz w:val="20"/>
          <w:szCs w:val="20"/>
          <w:color w:val="auto"/>
        </w:rPr>
      </w:pPr>
    </w:p>
    <w:p>
      <w:pPr>
        <w:jc w:val="both"/>
        <w:ind w:right="60" w:firstLine="224"/>
        <w:spacing w:after="0" w:line="259" w:lineRule="auto"/>
        <w:rPr>
          <w:sz w:val="20"/>
          <w:szCs w:val="20"/>
          <w:color w:val="auto"/>
        </w:rPr>
      </w:pPr>
      <w:r>
        <w:rPr>
          <w:rFonts w:ascii="Arial" w:cs="Arial" w:eastAsia="Arial" w:hAnsi="Arial"/>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146" w:lineRule="exact"/>
        <w:rPr>
          <w:sz w:val="20"/>
          <w:szCs w:val="20"/>
          <w:color w:val="auto"/>
        </w:rPr>
      </w:pPr>
    </w:p>
    <w:p>
      <w:pPr>
        <w:jc w:val="both"/>
        <w:ind w:right="60" w:firstLine="224"/>
        <w:spacing w:after="0" w:line="273" w:lineRule="auto"/>
        <w:rPr>
          <w:sz w:val="20"/>
          <w:szCs w:val="20"/>
          <w:color w:val="auto"/>
        </w:rPr>
      </w:pPr>
      <w:r>
        <w:rPr>
          <w:rFonts w:ascii="Arial" w:cs="Arial" w:eastAsia="Arial" w:hAnsi="Arial"/>
          <w:sz w:val="17"/>
          <w:szCs w:val="17"/>
          <w:color w:val="auto"/>
        </w:rPr>
        <w:t xml:space="preserve">For the three months ended September 30, 2023, Content Solutions segment revenues and gross margin increased by $22.2 million, or 101%, and $17.3 million, or 189%, respectively, when compared to the same period in 2022 principally due to the strong performance of the films distributed through the IMAX network. In the third quarter of 2023, box office generated by IMAX films totaled $347.1 million, a $170.0 million, or 96%, increase versus the prior year comparative period of $177.1 million. In the third quarter of 2023, box office was generated by the exhibition of 41 films (34 new films and 7 carryovers) including </w:t>
      </w:r>
      <w:r>
        <w:rPr>
          <w:rFonts w:ascii="Arial" w:cs="Arial" w:eastAsia="Arial" w:hAnsi="Arial"/>
          <w:sz w:val="17"/>
          <w:szCs w:val="17"/>
          <w:i w:val="1"/>
          <w:iCs w:val="1"/>
          <w:color w:val="auto"/>
        </w:rPr>
        <w:t>Oppenheimer</w:t>
      </w:r>
      <w:r>
        <w:rPr>
          <w:rFonts w:ascii="Arial" w:cs="Arial" w:eastAsia="Arial" w:hAnsi="Arial"/>
          <w:sz w:val="17"/>
          <w:szCs w:val="17"/>
          <w:color w:val="auto"/>
        </w:rPr>
        <w:t>, which generated box office of over $180.4 million, and other content. In the third quarter of 2022, box office was generated by the exhibition of 36 films (27 new films, 4 carryovers and 5 re-releases) and other content.</w:t>
      </w:r>
    </w:p>
    <w:p>
      <w:pPr>
        <w:spacing w:after="0" w:line="137" w:lineRule="exact"/>
        <w:rPr>
          <w:sz w:val="20"/>
          <w:szCs w:val="20"/>
          <w:color w:val="auto"/>
        </w:rPr>
      </w:pPr>
    </w:p>
    <w:p>
      <w:pPr>
        <w:jc w:val="both"/>
        <w:ind w:right="60" w:firstLine="224"/>
        <w:spacing w:after="0" w:line="255" w:lineRule="auto"/>
        <w:rPr>
          <w:sz w:val="20"/>
          <w:szCs w:val="20"/>
          <w:color w:val="auto"/>
        </w:rPr>
      </w:pPr>
      <w:r>
        <w:rPr>
          <w:rFonts w:ascii="Arial" w:cs="Arial" w:eastAsia="Arial" w:hAnsi="Arial"/>
          <w:sz w:val="18"/>
          <w:szCs w:val="18"/>
          <w:color w:val="auto"/>
        </w:rPr>
        <w:t>In addition to the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live events and documentary content during the period. For the three months ended September 30, 2023, marketing expenses for films were $2.4 million which was consistent with the prior year comparative period. For the three months ended September 30, 2023, gross margin percent was 60% compared to 42% in the prior year period with the increase being driven by the operating leverage that comes from higher levels of box office given relatively fixed film costs.</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7" w:right="279" w:bottom="1440" w:gutter="0" w:footer="0" w:header="0"/>
        </w:sectPr>
      </w:pPr>
    </w:p>
    <w:bookmarkStart w:id="58" w:name="page59"/>
    <w:bookmarkEnd w:id="58"/>
    <w:p>
      <w:pPr>
        <w:ind w:left="100"/>
        <w:spacing w:after="0"/>
        <w:rPr>
          <w:sz w:val="20"/>
          <w:szCs w:val="20"/>
          <w:color w:val="auto"/>
        </w:rPr>
      </w:pPr>
      <w:r>
        <w:rPr>
          <w:rFonts w:ascii="Arial" w:cs="Arial" w:eastAsia="Arial" w:hAnsi="Arial"/>
          <w:sz w:val="18"/>
          <w:szCs w:val="18"/>
          <w:b w:val="1"/>
          <w:bCs w:val="1"/>
          <w:i w:val="1"/>
          <w:iCs w:val="1"/>
          <w:color w:val="auto"/>
        </w:rPr>
        <w:t>Technology Products and Services</w:t>
      </w:r>
    </w:p>
    <w:p>
      <w:pPr>
        <w:spacing w:after="0" w:line="198"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newly built theaters or multiplexes, which make up a large portion of the Company’s system backlog, depends primarily on the timing of the construction of those projects, which is not under the Company’s control.</w:t>
      </w:r>
    </w:p>
    <w:p>
      <w:pPr>
        <w:spacing w:after="0" w:line="124"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For the three months ended September 30, 2023, Technology Products and Services segment revenue and gross margin increased by $10.6 million, or 23%, and $12.0 million, or 55%, respectively, when compared to the same period in the prior year. The higher level of revenue is driven in part by an increase of $1.8 million in system sales revenue as a result of six additional IMAX System installations, including upgrades.</w:t>
      </w:r>
    </w:p>
    <w:p>
      <w:pPr>
        <w:spacing w:after="0" w:line="12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Also contributing to the higher level of revenue was an increase of $10.5 million in rental revenues, as a result of GBO from joint revenue sharing arrangements which increased by $68.5 million or 75% in the third quarter of 2023 when compared to the prior year comparative period, from $125.2 million to $159.5 million.</w:t>
      </w:r>
    </w:p>
    <w:p>
      <w:pPr>
        <w:spacing w:after="0" w:line="157"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The Technology Products and Services segment gross margin increase during the three months ended September 30, 2023 is primarily due to a higher number of IMAX System installations and higher rental revenues from the Company’s joint revenue sharing arrangements, driven by the stronger box office performance which led to incremental profit flow-through.</w:t>
      </w:r>
    </w:p>
    <w:p>
      <w:pPr>
        <w:spacing w:after="0" w:line="143" w:lineRule="exact"/>
        <w:rPr>
          <w:sz w:val="20"/>
          <w:szCs w:val="20"/>
          <w:color w:val="auto"/>
        </w:rPr>
      </w:pPr>
    </w:p>
    <w:p>
      <w:pPr>
        <w:jc w:val="both"/>
        <w:ind w:firstLine="224"/>
        <w:spacing w:after="0" w:line="308" w:lineRule="auto"/>
        <w:rPr>
          <w:sz w:val="20"/>
          <w:szCs w:val="20"/>
          <w:color w:val="auto"/>
        </w:rPr>
      </w:pPr>
      <w:r>
        <w:rPr>
          <w:rFonts w:ascii="Arial" w:cs="Arial" w:eastAsia="Arial" w:hAnsi="Arial"/>
          <w:sz w:val="17"/>
          <w:szCs w:val="17"/>
          <w:color w:val="auto"/>
        </w:rPr>
        <w:t>The following table provides information about IMAX Systems installed and the associated revenue recognized at that time, except for traditional joint revenue sharing arrangements as revenue is recognized over the lease term, during the three months ended September 30,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5"/>
              </w:rPr>
              <w:t>For the Three Months Ended September 30,</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15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3"/>
        </w:trPr>
        <w:tc>
          <w:tcPr>
            <w:tcW w:w="15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260" w:type="dxa"/>
            <w:vAlign w:val="bottom"/>
            <w:tcBorders>
              <w:top w:val="single" w:sz="8" w:color="auto"/>
            </w:tcBorders>
          </w:tcPr>
          <w:p>
            <w:pPr>
              <w:jc w:val="right"/>
              <w:ind w:right="236"/>
              <w:spacing w:after="0" w:line="133" w:lineRule="exact"/>
              <w:rPr>
                <w:sz w:val="20"/>
                <w:szCs w:val="20"/>
                <w:color w:val="auto"/>
              </w:rPr>
            </w:pPr>
            <w:r>
              <w:rPr>
                <w:rFonts w:ascii="Arial" w:cs="Arial" w:eastAsia="Arial" w:hAnsi="Arial"/>
                <w:sz w:val="14"/>
                <w:szCs w:val="14"/>
                <w:b w:val="1"/>
                <w:bCs w:val="1"/>
                <w:color w:val="auto"/>
              </w:rPr>
              <w:t>Number of</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r>
      <w:tr>
        <w:trPr>
          <w:trHeight w:val="185"/>
        </w:trPr>
        <w:tc>
          <w:tcPr>
            <w:tcW w:w="57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Systems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3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Revenue</w:t>
            </w:r>
          </w:p>
        </w:tc>
      </w:tr>
      <w:tr>
        <w:trPr>
          <w:trHeight w:val="237"/>
        </w:trPr>
        <w:tc>
          <w:tcPr>
            <w:tcW w:w="5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New IMAX Systems:</w:t>
            </w:r>
          </w:p>
        </w:tc>
        <w:tc>
          <w:tcPr>
            <w:tcW w:w="12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r>
      <w:tr>
        <w:trPr>
          <w:trHeight w:val="243"/>
        </w:trPr>
        <w:tc>
          <w:tcPr>
            <w:tcW w:w="5760" w:type="dxa"/>
            <w:vAlign w:val="bottom"/>
            <w:gridSpan w:val="2"/>
          </w:tcPr>
          <w:p>
            <w:pPr>
              <w:ind w:left="200"/>
              <w:spacing w:after="0" w:line="243"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11,215</w:t>
            </w:r>
          </w:p>
        </w:tc>
        <w:tc>
          <w:tcPr>
            <w:tcW w:w="1400" w:type="dxa"/>
            <w:vAlign w:val="bottom"/>
            <w:gridSpan w:val="2"/>
          </w:tcPr>
          <w:p>
            <w:pPr>
              <w:jc w:val="right"/>
              <w:ind w:right="37"/>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7,779</w:t>
            </w:r>
          </w:p>
        </w:tc>
      </w:tr>
      <w:tr>
        <w:trPr>
          <w:trHeight w:val="237"/>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JRSA — hybrid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998</w:t>
            </w:r>
          </w:p>
        </w:tc>
      </w:tr>
      <w:tr>
        <w:trPr>
          <w:trHeight w:val="237"/>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Total new IMAX Systems</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11,215</w:t>
            </w:r>
          </w:p>
        </w:tc>
        <w:tc>
          <w:tcPr>
            <w:tcW w:w="1400" w:type="dxa"/>
            <w:vAlign w:val="bottom"/>
            <w:gridSpan w:val="2"/>
          </w:tcPr>
          <w:p>
            <w:pPr>
              <w:jc w:val="right"/>
              <w:ind w:right="37"/>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8,777</w:t>
            </w:r>
          </w:p>
        </w:tc>
      </w:tr>
      <w:tr>
        <w:trPr>
          <w:trHeight w:val="243"/>
        </w:trPr>
        <w:tc>
          <w:tcPr>
            <w:tcW w:w="150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r>
      <w:tr>
        <w:trPr>
          <w:trHeight w:val="237"/>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IMAX System upgrades:</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9"/>
        </w:trPr>
        <w:tc>
          <w:tcPr>
            <w:tcW w:w="5760" w:type="dxa"/>
            <w:vAlign w:val="bottom"/>
            <w:tcBorders>
              <w:bottom w:val="single" w:sz="8" w:color="CFF0FC"/>
            </w:tcBorders>
            <w:gridSpan w:val="2"/>
            <w:shd w:val="clear" w:color="auto" w:fill="CFF0FC"/>
          </w:tcPr>
          <w:p>
            <w:pPr>
              <w:ind w:left="200"/>
              <w:spacing w:after="0" w:line="249"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1,544</w:t>
            </w:r>
          </w:p>
        </w:tc>
      </w:tr>
      <w:tr>
        <w:trPr>
          <w:trHeight w:val="230"/>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Total upgraded IMAX Systems</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883</w:t>
            </w:r>
          </w:p>
        </w:tc>
        <w:tc>
          <w:tcPr>
            <w:tcW w:w="1400" w:type="dxa"/>
            <w:vAlign w:val="bottom"/>
            <w:gridSpan w:val="2"/>
          </w:tcPr>
          <w:p>
            <w:pPr>
              <w:jc w:val="right"/>
              <w:ind w:right="37"/>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1,544</w:t>
            </w:r>
          </w:p>
        </w:tc>
      </w:tr>
      <w:tr>
        <w:trPr>
          <w:trHeight w:val="277"/>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12,098</w:t>
            </w:r>
          </w:p>
        </w:tc>
        <w:tc>
          <w:tcPr>
            <w:tcW w:w="1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10,321</w:t>
            </w:r>
          </w:p>
        </w:tc>
      </w:tr>
      <w:tr>
        <w:trPr>
          <w:trHeight w:val="122"/>
        </w:trPr>
        <w:tc>
          <w:tcPr>
            <w:tcW w:w="1500" w:type="dxa"/>
            <w:vAlign w:val="bottom"/>
            <w:tcBorders>
              <w:bottom w:val="single" w:sz="8" w:color="auto"/>
            </w:tcBorders>
          </w:tcPr>
          <w:p>
            <w:pPr>
              <w:spacing w:after="0"/>
              <w:rPr>
                <w:sz w:val="10"/>
                <w:szCs w:val="10"/>
                <w:color w:val="auto"/>
              </w:rPr>
            </w:pPr>
          </w:p>
        </w:tc>
        <w:tc>
          <w:tcPr>
            <w:tcW w:w="4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-1079500</wp:posOffset>
            </wp:positionV>
            <wp:extent cx="93980"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-1079500</wp:posOffset>
            </wp:positionV>
            <wp:extent cx="68580"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-1079500</wp:posOffset>
            </wp:positionV>
            <wp:extent cx="85725"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-445135</wp:posOffset>
            </wp:positionV>
            <wp:extent cx="93980" cy="1714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-445135</wp:posOffset>
            </wp:positionV>
            <wp:extent cx="68580" cy="1714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-445135</wp:posOffset>
            </wp:positionV>
            <wp:extent cx="85725" cy="1714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-119380</wp:posOffset>
            </wp:positionV>
            <wp:extent cx="939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-102235</wp:posOffset>
            </wp:positionV>
            <wp:extent cx="939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-119380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-102235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-119380</wp:posOffset>
            </wp:positionV>
            <wp:extent cx="857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-102235</wp:posOffset>
            </wp:positionV>
            <wp:extent cx="857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5" w:lineRule="exact"/>
        <w:rPr>
          <w:sz w:val="20"/>
          <w:szCs w:val="20"/>
          <w:color w:val="auto"/>
        </w:rPr>
      </w:pPr>
    </w:p>
    <w:p>
      <w:pPr>
        <w:jc w:val="both"/>
        <w:ind w:left="380" w:hanging="372"/>
        <w:spacing w:after="0" w:line="263"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arrangement for the sale of an IMAX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All Other</w:t>
      </w:r>
    </w:p>
    <w:p>
      <w:pPr>
        <w:spacing w:after="0" w:line="185" w:lineRule="exact"/>
        <w:rPr>
          <w:sz w:val="20"/>
          <w:szCs w:val="20"/>
          <w:color w:val="auto"/>
        </w:rPr>
      </w:pPr>
    </w:p>
    <w:p>
      <w:pPr>
        <w:jc w:val="both"/>
        <w:ind w:right="20" w:firstLine="224"/>
        <w:spacing w:after="0" w:line="286" w:lineRule="auto"/>
        <w:rPr>
          <w:sz w:val="20"/>
          <w:szCs w:val="20"/>
          <w:color w:val="auto"/>
        </w:rPr>
      </w:pPr>
      <w:r>
        <w:rPr>
          <w:rFonts w:ascii="Arial" w:cs="Arial" w:eastAsia="Arial" w:hAnsi="Arial"/>
          <w:sz w:val="17"/>
          <w:szCs w:val="17"/>
          <w:color w:val="auto"/>
        </w:rPr>
        <w:t>For the three months ended September 30, 2023, All Other revenue and gross margin increased by $2.3 million and $1.7 million, respectively, when compared to the same period in 2022 principally due to growth in revenues earned by the Company's Streaming and Consumer Technology operations driven by the inclusion of SSIMWAVE’s revenues as that acquisition was completed in late September 2022 and thus not in the prior year.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The following table presents information about the Company’s Selling, General and Administrative Expenses for the three months ended September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Less: Share-based compensation</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4,865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(120 )</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5"/>
        </w:trPr>
        <w:tc>
          <w:tcPr>
            <w:tcW w:w="5260" w:type="dxa"/>
            <w:vAlign w:val="bottom"/>
            <w:tcBorders>
              <w:top w:val="single" w:sz="8" w:color="CFF0FC"/>
            </w:tcBorders>
            <w:gridSpan w:val="2"/>
            <w:shd w:val="clear" w:color="auto" w:fill="CFF0FC"/>
          </w:tcPr>
          <w:p>
            <w:pPr>
              <w:ind w:left="20"/>
              <w:spacing w:after="0" w:line="195" w:lineRule="exact"/>
              <w:rPr>
                <w:sz w:val="20"/>
                <w:szCs w:val="20"/>
                <w:color w:val="auto"/>
              </w:rPr>
            </w:pPr>
            <w:r>
              <w:rPr>
                <w:rFonts w:ascii="Arial" w:cs="Arial" w:eastAsia="Arial" w:hAnsi="Arial"/>
                <w:sz w:val="18"/>
                <w:szCs w:val="18"/>
                <w:color w:val="auto"/>
                <w:w w:val="96"/>
              </w:rPr>
              <w:t>Total selling, general and administrative expenses, excluding share-</w:t>
            </w:r>
          </w:p>
        </w:tc>
        <w:tc>
          <w:tcPr>
            <w:tcW w:w="30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31,417</w:t>
            </w:r>
          </w:p>
        </w:tc>
        <w:tc>
          <w:tcPr>
            <w:tcW w:w="260" w:type="dxa"/>
            <w:vAlign w:val="bottom"/>
            <w:tcBorders>
              <w:top w:val="single" w:sz="8" w:color="CFF0FC"/>
            </w:tcBorders>
            <w:vMerge w:val="restart"/>
            <w:shd w:val="clear" w:color="auto" w:fill="CFF0FC"/>
          </w:tcPr>
          <w:p>
            <w:pPr>
              <w:spacing w:after="0"/>
              <w:rPr>
                <w:sz w:val="16"/>
                <w:szCs w:val="16"/>
                <w:color w:val="auto"/>
              </w:rPr>
            </w:pPr>
          </w:p>
        </w:tc>
        <w:tc>
          <w:tcPr>
            <w:tcW w:w="380" w:type="dxa"/>
            <w:vAlign w:val="bottom"/>
            <w:tcBorders>
              <w:top w:val="single" w:sz="8" w:color="auto"/>
            </w:tcBorders>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27,920</w:t>
            </w:r>
          </w:p>
        </w:tc>
        <w:tc>
          <w:tcPr>
            <w:tcW w:w="260" w:type="dxa"/>
            <w:vAlign w:val="bottom"/>
            <w:tcBorders>
              <w:top w:val="single" w:sz="8" w:color="CFF0FC"/>
            </w:tcBorders>
            <w:vMerge w:val="restart"/>
            <w:shd w:val="clear" w:color="auto" w:fill="CFF0FC"/>
          </w:tcPr>
          <w:p>
            <w:pPr>
              <w:spacing w:after="0"/>
              <w:rPr>
                <w:sz w:val="16"/>
                <w:szCs w:val="16"/>
                <w:color w:val="auto"/>
              </w:rPr>
            </w:pPr>
          </w:p>
        </w:tc>
        <w:tc>
          <w:tcPr>
            <w:tcW w:w="340" w:type="dxa"/>
            <w:vAlign w:val="bottom"/>
            <w:tcBorders>
              <w:top w:val="single" w:sz="8" w:color="auto"/>
            </w:tcBorders>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3,497</w:t>
            </w:r>
          </w:p>
        </w:tc>
        <w:tc>
          <w:tcPr>
            <w:tcW w:w="24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gridSpan w:val="2"/>
            <w:shd w:val="clear" w:color="auto" w:fill="CFF0FC"/>
          </w:tcPr>
          <w:p>
            <w:pPr>
              <w:ind w:left="20"/>
              <w:spacing w:after="0" w:line="203" w:lineRule="exact"/>
              <w:rPr>
                <w:sz w:val="20"/>
                <w:szCs w:val="20"/>
                <w:color w:val="auto"/>
              </w:rPr>
            </w:pPr>
            <w:r>
              <w:rPr>
                <w:rFonts w:ascii="Arial" w:cs="Arial" w:eastAsia="Arial" w:hAnsi="Arial"/>
                <w:sz w:val="18"/>
                <w:szCs w:val="18"/>
                <w:color w:val="auto"/>
              </w:rPr>
              <w:t>based compensation</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-119380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-102235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-385445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-102235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-385445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-119380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-102235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-385445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portion of share-based compensation expense is recognized within Costs and Expenses Applicable to Revenues, Research and Development, and Executive Transition Costs. (See Note 11(a) of Notes to Condensed Consolidated Financial Statements in Part I, Item 1.)</w:t>
      </w:r>
    </w:p>
    <w:p>
      <w:pPr>
        <w:spacing w:after="0" w:line="11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increase in Selling, General and Administrative Expenses reflects the inclusion of $3.1 million in transaction expenses associated with the proposal to acquire the outstanding shares in IMAX China, as well as the inclusion of $1.5 million related to SSIMWAVE expenses which was not in the prior year comparative period as the acquisition was completed in late September 2022 These impacts were partially offset by $1.0 million in transaction expenses associated with the SSIMWAVE acquisition in the prior year.</w:t>
      </w:r>
    </w:p>
    <w:p>
      <w:pPr>
        <w:spacing w:after="0" w:line="14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As a percentage of revenue, Selling, General and Administrative Expenses excluding share-based compensation was 30% versus 41% in the three months ended September 30, 2022, a significant improvement of over 10% from the prior year period which reflected strong operating leverage and a continued focus on cost discipline efforts.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A significant portion of the Company’s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The Company’s recent research and development efforts have also focused on image enhancement technology, developing technologies and systems to help bring additional interactivity to its global IMAX network. With the acquisition of SSIMWAVE, there is ongoing research and development in perceptual metrics including novel measurement and optimization techniques. Investments are also being made to expand existing and/or develop new technologies which are expected to further enhance video quality, delivery, and creation across devices.</w:t>
      </w:r>
    </w:p>
    <w:p>
      <w:pPr>
        <w:spacing w:after="0" w:line="154"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For the three months ended September 30, 2023, Research and Development expenses were $2.8 million, representing an increase of $1.7 million, or 148%, when compared to $1.1 million during the same period in the prior year. The current period expenses include $0.4 million specifically related to Streaming and Consumer Technology.</w:t>
      </w:r>
    </w:p>
    <w:p>
      <w:pPr>
        <w:spacing w:after="0" w:line="143"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 Net</w:t>
      </w:r>
    </w:p>
    <w:p>
      <w:pPr>
        <w:spacing w:after="0" w:line="185"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three months ended September 30, 2023, the Company recorded current expected credit losses of $0.5 million, as compared to credit losses of $0.8 million recognized in the prior year.</w:t>
      </w:r>
    </w:p>
    <w:p>
      <w:pPr>
        <w:spacing w:after="0" w:line="130"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(See Note 3 of Notes to Condensed Consolidated Financial Statements in Part I, Item 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For the three months ended September 30, 2023, interest expense was $1.5 million, representing an increase of $0.2 million, or 12% when compared to interest expense of $1.3 million during the same period of the prior year primarily due to increased borrowings under the Credit Facility in the current period.</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24"/>
        <w:spacing w:after="0" w:line="255" w:lineRule="auto"/>
        <w:rPr>
          <w:sz w:val="20"/>
          <w:szCs w:val="20"/>
          <w:color w:val="auto"/>
        </w:rPr>
      </w:pPr>
      <w:r>
        <w:rPr>
          <w:rFonts w:ascii="Arial" w:cs="Arial" w:eastAsia="Arial" w:hAnsi="Arial"/>
          <w:sz w:val="18"/>
          <w:szCs w:val="18"/>
          <w:color w:val="auto"/>
        </w:rPr>
        <w:t>For the three months ended September 30, 2023, the Company recorded income tax expense of $6.6 million (2022 — $2.3 million). The Company’s effective tax rate for the three months ended September 30, 2023 of 30.4% differs from the Canadian statutory tax rate of 26.5%, primarily due to the fact that the Company recorded an additional $0.7 million valuation allowance against deferred tax assets in reporting entities where it was concluded that it is more likely that not that the benefit from deferred tax assets will not be realized. Accordingly, the tax benefit associated with the current period losses in these reporting entities is not ultimately reflected in the Company’s Condensed Consolidated Statements of Operations. (See Note 10 of Notes to Condensed Consolidated Financial Statements in Part I, Item 1.)</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98"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 xml:space="preserve">The Company’s Condensed Consolidated Financial Statements primarily include the non-controlling interest in the net income or loss of IMAX China, as well as the impact of non-controlling interests in the activity of its Original Film Fund subsidiary. For the three months ended September 30, 2023, the net income attributable to non-controlling interests of the Company’s subsidiaries was $3.0 million, an increase of $1.8 million, when compared to the same period of the prior year. The increase can be primarily attributed to IMAX China's box office success from </w:t>
      </w:r>
      <w:r>
        <w:rPr>
          <w:rFonts w:ascii="Arial" w:cs="Arial" w:eastAsia="Arial" w:hAnsi="Arial"/>
          <w:sz w:val="18"/>
          <w:szCs w:val="18"/>
          <w:i w:val="1"/>
          <w:iCs w:val="1"/>
          <w:color w:val="auto"/>
        </w:rPr>
        <w:t>Creation of the Gods: Part I</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Oppenheimer </w:t>
      </w:r>
      <w:r>
        <w:rPr>
          <w:rFonts w:ascii="Arial" w:cs="Arial" w:eastAsia="Arial" w:hAnsi="Arial"/>
          <w:sz w:val="18"/>
          <w:szCs w:val="18"/>
          <w:color w:val="auto"/>
        </w:rPr>
        <w:t>in the third quarter of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2023 and 2022</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(Loss) and Adjusted Net Income (Loss) Attributable to Common Shareholders</w:t>
      </w:r>
    </w:p>
    <w:p>
      <w:pPr>
        <w:spacing w:after="0" w:line="198" w:lineRule="exact"/>
        <w:rPr>
          <w:sz w:val="20"/>
          <w:szCs w:val="20"/>
          <w:color w:val="auto"/>
        </w:rPr>
      </w:pPr>
    </w:p>
    <w:p>
      <w:pPr>
        <w:jc w:val="both"/>
        <w:ind w:firstLine="224"/>
        <w:spacing w:after="0" w:line="213" w:lineRule="auto"/>
        <w:rPr>
          <w:sz w:val="20"/>
          <w:szCs w:val="20"/>
          <w:color w:val="auto"/>
        </w:rPr>
      </w:pPr>
      <w:r>
        <w:rPr>
          <w:rFonts w:ascii="Arial" w:cs="Arial" w:eastAsia="Arial" w:hAnsi="Arial"/>
          <w:sz w:val="18"/>
          <w:szCs w:val="18"/>
          <w:color w:val="auto"/>
        </w:rPr>
        <w:t>The following table presents the Company’s net income (loss) attributable to common shareholders and the associated per share amounts, as well as adjusted net income (loss) attributable to common shareholders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adjusted net income (loss) attributable to common shareholders per share</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for the nine months ended September 30,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2023</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Net Income</w:t>
            </w:r>
          </w:p>
        </w:tc>
        <w:tc>
          <w:tcPr>
            <w:tcW w:w="360" w:type="dxa"/>
            <w:vAlign w:val="bottom"/>
          </w:tcPr>
          <w:p>
            <w:pPr>
              <w:spacing w:after="0"/>
              <w:rPr>
                <w:sz w:val="11"/>
                <w:szCs w:val="11"/>
                <w:color w:val="auto"/>
              </w:rPr>
            </w:pPr>
          </w:p>
        </w:tc>
        <w:tc>
          <w:tcPr>
            <w:tcW w:w="8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Per Diluted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370"/>
              <w:spacing w:after="0"/>
              <w:rPr>
                <w:sz w:val="20"/>
                <w:szCs w:val="20"/>
                <w:color w:val="auto"/>
              </w:rPr>
            </w:pPr>
            <w:r>
              <w:rPr>
                <w:rFonts w:ascii="Arial" w:cs="Arial" w:eastAsia="Arial" w:hAnsi="Arial"/>
                <w:sz w:val="14"/>
                <w:szCs w:val="14"/>
                <w:b w:val="1"/>
                <w:bCs w:val="1"/>
                <w:color w:val="auto"/>
                <w:w w:val="91"/>
              </w:rPr>
              <w:t>Net Loss</w:t>
            </w:r>
          </w:p>
        </w:tc>
        <w:tc>
          <w:tcPr>
            <w:tcW w:w="900" w:type="dxa"/>
            <w:vAlign w:val="bottom"/>
            <w:gridSpan w:val="2"/>
          </w:tcPr>
          <w:p>
            <w:pPr>
              <w:jc w:val="right"/>
              <w:ind w:right="36"/>
              <w:spacing w:after="0" w:line="133" w:lineRule="exact"/>
              <w:rPr>
                <w:sz w:val="20"/>
                <w:szCs w:val="20"/>
                <w:color w:val="auto"/>
              </w:rPr>
            </w:pPr>
            <w:r>
              <w:rPr>
                <w:rFonts w:ascii="Arial" w:cs="Arial" w:eastAsia="Arial" w:hAnsi="Arial"/>
                <w:sz w:val="14"/>
                <w:szCs w:val="14"/>
                <w:b w:val="1"/>
                <w:bCs w:val="1"/>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8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22,795</w:t>
            </w:r>
          </w:p>
        </w:tc>
        <w:tc>
          <w:tcPr>
            <w:tcW w:w="3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Adjusted net income (loss) attributable to common shareholders</w:t>
            </w:r>
            <w:r>
              <w:rPr>
                <w:rFonts w:ascii="Arial" w:cs="Arial" w:eastAsia="Arial" w:hAnsi="Arial"/>
                <w:sz w:val="24"/>
                <w:szCs w:val="24"/>
                <w:color w:val="auto"/>
                <w:vertAlign w:val="superscript"/>
              </w:rPr>
              <w:t>(1)</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42,790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(7,349 )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(0.13 )</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00" w:type="dxa"/>
            <w:vAlign w:val="bottom"/>
            <w:tcBorders>
              <w:bottom w:val="single" w:sz="8" w:color="auto"/>
            </w:tcBorders>
          </w:tcPr>
          <w:p>
            <w:pPr>
              <w:spacing w:after="0"/>
              <w:rPr>
                <w:sz w:val="13"/>
                <w:szCs w:val="13"/>
                <w:color w:val="auto"/>
              </w:rPr>
            </w:pPr>
          </w:p>
        </w:tc>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-325120</wp:posOffset>
            </wp:positionV>
            <wp:extent cx="2322830" cy="2057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322830" cy="205740"/>
                    </a:xfrm>
                    <a:prstGeom prst="rect">
                      <a:avLst/>
                    </a:prstGeom>
                    <a:noFill/>
                  </pic:spPr>
                </pic:pic>
              </a:graphicData>
            </a:graphic>
          </wp:anchor>
        </w:drawing>
      </w:r>
    </w:p>
    <w:p>
      <w:pPr>
        <w:spacing w:after="0" w:line="141" w:lineRule="exact"/>
        <w:rPr>
          <w:sz w:val="20"/>
          <w:szCs w:val="20"/>
          <w:color w:val="auto"/>
        </w:rPr>
      </w:pPr>
    </w:p>
    <w:p>
      <w:pPr>
        <w:ind w:left="380" w:right="20" w:hanging="372"/>
        <w:spacing w:after="0" w:line="277" w:lineRule="auto"/>
        <w:tabs>
          <w:tab w:leader="none" w:pos="3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“Non-GAAP Financial Measures” for a description of this non-GAAP financial measure and a reconciliation to the most comparable GAAP amount.</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8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 xml:space="preserve">During the nine months ended September 30, 2023, the Company’s revenues and gross margin increased by $86.1 million or 42% and $63.1 million or 59%, respectively, when compared to same period in 2022 principally due to the strength of IMAX GBO performance through the distribution of films such as </w:t>
      </w:r>
      <w:r>
        <w:rPr>
          <w:rFonts w:ascii="Arial" w:cs="Arial" w:eastAsia="Arial" w:hAnsi="Arial"/>
          <w:sz w:val="18"/>
          <w:szCs w:val="18"/>
          <w:i w:val="1"/>
          <w:iCs w:val="1"/>
          <w:color w:val="auto"/>
        </w:rPr>
        <w:t>Oppenheimer, Avatar: The Way of Water, The Super Mario Bros. Movie, The Wandering Earth 2, Guardians of the Galaxy Vol. 3, Mission: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Impossible - Dead Reckoning Part One, Ant-Man and the Wasp: Quantumania </w:t>
      </w:r>
      <w:r>
        <w:rPr>
          <w:rFonts w:ascii="Arial" w:cs="Arial" w:eastAsia="Arial" w:hAnsi="Arial"/>
          <w:sz w:val="18"/>
          <w:szCs w:val="18"/>
          <w:color w:val="auto"/>
        </w:rPr>
        <w:t>and the record year to date performance of local language content coupled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higher system sales and renewals in the current period</w:t>
      </w:r>
      <w:r>
        <w:rPr>
          <w:rFonts w:ascii="Arial" w:cs="Arial" w:eastAsia="Arial" w:hAnsi="Arial"/>
          <w:sz w:val="18"/>
          <w:szCs w:val="18"/>
          <w:i w:val="1"/>
          <w:iCs w:val="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ind w:left="240"/>
        <w:spacing w:after="0"/>
        <w:rPr>
          <w:sz w:val="20"/>
          <w:szCs w:val="20"/>
          <w:color w:val="auto"/>
        </w:rPr>
      </w:pPr>
      <w:r>
        <w:rPr>
          <w:rFonts w:ascii="Arial" w:cs="Arial" w:eastAsia="Arial" w:hAnsi="Arial"/>
          <w:sz w:val="17"/>
          <w:szCs w:val="17"/>
          <w:color w:val="auto"/>
        </w:rPr>
        <w:t>The following table presents the Company’s revenue, gross margin and gross margin percentage by reportable segment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19"/>
                <w:szCs w:val="19"/>
                <w:b w:val="1"/>
                <w:bCs w:val="1"/>
                <w:color w:val="auto"/>
                <w:vertAlign w:val="superscript"/>
              </w:rPr>
              <w:t>(1)</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Gross Margin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Gross Margin %</w:t>
            </w:r>
          </w:p>
        </w:tc>
        <w:tc>
          <w:tcPr>
            <w:tcW w:w="160" w:type="dxa"/>
            <w:vAlign w:val="bottom"/>
          </w:tcPr>
          <w:p>
            <w:pPr>
              <w:spacing w:after="0"/>
              <w:rPr>
                <w:sz w:val="18"/>
                <w:szCs w:val="18"/>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00" w:type="dxa"/>
            <w:vAlign w:val="bottom"/>
            <w:gridSpan w:val="2"/>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8"/>
                <w:szCs w:val="18"/>
                <w:color w:val="auto"/>
              </w:rPr>
            </w:pPr>
          </w:p>
        </w:tc>
      </w:tr>
      <w:tr>
        <w:trPr>
          <w:trHeight w:val="466"/>
        </w:trPr>
        <w:tc>
          <w:tcPr>
            <w:tcW w:w="4680" w:type="dxa"/>
            <w:vAlign w:val="bottom"/>
          </w:tcPr>
          <w:p>
            <w:pPr>
              <w:ind w:left="20"/>
              <w:spacing w:after="0"/>
              <w:rPr>
                <w:sz w:val="20"/>
                <w:szCs w:val="20"/>
                <w:color w:val="auto"/>
              </w:rPr>
            </w:pPr>
            <w:r>
              <w:rPr>
                <w:rFonts w:ascii="Arial" w:cs="Arial" w:eastAsia="Arial" w:hAnsi="Arial"/>
                <w:sz w:val="18"/>
                <w:szCs w:val="18"/>
                <w:color w:val="auto"/>
              </w:rPr>
              <w:t>Content Solutions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107,605</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72,499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64,397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39,121</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60 %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54 %</w:t>
            </w:r>
          </w:p>
        </w:tc>
      </w:tr>
      <w:tr>
        <w:trPr>
          <w:trHeight w:val="250"/>
        </w:trPr>
        <w:tc>
          <w:tcPr>
            <w:tcW w:w="4680" w:type="dxa"/>
            <w:vAlign w:val="bottom"/>
          </w:tcPr>
          <w:p>
            <w:pPr>
              <w:ind w:left="20"/>
              <w:spacing w:after="0"/>
              <w:rPr>
                <w:sz w:val="20"/>
                <w:szCs w:val="20"/>
                <w:color w:val="auto"/>
              </w:rPr>
            </w:pPr>
            <w:r>
              <w:rPr>
                <w:rFonts w:ascii="Arial" w:cs="Arial" w:eastAsia="Arial" w:hAnsi="Arial"/>
                <w:sz w:val="18"/>
                <w:szCs w:val="18"/>
                <w:color w:val="auto"/>
              </w:rPr>
              <w:t>Technology Products and Services</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171,813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126,262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100,066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65,875</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58 %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52 %</w:t>
            </w:r>
          </w:p>
        </w:tc>
      </w:tr>
      <w:tr>
        <w:trPr>
          <w:trHeight w:val="237"/>
        </w:trPr>
        <w:tc>
          <w:tcPr>
            <w:tcW w:w="468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Sub-total for reportable segments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279,418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198,761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164,463</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104,996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680" w:type="dxa"/>
            <w:vAlign w:val="bottom"/>
          </w:tcPr>
          <w:p>
            <w:pPr>
              <w:ind w:left="20"/>
              <w:spacing w:after="0" w:line="243" w:lineRule="exact"/>
              <w:rPr>
                <w:sz w:val="20"/>
                <w:szCs w:val="20"/>
                <w:color w:val="auto"/>
              </w:rPr>
            </w:pPr>
            <w:r>
              <w:rPr>
                <w:rFonts w:ascii="Arial" w:cs="Arial" w:eastAsia="Arial" w:hAnsi="Arial"/>
                <w:sz w:val="18"/>
                <w:szCs w:val="18"/>
                <w:color w:val="auto"/>
              </w:rPr>
              <w:t>All Other</w:t>
            </w:r>
            <w:r>
              <w:rPr>
                <w:rFonts w:ascii="Arial" w:cs="Arial" w:eastAsia="Arial" w:hAnsi="Arial"/>
                <w:sz w:val="24"/>
                <w:szCs w:val="24"/>
                <w:color w:val="auto"/>
                <w:vertAlign w:val="superscript"/>
              </w:rPr>
              <w:t>(1)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9,403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3,998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66 %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63 %</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288,821</w:t>
            </w:r>
          </w:p>
        </w:tc>
        <w:tc>
          <w:tcPr>
            <w:tcW w:w="2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202,759</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170,653</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107,508</w:t>
            </w:r>
          </w:p>
        </w:tc>
        <w:tc>
          <w:tcPr>
            <w:tcW w:w="200" w:type="dxa"/>
            <w:vAlign w:val="bottom"/>
            <w:gridSpan w:val="2"/>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543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45020" cy="5270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5020" cy="527050"/>
                    </a:xfrm>
                    <a:prstGeom prst="rect">
                      <a:avLst/>
                    </a:prstGeom>
                    <a:noFill/>
                  </pic:spPr>
                </pic:pic>
              </a:graphicData>
            </a:graphic>
          </wp:anchor>
        </w:drawing>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All Other includes the results from Streaming and Consumer Technology and other ancillary activities.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Content Solutions</w:t>
      </w:r>
    </w:p>
    <w:p>
      <w:pPr>
        <w:spacing w:after="0" w:line="198" w:lineRule="exact"/>
        <w:rPr>
          <w:sz w:val="20"/>
          <w:szCs w:val="20"/>
          <w:color w:val="auto"/>
        </w:rPr>
      </w:pPr>
    </w:p>
    <w:p>
      <w:pPr>
        <w:jc w:val="both"/>
        <w:ind w:right="60" w:firstLine="224"/>
        <w:spacing w:after="0" w:line="259" w:lineRule="auto"/>
        <w:rPr>
          <w:sz w:val="20"/>
          <w:szCs w:val="20"/>
          <w:color w:val="auto"/>
        </w:rPr>
      </w:pPr>
      <w:r>
        <w:rPr>
          <w:rFonts w:ascii="Arial" w:cs="Arial" w:eastAsia="Arial" w:hAnsi="Arial"/>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146" w:lineRule="exact"/>
        <w:rPr>
          <w:sz w:val="20"/>
          <w:szCs w:val="20"/>
          <w:color w:val="auto"/>
        </w:rPr>
      </w:pPr>
    </w:p>
    <w:p>
      <w:pPr>
        <w:jc w:val="both"/>
        <w:ind w:right="60" w:firstLine="224"/>
        <w:spacing w:after="0" w:line="286" w:lineRule="auto"/>
        <w:rPr>
          <w:sz w:val="20"/>
          <w:szCs w:val="20"/>
          <w:color w:val="auto"/>
        </w:rPr>
      </w:pPr>
      <w:r>
        <w:rPr>
          <w:rFonts w:ascii="Arial" w:cs="Arial" w:eastAsia="Arial" w:hAnsi="Arial"/>
          <w:sz w:val="16"/>
          <w:szCs w:val="16"/>
          <w:color w:val="auto"/>
        </w:rPr>
        <w:t xml:space="preserve">For the nine months ended September 30, 2023, Content Solutions segment revenues and gross margin increased by $35.1 million, or 48%, and $25.3 million, or 65%, respectively, when compared to the same period in 2022 principally due to IMAX China's box office recovery in 2023 following the Chinese government relaxing its dynamic zero-COVID policies and easing capacity restrictions at the end of 2022, as well as the strong performance of the films distributed through the IMAX global network. In the nine months ended September 30, 2023, box office generated by IMAX films totaled $888.9 million, a $290.8 million, or 49% increase versus the prior year comparative period of $598.1 million. During the nine months ended September 30, 2023, box office was generated by the exhibition of 57 films (56 new films and 1 carryovers) including </w:t>
      </w:r>
      <w:r>
        <w:rPr>
          <w:rFonts w:ascii="Arial" w:cs="Arial" w:eastAsia="Arial" w:hAnsi="Arial"/>
          <w:sz w:val="16"/>
          <w:szCs w:val="16"/>
          <w:i w:val="1"/>
          <w:iCs w:val="1"/>
          <w:color w:val="auto"/>
        </w:rPr>
        <w:t>Oppenheimer,</w:t>
      </w:r>
      <w:r>
        <w:rPr>
          <w:rFonts w:ascii="Arial" w:cs="Arial" w:eastAsia="Arial" w:hAnsi="Arial"/>
          <w:sz w:val="16"/>
          <w:szCs w:val="16"/>
          <w:color w:val="auto"/>
        </w:rPr>
        <w:t xml:space="preserve"> which generated box office of $180.4 million, </w:t>
      </w:r>
      <w:r>
        <w:rPr>
          <w:rFonts w:ascii="Arial" w:cs="Arial" w:eastAsia="Arial" w:hAnsi="Arial"/>
          <w:sz w:val="16"/>
          <w:szCs w:val="16"/>
          <w:i w:val="1"/>
          <w:iCs w:val="1"/>
          <w:color w:val="auto"/>
        </w:rPr>
        <w:t>Avatar: The Way of Water</w:t>
      </w:r>
      <w:r>
        <w:rPr>
          <w:rFonts w:ascii="Arial" w:cs="Arial" w:eastAsia="Arial" w:hAnsi="Arial"/>
          <w:sz w:val="16"/>
          <w:szCs w:val="16"/>
          <w:color w:val="auto"/>
        </w:rPr>
        <w:t xml:space="preserve">, which generated box office of $109.7 million, </w:t>
      </w:r>
      <w:r>
        <w:rPr>
          <w:rFonts w:ascii="Arial" w:cs="Arial" w:eastAsia="Arial" w:hAnsi="Arial"/>
          <w:sz w:val="16"/>
          <w:szCs w:val="16"/>
          <w:i w:val="1"/>
          <w:iCs w:val="1"/>
          <w:color w:val="auto"/>
        </w:rPr>
        <w:t>The Super Mario Bro. Movie</w:t>
      </w:r>
      <w:r>
        <w:rPr>
          <w:rFonts w:ascii="Arial" w:cs="Arial" w:eastAsia="Arial" w:hAnsi="Arial"/>
          <w:sz w:val="16"/>
          <w:szCs w:val="16"/>
          <w:color w:val="auto"/>
        </w:rPr>
        <w:t xml:space="preserve">, which generated box office of $49.8 million, and other content. In addition, in the nine months ended September 30, 2023, local language films exhibited across the Company’s global IMAX network generated over $186.8 million in box office representing 21% of the Company’s total box office. Leading local language titles distributed across the IMAX network in the nine months ended September 30, 2023 included the Chinese film </w:t>
      </w:r>
      <w:r>
        <w:rPr>
          <w:rFonts w:ascii="Arial" w:cs="Arial" w:eastAsia="Arial" w:hAnsi="Arial"/>
          <w:sz w:val="16"/>
          <w:szCs w:val="16"/>
          <w:i w:val="1"/>
          <w:iCs w:val="1"/>
          <w:color w:val="auto"/>
        </w:rPr>
        <w:t>Wandering Earth 2,</w:t>
      </w:r>
      <w:r>
        <w:rPr>
          <w:rFonts w:ascii="Arial" w:cs="Arial" w:eastAsia="Arial" w:hAnsi="Arial"/>
          <w:sz w:val="16"/>
          <w:szCs w:val="16"/>
          <w:color w:val="auto"/>
        </w:rPr>
        <w:t xml:space="preserve"> which generated $48.9 million in box office, the Chinese film </w:t>
      </w:r>
      <w:r>
        <w:rPr>
          <w:rFonts w:ascii="Arial" w:cs="Arial" w:eastAsia="Arial" w:hAnsi="Arial"/>
          <w:sz w:val="16"/>
          <w:szCs w:val="16"/>
          <w:i w:val="1"/>
          <w:iCs w:val="1"/>
          <w:color w:val="auto"/>
        </w:rPr>
        <w:t>Creation of the Gods I: Kingdom of Storms</w:t>
      </w:r>
      <w:r>
        <w:rPr>
          <w:rFonts w:ascii="Arial" w:cs="Arial" w:eastAsia="Arial" w:hAnsi="Arial"/>
          <w:sz w:val="16"/>
          <w:szCs w:val="16"/>
          <w:color w:val="auto"/>
        </w:rPr>
        <w:t xml:space="preserve"> which generated $32.3 million in box office, the Japanese anime film </w:t>
      </w:r>
      <w:r>
        <w:rPr>
          <w:rFonts w:ascii="Arial" w:cs="Arial" w:eastAsia="Arial" w:hAnsi="Arial"/>
          <w:sz w:val="16"/>
          <w:szCs w:val="16"/>
          <w:i w:val="1"/>
          <w:iCs w:val="1"/>
          <w:color w:val="auto"/>
        </w:rPr>
        <w:t>Suzume,</w:t>
      </w:r>
      <w:r>
        <w:rPr>
          <w:rFonts w:ascii="Arial" w:cs="Arial" w:eastAsia="Arial" w:hAnsi="Arial"/>
          <w:sz w:val="16"/>
          <w:szCs w:val="16"/>
          <w:color w:val="auto"/>
        </w:rPr>
        <w:t xml:space="preserve"> which generated $10.7 million in box office, and the Japanese anime film </w:t>
      </w:r>
      <w:r>
        <w:rPr>
          <w:rFonts w:ascii="Arial" w:cs="Arial" w:eastAsia="Arial" w:hAnsi="Arial"/>
          <w:sz w:val="16"/>
          <w:szCs w:val="16"/>
          <w:i w:val="1"/>
          <w:iCs w:val="1"/>
          <w:color w:val="auto"/>
        </w:rPr>
        <w:t>The First Slam Dunk,</w:t>
      </w:r>
      <w:r>
        <w:rPr>
          <w:rFonts w:ascii="Arial" w:cs="Arial" w:eastAsia="Arial" w:hAnsi="Arial"/>
          <w:sz w:val="16"/>
          <w:szCs w:val="16"/>
          <w:color w:val="auto"/>
        </w:rPr>
        <w:t xml:space="preserve"> which generated $10.6 million in box office. In the nine months ended September 30, 2022, box office was generated by the exhibition of 68 films (53 new films, 10 carryovers and 5 re-releases) and other content. Despite accounting for approximately 1% of all domestic screens and less than 1% of all screens globally, the IMAX network had a domestic market share of 4.6% and a global market share of 3.4% for the nine months ended September 30, 2023.</w:t>
      </w:r>
    </w:p>
    <w:p>
      <w:pPr>
        <w:spacing w:after="0" w:line="127" w:lineRule="exact"/>
        <w:rPr>
          <w:sz w:val="20"/>
          <w:szCs w:val="20"/>
          <w:color w:val="auto"/>
        </w:rPr>
      </w:pPr>
    </w:p>
    <w:p>
      <w:pPr>
        <w:jc w:val="both"/>
        <w:ind w:right="60" w:firstLine="224"/>
        <w:spacing w:after="0" w:line="279" w:lineRule="auto"/>
        <w:rPr>
          <w:sz w:val="20"/>
          <w:szCs w:val="20"/>
          <w:color w:val="auto"/>
        </w:rPr>
      </w:pPr>
      <w:r>
        <w:rPr>
          <w:rFonts w:ascii="Arial" w:cs="Arial" w:eastAsia="Arial" w:hAnsi="Arial"/>
          <w:sz w:val="17"/>
          <w:szCs w:val="17"/>
          <w:color w:val="auto"/>
        </w:rPr>
        <w:t>In addition to the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live events and documentary content during the period. For the nine months ended September 30, 2023, marketing expenses for films were $12.4 million, as compared to $9.1 million during the same period in 2022.</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7" w:right="279" w:bottom="1440" w:gutter="0" w:footer="0" w:header="0"/>
        </w:sectPr>
      </w:pPr>
    </w:p>
    <w:bookmarkStart w:id="62" w:name="page63"/>
    <w:bookmarkEnd w:id="62"/>
    <w:p>
      <w:pPr>
        <w:ind w:left="100"/>
        <w:spacing w:after="0"/>
        <w:rPr>
          <w:sz w:val="20"/>
          <w:szCs w:val="20"/>
          <w:color w:val="auto"/>
        </w:rPr>
      </w:pPr>
      <w:r>
        <w:rPr>
          <w:rFonts w:ascii="Arial" w:cs="Arial" w:eastAsia="Arial" w:hAnsi="Arial"/>
          <w:sz w:val="18"/>
          <w:szCs w:val="18"/>
          <w:b w:val="1"/>
          <w:bCs w:val="1"/>
          <w:i w:val="1"/>
          <w:iCs w:val="1"/>
          <w:color w:val="auto"/>
        </w:rPr>
        <w:t>Technology Products and Services</w:t>
      </w:r>
    </w:p>
    <w:p>
      <w:pPr>
        <w:spacing w:after="0" w:line="198"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newly built theaters or multiplexes, which make up a large portion of the Company’s system backlog, depends primarily on the timing of the construction of those projects, which is not under the Company’s control.</w:t>
      </w:r>
    </w:p>
    <w:p>
      <w:pPr>
        <w:spacing w:after="0" w:line="124"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For the nine months ended September 30, 2023, Technology Products and Services segment revenue and gross margin increased by $45.6 million, or 36%, and $34.2 million, or 52%, respectively, when compared to the same period in the prior year. The higher level of revenue is primarily driven by an increase of $13.5 million in system sales revenue as a result of 15 additional IMAX System installations, including upgrades.</w:t>
      </w:r>
    </w:p>
    <w:p>
      <w:pPr>
        <w:spacing w:after="0" w:line="12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Also contributing to the higher level of revenue was an increase of $18.9 million in rental revenues, as a result of GBO from joint revenue sharing arrangements which increased by $126.3 million or 41% in the nine months ended September 30, 2023 when compared to the prior year comparative period, from $309.4 million to $435.7 million.</w:t>
      </w:r>
    </w:p>
    <w:p>
      <w:pPr>
        <w:spacing w:after="0" w:line="157"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The Technology Products and Services segment gross margin increase during the nine months ended September 30, 2023 is primarily due to a higher number of IMAX System installations, as well as amendments and renewals of IMAX Systems arrangements, and higher rental revenues from the Company’s joint revenue sharing arrangements, driven by the stronger box office performance which led to incremental profit flow-through.</w:t>
      </w:r>
    </w:p>
    <w:p>
      <w:pPr>
        <w:spacing w:after="0" w:line="125" w:lineRule="exact"/>
        <w:rPr>
          <w:sz w:val="20"/>
          <w:szCs w:val="20"/>
          <w:color w:val="auto"/>
        </w:rPr>
      </w:pPr>
    </w:p>
    <w:p>
      <w:pPr>
        <w:jc w:val="both"/>
        <w:ind w:firstLine="224"/>
        <w:spacing w:after="0" w:line="308" w:lineRule="auto"/>
        <w:rPr>
          <w:sz w:val="20"/>
          <w:szCs w:val="20"/>
          <w:color w:val="auto"/>
        </w:rPr>
      </w:pPr>
      <w:r>
        <w:rPr>
          <w:rFonts w:ascii="Arial" w:cs="Arial" w:eastAsia="Arial" w:hAnsi="Arial"/>
          <w:sz w:val="17"/>
          <w:szCs w:val="17"/>
          <w:color w:val="auto"/>
        </w:rPr>
        <w:t>The following table provides information about IMAX Systems installed and the associated revenue recognized at that time, except for traditional joint revenue sharing arrangements as revenue is recognized over the lease term, during the nine months ended September 30, 2023 and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of U.S. Dollars, except number of systems)</w:t>
            </w:r>
          </w:p>
        </w:tc>
        <w:tc>
          <w:tcPr>
            <w:tcW w:w="980" w:type="dxa"/>
            <w:vAlign w:val="bottom"/>
            <w:tcBorders>
              <w:top w:val="single" w:sz="8" w:color="auto"/>
            </w:tcBorders>
          </w:tcPr>
          <w:p>
            <w:pPr>
              <w:jc w:val="center"/>
              <w:ind w:left="168"/>
              <w:spacing w:after="0" w:line="133" w:lineRule="exact"/>
              <w:rPr>
                <w:sz w:val="20"/>
                <w:szCs w:val="20"/>
                <w:color w:val="auto"/>
              </w:rPr>
            </w:pPr>
            <w:r>
              <w:rPr>
                <w:rFonts w:ascii="Arial" w:cs="Arial" w:eastAsia="Arial" w:hAnsi="Arial"/>
                <w:sz w:val="14"/>
                <w:szCs w:val="14"/>
                <w:b w:val="1"/>
                <w:bCs w:val="1"/>
                <w:color w:val="auto"/>
                <w:w w:val="94"/>
              </w:rPr>
              <w:t>Number of</w:t>
            </w: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760" w:type="dxa"/>
            <w:vAlign w:val="bottom"/>
            <w:vMerge w:val="continue"/>
          </w:tcPr>
          <w:p>
            <w:pPr>
              <w:spacing w:after="0"/>
              <w:rPr>
                <w:sz w:val="10"/>
                <w:szCs w:val="10"/>
                <w:color w:val="auto"/>
              </w:rPr>
            </w:pPr>
          </w:p>
        </w:tc>
        <w:tc>
          <w:tcPr>
            <w:tcW w:w="9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86"/>
              </w:rPr>
              <w:t>Systems</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0"/>
                <w:szCs w:val="10"/>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6"/>
              </w:rPr>
              <w:t>Systems</w:t>
            </w:r>
          </w:p>
        </w:tc>
        <w:tc>
          <w:tcPr>
            <w:tcW w:w="200" w:type="dxa"/>
            <w:vAlign w:val="bottom"/>
          </w:tcPr>
          <w:p>
            <w:pPr>
              <w:spacing w:after="0"/>
              <w:rPr>
                <w:sz w:val="10"/>
                <w:szCs w:val="10"/>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57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IMAX Theater Systems:</w:t>
            </w: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line="243"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9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30</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JRSA — hybrid</w:t>
            </w:r>
          </w:p>
        </w:tc>
        <w:tc>
          <w:tcPr>
            <w:tcW w:w="98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0"/>
              <w:spacing w:after="0"/>
              <w:rPr>
                <w:sz w:val="20"/>
                <w:szCs w:val="20"/>
                <w:color w:val="auto"/>
              </w:rPr>
            </w:pPr>
            <w:r>
              <w:rPr>
                <w:rFonts w:ascii="Arial" w:cs="Arial" w:eastAsia="Arial" w:hAnsi="Arial"/>
                <w:sz w:val="18"/>
                <w:szCs w:val="18"/>
                <w:color w:val="auto"/>
              </w:rPr>
              <w:t>Total new IMAX Theater Systems</w:t>
            </w:r>
          </w:p>
        </w:tc>
        <w:tc>
          <w:tcPr>
            <w:tcW w:w="9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29,464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20"/>
              <w:spacing w:after="0"/>
              <w:rPr>
                <w:sz w:val="20"/>
                <w:szCs w:val="20"/>
                <w:color w:val="auto"/>
              </w:rPr>
            </w:pPr>
            <w:r>
              <w:rPr>
                <w:rFonts w:ascii="Arial" w:cs="Arial" w:eastAsia="Arial" w:hAnsi="Arial"/>
                <w:sz w:val="18"/>
                <w:szCs w:val="18"/>
                <w:color w:val="auto"/>
              </w:rPr>
              <w:t>IMAX Theater System upgrades: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shd w:val="clear" w:color="auto" w:fill="CFF0FC"/>
          </w:tcPr>
          <w:p>
            <w:pPr>
              <w:ind w:left="200"/>
              <w:spacing w:after="0" w:line="249" w:lineRule="exact"/>
              <w:rPr>
                <w:sz w:val="20"/>
                <w:szCs w:val="20"/>
                <w:color w:val="auto"/>
              </w:rPr>
            </w:pPr>
            <w:r>
              <w:rPr>
                <w:rFonts w:ascii="Arial" w:cs="Arial" w:eastAsia="Arial" w:hAnsi="Arial"/>
                <w:sz w:val="18"/>
                <w:szCs w:val="18"/>
                <w:color w:val="auto"/>
              </w:rPr>
              <w:t>Sale and sales-type lease arrangements</w:t>
            </w:r>
            <w:r>
              <w:rPr>
                <w:rFonts w:ascii="Arial" w:cs="Arial" w:eastAsia="Arial" w:hAnsi="Arial"/>
                <w:sz w:val="24"/>
                <w:szCs w:val="24"/>
                <w:color w:val="auto"/>
                <w:vertAlign w:val="superscript"/>
              </w:rPr>
              <w:t>(1)</w:t>
            </w: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200"/>
              <w:spacing w:after="0"/>
              <w:rPr>
                <w:sz w:val="20"/>
                <w:szCs w:val="20"/>
                <w:color w:val="auto"/>
              </w:rPr>
            </w:pPr>
            <w:r>
              <w:rPr>
                <w:rFonts w:ascii="Arial" w:cs="Arial" w:eastAsia="Arial" w:hAnsi="Arial"/>
                <w:sz w:val="18"/>
                <w:szCs w:val="18"/>
                <w:color w:val="auto"/>
              </w:rPr>
              <w:t>Total upgraded IMAX Theater Systems</w:t>
            </w:r>
          </w:p>
        </w:tc>
        <w:tc>
          <w:tcPr>
            <w:tcW w:w="9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33,478</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-984885</wp:posOffset>
            </wp:positionV>
            <wp:extent cx="77470" cy="1714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-984885</wp:posOffset>
            </wp:positionV>
            <wp:extent cx="68580" cy="1714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-984885</wp:posOffset>
            </wp:positionV>
            <wp:extent cx="68580" cy="1714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1714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-363220</wp:posOffset>
            </wp:positionV>
            <wp:extent cx="2734310" cy="1968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734310" cy="19685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ind w:left="380" w:right="20" w:hanging="372"/>
        <w:spacing w:after="0" w:line="263"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an estimate of the contingent fees that may become due if certain annual minimum box office receipt thresholds are exceeded.</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All Other</w:t>
      </w:r>
    </w:p>
    <w:p>
      <w:pPr>
        <w:spacing w:after="0" w:line="185"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For the nine months ended September 30, 2023, All Other revenue and gross margin increased by $5.4 million, or 135%, and $3.7 million, or 146%, respectively, when compared to the same period in 2022 principally due to growth in revenues earned by the Company's Streaming and Consumer Technology operations driven by the inclusion of SSIMWAVE’s revenues as that acquisition was completed in late September 2022 and thus not in the prior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The following table presents information about the Company’s Selling, General and Administrative Expenses for the nine months ended September 30, 2023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5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Variance</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109,336</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100,181</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9,155</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Less: Share-based compensation</w:t>
            </w:r>
            <w:r>
              <w:rPr>
                <w:rFonts w:ascii="Arial" w:cs="Arial" w:eastAsia="Arial" w:hAnsi="Arial"/>
                <w:sz w:val="24"/>
                <w:szCs w:val="24"/>
                <w:color w:val="auto"/>
                <w:vertAlign w:val="superscript"/>
              </w:rPr>
              <w:t>(1)</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16,537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17,974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(1,437 )</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5"/>
        </w:trPr>
        <w:tc>
          <w:tcPr>
            <w:tcW w:w="5260" w:type="dxa"/>
            <w:vAlign w:val="bottom"/>
            <w:tcBorders>
              <w:top w:val="single" w:sz="8" w:color="CFF0FC"/>
            </w:tcBorders>
            <w:gridSpan w:val="2"/>
            <w:shd w:val="clear" w:color="auto" w:fill="CFF0FC"/>
          </w:tcPr>
          <w:p>
            <w:pPr>
              <w:ind w:left="20"/>
              <w:spacing w:after="0" w:line="195" w:lineRule="exact"/>
              <w:rPr>
                <w:sz w:val="20"/>
                <w:szCs w:val="20"/>
                <w:color w:val="auto"/>
              </w:rPr>
            </w:pPr>
            <w:r>
              <w:rPr>
                <w:rFonts w:ascii="Arial" w:cs="Arial" w:eastAsia="Arial" w:hAnsi="Arial"/>
                <w:sz w:val="18"/>
                <w:szCs w:val="18"/>
                <w:color w:val="auto"/>
                <w:w w:val="96"/>
              </w:rPr>
              <w:t>Total selling, general and administrative expenses, excluding share-</w:t>
            </w:r>
          </w:p>
        </w:tc>
        <w:tc>
          <w:tcPr>
            <w:tcW w:w="300" w:type="dxa"/>
            <w:vAlign w:val="bottom"/>
            <w:tcBorders>
              <w:top w:val="single" w:sz="8" w:color="auto"/>
            </w:tcBorders>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92,799</w:t>
            </w:r>
          </w:p>
        </w:tc>
        <w:tc>
          <w:tcPr>
            <w:tcW w:w="260" w:type="dxa"/>
            <w:vAlign w:val="bottom"/>
            <w:tcBorders>
              <w:top w:val="single" w:sz="8" w:color="CFF0FC"/>
            </w:tcBorders>
            <w:vMerge w:val="restart"/>
            <w:shd w:val="clear" w:color="auto" w:fill="CFF0FC"/>
          </w:tcPr>
          <w:p>
            <w:pPr>
              <w:spacing w:after="0"/>
              <w:rPr>
                <w:sz w:val="16"/>
                <w:szCs w:val="16"/>
                <w:color w:val="auto"/>
              </w:rPr>
            </w:pPr>
          </w:p>
        </w:tc>
        <w:tc>
          <w:tcPr>
            <w:tcW w:w="480" w:type="dxa"/>
            <w:vAlign w:val="bottom"/>
            <w:tcBorders>
              <w:top w:val="single" w:sz="8" w:color="auto"/>
            </w:tcBorders>
            <w:vMerge w:val="restart"/>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82,207</w:t>
            </w:r>
          </w:p>
        </w:tc>
        <w:tc>
          <w:tcPr>
            <w:tcW w:w="260" w:type="dxa"/>
            <w:vAlign w:val="bottom"/>
            <w:tcBorders>
              <w:top w:val="single" w:sz="8" w:color="CFF0FC"/>
            </w:tcBorders>
            <w:vMerge w:val="restart"/>
            <w:shd w:val="clear" w:color="auto" w:fill="CFF0FC"/>
          </w:tcPr>
          <w:p>
            <w:pPr>
              <w:spacing w:after="0"/>
              <w:rPr>
                <w:sz w:val="16"/>
                <w:szCs w:val="16"/>
                <w:color w:val="auto"/>
              </w:rPr>
            </w:pPr>
          </w:p>
        </w:tc>
        <w:tc>
          <w:tcPr>
            <w:tcW w:w="340" w:type="dxa"/>
            <w:vAlign w:val="bottom"/>
            <w:tcBorders>
              <w:top w:val="single" w:sz="8" w:color="auto"/>
            </w:tcBorders>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10,592</w:t>
            </w:r>
          </w:p>
        </w:tc>
        <w:tc>
          <w:tcPr>
            <w:tcW w:w="240" w:type="dxa"/>
            <w:vAlign w:val="bottom"/>
            <w:tcBorders>
              <w:top w:val="single" w:sz="8" w:color="CFF0FC"/>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gridSpan w:val="2"/>
            <w:shd w:val="clear" w:color="auto" w:fill="CFF0FC"/>
          </w:tcPr>
          <w:p>
            <w:pPr>
              <w:ind w:left="20"/>
              <w:spacing w:after="0" w:line="203" w:lineRule="exact"/>
              <w:rPr>
                <w:sz w:val="20"/>
                <w:szCs w:val="20"/>
                <w:color w:val="auto"/>
              </w:rPr>
            </w:pPr>
            <w:r>
              <w:rPr>
                <w:rFonts w:ascii="Arial" w:cs="Arial" w:eastAsia="Arial" w:hAnsi="Arial"/>
                <w:sz w:val="18"/>
                <w:szCs w:val="18"/>
                <w:color w:val="auto"/>
              </w:rPr>
              <w:t>based compensation</w:t>
            </w: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480" w:type="dxa"/>
            <w:vAlign w:val="bottom"/>
            <w:tcBorders>
              <w:bottom w:val="single" w:sz="8" w:color="auto"/>
            </w:tcBorders>
            <w:vMerge w:val="continue"/>
            <w:shd w:val="clear" w:color="auto" w:fill="CFF0FC"/>
          </w:tcPr>
          <w:p>
            <w:pPr>
              <w:spacing w:after="0"/>
              <w:rPr>
                <w:sz w:val="21"/>
                <w:szCs w:val="21"/>
                <w:color w:val="auto"/>
              </w:rPr>
            </w:pPr>
          </w:p>
        </w:tc>
        <w:tc>
          <w:tcPr>
            <w:tcW w:w="7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3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-119380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-102235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-385445</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-102235</wp:posOffset>
            </wp:positionV>
            <wp:extent cx="6858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-385445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-119380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-102235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-385445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right="30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portion of share-based compensation expense is recognized within Cost and Expenses Applicable to Revenue and Research and Development. (See Note 11(a) of Notes to Condensed Consolidated Financial Statements in Part I, Item 1.)</w:t>
      </w:r>
    </w:p>
    <w:p>
      <w:pPr>
        <w:spacing w:after="0" w:line="143"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7"/>
          <w:szCs w:val="17"/>
          <w:color w:val="auto"/>
        </w:rPr>
        <w:t>The increase in Selling, General and Administrative Expenses reflects the inclusion of $5.1 million related to SSIMWAVE which was not in the prior year comparative period as the acquisition was completed in late September 2022 and $3.1 million in transaction expenses associated with the proposal to acquire the outstanding shares in IMAX China, and $0.1 million in transaction expenses associated with the acquisition of SSIMWAVE.</w:t>
      </w:r>
    </w:p>
    <w:p>
      <w:pPr>
        <w:spacing w:after="0" w:line="125"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As a percentage of revenue, Selling, General and Administrative Expenses excluding share-based compensation was 32% versus 40% in the nine months ended September 30, 2023, an improvement of 8% from the prior year period which reflected strong operating leverage and a continued focus on cost discipline efforts.</w:t>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8"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A significant portion of the Company’s recent research and development efforts have been focused on its laser-based projection systems, which the Company believes present greater brightness and clarity, higher contrast, a wider color gamut and deeper blacks, consume less power and last longer than other digital projection technologies, and are capable of illuminating the largest screens in the IMAX network. The Company’s recent research and development efforts have also focused on image enhancement technology, developing technologies and systems to help bring additional interactivity to its global IMAX network. With the acquisition of SSIMWAVE, there is ongoing research and development in perceptual metrics including novel measurement and optimization techniques. Investments are also being made to expand existing and/or develop new technologies which are expected to further enhance video quality, delivery, and creation across devices.</w:t>
      </w:r>
    </w:p>
    <w:p>
      <w:pPr>
        <w:spacing w:after="0" w:line="154"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For the nine months ended September 30, 2023, Research and Development expenses were $7.4 million, representing an increase of $3.7 million, or 102%, when compared to Research and Development expenses of $3.7 million during the same period in the prior year, which includes $1.1 million specifically related to Streaming and Consumer Technology.</w:t>
      </w:r>
    </w:p>
    <w:p>
      <w:pPr>
        <w:spacing w:after="0" w:line="143"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Company intends to continue research and development to further evolve its end-to-end technology. This includes bringing connectivity to the Company’s global network and experimenting with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 Net</w:t>
      </w:r>
    </w:p>
    <w:p>
      <w:pPr>
        <w:spacing w:after="0" w:line="18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For the nine months ended September 30, 2023, the Company recorded current expected credit losses of $1.6 million, as compared to credit losses of $8.1 million recognized in the prior year. The prior period expense was principally due to reserves established against substantially all of the Company’s receivables in Russia due to uncertainties associated with the ongoing Russia-Ukraine conflict and resulting sanctions, partially offset by the reversal of provisions associated with the COVID-19 pandemic as the outlook for the theatrical exhibition industry in Domestic and Rest of the World markets improved.</w:t>
      </w:r>
    </w:p>
    <w:p>
      <w:pPr>
        <w:spacing w:after="0" w:line="147"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(See Note 3 of Notes to Condensed Consolidated Financial Statements in Part I, Item 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ind w:left="100"/>
        <w:spacing w:after="0"/>
        <w:rPr>
          <w:sz w:val="20"/>
          <w:szCs w:val="20"/>
          <w:color w:val="auto"/>
        </w:rPr>
      </w:pPr>
      <w:r>
        <w:rPr>
          <w:rFonts w:ascii="Arial" w:cs="Arial" w:eastAsia="Arial" w:hAnsi="Arial"/>
          <w:sz w:val="18"/>
          <w:szCs w:val="18"/>
          <w:b w:val="1"/>
          <w:bCs w:val="1"/>
          <w:i w:val="1"/>
          <w:iCs w:val="1"/>
          <w:color w:val="auto"/>
        </w:rPr>
        <w:t>Asset Impairment</w:t>
      </w:r>
    </w:p>
    <w:p>
      <w:pPr>
        <w:spacing w:after="0" w:line="198"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 xml:space="preserve">On January 10, 2022, IMAX (Shanghai) Culture and Technology Co., Ltd, a wholly-owned subsidiary of IMAX China, entered into a joint film investment agreement with Wanda Film (Horgos) Co. Ltd. to invest RMB 30.0 million ($4.7 million) in the movie </w:t>
      </w:r>
      <w:r>
        <w:rPr>
          <w:rFonts w:ascii="Arial" w:cs="Arial" w:eastAsia="Arial" w:hAnsi="Arial"/>
          <w:sz w:val="16"/>
          <w:szCs w:val="16"/>
          <w:i w:val="1"/>
          <w:iCs w:val="1"/>
          <w:color w:val="auto"/>
        </w:rPr>
        <w:t>Mozart from Space</w:t>
      </w:r>
      <w:r>
        <w:rPr>
          <w:rFonts w:ascii="Arial" w:cs="Arial" w:eastAsia="Arial" w:hAnsi="Arial"/>
          <w:sz w:val="16"/>
          <w:szCs w:val="16"/>
          <w:color w:val="auto"/>
        </w:rPr>
        <w:t>, which was released on July 15, 2022. Pursuant to the investment agreement, IMAX (Shanghai) Culture and Technology Co., Ltd. has the right to receive a share of the profits or losses of the film distribution. IMAX (Shanghai) Culture and Technology Co., Ltd.’s commitment is limited to its investment and has no further obligation if the actual movie production cost exceeds the original budget. The investment meets the criteria for classification as a financial asset. The investment is measured at amortized cost less impairment losses and is recorded within Other Assets in the Condensed Consolidated Balance Sheets.</w:t>
      </w:r>
    </w:p>
    <w:p>
      <w:pPr>
        <w:spacing w:after="0" w:line="124" w:lineRule="exact"/>
        <w:rPr>
          <w:sz w:val="20"/>
          <w:szCs w:val="20"/>
          <w:color w:val="auto"/>
        </w:rPr>
      </w:pPr>
    </w:p>
    <w:p>
      <w:pPr>
        <w:ind w:left="100" w:firstLine="225"/>
        <w:spacing w:after="0" w:line="277" w:lineRule="auto"/>
        <w:rPr>
          <w:sz w:val="20"/>
          <w:szCs w:val="20"/>
          <w:color w:val="auto"/>
        </w:rPr>
      </w:pPr>
      <w:r>
        <w:rPr>
          <w:rFonts w:ascii="Arial" w:cs="Arial" w:eastAsia="Arial" w:hAnsi="Arial"/>
          <w:sz w:val="18"/>
          <w:szCs w:val="18"/>
          <w:color w:val="auto"/>
        </w:rPr>
        <w:t xml:space="preserve">For the nine months ended September 30, 2022, the Company recorded a full impairment of its RMB 30.0 million ($4.5 million) investment in </w:t>
      </w:r>
      <w:r>
        <w:rPr>
          <w:rFonts w:ascii="Arial" w:cs="Arial" w:eastAsia="Arial" w:hAnsi="Arial"/>
          <w:sz w:val="18"/>
          <w:szCs w:val="18"/>
          <w:i w:val="1"/>
          <w:iCs w:val="1"/>
          <w:color w:val="auto"/>
        </w:rPr>
        <w:t>Mozart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from Space </w:t>
      </w:r>
      <w:r>
        <w:rPr>
          <w:rFonts w:ascii="Arial" w:cs="Arial" w:eastAsia="Arial" w:hAnsi="Arial"/>
          <w:sz w:val="18"/>
          <w:szCs w:val="18"/>
          <w:color w:val="auto"/>
        </w:rPr>
        <w:t>based on projected box office results and distribution costs.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224"/>
        <w:spacing w:after="0" w:line="308" w:lineRule="auto"/>
        <w:rPr>
          <w:sz w:val="20"/>
          <w:szCs w:val="20"/>
          <w:color w:val="auto"/>
        </w:rPr>
      </w:pPr>
      <w:r>
        <w:rPr>
          <w:rFonts w:ascii="Arial" w:cs="Arial" w:eastAsia="Arial" w:hAnsi="Arial"/>
          <w:sz w:val="17"/>
          <w:szCs w:val="17"/>
          <w:color w:val="auto"/>
        </w:rPr>
        <w:t>For the nine months ended September 30, 2023, interest expense was $5.0 million, representing an increase of $0.7 million, or 16% as compared to $4.4 million during the same period of the prior year primarily due to increased borrowings under the Credit Facility in the current period.</w:t>
      </w:r>
    </w:p>
    <w:p>
      <w:pPr>
        <w:spacing w:after="0" w:line="11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7"/>
          <w:szCs w:val="17"/>
          <w:color w:val="auto"/>
        </w:rPr>
        <w:t>For the nine months ended September 30, 2023, the Company recorded income tax expense of $14.9 million (2022 — $8.1 million). The Company’s effective tax rate for the nine months ended September 30, 2023 of 33.4% differs from the Canadian statutory tax rate of 26.5% primarily due to the fact that the Company recorded an additional $2.4 million valuation allowance against deferred tax assets, of which $3.7 million relates to reporting entities where it was concluded that it is more likely than not that the benefit from deferred tax assets will not be realized, partially offset by a decrease of $1.3 million related to the recognition of certain losses in IMAX China that management now considers to be realizable. Accordingly, the tax benefit associated with the current period losses in these reporting entities is not reflected in the Company's Condensed Consolidated Statements of Operations. (See Note 10 of Notes to Condensed Consolidated Financial Statements.)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Company’s Condensed Consolidated Financial Statements primarily include the non-controlling interest in the net income or loss of IMAX China, as well as the impact of non-controlling interests in the activity of its Original Film Fund subsidiary. For the nine months ended September 30, 2023, the net income attributable to non-controlling interests of the Company’s subsidiaries was $7.0 million (2022 — $1.5 million). The $5.5 million increase can be primarily attributed to IMAX China's box office success in the nine months ended September 30, 2023 following the Chinese government relaxing its dynamic zero-COVID policies and easing capacity restrictions at the end of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CASH FLOWS FOR THE NINE MONTHS ENDED SEPTEMBER 30, 2023 AND 2022</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The net cash used in or provided by the Company’s operating activities is affected by a number of factors, including: (i) the level of cash collections from customers in respect of existing IMAX System sale and lease agreements, (ii) the amount of upfront payments collected in respect of IMAX System sale and lease agreements in backlog, (iii) the box-office performance of films distributed by the Company and/or released to IMAX locations, (iv) the level of inventory purchases, and (v) the level of the Company’s operating expenses, including expenses for research and development and new business initiatives.</w:t>
      </w:r>
    </w:p>
    <w:p>
      <w:pPr>
        <w:spacing w:after="0" w:line="161"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For the nine months ended September 30, 2023, net cash provided by the Company’s operating activities totaled $54.6 million, as compared to net cash provided by operating activities of $0.5 million in the same period of the prior year, an improvement of $54.1 million.</w:t>
      </w:r>
    </w:p>
    <w:p>
      <w:pPr>
        <w:spacing w:after="0" w:line="130"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For the nine months ended September 30, 2023, the net cash provided by the Company’s operating activities is principally a result of revenue growth attributable to the record box office performance of the films distributed through the IMAX network, revenue from the installation of IMAX Systems and revenue associated with the amendments and renewals of IMAX Systems arrangements, partially offset by $15.0 million of variable consideration receivables, $13.8 million in inventory purchases, and $14.6 million of expenditures incurred in connection with the development of Film Assets.</w:t>
      </w:r>
    </w:p>
    <w:p>
      <w:pPr>
        <w:spacing w:after="0" w:line="117"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For the nine months ended September 30, 2022, the net cash provided by the Company’s operating activities was principally due to cash collected from cash earnings in the period, as well as in respect of Financing and Variable Consideration Receivables, partially offset by an increase in Accounts Receivable of $18.1 million as a result of revenue growth attributable to the strength of the box office performance of the films distributed through the IMAX network, $10.1 million spent on inventory purchases, and $14.2 million spent in connection with the development of Film Assets.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jc w:val="both"/>
        <w:ind w:firstLine="224"/>
        <w:spacing w:after="0" w:line="301" w:lineRule="auto"/>
        <w:rPr>
          <w:sz w:val="20"/>
          <w:szCs w:val="20"/>
          <w:color w:val="auto"/>
        </w:rPr>
      </w:pPr>
      <w:r>
        <w:rPr>
          <w:rFonts w:ascii="Arial" w:cs="Arial" w:eastAsia="Arial" w:hAnsi="Arial"/>
          <w:sz w:val="16"/>
          <w:szCs w:val="16"/>
          <w:color w:val="auto"/>
        </w:rPr>
        <w:t>For the nine months ended September 30, 2023, net cash used in investing activities totaled $18.7 million, as compared to $40.4 million in the same period of the prior year. For the nine months ended September 30, 2023, the net cash used in investing activities is primarily driven by $10.7 million invested in equipment to be used in the Company’s joint revenue sharing arrangements with exhibitor customers, $2.5 million in purchases of property, plant and equipment, and $5.4 million of intangible assets acquired, principally related to the purchase or continued development of internal use software.</w:t>
      </w:r>
    </w:p>
    <w:p>
      <w:pPr>
        <w:spacing w:after="0" w:line="117" w:lineRule="exact"/>
        <w:rPr>
          <w:sz w:val="20"/>
          <w:szCs w:val="20"/>
          <w:color w:val="auto"/>
        </w:rPr>
      </w:pPr>
    </w:p>
    <w:p>
      <w:pPr>
        <w:jc w:val="both"/>
        <w:ind w:firstLine="269"/>
        <w:spacing w:after="0" w:line="259" w:lineRule="auto"/>
        <w:rPr>
          <w:sz w:val="20"/>
          <w:szCs w:val="20"/>
          <w:color w:val="auto"/>
        </w:rPr>
      </w:pPr>
      <w:r>
        <w:rPr>
          <w:rFonts w:ascii="Arial" w:cs="Arial" w:eastAsia="Arial" w:hAnsi="Arial"/>
          <w:sz w:val="18"/>
          <w:szCs w:val="18"/>
          <w:color w:val="auto"/>
        </w:rPr>
        <w:t xml:space="preserve">For the nine months ended September 30, 2022, the net cash used by investing activities was primarily driven by $14.5 million invested in equipment to be used in the Company’s joint revenue sharing arrangements with exhibitors, $5.2 million in purchases of property, plant and equipment, and $4.7 million invested by IMAX (Shanghai) Culture and Technology Co., Ltd, a wholly-owned subsidiary of IMAX China, in the movie </w:t>
      </w:r>
      <w:r>
        <w:rPr>
          <w:rFonts w:ascii="Arial" w:cs="Arial" w:eastAsia="Arial" w:hAnsi="Arial"/>
          <w:sz w:val="18"/>
          <w:szCs w:val="18"/>
          <w:i w:val="1"/>
          <w:iCs w:val="1"/>
          <w:color w:val="auto"/>
        </w:rPr>
        <w:t>Mozart from Space</w:t>
      </w:r>
      <w:r>
        <w:rPr>
          <w:rFonts w:ascii="Arial" w:cs="Arial" w:eastAsia="Arial" w:hAnsi="Arial"/>
          <w:sz w:val="18"/>
          <w:szCs w:val="18"/>
          <w:color w:val="auto"/>
        </w:rPr>
        <w:t>. (See Note 15(e) of Notes to Condensed Consolidated Financial Statements in Part I, Item 1.)</w:t>
      </w:r>
    </w:p>
    <w:p>
      <w:pPr>
        <w:spacing w:after="0" w:line="160"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color w:val="auto"/>
        </w:rPr>
        <w:t>Based on management’s current operating plan for 2023, the Company expects to continue to use cash to deploy additional IMAX Systems under joint revenue sharing arrangements.</w:t>
      </w:r>
    </w:p>
    <w:p>
      <w:pPr>
        <w:spacing w:after="0" w:line="130"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Capital expenditures, including the Company’s investment in joint revenue sharing arrangements, the purchase of property, plant and equipment, the acquisition of other intangible assets, and investments in films</w:t>
      </w:r>
      <w:r>
        <w:rPr>
          <w:rFonts w:ascii="Arial" w:cs="Arial" w:eastAsia="Arial" w:hAnsi="Arial"/>
          <w:sz w:val="17"/>
          <w:szCs w:val="17"/>
          <w:i w:val="1"/>
          <w:iCs w:val="1"/>
          <w:color w:val="auto"/>
        </w:rPr>
        <w:t>,</w:t>
      </w:r>
      <w:r>
        <w:rPr>
          <w:rFonts w:ascii="Arial" w:cs="Arial" w:eastAsia="Arial" w:hAnsi="Arial"/>
          <w:sz w:val="17"/>
          <w:szCs w:val="17"/>
          <w:color w:val="auto"/>
        </w:rPr>
        <w:t xml:space="preserve"> were $33.2 million for the nine months ended September 30, 2023, as compared to $41.9 million for the nine months ended September 30, 2022. The Company expects its investment in joint revenue sharing arrangements to be more heavily weighted toward the remainder of the year which aligns with the historical seasonality of system installations.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For the nine months ended September 30, 2023, net cash used in financing activities totaled $24.3 million, as compared to $64.6 million used in financing activities in the same period of the prior year. For the nine months ended September 30, 2023, the net cash used in financing activities is principally due to $12.0 million in net repayments of revolving credit facility borrowings, $4.3 million used to repurchase common shares of the Company, $6.5 million in taxes withheld and paid on vested employee stock awards, and $1.4 million in dividends paid to non-controlling interests.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6" w:name="page67"/>
    <w:bookmarkEnd w:id="66"/>
    <w:p>
      <w:pPr>
        <w:jc w:val="both"/>
        <w:ind w:firstLine="224"/>
        <w:spacing w:after="0" w:line="275" w:lineRule="auto"/>
        <w:rPr>
          <w:sz w:val="20"/>
          <w:szCs w:val="20"/>
          <w:color w:val="auto"/>
        </w:rPr>
      </w:pPr>
      <w:r>
        <w:rPr>
          <w:rFonts w:ascii="Arial" w:cs="Arial" w:eastAsia="Arial" w:hAnsi="Arial"/>
          <w:sz w:val="17"/>
          <w:szCs w:val="17"/>
          <w:color w:val="auto"/>
        </w:rPr>
        <w:t>For the nine months ended September 30, 2022, net cash used in financing activities was principally due to $56.6 million used to repurchase common shares of the Company ($53.6 million) and IMAX China ($3.0 million), $3.4 million paid to purchase treasury stock for the settlement of restricted share units and related taxes, $2.7 million of dividends paid to the non-controlling interests of IMAX China, and $2.3 million in fees paid in relation to the Sixth Amended and Restated Credit Agreement entered into by the Company during the first quarter of 2022. (See Note 6 of Notes to Condensed Consolidated Financial Statements in Part I, Item 1 for additional information on the Sixth Amended and Restated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223"/>
        <w:spacing w:after="0" w:line="254" w:lineRule="auto"/>
        <w:rPr>
          <w:sz w:val="20"/>
          <w:szCs w:val="20"/>
          <w:color w:val="auto"/>
        </w:rPr>
      </w:pPr>
      <w:r>
        <w:rPr>
          <w:rFonts w:ascii="Arial" w:cs="Arial" w:eastAsia="Arial" w:hAnsi="Arial"/>
          <w:sz w:val="18"/>
          <w:szCs w:val="18"/>
          <w:color w:val="auto"/>
        </w:rPr>
        <w:t>As of September 30, 2023, the Company's available liquidity consists of a balance of cash and cash equivalents of $109.6 million, a total revolving borrowing capacity of $300.0 million under its Sixth Amended and Restated Credit Agreement with Wells Fargo Bank, National Association (the “Credit Agreement”) less $20.0 million in borrowings and a $130.0 million LC, $26.5 million in available borrowing capacity under the IMAX (Shanghai) Multimedia Technology Co., Ltd. (“IMAX Shanghai”) revolving credit facility with the Bank of China (the “Bank of China Facility”), and $22.8 million in available borrowing capacity under IMAX Shanghai’s revolving credit facility with HSBC Bank (China) Company Limited, Shanghai Branch (the “HSBC China Facility”). (See Note 6(a) of Notes to Condensed Consolidated Financial Statements in Part 1, Item 1 for a description of the material terms of the Credit Agreement, the Bank of China Facility, and the HSBC Facility.)</w:t>
      </w:r>
    </w:p>
    <w:p>
      <w:pPr>
        <w:spacing w:after="0" w:line="154" w:lineRule="exact"/>
        <w:rPr>
          <w:sz w:val="20"/>
          <w:szCs w:val="20"/>
          <w:color w:val="auto"/>
        </w:rPr>
      </w:pPr>
    </w:p>
    <w:p>
      <w:pPr>
        <w:jc w:val="both"/>
        <w:ind w:firstLine="223"/>
        <w:spacing w:after="0" w:line="255" w:lineRule="auto"/>
        <w:rPr>
          <w:sz w:val="20"/>
          <w:szCs w:val="20"/>
          <w:color w:val="auto"/>
        </w:rPr>
      </w:pPr>
      <w:r>
        <w:rPr>
          <w:rFonts w:ascii="Arial" w:cs="Arial" w:eastAsia="Arial" w:hAnsi="Arial"/>
          <w:sz w:val="18"/>
          <w:szCs w:val="18"/>
          <w:color w:val="auto"/>
        </w:rPr>
        <w:t>As of September 30, 2023, the Company’s principal sources of liquidity included: (i) its balances of cash and cash equivalents; (ii) the anticipated collection of trade accounts receivable, which includes amounts owed under joint revenue sharing arrangements and film remastering and distribution agreements with movie studios; (iii) the anticipated collection of financing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165" w:lineRule="exact"/>
        <w:rPr>
          <w:sz w:val="20"/>
          <w:szCs w:val="20"/>
          <w:color w:val="auto"/>
        </w:rPr>
      </w:pPr>
    </w:p>
    <w:p>
      <w:pPr>
        <w:jc w:val="both"/>
        <w:ind w:firstLine="223"/>
        <w:spacing w:after="0" w:line="272" w:lineRule="auto"/>
        <w:rPr>
          <w:sz w:val="20"/>
          <w:szCs w:val="20"/>
          <w:color w:val="auto"/>
        </w:rPr>
      </w:pPr>
      <w:r>
        <w:rPr>
          <w:rFonts w:ascii="Arial" w:cs="Arial" w:eastAsia="Arial" w:hAnsi="Arial"/>
          <w:sz w:val="17"/>
          <w:szCs w:val="17"/>
          <w:color w:val="auto"/>
        </w:rPr>
        <w:t>In conjunction with the proposal to acquire the outstanding 96.3 million shares in IMAX China, the Company obtained a consent on June 30, 2023 under the Credit Facility to temporarily increase of the Letter of Credit Accommodations Sublimit from $25.0 million to $130.0 million. On July 11, 2023, the Company obtained an LC in the amount of $130.0 million in favor of Morgan Stanley Asia Limited, the financial adviser for the transaction, to provide certainty of funds for the proposed proceeds and transaction costs payable with respect to the transaction. At the Extraordinary General Meeting of IMAX China shareholders held on October 9, 2023, the vast majority voted in favor of the transaction, however, the Company did not receive approval from 90% of disinterested IMAX China shareholders as required by Hong Kong law and, as a result, the Company's proposal to acquire IMAX China's outstanding shares did not proceed. Consequently, the LC was canceled effective October 11, 2023.</w:t>
      </w:r>
    </w:p>
    <w:p>
      <w:pPr>
        <w:spacing w:after="0" w:line="137" w:lineRule="exact"/>
        <w:rPr>
          <w:sz w:val="20"/>
          <w:szCs w:val="20"/>
          <w:color w:val="auto"/>
        </w:rPr>
      </w:pPr>
    </w:p>
    <w:p>
      <w:pPr>
        <w:jc w:val="both"/>
        <w:ind w:firstLine="223"/>
        <w:spacing w:after="0" w:line="269" w:lineRule="auto"/>
        <w:rPr>
          <w:sz w:val="20"/>
          <w:szCs w:val="20"/>
          <w:color w:val="auto"/>
        </w:rPr>
      </w:pPr>
      <w:r>
        <w:rPr>
          <w:rFonts w:ascii="Arial" w:cs="Arial" w:eastAsia="Arial" w:hAnsi="Arial"/>
          <w:sz w:val="17"/>
          <w:szCs w:val="17"/>
          <w:color w:val="auto"/>
        </w:rPr>
        <w:t>The Company’s $109.6 million balance of cash and cash equivalents as of September 30, 2023 (December 31, 2022 — $97.4 million) includes $88.6 million in cash held outside of Canada (December 31, 2022 — $79.7 million). As of September 30, 2023, cash and cash equivalents held by IMAX China was $78.3 million (December 31, 2022 —$75.0 million), of which $31.5 million was held in the People’s Republic of China (the “PRC”) (December 31, 2022 — $43.7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nine months ended September 30, 2023, $23.8 million of historical earnings from a subsidiary in PRC were distributed and, as a result, $2.4 million of foreign withholding taxes were paid to the relevant tax authorities (2022 — nil). As of September 30, 2023, the Company’s Condensed Consolidated Balance Sheets include a deferred tax liability of $12.5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145" w:lineRule="exact"/>
        <w:rPr>
          <w:sz w:val="20"/>
          <w:szCs w:val="20"/>
          <w:color w:val="auto"/>
        </w:rPr>
      </w:pPr>
    </w:p>
    <w:p>
      <w:pPr>
        <w:jc w:val="both"/>
        <w:ind w:firstLine="224"/>
        <w:spacing w:after="0" w:line="296" w:lineRule="auto"/>
        <w:rPr>
          <w:sz w:val="20"/>
          <w:szCs w:val="20"/>
          <w:color w:val="auto"/>
        </w:rPr>
      </w:pPr>
      <w:r>
        <w:rPr>
          <w:rFonts w:ascii="Arial" w:cs="Arial" w:eastAsia="Arial" w:hAnsi="Arial"/>
          <w:sz w:val="16"/>
          <w:szCs w:val="16"/>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2022 Form 10-K.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jc w:val="both"/>
        <w:ind w:firstLine="224"/>
        <w:spacing w:after="0" w:line="260" w:lineRule="auto"/>
        <w:rPr>
          <w:sz w:val="20"/>
          <w:szCs w:val="20"/>
          <w:color w:val="auto"/>
        </w:rPr>
      </w:pPr>
      <w:r>
        <w:rPr>
          <w:rFonts w:ascii="Arial" w:cs="Arial" w:eastAsia="Arial" w:hAnsi="Arial"/>
          <w:sz w:val="18"/>
          <w:szCs w:val="18"/>
          <w:color w:val="auto"/>
        </w:rPr>
        <w:t xml:space="preserve">For the nine months ended September 30, 2023, box office generated by films exhibited in the IMAX network totaled $888.9 million, a $290.8 million, or 49% increase versus the prior year comparative period of $598.1 million. In the nine months ended September 30, 2023, box office was generated by the exhibition of 62 films (56 new films and 6 carryovers) including </w:t>
      </w:r>
      <w:r>
        <w:rPr>
          <w:rFonts w:ascii="Arial" w:cs="Arial" w:eastAsia="Arial" w:hAnsi="Arial"/>
          <w:sz w:val="18"/>
          <w:szCs w:val="18"/>
          <w:i w:val="1"/>
          <w:iCs w:val="1"/>
          <w:color w:val="auto"/>
        </w:rPr>
        <w:t>Oppenheimer</w:t>
      </w:r>
      <w:r>
        <w:rPr>
          <w:rFonts w:ascii="Arial" w:cs="Arial" w:eastAsia="Arial" w:hAnsi="Arial"/>
          <w:sz w:val="18"/>
          <w:szCs w:val="18"/>
          <w:color w:val="auto"/>
        </w:rPr>
        <w:t>, which generated box office of $180.9 million, and other content. Despite accounting for approximately 1% of all domestic screens and less than 1% of all screens globally, the IMAX network had a domestic market share of 4.6% and a global market share of 3.4% for the nine months ended September 30, 2023. Management is encouraged by the return of the prevalence of exclusive theatrical windows and the strong pipeline of Hollywood and local language movies scheduled to be released for theatrical exhibition throughout the remainder of 2023 and the visibility into 2024 and 2025.</w:t>
      </w:r>
    </w:p>
    <w:p>
      <w:pPr>
        <w:spacing w:after="0" w:line="158"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of September 30, 2023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33"/>
        </w:trPr>
        <w:tc>
          <w:tcPr>
            <w:tcW w:w="15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393"/>
              <w:spacing w:after="0" w:line="13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5"/>
        </w:trPr>
        <w:tc>
          <w:tcPr>
            <w:tcW w:w="52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40" w:type="dxa"/>
            <w:vAlign w:val="bottom"/>
          </w:tcPr>
          <w:p>
            <w:pPr>
              <w:spacing w:after="0"/>
              <w:rPr>
                <w:sz w:val="16"/>
                <w:szCs w:val="16"/>
                <w:color w:val="auto"/>
              </w:rPr>
            </w:pPr>
          </w:p>
        </w:tc>
        <w:tc>
          <w:tcPr>
            <w:tcW w:w="980" w:type="dxa"/>
            <w:vAlign w:val="bottom"/>
          </w:tcPr>
          <w:p>
            <w:pPr>
              <w:jc w:val="right"/>
              <w:ind w:right="213"/>
              <w:spacing w:after="0"/>
              <w:rPr>
                <w:sz w:val="20"/>
                <w:szCs w:val="20"/>
                <w:color w:val="auto"/>
              </w:rPr>
            </w:pPr>
            <w:r>
              <w:rPr>
                <w:rFonts w:ascii="Arial" w:cs="Arial" w:eastAsia="Arial" w:hAnsi="Arial"/>
                <w:sz w:val="14"/>
                <w:szCs w:val="14"/>
                <w:b w:val="1"/>
                <w:bCs w:val="1"/>
                <w:color w:val="auto"/>
                <w:w w:val="95"/>
              </w:rPr>
              <w:t>Obligation</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1 to 3 years</w:t>
            </w:r>
          </w:p>
        </w:tc>
        <w:tc>
          <w:tcPr>
            <w:tcW w:w="12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w w:val="90"/>
              </w:rPr>
              <w:t>3 to 5 years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Thereafter</w:t>
            </w:r>
          </w:p>
        </w:tc>
      </w:tr>
      <w:tr>
        <w:trPr>
          <w:trHeight w:val="237"/>
        </w:trPr>
        <w:tc>
          <w:tcPr>
            <w:tcW w:w="5200" w:type="dxa"/>
            <w:vAlign w:val="bottom"/>
            <w:gridSpan w:val="2"/>
            <w:shd w:val="clear" w:color="auto" w:fill="CFF0FC"/>
          </w:tcPr>
          <w:p>
            <w:pPr>
              <w:ind w:left="20"/>
              <w:spacing w:after="0" w:line="23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30,458</w:t>
            </w: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28,400</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1,575</w:t>
            </w: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214</w:t>
            </w:r>
          </w:p>
        </w:tc>
      </w:tr>
      <w:tr>
        <w:trPr>
          <w:trHeight w:val="243"/>
        </w:trPr>
        <w:tc>
          <w:tcPr>
            <w:tcW w:w="52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Pension obligations</w:t>
            </w:r>
            <w:r>
              <w:rPr>
                <w:rFonts w:ascii="Arial" w:cs="Arial" w:eastAsia="Arial" w:hAnsi="Arial"/>
                <w:sz w:val="24"/>
                <w:szCs w:val="24"/>
                <w:color w:val="auto"/>
                <w:vertAlign w:val="superscript"/>
              </w:rPr>
              <w:t>(2)</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14,989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3,219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5,041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4,147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2,582</w:t>
            </w:r>
          </w:p>
        </w:tc>
      </w:tr>
      <w:tr>
        <w:trPr>
          <w:trHeight w:val="23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9"/>
        </w:trPr>
        <w:tc>
          <w:tcPr>
            <w:tcW w:w="5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Wells Fargo Facility</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HSBC Facility</w:t>
            </w:r>
          </w:p>
        </w:tc>
        <w:tc>
          <w:tcPr>
            <w:tcW w:w="14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5,108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49"/>
        </w:trPr>
        <w:tc>
          <w:tcPr>
            <w:tcW w:w="5200" w:type="dxa"/>
            <w:vAlign w:val="bottom"/>
            <w:gridSpan w:val="2"/>
            <w:shd w:val="clear" w:color="auto" w:fill="CFF0FC"/>
          </w:tcPr>
          <w:p>
            <w:pPr>
              <w:ind w:left="20"/>
              <w:spacing w:after="0" w:line="249" w:lineRule="exact"/>
              <w:rPr>
                <w:sz w:val="20"/>
                <w:szCs w:val="20"/>
                <w:color w:val="auto"/>
              </w:rPr>
            </w:pPr>
            <w:r>
              <w:rPr>
                <w:rFonts w:ascii="Arial" w:cs="Arial" w:eastAsia="Arial" w:hAnsi="Arial"/>
                <w:sz w:val="18"/>
                <w:szCs w:val="18"/>
                <w:color w:val="auto"/>
              </w:rPr>
              <w:t>Federal Economic Development Loan</w:t>
            </w:r>
            <w:r>
              <w:rPr>
                <w:rFonts w:ascii="Arial" w:cs="Arial" w:eastAsia="Arial" w:hAnsi="Arial"/>
                <w:sz w:val="24"/>
                <w:szCs w:val="24"/>
                <w:color w:val="auto"/>
                <w:vertAlign w:val="superscript"/>
              </w:rPr>
              <w:t>(4)</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3,728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2,237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Convertible Notes</w:t>
            </w:r>
            <w:r>
              <w:rPr>
                <w:rFonts w:ascii="Arial" w:cs="Arial" w:eastAsia="Arial" w:hAnsi="Arial"/>
                <w:sz w:val="24"/>
                <w:szCs w:val="24"/>
                <w:color w:val="auto"/>
                <w:vertAlign w:val="superscript"/>
              </w:rPr>
              <w:t>(5)</w:t>
            </w:r>
          </w:p>
        </w:tc>
        <w:tc>
          <w:tcPr>
            <w:tcW w:w="14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233,450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232,300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2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Postretirement benefits obligations</w:t>
            </w: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2,455</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210</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1,920</w:t>
            </w:r>
          </w:p>
        </w:tc>
      </w:tr>
      <w:tr>
        <w:trPr>
          <w:trHeight w:val="236"/>
        </w:trPr>
        <w:tc>
          <w:tcPr>
            <w:tcW w:w="15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331,022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39,048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261,689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25,569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4,716</w:t>
            </w:r>
          </w:p>
        </w:tc>
      </w:tr>
      <w:tr>
        <w:trPr>
          <w:trHeight w:val="20"/>
        </w:trPr>
        <w:tc>
          <w:tcPr>
            <w:tcW w:w="1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150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-281940</wp:posOffset>
            </wp:positionV>
            <wp:extent cx="85725" cy="18859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-281940</wp:posOffset>
            </wp:positionV>
            <wp:extent cx="76835" cy="18859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-281940</wp:posOffset>
            </wp:positionV>
            <wp:extent cx="77470" cy="1885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-281940</wp:posOffset>
            </wp:positionV>
            <wp:extent cx="77470" cy="1885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41" w:lineRule="exact"/>
        <w:rPr>
          <w:sz w:val="20"/>
          <w:szCs w:val="20"/>
          <w:color w:val="auto"/>
        </w:rPr>
      </w:pPr>
    </w:p>
    <w:p>
      <w:pPr>
        <w:ind w:left="380" w:right="20" w:hanging="372"/>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spacing w:after="0" w:line="143" w:lineRule="exact"/>
        <w:rPr>
          <w:rFonts w:ascii="Arial" w:cs="Arial" w:eastAsia="Arial" w:hAnsi="Arial"/>
          <w:sz w:val="18"/>
          <w:szCs w:val="18"/>
          <w:color w:val="auto"/>
        </w:rPr>
      </w:pPr>
    </w:p>
    <w:p>
      <w:pPr>
        <w:jc w:val="both"/>
        <w:ind w:left="380" w:hanging="372"/>
        <w:spacing w:after="0" w:line="25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spacing w:after="0" w:line="147"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total minimum annual rental payments due under the Company’s operating leases.</w:t>
      </w:r>
    </w:p>
    <w:p>
      <w:pPr>
        <w:spacing w:after="0" w:line="184"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Economic Development Loan will be repayable over 60 months, with repayments estimated to begin in January 2024. (See Note 6(b) of Notes to Condensed Consolidated Financial Statements in Part I, Item 1.)</w:t>
      </w:r>
    </w:p>
    <w:p>
      <w:pPr>
        <w:spacing w:after="0" w:line="143" w:lineRule="exact"/>
        <w:rPr>
          <w:rFonts w:ascii="Arial" w:cs="Arial" w:eastAsia="Arial" w:hAnsi="Arial"/>
          <w:sz w:val="18"/>
          <w:szCs w:val="18"/>
          <w:color w:val="auto"/>
        </w:rPr>
      </w:pPr>
    </w:p>
    <w:p>
      <w:pPr>
        <w:jc w:val="both"/>
        <w:ind w:left="380" w:hanging="372"/>
        <w:spacing w:after="0" w:line="263"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6(b) of Notes to Condensed Consolidated Financial Statements in Part I, Item 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firstLine="224"/>
        <w:spacing w:after="0" w:line="272" w:lineRule="auto"/>
        <w:rPr>
          <w:sz w:val="20"/>
          <w:szCs w:val="20"/>
          <w:color w:val="auto"/>
        </w:rPr>
      </w:pPr>
      <w:r>
        <w:rPr>
          <w:rFonts w:ascii="Arial" w:cs="Arial" w:eastAsia="Arial" w:hAnsi="Arial"/>
          <w:sz w:val="17"/>
          <w:szCs w:val="17"/>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2022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20" w:firstLine="224"/>
        <w:spacing w:after="0" w:line="277" w:lineRule="auto"/>
        <w:rPr>
          <w:sz w:val="20"/>
          <w:szCs w:val="20"/>
          <w:color w:val="auto"/>
        </w:rPr>
      </w:pPr>
      <w:r>
        <w:rPr>
          <w:rFonts w:ascii="Arial" w:cs="Arial" w:eastAsia="Arial" w:hAnsi="Arial"/>
          <w:sz w:val="18"/>
          <w:szCs w:val="18"/>
          <w:color w:val="auto"/>
        </w:rPr>
        <w:t>See Note 2 of Notes to Condensed Consolidated Financial Statements in Part I, Item 1 for a discussion of recently issued accounting standards and their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184" w:lineRule="exact"/>
        <w:rPr>
          <w:sz w:val="20"/>
          <w:szCs w:val="20"/>
          <w:color w:val="auto"/>
        </w:rPr>
      </w:pPr>
    </w:p>
    <w:p>
      <w:pPr>
        <w:ind w:left="600" w:hanging="368"/>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net income or loss attributable to common shareholders;</w:t>
      </w:r>
    </w:p>
    <w:p>
      <w:pPr>
        <w:spacing w:after="0" w:line="252" w:lineRule="exact"/>
        <w:rPr>
          <w:rFonts w:ascii="Arial" w:cs="Arial" w:eastAsia="Arial" w:hAnsi="Arial"/>
          <w:sz w:val="18"/>
          <w:szCs w:val="18"/>
          <w:color w:val="auto"/>
        </w:rPr>
      </w:pPr>
    </w:p>
    <w:p>
      <w:pPr>
        <w:ind w:left="600" w:hanging="368"/>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net income or loss attributable to common shareholders per basic and diluted share;</w:t>
      </w:r>
    </w:p>
    <w:p>
      <w:pPr>
        <w:spacing w:after="0" w:line="225" w:lineRule="exact"/>
        <w:rPr>
          <w:rFonts w:ascii="Arial" w:cs="Arial" w:eastAsia="Arial" w:hAnsi="Arial"/>
          <w:sz w:val="18"/>
          <w:szCs w:val="18"/>
          <w:color w:val="auto"/>
        </w:rPr>
      </w:pPr>
    </w:p>
    <w:p>
      <w:pPr>
        <w:ind w:left="600" w:hanging="368"/>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52" w:lineRule="exact"/>
        <w:rPr>
          <w:rFonts w:ascii="Arial" w:cs="Arial" w:eastAsia="Arial" w:hAnsi="Arial"/>
          <w:sz w:val="18"/>
          <w:szCs w:val="18"/>
          <w:color w:val="auto"/>
        </w:rPr>
      </w:pPr>
    </w:p>
    <w:p>
      <w:pPr>
        <w:ind w:left="600" w:hanging="368"/>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5" w:lineRule="exact"/>
        <w:rPr>
          <w:sz w:val="20"/>
          <w:szCs w:val="20"/>
          <w:color w:val="auto"/>
        </w:rPr>
      </w:pPr>
    </w:p>
    <w:p>
      <w:pPr>
        <w:jc w:val="both"/>
        <w:ind w:firstLine="224"/>
        <w:spacing w:after="0" w:line="311" w:lineRule="auto"/>
        <w:rPr>
          <w:sz w:val="20"/>
          <w:szCs w:val="20"/>
          <w:color w:val="auto"/>
        </w:rPr>
      </w:pPr>
      <w:r>
        <w:rPr>
          <w:rFonts w:ascii="Arial" w:cs="Arial" w:eastAsia="Arial" w:hAnsi="Arial"/>
          <w:sz w:val="16"/>
          <w:szCs w:val="16"/>
          <w:color w:val="auto"/>
        </w:rPr>
        <w:t>Adjusted net income or loss attributable to common shareholders and adjusted net income or loss attributable to common shareholders per basic and diluted share exclude, where applicable: (i) share-based compensation; (ii) COVID-19 government relief benefits; (iii) realized and unrealized investment gains or losses; (iv) transaction-related expenses; and (v) executive transition costs, as well as the related tax impact of these adjustments.</w:t>
      </w:r>
    </w:p>
    <w:p>
      <w:pPr>
        <w:spacing w:after="0" w:line="122" w:lineRule="exact"/>
        <w:rPr>
          <w:sz w:val="20"/>
          <w:szCs w:val="20"/>
          <w:color w:val="auto"/>
        </w:rPr>
      </w:pPr>
    </w:p>
    <w:p>
      <w:pPr>
        <w:jc w:val="both"/>
        <w:ind w:firstLine="224"/>
        <w:spacing w:after="0" w:line="257"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w:t>
      </w:r>
      <w:r>
        <w:rPr>
          <w:rFonts w:ascii="Arial" w:cs="Arial" w:eastAsia="Arial" w:hAnsi="Arial"/>
          <w:sz w:val="18"/>
          <w:szCs w:val="18"/>
          <w:color w:val="auto"/>
        </w:rPr>
        <w:t xml:space="preserve"> </w:t>
      </w:r>
      <w:r>
        <w:rPr>
          <w:rFonts w:ascii="Arial" w:cs="Arial" w:eastAsia="Arial" w:hAnsi="Arial"/>
          <w:sz w:val="18"/>
          <w:szCs w:val="18"/>
          <w:color w:val="212529"/>
        </w:rPr>
        <w:t xml:space="preserve">the after-tax impact of share-based compensation and </w:t>
      </w:r>
      <w:r>
        <w:rPr>
          <w:rFonts w:ascii="Arial" w:cs="Arial" w:eastAsia="Arial" w:hAnsi="Arial"/>
          <w:sz w:val="18"/>
          <w:szCs w:val="18"/>
          <w:color w:val="000000"/>
        </w:rPr>
        <w:t>certain unusual items included in net income or loss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w:t>
      </w:r>
      <w:r>
        <w:rPr>
          <w:rFonts w:ascii="Arial" w:cs="Arial" w:eastAsia="Arial" w:hAnsi="Arial"/>
          <w:sz w:val="18"/>
          <w:szCs w:val="18"/>
          <w:color w:val="212529"/>
        </w:rPr>
        <w:t xml:space="preserve"> </w:t>
      </w:r>
      <w:r>
        <w:rPr>
          <w:rFonts w:ascii="Arial" w:cs="Arial" w:eastAsia="Arial" w:hAnsi="Arial"/>
          <w:sz w:val="18"/>
          <w:szCs w:val="18"/>
          <w:color w:val="000000"/>
        </w:rPr>
        <w:t>share-based compensation is an important aspect of the Company’s employee and executive compensation packages, it is a non-cash expense and is excluded from certain internal business performance measures.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firstLine="224"/>
        <w:spacing w:after="0" w:line="342" w:lineRule="auto"/>
        <w:rPr>
          <w:sz w:val="20"/>
          <w:szCs w:val="20"/>
          <w:color w:val="auto"/>
        </w:rPr>
      </w:pPr>
      <w:r>
        <w:rPr>
          <w:rFonts w:ascii="Arial" w:cs="Arial" w:eastAsia="Arial" w:hAnsi="Arial"/>
          <w:sz w:val="16"/>
          <w:szCs w:val="16"/>
          <w:color w:val="auto"/>
        </w:rPr>
        <w:t>Reconciliations of net income (loss) attributable to common shareholders and the associated per share amounts to adjusted net income (loss) attributable to common shareholders and adjusted net income (loss) attributable to common shareholders per diluted share are presented in the tables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2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w w:val="98"/>
              </w:rPr>
              <w:t>Net Income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8"/>
                <w:szCs w:val="18"/>
                <w:color w:val="auto"/>
              </w:rPr>
            </w:pPr>
          </w:p>
        </w:tc>
        <w:tc>
          <w:tcPr>
            <w:tcW w:w="10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1"/>
              </w:rPr>
              <w:t>Net Loss</w:t>
            </w:r>
          </w:p>
        </w:tc>
        <w:tc>
          <w:tcPr>
            <w:tcW w:w="12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37"/>
        </w:trPr>
        <w:tc>
          <w:tcPr>
            <w:tcW w:w="6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11,990</w:t>
            </w:r>
          </w:p>
        </w:tc>
        <w:tc>
          <w:tcPr>
            <w:tcW w:w="3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3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74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Adjustments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5,063</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200"/>
              <w:spacing w:after="0"/>
              <w:rPr>
                <w:sz w:val="20"/>
                <w:szCs w:val="20"/>
                <w:color w:val="auto"/>
              </w:rPr>
            </w:pPr>
            <w:r>
              <w:rPr>
                <w:rFonts w:ascii="Arial" w:cs="Arial" w:eastAsia="Arial" w:hAnsi="Arial"/>
                <w:sz w:val="18"/>
                <w:szCs w:val="18"/>
                <w:color w:val="auto"/>
              </w:rPr>
              <w:t>COVID-19 government relief benefits, net</w:t>
            </w:r>
          </w:p>
        </w:tc>
        <w:tc>
          <w:tcPr>
            <w:tcW w:w="220" w:type="dxa"/>
            <w:vAlign w:val="bottom"/>
          </w:tcPr>
          <w:p>
            <w:pPr>
              <w:spacing w:after="0"/>
              <w:rPr>
                <w:sz w:val="20"/>
                <w:szCs w:val="20"/>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Unrealized investment gains</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(454 )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(0.01 )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3"/>
          </w:tcPr>
          <w:p>
            <w:pPr>
              <w:ind w:left="200"/>
              <w:spacing w:after="0" w:line="243" w:lineRule="exact"/>
              <w:rPr>
                <w:sz w:val="20"/>
                <w:szCs w:val="20"/>
                <w:color w:val="auto"/>
              </w:rPr>
            </w:pPr>
            <w:r>
              <w:rPr>
                <w:rFonts w:ascii="Arial" w:cs="Arial" w:eastAsia="Arial" w:hAnsi="Arial"/>
                <w:sz w:val="18"/>
                <w:szCs w:val="18"/>
                <w:color w:val="auto"/>
              </w:rPr>
              <w:t>Transaction-related expenses</w:t>
            </w:r>
            <w:r>
              <w:rPr>
                <w:rFonts w:ascii="Arial" w:cs="Arial" w:eastAsia="Arial" w:hAnsi="Arial"/>
                <w:sz w:val="24"/>
                <w:szCs w:val="24"/>
                <w:color w:val="auto"/>
                <w:vertAlign w:val="superscript"/>
              </w:rPr>
              <w:t>(2)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3,086</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Tax impact on items listed above</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(275 )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(214 )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gridSpan w:val="3"/>
          </w:tcPr>
          <w:p>
            <w:pPr>
              <w:ind w:left="20"/>
              <w:spacing w:after="0" w:line="236"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4"/>
                <w:szCs w:val="24"/>
                <w:color w:val="auto"/>
                <w:vertAlign w:val="superscript"/>
              </w:rPr>
              <w:t>(1)</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32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shd w:val="clear" w:color="auto" w:fill="CFF0FC"/>
          </w:tcPr>
          <w:p>
            <w:pPr>
              <w:spacing w:after="0"/>
              <w:rPr>
                <w:sz w:val="19"/>
                <w:szCs w:val="19"/>
                <w:color w:val="auto"/>
              </w:rPr>
            </w:pPr>
          </w:p>
        </w:tc>
        <w:tc>
          <w:tcPr>
            <w:tcW w:w="5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54,618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7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55,535</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56,039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500" w:type="dxa"/>
            <w:vAlign w:val="bottom"/>
            <w:tcBorders>
              <w:bottom w:val="single" w:sz="8" w:color="auto"/>
            </w:tcBorders>
          </w:tcPr>
          <w:p>
            <w:pPr>
              <w:spacing w:after="0"/>
              <w:rPr>
                <w:sz w:val="10"/>
                <w:szCs w:val="10"/>
                <w:color w:val="auto"/>
              </w:rPr>
            </w:pPr>
          </w:p>
        </w:tc>
        <w:tc>
          <w:tcPr>
            <w:tcW w:w="5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60" w:type="dxa"/>
            <w:vAlign w:val="bottom"/>
            <w:gridSpan w:val="7"/>
            <w:vMerge w:val="restart"/>
          </w:tcPr>
          <w:p>
            <w:pPr>
              <w:jc w:val="right"/>
              <w:ind w:right="23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of U.S. dollars, except per share amounts)</w:t>
            </w:r>
          </w:p>
        </w:tc>
        <w:tc>
          <w:tcPr>
            <w:tcW w:w="12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w w:val="98"/>
              </w:rPr>
              <w:t>Net Income</w:t>
            </w:r>
          </w:p>
        </w:tc>
        <w:tc>
          <w:tcPr>
            <w:tcW w:w="12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9"/>
                <w:szCs w:val="19"/>
                <w:color w:val="auto"/>
              </w:rPr>
            </w:pPr>
          </w:p>
        </w:tc>
        <w:tc>
          <w:tcPr>
            <w:tcW w:w="10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1"/>
              </w:rPr>
              <w:t>Net Loss</w:t>
            </w:r>
          </w:p>
        </w:tc>
        <w:tc>
          <w:tcPr>
            <w:tcW w:w="120" w:type="dxa"/>
            <w:vAlign w:val="bottom"/>
          </w:tcPr>
          <w:p>
            <w:pPr>
              <w:spacing w:after="0"/>
              <w:rPr>
                <w:sz w:val="19"/>
                <w:szCs w:val="19"/>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37"/>
        </w:trPr>
        <w:tc>
          <w:tcPr>
            <w:tcW w:w="67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22,795</w:t>
            </w:r>
          </w:p>
        </w:tc>
        <w:tc>
          <w:tcPr>
            <w:tcW w:w="3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(25,413</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674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Adjustments</w:t>
            </w:r>
            <w:r>
              <w:rPr>
                <w:rFonts w:ascii="Arial" w:cs="Arial" w:eastAsia="Arial" w:hAnsi="Arial"/>
                <w:sz w:val="24"/>
                <w:szCs w:val="24"/>
                <w:color w:val="auto"/>
                <w:vertAlign w:val="superscript"/>
              </w:rPr>
              <w:t>(1)</w:t>
            </w: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17,110</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gridSpan w:val="3"/>
          </w:tcPr>
          <w:p>
            <w:pPr>
              <w:ind w:left="200"/>
              <w:spacing w:after="0"/>
              <w:rPr>
                <w:sz w:val="20"/>
                <w:szCs w:val="20"/>
                <w:color w:val="auto"/>
              </w:rPr>
            </w:pPr>
            <w:r>
              <w:rPr>
                <w:rFonts w:ascii="Arial" w:cs="Arial" w:eastAsia="Arial" w:hAnsi="Arial"/>
                <w:sz w:val="18"/>
                <w:szCs w:val="18"/>
                <w:color w:val="auto"/>
              </w:rPr>
              <w:t>COVID-19 government relief benefits, net</w:t>
            </w:r>
          </w:p>
        </w:tc>
        <w:tc>
          <w:tcPr>
            <w:tcW w:w="220" w:type="dxa"/>
            <w:vAlign w:val="bottom"/>
          </w:tcPr>
          <w:p>
            <w:pPr>
              <w:spacing w:after="0"/>
              <w:rPr>
                <w:sz w:val="20"/>
                <w:szCs w:val="20"/>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(373 )</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49"/>
        </w:trPr>
        <w:tc>
          <w:tcPr>
            <w:tcW w:w="67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Unrealized investment gains</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(526 )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(0.01 )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(98 )</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3"/>
          </w:tcPr>
          <w:p>
            <w:pPr>
              <w:ind w:left="200"/>
              <w:spacing w:after="0" w:line="243" w:lineRule="exact"/>
              <w:rPr>
                <w:sz w:val="20"/>
                <w:szCs w:val="20"/>
                <w:color w:val="auto"/>
              </w:rPr>
            </w:pPr>
            <w:r>
              <w:rPr>
                <w:rFonts w:ascii="Arial" w:cs="Arial" w:eastAsia="Arial" w:hAnsi="Arial"/>
                <w:sz w:val="18"/>
                <w:szCs w:val="18"/>
                <w:color w:val="auto"/>
              </w:rPr>
              <w:t>Transaction-related expenses</w:t>
            </w:r>
            <w:r>
              <w:rPr>
                <w:rFonts w:ascii="Arial" w:cs="Arial" w:eastAsia="Arial" w:hAnsi="Arial"/>
                <w:sz w:val="24"/>
                <w:szCs w:val="24"/>
                <w:color w:val="auto"/>
                <w:vertAlign w:val="superscript"/>
              </w:rPr>
              <w:t>(2)</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3"/>
            <w:shd w:val="clear" w:color="auto" w:fill="CFF0FC"/>
          </w:tcPr>
          <w:p>
            <w:pPr>
              <w:ind w:left="200"/>
              <w:spacing w:after="0" w:line="243" w:lineRule="exact"/>
              <w:rPr>
                <w:sz w:val="20"/>
                <w:szCs w:val="20"/>
                <w:color w:val="auto"/>
              </w:rPr>
            </w:pPr>
            <w:r>
              <w:rPr>
                <w:rFonts w:ascii="Arial" w:cs="Arial" w:eastAsia="Arial" w:hAnsi="Arial"/>
                <w:sz w:val="18"/>
                <w:szCs w:val="18"/>
                <w:color w:val="auto"/>
              </w:rPr>
              <w:t>Executive transition costs</w:t>
            </w:r>
            <w:r>
              <w:rPr>
                <w:rFonts w:ascii="Arial" w:cs="Arial" w:eastAsia="Arial" w:hAnsi="Arial"/>
                <w:sz w:val="24"/>
                <w:szCs w:val="24"/>
                <w:color w:val="auto"/>
                <w:vertAlign w:val="superscript"/>
              </w:rPr>
              <w:t>(3)</w:t>
            </w: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gridSpan w:val="3"/>
          </w:tcPr>
          <w:p>
            <w:pPr>
              <w:ind w:left="200"/>
              <w:spacing w:after="0"/>
              <w:rPr>
                <w:sz w:val="20"/>
                <w:szCs w:val="20"/>
                <w:color w:val="auto"/>
              </w:rPr>
            </w:pPr>
            <w:r>
              <w:rPr>
                <w:rFonts w:ascii="Arial" w:cs="Arial" w:eastAsia="Arial" w:hAnsi="Arial"/>
                <w:sz w:val="18"/>
                <w:szCs w:val="18"/>
                <w:color w:val="auto"/>
              </w:rPr>
              <w:t>Tax impact on items listed above</w:t>
            </w:r>
          </w:p>
        </w:tc>
        <w:tc>
          <w:tcPr>
            <w:tcW w:w="220" w:type="dxa"/>
            <w:vAlign w:val="bottom"/>
          </w:tcPr>
          <w:p>
            <w:pPr>
              <w:spacing w:after="0"/>
              <w:rPr>
                <w:sz w:val="20"/>
                <w:szCs w:val="20"/>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8"/>
                <w:szCs w:val="18"/>
                <w:color w:val="auto"/>
              </w:rPr>
              <w:t>(1,184 )</w:t>
            </w: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(0.02 )</w:t>
            </w:r>
          </w:p>
        </w:tc>
        <w:tc>
          <w:tcPr>
            <w:tcW w:w="120" w:type="dxa"/>
            <w:vAlign w:val="bottom"/>
          </w:tcPr>
          <w:p>
            <w:pPr>
              <w:spacing w:after="0"/>
              <w:rPr>
                <w:sz w:val="20"/>
                <w:szCs w:val="20"/>
                <w:color w:val="auto"/>
              </w:rPr>
            </w:pPr>
          </w:p>
        </w:tc>
        <w:tc>
          <w:tcPr>
            <w:tcW w:w="1020" w:type="dxa"/>
            <w:vAlign w:val="bottom"/>
            <w:gridSpan w:val="2"/>
          </w:tcPr>
          <w:p>
            <w:pPr>
              <w:jc w:val="right"/>
              <w:ind w:right="150"/>
              <w:spacing w:after="0"/>
              <w:rPr>
                <w:sz w:val="20"/>
                <w:szCs w:val="20"/>
                <w:color w:val="auto"/>
              </w:rPr>
            </w:pPr>
            <w:r>
              <w:rPr>
                <w:rFonts w:ascii="Arial" w:cs="Arial" w:eastAsia="Arial" w:hAnsi="Arial"/>
                <w:sz w:val="18"/>
                <w:szCs w:val="18"/>
                <w:color w:val="auto"/>
              </w:rPr>
              <w:t>(1,071 )</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83"/>
        </w:trPr>
        <w:tc>
          <w:tcPr>
            <w:tcW w:w="6740" w:type="dxa"/>
            <w:vAlign w:val="bottom"/>
            <w:tcBorders>
              <w:top w:val="single" w:sz="8" w:color="CFF0FC"/>
              <w:bottom w:val="single" w:sz="8" w:color="CFF0FC"/>
            </w:tcBorders>
            <w:gridSpan w:val="3"/>
            <w:shd w:val="clear" w:color="auto" w:fill="CFF0FC"/>
          </w:tcPr>
          <w:p>
            <w:pPr>
              <w:ind w:left="20"/>
              <w:spacing w:after="0" w:line="243" w:lineRule="exact"/>
              <w:rPr>
                <w:sz w:val="20"/>
                <w:szCs w:val="20"/>
                <w:color w:val="auto"/>
              </w:rPr>
            </w:pPr>
            <w:r>
              <w:rPr>
                <w:rFonts w:ascii="Arial" w:cs="Arial" w:eastAsia="Arial" w:hAnsi="Arial"/>
                <w:sz w:val="18"/>
                <w:szCs w:val="18"/>
                <w:color w:val="auto"/>
              </w:rPr>
              <w:t>Adjusted net income (loss)</w:t>
            </w:r>
            <w:r>
              <w:rPr>
                <w:rFonts w:ascii="Arial" w:cs="Arial" w:eastAsia="Arial" w:hAnsi="Arial"/>
                <w:sz w:val="24"/>
                <w:szCs w:val="24"/>
                <w:color w:val="auto"/>
                <w:vertAlign w:val="superscript"/>
              </w:rPr>
              <w:t>(1)</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42,790</w:t>
            </w:r>
          </w:p>
        </w:tc>
        <w:tc>
          <w:tcPr>
            <w:tcW w:w="36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0.77</w:t>
            </w:r>
          </w:p>
        </w:tc>
        <w:tc>
          <w:tcPr>
            <w:tcW w:w="34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(7,349</w:t>
            </w:r>
          </w:p>
        </w:tc>
        <w:tc>
          <w:tcPr>
            <w:tcW w:w="320" w:type="dxa"/>
            <w:vAlign w:val="bottom"/>
            <w:tcBorders>
              <w:top w:val="single" w:sz="8" w:color="CFF0FC"/>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674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7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54,424</w:t>
            </w:r>
          </w:p>
        </w:tc>
        <w:tc>
          <w:tcPr>
            <w:tcW w:w="3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tcBorders>
              <w:bottom w:val="single" w:sz="8" w:color="auto"/>
            </w:tcBorders>
          </w:tcPr>
          <w:p>
            <w:pPr>
              <w:spacing w:after="0"/>
              <w:rPr>
                <w:sz w:val="21"/>
                <w:szCs w:val="21"/>
                <w:color w:val="auto"/>
              </w:rPr>
            </w:pPr>
          </w:p>
        </w:tc>
        <w:tc>
          <w:tcPr>
            <w:tcW w:w="5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-2682240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-2665095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-873760</wp:posOffset>
            </wp:positionV>
            <wp:extent cx="2322830" cy="3429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322830" cy="34290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-376555</wp:posOffset>
            </wp:positionV>
            <wp:extent cx="1568450" cy="2057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568450" cy="205740"/>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amounts attributable to common shareholders.</w:t>
      </w:r>
    </w:p>
    <w:p>
      <w:pPr>
        <w:spacing w:after="0" w:line="184"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costs incurred resulting from the Company's with the proposal to acquire the outstanding 96.3 million shares in IMAX China. (See Note 6 of Notes to Condensed Consolidated Financial Statements in Part I, Item 1.)</w:t>
      </w:r>
    </w:p>
    <w:p>
      <w:pPr>
        <w:spacing w:after="0" w:line="129"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costs in connection with the departure of Megan Colligan, President, IMAX Entertainment and Executive Vice President of the Company. (See Note 16 of Notes to Condensed Consolidated Financial Statements in Part I, Item 1.)</w:t>
      </w:r>
    </w:p>
    <w:p>
      <w:pPr>
        <w:spacing w:after="0" w:line="143"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In addition to the non-GAAP financial measures discussed above, management also uses “EBITDA,” as well as “Adjusted EBITDA per Credit Facility,” as defined in the Credit Agreement.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0" w:name="page71"/>
    <w:bookmarkEnd w:id="70"/>
    <w:p>
      <w:pPr>
        <w:jc w:val="both"/>
        <w:ind w:firstLine="224"/>
        <w:spacing w:after="0" w:line="279" w:lineRule="auto"/>
        <w:rPr>
          <w:sz w:val="20"/>
          <w:szCs w:val="20"/>
          <w:color w:val="auto"/>
        </w:rPr>
      </w:pPr>
      <w:r>
        <w:rPr>
          <w:rFonts w:ascii="Arial" w:cs="Arial" w:eastAsia="Arial" w:hAnsi="Arial"/>
          <w:sz w:val="17"/>
          <w:szCs w:val="17"/>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transaction-related expenses; (iv) executive transition costs; and (v) write-downs, net of recoveries, including asset impairments and credit loss expense.</w:t>
      </w:r>
    </w:p>
    <w:p>
      <w:pPr>
        <w:spacing w:after="0" w:line="144" w:lineRule="exact"/>
        <w:rPr>
          <w:sz w:val="20"/>
          <w:szCs w:val="20"/>
          <w:color w:val="auto"/>
        </w:rPr>
      </w:pPr>
    </w:p>
    <w:p>
      <w:pPr>
        <w:jc w:val="both"/>
        <w:ind w:firstLine="224"/>
        <w:spacing w:after="0" w:line="277" w:lineRule="auto"/>
        <w:rPr>
          <w:sz w:val="20"/>
          <w:szCs w:val="20"/>
          <w:color w:val="auto"/>
        </w:rPr>
      </w:pPr>
      <w:r>
        <w:rPr>
          <w:rFonts w:ascii="Arial" w:cs="Arial" w:eastAsia="Arial" w:hAnsi="Arial"/>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gridSpan w:val="15"/>
          </w:tcPr>
          <w:p>
            <w:pPr>
              <w:jc w:val="center"/>
              <w:ind w:right="340"/>
              <w:spacing w:after="0"/>
              <w:rPr>
                <w:sz w:val="20"/>
                <w:szCs w:val="20"/>
                <w:color w:val="auto"/>
              </w:rPr>
            </w:pPr>
            <w:r>
              <w:rPr>
                <w:rFonts w:ascii="Arial" w:cs="Arial" w:eastAsia="Arial" w:hAnsi="Arial"/>
                <w:sz w:val="14"/>
                <w:szCs w:val="14"/>
                <w:b w:val="1"/>
                <w:bCs w:val="1"/>
                <w:color w:val="auto"/>
                <w:w w:val="93"/>
              </w:rPr>
              <w:t>For the Three Months Ended September 30, 2023</w:t>
            </w:r>
          </w:p>
        </w:tc>
      </w:tr>
      <w:tr>
        <w:trPr>
          <w:trHeight w:val="238"/>
        </w:trPr>
        <w:tc>
          <w:tcPr>
            <w:tcW w:w="15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6"/>
              </w:rPr>
              <w:t>Attributable to</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5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Interests and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Less: Attributable to</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Attributable to</w:t>
            </w:r>
          </w:p>
        </w:tc>
      </w:tr>
      <w:tr>
        <w:trPr>
          <w:trHeight w:val="228"/>
        </w:trPr>
        <w:tc>
          <w:tcPr>
            <w:tcW w:w="5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18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Common Shareholders</w:t>
            </w:r>
          </w:p>
        </w:tc>
        <w:tc>
          <w:tcPr>
            <w:tcW w:w="100" w:type="dxa"/>
            <w:vAlign w:val="bottom"/>
          </w:tcPr>
          <w:p>
            <w:pPr>
              <w:spacing w:after="0"/>
              <w:rPr>
                <w:sz w:val="19"/>
                <w:szCs w:val="19"/>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Non-controlling Interests</w:t>
            </w:r>
          </w:p>
        </w:tc>
        <w:tc>
          <w:tcPr>
            <w:tcW w:w="20" w:type="dxa"/>
            <w:vAlign w:val="bottom"/>
          </w:tcPr>
          <w:p>
            <w:pPr>
              <w:spacing w:after="0"/>
              <w:rPr>
                <w:sz w:val="19"/>
                <w:szCs w:val="19"/>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Common Shareholders</w:t>
            </w:r>
          </w:p>
        </w:tc>
      </w:tr>
      <w:tr>
        <w:trPr>
          <w:trHeight w:val="237"/>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Reported net income</w:t>
            </w:r>
          </w:p>
        </w:tc>
        <w:tc>
          <w:tcPr>
            <w:tcW w:w="240" w:type="dxa"/>
            <w:vAlign w:val="bottom"/>
            <w:tcBorders>
              <w:top w:val="single" w:sz="8" w:color="auto"/>
            </w:tcBorders>
            <w:gridSpan w:val="2"/>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3,029</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11,990</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Add (subtract):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1,041</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5,514</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37"/>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right"/>
              <w:ind w:right="140"/>
              <w:spacing w:after="0"/>
              <w:rPr>
                <w:sz w:val="20"/>
                <w:szCs w:val="20"/>
                <w:color w:val="auto"/>
              </w:rPr>
            </w:pPr>
            <w:r>
              <w:rPr>
                <w:rFonts w:ascii="Arial" w:cs="Arial" w:eastAsia="Arial" w:hAnsi="Arial"/>
                <w:sz w:val="18"/>
                <w:szCs w:val="18"/>
                <w:color w:val="auto"/>
              </w:rPr>
              <w:t>(145 )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1,304</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17,975</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43"/>
        </w:trPr>
        <w:tc>
          <w:tcPr>
            <w:tcW w:w="5700" w:type="dxa"/>
            <w:vAlign w:val="bottom"/>
            <w:gridSpan w:val="2"/>
          </w:tcPr>
          <w:p>
            <w:pPr>
              <w:ind w:left="120"/>
              <w:spacing w:after="0" w:line="243" w:lineRule="exact"/>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24"/>
                <w:szCs w:val="24"/>
                <w:color w:val="auto"/>
                <w:vertAlign w:val="superscript"/>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5,229</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36,369</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r>
      <w:tr>
        <w:trPr>
          <w:trHeight w:val="237"/>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5,142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Unrealized investment gains</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(93 )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(271 )</w:t>
            </w:r>
          </w:p>
        </w:tc>
        <w:tc>
          <w:tcPr>
            <w:tcW w:w="20" w:type="dxa"/>
            <w:vAlign w:val="bottom"/>
            <w:shd w:val="clear" w:color="auto" w:fill="CFF0FC"/>
          </w:tcPr>
          <w:p>
            <w:pPr>
              <w:spacing w:after="0"/>
              <w:rPr>
                <w:sz w:val="21"/>
                <w:szCs w:val="21"/>
                <w:color w:val="auto"/>
              </w:rPr>
            </w:pPr>
          </w:p>
        </w:tc>
      </w:tr>
      <w:tr>
        <w:trPr>
          <w:trHeight w:val="243"/>
        </w:trPr>
        <w:tc>
          <w:tcPr>
            <w:tcW w:w="5700" w:type="dxa"/>
            <w:vAlign w:val="bottom"/>
            <w:gridSpan w:val="2"/>
          </w:tcPr>
          <w:p>
            <w:pPr>
              <w:ind w:left="120"/>
              <w:spacing w:after="0" w:line="243" w:lineRule="exact"/>
              <w:rPr>
                <w:sz w:val="20"/>
                <w:szCs w:val="20"/>
                <w:color w:val="auto"/>
              </w:rPr>
            </w:pPr>
            <w:r>
              <w:rPr>
                <w:rFonts w:ascii="Arial" w:cs="Arial" w:eastAsia="Arial" w:hAnsi="Arial"/>
                <w:sz w:val="18"/>
                <w:szCs w:val="18"/>
                <w:color w:val="auto"/>
              </w:rPr>
              <w:t>Transaction-related expenses</w:t>
            </w:r>
            <w:r>
              <w:rPr>
                <w:rFonts w:ascii="Arial" w:cs="Arial" w:eastAsia="Arial" w:hAnsi="Arial"/>
                <w:sz w:val="24"/>
                <w:szCs w:val="24"/>
                <w:color w:val="auto"/>
                <w:vertAlign w:val="superscript"/>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Adjusted EBITDA per Credit Facility</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45,083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5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gridSpan w:val="15"/>
          </w:tcPr>
          <w:p>
            <w:pPr>
              <w:ind w:left="900"/>
              <w:spacing w:after="0"/>
              <w:rPr>
                <w:sz w:val="20"/>
                <w:szCs w:val="20"/>
                <w:color w:val="auto"/>
              </w:rPr>
            </w:pPr>
            <w:r>
              <w:rPr>
                <w:rFonts w:ascii="Arial" w:cs="Arial" w:eastAsia="Arial" w:hAnsi="Arial"/>
                <w:sz w:val="14"/>
                <w:szCs w:val="14"/>
                <w:b w:val="1"/>
                <w:bCs w:val="1"/>
                <w:color w:val="auto"/>
              </w:rPr>
              <w:t>For the Twelve Months Ended September 30, 2023</w:t>
            </w:r>
          </w:p>
        </w:tc>
      </w:tr>
      <w:tr>
        <w:trPr>
          <w:trHeight w:val="238"/>
        </w:trPr>
        <w:tc>
          <w:tcPr>
            <w:tcW w:w="15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6"/>
              </w:rPr>
              <w:t>Attributable to</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15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Non-controlling</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Interests and</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Less: Attributable to</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Attributable to</w:t>
            </w:r>
          </w:p>
        </w:tc>
      </w:tr>
      <w:tr>
        <w:trPr>
          <w:trHeight w:val="228"/>
        </w:trPr>
        <w:tc>
          <w:tcPr>
            <w:tcW w:w="5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of U.S. Dollars)</w:t>
            </w:r>
          </w:p>
        </w:tc>
        <w:tc>
          <w:tcPr>
            <w:tcW w:w="80" w:type="dxa"/>
            <w:vAlign w:val="bottom"/>
          </w:tcPr>
          <w:p>
            <w:pPr>
              <w:spacing w:after="0"/>
              <w:rPr>
                <w:sz w:val="19"/>
                <w:szCs w:val="19"/>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Common Shareholders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Non-controlling Interests</w:t>
            </w:r>
          </w:p>
        </w:tc>
        <w:tc>
          <w:tcPr>
            <w:tcW w:w="20" w:type="dxa"/>
            <w:vAlign w:val="bottom"/>
          </w:tcPr>
          <w:p>
            <w:pPr>
              <w:spacing w:after="0"/>
              <w:rPr>
                <w:sz w:val="19"/>
                <w:szCs w:val="19"/>
                <w:color w:val="auto"/>
              </w:rPr>
            </w:pPr>
          </w:p>
        </w:tc>
        <w:tc>
          <w:tcPr>
            <w:tcW w:w="1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Common Shareholders</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Reported net income</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33,836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Add (subtract):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16,917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2,658</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(286 )</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5,260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55,215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line="249" w:lineRule="exact"/>
              <w:rPr>
                <w:sz w:val="20"/>
                <w:szCs w:val="20"/>
                <w:color w:val="auto"/>
              </w:rPr>
            </w:pPr>
            <w:r>
              <w:rPr>
                <w:rFonts w:ascii="Arial" w:cs="Arial" w:eastAsia="Arial" w:hAnsi="Arial"/>
                <w:sz w:val="18"/>
                <w:szCs w:val="18"/>
                <w:color w:val="auto"/>
              </w:rPr>
              <w:t>Amortization of deferred financing costs</w:t>
            </w:r>
            <w:r>
              <w:rPr>
                <w:rFonts w:ascii="Arial" w:cs="Arial" w:eastAsia="Arial" w:hAnsi="Arial"/>
                <w:sz w:val="24"/>
                <w:szCs w:val="24"/>
                <w:color w:val="auto"/>
                <w:vertAlign w:val="superscript"/>
              </w:rPr>
              <w:t>(1)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700" w:type="dxa"/>
            <w:vAlign w:val="bottom"/>
            <w:tcBorders>
              <w:top w:val="single" w:sz="8" w:color="CFF0FC"/>
            </w:tcBorders>
            <w:gridSpan w:val="2"/>
          </w:tcPr>
          <w:p>
            <w:pPr>
              <w:ind w:left="120"/>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115,706</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16,060</w:t>
            </w: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99,646</w:t>
            </w:r>
          </w:p>
        </w:tc>
        <w:tc>
          <w:tcPr>
            <w:tcW w:w="2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25,893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25,058</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Unrealized investment gains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(407 )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(93 )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(314 )</w:t>
            </w:r>
          </w:p>
        </w:tc>
        <w:tc>
          <w:tcPr>
            <w:tcW w:w="20" w:type="dxa"/>
            <w:vAlign w:val="bottom"/>
          </w:tcPr>
          <w:p>
            <w:pPr>
              <w:spacing w:after="0"/>
              <w:rPr>
                <w:sz w:val="20"/>
                <w:szCs w:val="20"/>
                <w:color w:val="auto"/>
              </w:rPr>
            </w:pPr>
          </w:p>
        </w:tc>
      </w:tr>
      <w:tr>
        <w:trPr>
          <w:trHeight w:val="249"/>
        </w:trPr>
        <w:tc>
          <w:tcPr>
            <w:tcW w:w="5700" w:type="dxa"/>
            <w:vAlign w:val="bottom"/>
            <w:gridSpan w:val="2"/>
            <w:shd w:val="clear" w:color="auto" w:fill="CFF0FC"/>
          </w:tcPr>
          <w:p>
            <w:pPr>
              <w:ind w:left="120"/>
              <w:spacing w:after="0" w:line="249" w:lineRule="exact"/>
              <w:rPr>
                <w:sz w:val="20"/>
                <w:szCs w:val="20"/>
                <w:color w:val="auto"/>
              </w:rPr>
            </w:pPr>
            <w:r>
              <w:rPr>
                <w:rFonts w:ascii="Arial" w:cs="Arial" w:eastAsia="Arial" w:hAnsi="Arial"/>
                <w:sz w:val="18"/>
                <w:szCs w:val="18"/>
                <w:color w:val="auto"/>
              </w:rPr>
              <w:t>Transaction-related expenses</w:t>
            </w:r>
            <w:r>
              <w:rPr>
                <w:rFonts w:ascii="Arial" w:cs="Arial" w:eastAsia="Arial" w:hAnsi="Arial"/>
                <w:sz w:val="24"/>
                <w:szCs w:val="24"/>
                <w:color w:val="auto"/>
                <w:vertAlign w:val="superscript"/>
              </w:rPr>
              <w:t>(2)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4,328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700" w:type="dxa"/>
            <w:vAlign w:val="bottom"/>
            <w:tcBorders>
              <w:bottom w:val="single" w:sz="8" w:color="CFF0FC"/>
            </w:tcBorders>
            <w:gridSpan w:val="2"/>
            <w:shd w:val="clear" w:color="auto" w:fill="CFF0FC"/>
          </w:tcPr>
          <w:p>
            <w:pPr>
              <w:ind w:left="120"/>
              <w:spacing w:after="0" w:line="249" w:lineRule="exact"/>
              <w:rPr>
                <w:sz w:val="20"/>
                <w:szCs w:val="20"/>
                <w:color w:val="auto"/>
              </w:rPr>
            </w:pPr>
            <w:r>
              <w:rPr>
                <w:rFonts w:ascii="Arial" w:cs="Arial" w:eastAsia="Arial" w:hAnsi="Arial"/>
                <w:sz w:val="18"/>
                <w:szCs w:val="18"/>
                <w:color w:val="auto"/>
              </w:rPr>
              <w:t>Executive transition costs</w:t>
            </w:r>
            <w:r>
              <w:rPr>
                <w:rFonts w:ascii="Arial" w:cs="Arial" w:eastAsia="Arial" w:hAnsi="Arial"/>
                <w:sz w:val="24"/>
                <w:szCs w:val="24"/>
                <w:color w:val="auto"/>
                <w:vertAlign w:val="superscript"/>
              </w:rPr>
              <w:t>(3)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Adjusted EBITDA per Credit Facility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150,281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17,363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gridSpan w:val="2"/>
          </w:tcPr>
          <w:p>
            <w:pPr>
              <w:jc w:val="right"/>
              <w:ind w:right="39"/>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132,918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-1216660</wp:posOffset>
            </wp:positionV>
            <wp:extent cx="76835" cy="16319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-1216660</wp:posOffset>
            </wp:positionV>
            <wp:extent cx="68580" cy="16319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-1216660</wp:posOffset>
            </wp:positionV>
            <wp:extent cx="68580" cy="1631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-281940</wp:posOffset>
            </wp:positionV>
            <wp:extent cx="76835" cy="1885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-281940</wp:posOffset>
            </wp:positionV>
            <wp:extent cx="68580" cy="1885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-281940</wp:posOffset>
            </wp:positionV>
            <wp:extent cx="68580" cy="1885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5"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amortization of deferred financing costs is recorded within Interest Expense in the Condensed Consolidated Statements of Operations.</w:t>
      </w:r>
    </w:p>
    <w:p>
      <w:pPr>
        <w:spacing w:after="0" w:line="196" w:lineRule="exact"/>
        <w:rPr>
          <w:rFonts w:ascii="Arial" w:cs="Arial" w:eastAsia="Arial" w:hAnsi="Arial"/>
          <w:sz w:val="17"/>
          <w:szCs w:val="17"/>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costs incurred resulting from the Company's with the proposal to acquire the outstanding 96.3 million shares in IMAX China. (See Note 6 of Notes to Condensed Consolidated Financial Statements in Part I, Item 1.)</w:t>
      </w:r>
    </w:p>
    <w:p>
      <w:pPr>
        <w:spacing w:after="0" w:line="129"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costs in connection with the departure of Megan Colligan, President, IMAX Entertainment and Executive Vice President of the Company. (See Note 16 of Notes to Condensed Consolidated Financial Statements in Part I, 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1" w:name="page72"/>
    <w:bookmarkEnd w:id="71"/>
    <w:p>
      <w:pPr>
        <w:jc w:val="both"/>
        <w:ind w:firstLine="224"/>
        <w:spacing w:after="0" w:line="263"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jc w:val="both"/>
        <w:ind w:firstLine="224"/>
        <w:spacing w:after="0" w:line="279"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02"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87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from lease arrangements denominated in RMB, Japanese Yen, Euros and Canadian Dollars.</w:t>
      </w:r>
    </w:p>
    <w:p>
      <w:pPr>
        <w:spacing w:after="0" w:line="151"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3" w:lineRule="exact"/>
        <w:rPr>
          <w:sz w:val="20"/>
          <w:szCs w:val="20"/>
          <w:color w:val="auto"/>
        </w:rPr>
      </w:pPr>
    </w:p>
    <w:p>
      <w:pPr>
        <w:jc w:val="both"/>
        <w:ind w:firstLine="224"/>
        <w:spacing w:after="0" w:line="254" w:lineRule="auto"/>
        <w:rPr>
          <w:sz w:val="20"/>
          <w:szCs w:val="20"/>
          <w:color w:val="auto"/>
        </w:rPr>
      </w:pPr>
      <w:r>
        <w:rPr>
          <w:rFonts w:ascii="Arial" w:cs="Arial" w:eastAsia="Arial" w:hAnsi="Arial"/>
          <w:sz w:val="18"/>
          <w:szCs w:val="18"/>
          <w:color w:val="auto"/>
        </w:rPr>
        <w:t>Certain of the Company’s PRC subsidiaries held approximately RMB 226.0 million ($31.5 million) in cash and cash equivalents as of September 30, 2023 (December 31, 2022 — RMB 303.8 million or $43.6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II. Item 1A. of this Form 10-Q.)</w:t>
      </w:r>
    </w:p>
    <w:p>
      <w:pPr>
        <w:spacing w:after="0" w:line="168"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Management also monitors the macroeconomic environment as part of its continuous assessment of credit risk. This includes consideration of developments in the U.S. and global banking sectors following recent banking collapses,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14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For the three and nine months ended September 30, 2023, the Company recorded foreign exchange net losses of $(0.2) million and $(0.8) million, respectively, resulting from changes in exchange rates related to foreign currency denominated monetary assets and liabilities (2022 — net losses of $(1.2) million and $(3.0) million, respectively).</w:t>
      </w:r>
    </w:p>
    <w:p>
      <w:pPr>
        <w:spacing w:after="0" w:line="143"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September 30, 2023, with settlement dates throughout 2023 and 2024.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2" w:name="page73"/>
    <w:bookmarkEnd w:id="72"/>
    <w:p>
      <w:pPr>
        <w:jc w:val="both"/>
        <w:ind w:firstLine="224"/>
        <w:spacing w:after="0" w:line="273" w:lineRule="auto"/>
        <w:rPr>
          <w:sz w:val="20"/>
          <w:szCs w:val="20"/>
          <w:color w:val="auto"/>
        </w:rPr>
      </w:pPr>
      <w:r>
        <w:rPr>
          <w:rFonts w:ascii="Arial" w:cs="Arial" w:eastAsia="Arial" w:hAnsi="Arial"/>
          <w:sz w:val="17"/>
          <w:szCs w:val="17"/>
          <w:color w:val="auto"/>
        </w:rPr>
        <w:t>The notional value of foreign currency cash flow hedging instruments that qualify for hedge accounting as of September 30, 2023 was $41.6 million (December 31, 2022 — $24.7 million). Losses of $1.0 million and $0.2 million were recorded to Other Comprehensive Income (Loss) with respect to the change in fair value of these contracts for the three and nine months ended September 30, 2023, (2022 — losses of $(1.6) million and $(1.9) million, respectively). Losses of $(0.2) million and $(0.6) million were reclassified from Accumulated Other Comprehensive Loss to Selling, General and Administrative Expenses for the three and nine months ended September 30, 2023 (2022 — losses of $(0.1) million and $(0.2) million, respectively). The Company currently does not hold any derivatives which are not designated as hedging instruments.</w:t>
      </w:r>
    </w:p>
    <w:p>
      <w:pPr>
        <w:spacing w:after="0" w:line="151" w:lineRule="exact"/>
        <w:rPr>
          <w:sz w:val="20"/>
          <w:szCs w:val="20"/>
          <w:color w:val="auto"/>
        </w:rPr>
      </w:pPr>
    </w:p>
    <w:p>
      <w:pPr>
        <w:jc w:val="both"/>
        <w:ind w:right="20" w:firstLine="224"/>
        <w:spacing w:after="0" w:line="277"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30"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6"/>
          <w:szCs w:val="16"/>
          <w:color w:val="auto"/>
        </w:rPr>
        <w:t>As of September 30, 2023, the Company’s Financing Receivables and working capital items denominated in Canadian Dollars, RMB, Japanese Yen, Euros and other foreign currencies translated into U.S. Dollars was $157.2 million. Assuming a 10% appreciation or depreciation in foreign currency exchange rates from the quoted foreign currency exchange rates as of September 30, 2023, the potential change in the fair value of foreign currency-denominated financing receivables and working capital items would have been $15.7 million. A significant portion of the Company’s Selling, General, and Administrative Expenses is denominated in Canadian Dollars. Assuming a 1% change appreciation or depreciation in foreign currency exchange rates as of September 30, 2023, the potential change in the amount of Selling, General, and Administrative Expenses would be $0.1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02" w:lineRule="exact"/>
        <w:rPr>
          <w:sz w:val="20"/>
          <w:szCs w:val="20"/>
          <w:color w:val="auto"/>
        </w:rPr>
      </w:pPr>
    </w:p>
    <w:p>
      <w:pPr>
        <w:jc w:val="both"/>
        <w:ind w:right="20" w:firstLine="224"/>
        <w:spacing w:after="0" w:line="277" w:lineRule="auto"/>
        <w:rPr>
          <w:sz w:val="20"/>
          <w:szCs w:val="20"/>
          <w:color w:val="auto"/>
        </w:rPr>
      </w:pPr>
      <w:r>
        <w:rPr>
          <w:rFonts w:ascii="Arial" w:cs="Arial" w:eastAsia="Arial" w:hAnsi="Arial"/>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30" w:lineRule="exact"/>
        <w:rPr>
          <w:sz w:val="20"/>
          <w:szCs w:val="20"/>
          <w:color w:val="auto"/>
        </w:rPr>
      </w:pPr>
    </w:p>
    <w:p>
      <w:pPr>
        <w:jc w:val="both"/>
        <w:ind w:right="20" w:firstLine="224"/>
        <w:spacing w:after="0" w:line="263" w:lineRule="auto"/>
        <w:rPr>
          <w:sz w:val="20"/>
          <w:szCs w:val="20"/>
          <w:color w:val="auto"/>
        </w:rPr>
      </w:pPr>
      <w:r>
        <w:rPr>
          <w:rFonts w:ascii="Arial" w:cs="Arial" w:eastAsia="Arial" w:hAnsi="Arial"/>
          <w:sz w:val="18"/>
          <w:szCs w:val="18"/>
          <w:color w:val="auto"/>
        </w:rPr>
        <w:t>As of September 30, 2023, the Company had drawn down $20.0 million on its Credit Facility (December 31, 2022 — $25.0 million), $5.1 million on its HSBC China Facility (December 31, 2022 — $12.5 million) and $nil on its Bank of China Facility (December 31, 2022 — $0.4 million), which are subject to variable effective interest rates.</w:t>
      </w:r>
    </w:p>
    <w:p>
      <w:pPr>
        <w:spacing w:after="0" w:line="143"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Company had variable rate debt instruments representing 5.1% and 7.7% of its total liabilities as of September 30, 2023 and December 31, 2022, respectively. If the interest rates available to the Company increased by 10%, the Company’s interest expense would increase by $0.2 million and interest income from cash would increase by $0.3 million. These amounts are determined by considering the impact of the hypothetical interest rates on the Company’s variable rate debt and cash balances as of September 30,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52"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of September 30, 2023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36"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On September 22, 2022, the Company acquired SSIMWAVE and commenced consolidating the assets, liabilities, and results of operations of SSIMWAVE in its financial reporting. As of September 30, 2023, SSIMWAVE was included in management’s evaluation of the effectiveness of the Company’s disclosure controls and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224"/>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which occurred during the three months ended September 30, 2023, that have materially affected, or are reasonably likely to materially affect, the Company’s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8"/>
          <w:szCs w:val="18"/>
          <w:color w:val="auto"/>
        </w:rPr>
        <w:t>See Note 7 of Notes to Condensed Consolidated Financial Statements in Part I, Item 1 for information regarding legal proceedings involving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7"/>
          <w:szCs w:val="17"/>
          <w:color w:val="auto"/>
        </w:rPr>
        <w:t>This Form 10-Q should be read together with, and supplement, the risk factors in Item 1A. Risk Factors in the Company’s 2022 Form 10-K, which describes various risks and uncertainties to which the Company is or may become subject. The risk factors described below updates certain risk factors included in the Company’s 2022 Form 10-K in light of recent events. The below risk factors and the risk factors included in the Company’s 2022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49" w:lineRule="exact"/>
        <w:rPr>
          <w:sz w:val="20"/>
          <w:szCs w:val="20"/>
          <w:color w:val="auto"/>
        </w:rPr>
      </w:pPr>
    </w:p>
    <w:p>
      <w:pPr>
        <w:jc w:val="both"/>
        <w:ind w:firstLine="224"/>
        <w:spacing w:after="0" w:line="342" w:lineRule="auto"/>
        <w:rPr>
          <w:sz w:val="20"/>
          <w:szCs w:val="20"/>
          <w:color w:val="auto"/>
        </w:rPr>
      </w:pPr>
      <w:r>
        <w:rPr>
          <w:rFonts w:ascii="Arial" w:cs="Arial" w:eastAsia="Arial" w:hAnsi="Arial"/>
          <w:sz w:val="16"/>
          <w:szCs w:val="16"/>
          <w:b w:val="1"/>
          <w:bCs w:val="1"/>
          <w:i w:val="1"/>
          <w:iCs w:val="1"/>
          <w:color w:val="auto"/>
        </w:rPr>
        <w:t>The success of the IMAX network is directly related to the availability and success of IMAX DMR films, and other films released to the IMAX network, as well as the continued purchase or lease of IMAX Systems and other support by movie exhibitors, for which there can be no guarantee.</w:t>
      </w:r>
    </w:p>
    <w:p>
      <w:pPr>
        <w:spacing w:after="0" w:line="83"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An important factor affecting the growth and success of the IMAX network is the availability and strategic selection of films for IMAX locations and the box office performance of such films. The Company itself produces only a small number of such films and, as a result, the Company relies principally on films produced by third-party filmmakers and studios, including both Hollywood and local language features converted into the Company’s format. During the nine months ended September 30, 2023, 67 new IMAX films were released to the Company’s global network. There is no guarantee that films will be available for release to the IMAX network, that filmmakers and studios will continue to release films to the IMAX network, or that the films selected for release to the IMAX network will be commercially successful.</w:t>
      </w:r>
    </w:p>
    <w:p>
      <w:pPr>
        <w:spacing w:after="0" w:line="152" w:lineRule="exact"/>
        <w:rPr>
          <w:sz w:val="20"/>
          <w:szCs w:val="20"/>
          <w:color w:val="auto"/>
        </w:rPr>
      </w:pPr>
    </w:p>
    <w:p>
      <w:pPr>
        <w:jc w:val="both"/>
        <w:ind w:firstLine="255"/>
        <w:spacing w:after="0" w:line="268" w:lineRule="auto"/>
        <w:rPr>
          <w:sz w:val="20"/>
          <w:szCs w:val="20"/>
          <w:color w:val="auto"/>
        </w:rPr>
      </w:pPr>
      <w:r>
        <w:rPr>
          <w:rFonts w:ascii="Arial" w:cs="Arial" w:eastAsia="Arial" w:hAnsi="Arial"/>
          <w:sz w:val="17"/>
          <w:szCs w:val="17"/>
          <w:color w:val="auto"/>
        </w:rPr>
        <w:t>The Company is directly impacted by the commercial success and box office results of the films released to the IMAX network through its joint revenue sharing arrangements, as well as through the percentage of the box office receipts the Company receives from the studios releasing IMAX films, and the Company’s continued ability to secure films, find suitable partners for joint revenue sharing arrangements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consumer preferences and trends in cinema attendance. Moreover, films can be subject to delays in production or changes in release schedule, which can negatively impact the number, timing and quality of IMAX films released to the Company’s global network. For example, the Writers Guild of America (the “WGA”) and the Screen Actors Guild – American Federation of Television and Radio Artists (the “SAG–AFTRA”) went on strike in May and July 2023, respectively, over labor disputes with the Alliance Motion Picture and Television Producers. The WGA strike ended on September 27, 2023, but the SAG–AFTRA strike is continuing as of the date of this report. These strikes have disrupted film productions and may interrupt film marketing efforts or lead to postponement of film releases. Given the uncertainty as to the extent and the duration of the SAG-AFTRA strike and the overall implication of the strikes on the timing and/or success of films released to IMAX locations, it is difficult to predict the full extent of the adverse impact of the strikes on the Company’s business and results of operations in future reporting periods, if any.</w:t>
      </w:r>
    </w:p>
    <w:p>
      <w:pPr>
        <w:spacing w:after="0" w:line="159"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6"/>
          <w:szCs w:val="16"/>
          <w:color w:val="auto"/>
        </w:rPr>
        <w:t>In addition, as the Company’s international network has expanded, the Company has signed deals with studios in other countries to convert their films to the Company’s format and release them to the IMAX network.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spacing w:after="0" w:line="117"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The Company depends principally on commercial movie exhibitors to purchase or lease IMAX Systems, to supply box office revenue under joint revenue sharing arrangements and under its sale and sales-type lease agreements and to supply venues in which to exhibit IMAX films. The Company can make no assurances that exhibitors will continue to do any of these things.</w:t>
      </w:r>
    </w:p>
    <w:p>
      <w:pPr>
        <w:spacing w:after="0" w:line="143"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8"/>
          <w:szCs w:val="18"/>
          <w:color w:val="auto"/>
        </w:rPr>
        <w:t>The Company is unable to predict the pace at which exhibitors will purchase or lease IMAX Systems or enter into joint revenue sharing arrangements with the Company, or whether any of the Company’s existing exhibitor customers will continue to do any of the foregoing. If exhibitors choose to reduce their levels of expansion, negotiate economic terms that are less favorable to the Company, or decide not to enter into transactions with the Company, the Company’s revenues would not increase at an anticipated rate and motion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color w:val="auto"/>
        </w:rPr>
        <w:t>picture studios may be less willing to convert their films into the Company’s format for exhibition in commercial IMAX locations. As a result, the Company’s future revenues and cash flows could be adversely affected.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Company faces risks in connection with its significant presence in China and the continued expansion of its business there.</w:t>
      </w:r>
    </w:p>
    <w:p>
      <w:pPr>
        <w:spacing w:after="0" w:line="196" w:lineRule="exact"/>
        <w:rPr>
          <w:sz w:val="20"/>
          <w:szCs w:val="20"/>
          <w:color w:val="auto"/>
        </w:rPr>
      </w:pPr>
    </w:p>
    <w:p>
      <w:pPr>
        <w:jc w:val="both"/>
        <w:ind w:right="20" w:firstLine="255"/>
        <w:spacing w:after="0" w:line="279" w:lineRule="auto"/>
        <w:rPr>
          <w:sz w:val="20"/>
          <w:szCs w:val="20"/>
          <w:color w:val="auto"/>
        </w:rPr>
      </w:pPr>
      <w:r>
        <w:rPr>
          <w:rFonts w:ascii="Arial" w:cs="Arial" w:eastAsia="Arial" w:hAnsi="Arial"/>
          <w:sz w:val="17"/>
          <w:szCs w:val="17"/>
          <w:color w:val="auto"/>
        </w:rPr>
        <w:t>Greater China is the Company’s largest market by revenue, with approximately 24% of overall revenues generated from its Greater China operations in 2022. As of September 30, 2023, the Company had 798 IMAX Systems operating in Greater China with an additional 193 systems in backlog, which represent 40% of the Company’s current backlog. Of the IMAX Systems currently scheduled to be installed in Greater China, 67% are under joint revenue sharing arrangements, which further increases the Company’s ongoing exposure to box office performance in this market.</w:t>
      </w:r>
    </w:p>
    <w:p>
      <w:pPr>
        <w:spacing w:after="0" w:line="131"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8"/>
          <w:szCs w:val="18"/>
          <w:color w:val="auto"/>
        </w:rPr>
        <w:t>The China market presents a number of risks, including changes in laws and regulations, currency fluctuations, increased competition, and changes in economic conditions, including the risk of an economic downturn or recession, trade embargoes, restrictions or other barriers, as well as other conditions that may adversely impact the Company, Company’s exhibitor and studio partners, and consumer spending. The worsening of U.S.–China political tensions could exacerbate any or all of these risks, and adverse developments in any of these areas could impact the Company’s future revenues and cash flows and could cause the Company to fail to achieve anticipated growth.</w:t>
      </w:r>
    </w:p>
    <w:p>
      <w:pPr>
        <w:spacing w:after="0" w:line="161" w:lineRule="exact"/>
        <w:rPr>
          <w:sz w:val="20"/>
          <w:szCs w:val="20"/>
          <w:color w:val="auto"/>
        </w:rPr>
      </w:pPr>
    </w:p>
    <w:p>
      <w:pPr>
        <w:jc w:val="both"/>
        <w:ind w:firstLine="255"/>
        <w:spacing w:after="0" w:line="289" w:lineRule="auto"/>
        <w:rPr>
          <w:sz w:val="20"/>
          <w:szCs w:val="20"/>
          <w:color w:val="auto"/>
        </w:rPr>
      </w:pPr>
      <w:r>
        <w:rPr>
          <w:rFonts w:ascii="Arial" w:cs="Arial" w:eastAsia="Arial" w:hAnsi="Arial"/>
          <w:sz w:val="16"/>
          <w:szCs w:val="16"/>
          <w:color w:val="auto"/>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regulation in data security and data protection. Regulatory requirements concerning data protection and cybersecurity in the PRC, as well as other requirements concerning operations of foreign businesses in the PRC, are evolving, and their enactment timetable, interpretation and implementation involve significant uncertainties. To the extent any PRC laws and regulations become applicable to the Company, it may be subject to the risks and uncertainties associated with the legal system in the PRC, including with respect to the enforcement of laws and the possibility of changes of rules and regulations with little or no advance notice.</w:t>
      </w:r>
    </w:p>
    <w:p>
      <w:pPr>
        <w:spacing w:after="0" w:line="126"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7"/>
          <w:szCs w:val="17"/>
          <w:color w:val="auto"/>
        </w:rPr>
        <w:t>Certain risks and uncertainties of doing business in China are solely within the control of the Chinese government, and Chinese law regulates both the scope of the Company’s continued expansion in China and the business conducted by it within China. For instance, the Chinese government regulates the number, timing, and terms of Hollywood films released to the China market. A number of prominent Hollywood films were denied release dates in China in 2021 and 2022, including several films released in IMAX format in other markets. While significantly more Hollywood films have been given release dates in China in 2023, the Company cannot provide assurance that the Chinese government will continue to permit the release of Hollywood IMAX films in China or that the timing or number of IMAX releases will be favorable to the Company. There are also uncertainties regarding the interpretation and application of laws and regulations and the enforceability of intellectual property and contract rights in China. If the Company were unable to navigate China’s regulatory environment, or if the Company were unable to enforce its intellectual property or contract rights in China, the Company’s business could be adversely impacted.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jc w:val="both"/>
        <w:ind w:firstLine="223"/>
        <w:spacing w:after="0" w:line="291" w:lineRule="auto"/>
        <w:rPr>
          <w:sz w:val="20"/>
          <w:szCs w:val="20"/>
          <w:color w:val="auto"/>
        </w:rPr>
      </w:pPr>
      <w:r>
        <w:rPr>
          <w:rFonts w:ascii="Arial" w:cs="Arial" w:eastAsia="Arial" w:hAnsi="Arial"/>
          <w:sz w:val="16"/>
          <w:szCs w:val="16"/>
          <w:color w:val="auto"/>
        </w:rPr>
        <w:t>On June 12, 2017, the Company announced that its Board of Directors approved a $200.0 million share repurchase program for its common shares that would have expired on June 30, 2020, which was subsequently extended for a 12-month period in 2020, 2021, and 2023 and increased in the total share repurchase authority to $400.0 million. In 2023, the Board of Directors approved a 36-month extension to the share repurchase program through June 30, 2026. As of September 30, 2023, the Company had $191.2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26" w:lineRule="exact"/>
        <w:rPr>
          <w:sz w:val="20"/>
          <w:szCs w:val="20"/>
          <w:color w:val="auto"/>
        </w:rPr>
      </w:pPr>
    </w:p>
    <w:p>
      <w:pPr>
        <w:jc w:val="both"/>
        <w:ind w:firstLine="223"/>
        <w:spacing w:after="0" w:line="263" w:lineRule="auto"/>
        <w:rPr>
          <w:sz w:val="20"/>
          <w:szCs w:val="20"/>
          <w:color w:val="auto"/>
        </w:rPr>
      </w:pPr>
      <w:r>
        <w:rPr>
          <w:rFonts w:ascii="Arial" w:cs="Arial" w:eastAsia="Arial" w:hAnsi="Arial"/>
          <w:sz w:val="18"/>
          <w:szCs w:val="18"/>
          <w:color w:val="auto"/>
        </w:rPr>
        <w:t>During the three months ended September 30, 2023, the Company repurchased 13,981 common shares at an average price of $18.00 per share for a total of $0.3 million, excluding commission. All share repurchases were made under the Company’s publicly announced program, and there are no other programs under which the Company repurchases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6" w:name="page77"/>
    <w:bookmarkEnd w:id="76"/>
    <w:p>
      <w:pPr>
        <w:ind w:left="240"/>
        <w:spacing w:after="0"/>
        <w:rPr>
          <w:sz w:val="20"/>
          <w:szCs w:val="20"/>
          <w:color w:val="auto"/>
        </w:rPr>
      </w:pPr>
      <w:r>
        <w:rPr>
          <w:rFonts w:ascii="Arial" w:cs="Arial" w:eastAsia="Arial" w:hAnsi="Arial"/>
          <w:sz w:val="18"/>
          <w:szCs w:val="18"/>
          <w:color w:val="auto"/>
        </w:rPr>
        <w:t>The Company’s common share repurchase program activity for the three months ended September 30, 2023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26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Maximum approximate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2"/>
                <w:szCs w:val="12"/>
                <w:color w:val="auto"/>
              </w:rPr>
            </w:pPr>
          </w:p>
        </w:tc>
        <w:tc>
          <w:tcPr>
            <w:tcW w:w="15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6"/>
              </w:rPr>
              <w:t>Average price paid per</w:t>
            </w:r>
          </w:p>
        </w:tc>
        <w:tc>
          <w:tcPr>
            <w:tcW w:w="2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dollar value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that may yet be</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178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7"/>
                <w:szCs w:val="7"/>
                <w:color w:val="auto"/>
              </w:rPr>
            </w:pPr>
          </w:p>
        </w:tc>
        <w:tc>
          <w:tcPr>
            <w:tcW w:w="18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354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announced program</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5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through July 31, 2023</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191,450,140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August 1 through August 31, 2023</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191,450,140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through September 30, 2023</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13,981</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13,981</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191,198,491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Pr>
          <w:p>
            <w:pPr>
              <w:jc w:val="right"/>
              <w:spacing w:after="0"/>
              <w:rPr>
                <w:sz w:val="20"/>
                <w:szCs w:val="20"/>
                <w:color w:val="auto"/>
              </w:rPr>
            </w:pPr>
            <w:r>
              <w:rPr>
                <w:rFonts w:ascii="Arial" w:cs="Arial" w:eastAsia="Arial" w:hAnsi="Arial"/>
                <w:sz w:val="18"/>
                <w:szCs w:val="18"/>
                <w:color w:val="auto"/>
              </w:rPr>
              <w:t>13,981</w:t>
            </w:r>
          </w:p>
        </w:tc>
        <w:tc>
          <w:tcPr>
            <w:tcW w:w="6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18.00</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13,981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77470" cy="1885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68580" cy="1885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jc w:val="both"/>
        <w:ind w:right="20" w:firstLine="223"/>
        <w:spacing w:after="0" w:line="277" w:lineRule="auto"/>
        <w:rPr>
          <w:sz w:val="20"/>
          <w:szCs w:val="20"/>
          <w:color w:val="auto"/>
        </w:rPr>
      </w:pPr>
      <w:r>
        <w:rPr>
          <w:rFonts w:ascii="Arial" w:cs="Arial" w:eastAsia="Arial" w:hAnsi="Arial"/>
          <w:sz w:val="18"/>
          <w:szCs w:val="18"/>
          <w:color w:val="auto"/>
        </w:rPr>
        <w:t>Subsequent to September 30, 2023 and through October 24, 2023, the Company repurchased 229,598 common shares at an average price of $17.85 per share for a total cost of $4.1 million, excluding commission.</w:t>
      </w:r>
    </w:p>
    <w:p>
      <w:pPr>
        <w:spacing w:after="0" w:line="130" w:lineRule="exact"/>
        <w:rPr>
          <w:sz w:val="20"/>
          <w:szCs w:val="20"/>
          <w:color w:val="auto"/>
        </w:rPr>
      </w:pPr>
    </w:p>
    <w:p>
      <w:pPr>
        <w:jc w:val="both"/>
        <w:ind w:firstLine="223"/>
        <w:spacing w:after="0" w:line="272" w:lineRule="auto"/>
        <w:rPr>
          <w:sz w:val="20"/>
          <w:szCs w:val="20"/>
          <w:color w:val="auto"/>
        </w:rPr>
      </w:pPr>
      <w:r>
        <w:rPr>
          <w:rFonts w:ascii="Arial" w:cs="Arial" w:eastAsia="Arial" w:hAnsi="Arial"/>
          <w:sz w:val="17"/>
          <w:szCs w:val="17"/>
          <w:color w:val="auto"/>
        </w:rPr>
        <w:t>In 2022, IMAX China’s shareholders granted its Board of Directors a general mandate authorizing the Board, subject to applicable laws, to repurchase shares of IMAX China not to exceed 10% of the total number of issued shares as of June 23, 2022 (34,063,480 shares). This program expired on the date of the 2023 Annual General Meeting of IMAX China on June 6, 2023. During the 2023 Annual General Meeting, shareholders approved the repurchase of shares of IMAX China not to exceed 10% of the total number of shares as of June 6, 2023 (33,959,314 shares). This program will be valid until the 2024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2023, IMAX China did not repurchase any common shares.</w:t>
      </w:r>
    </w:p>
    <w:p>
      <w:pPr>
        <w:spacing w:after="0" w:line="150" w:lineRule="exact"/>
        <w:rPr>
          <w:sz w:val="20"/>
          <w:szCs w:val="20"/>
          <w:color w:val="auto"/>
        </w:rPr>
      </w:pPr>
    </w:p>
    <w:p>
      <w:pPr>
        <w:jc w:val="both"/>
        <w:ind w:firstLine="223"/>
        <w:spacing w:after="0" w:line="277" w:lineRule="auto"/>
        <w:rPr>
          <w:sz w:val="20"/>
          <w:szCs w:val="20"/>
          <w:color w:val="auto"/>
        </w:rPr>
      </w:pPr>
      <w:r>
        <w:rPr>
          <w:rFonts w:ascii="Arial" w:cs="Arial" w:eastAsia="Arial" w:hAnsi="Arial"/>
          <w:sz w:val="18"/>
          <w:szCs w:val="18"/>
          <w:color w:val="auto"/>
        </w:rPr>
        <w:t>(See Note 6 of Notes to Condensed Consolidated Financial Statements in Part I, Item 1 for a summary of the material terms and conditions of the Company’s revolving credit facility, which include a limitation of the amount of permitted share repurchases.)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left="600" w:right="120" w:hanging="368"/>
        <w:spacing w:after="0" w:line="254" w:lineRule="auto"/>
        <w:tabs>
          <w:tab w:leader="none" w:pos="6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color w:val="auto"/>
        </w:rPr>
        <w:t>On October 20, 2023, the Company and Robert D. Lister, the Company’s Chief Legal Officer and Senior Executive Vice President, entered in to a second amendment (the “Amendment”) to Mr. Lister’s existing employment agreement with the Company dated as of December 18, 2017, first amended as of March 11, 2020. The Amendment extends the term of the existing employment agreement to December 31, 2026. Mr. Lister’s compensation terms remain the same as those previously disclosed by the Company, except if a Change of Control (as defined in the existing employment agreement) transaction has occurred, the target bonus for that year shall be 100% of his base salary. All other material terms and conditions of the existing employment agreement remain the same. The foregoing description of the Amendment is qualified in its entirety by reference to the Amendment, which will be filed as an exhibit to the Company’s Annual Report on Form 10-K for the year ending December 31, 2023.</w:t>
      </w:r>
    </w:p>
    <w:p>
      <w:pPr>
        <w:spacing w:after="0" w:line="164" w:lineRule="exact"/>
        <w:rPr>
          <w:rFonts w:ascii="Arial" w:cs="Arial" w:eastAsia="Arial" w:hAnsi="Arial"/>
          <w:sz w:val="18"/>
          <w:szCs w:val="18"/>
          <w:b w:val="1"/>
          <w:bCs w:val="1"/>
          <w:i w:val="1"/>
          <w:iCs w:val="1"/>
          <w:color w:val="auto"/>
        </w:rPr>
      </w:pPr>
    </w:p>
    <w:p>
      <w:pPr>
        <w:ind w:left="600" w:hanging="368"/>
        <w:spacing w:after="0"/>
        <w:tabs>
          <w:tab w:leader="none" w:pos="6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color w:val="auto"/>
        </w:rPr>
        <w:t>None.</w:t>
      </w:r>
    </w:p>
    <w:p>
      <w:pPr>
        <w:spacing w:after="0" w:line="180" w:lineRule="exact"/>
        <w:rPr>
          <w:rFonts w:ascii="Arial" w:cs="Arial" w:eastAsia="Arial" w:hAnsi="Arial"/>
          <w:sz w:val="18"/>
          <w:szCs w:val="18"/>
          <w:b w:val="1"/>
          <w:bCs w:val="1"/>
          <w:i w:val="1"/>
          <w:iCs w:val="1"/>
          <w:color w:val="auto"/>
        </w:rPr>
      </w:pPr>
    </w:p>
    <w:p>
      <w:pPr>
        <w:ind w:left="600" w:hanging="368"/>
        <w:spacing w:after="0"/>
        <w:tabs>
          <w:tab w:leader="none" w:pos="60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Rule 10b5-1 and Non-Rule 10b5-1 Trading Arrangements</w:t>
      </w:r>
    </w:p>
    <w:p>
      <w:pPr>
        <w:spacing w:after="0" w:line="189" w:lineRule="exact"/>
        <w:rPr>
          <w:sz w:val="20"/>
          <w:szCs w:val="20"/>
          <w:color w:val="auto"/>
        </w:rPr>
      </w:pPr>
    </w:p>
    <w:p>
      <w:pPr>
        <w:ind w:firstLine="223"/>
        <w:spacing w:after="0" w:line="277" w:lineRule="auto"/>
        <w:rPr>
          <w:sz w:val="20"/>
          <w:szCs w:val="20"/>
          <w:color w:val="auto"/>
        </w:rPr>
      </w:pPr>
      <w:r>
        <w:rPr>
          <w:rFonts w:ascii="Arial" w:cs="Arial" w:eastAsia="Arial" w:hAnsi="Arial"/>
          <w:sz w:val="18"/>
          <w:szCs w:val="18"/>
          <w:color w:val="auto"/>
        </w:rPr>
        <w:t>None of the Company’s directors or officers adopted, modified, or terminated a Rule 10b5-1 trading arrangement or a non-Rule 10b5-1 trading arrangement during the Company’s fiscal quarter ended September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872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1"/>
              </w:rPr>
              <w:t>Certification Pursuant to Section 302 of the Sarbanes-Oxley Act of 2002, dated October 25, 2023, by Richard L. Gelfond</w:t>
            </w:r>
          </w:p>
        </w:tc>
        <w:tc>
          <w:tcPr>
            <w:tcW w:w="20" w:type="dxa"/>
            <w:vAlign w:val="bottom"/>
            <w:tcBorders>
              <w:bottom w:val="single" w:sz="8" w:color="0000EE"/>
            </w:tcBorders>
          </w:tcPr>
          <w:p>
            <w:pPr>
              <w:spacing w:after="0"/>
              <w:rPr>
                <w:sz w:val="16"/>
                <w:szCs w:val="16"/>
                <w:color w:val="auto"/>
              </w:rPr>
            </w:pPr>
          </w:p>
        </w:tc>
        <w:tc>
          <w:tcPr>
            <w:tcW w:w="1340" w:type="dxa"/>
            <w:vAlign w:val="bottom"/>
            <w:gridSpan w:val="2"/>
          </w:tcPr>
          <w:p>
            <w:pPr>
              <w:spacing w:after="0"/>
              <w:rPr>
                <w:sz w:val="16"/>
                <w:szCs w:val="16"/>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Pursuant to Section 302 of the Sarbanes-Oxley Act of 2002, dated October 25, 2023, by Natasha Fernandes.</w:t>
            </w:r>
          </w:p>
        </w:tc>
        <w:tc>
          <w:tcPr>
            <w:tcW w:w="1340" w:type="dxa"/>
            <w:vAlign w:val="bottom"/>
            <w:gridSpan w:val="2"/>
          </w:tcPr>
          <w:p>
            <w:pPr>
              <w:spacing w:after="0"/>
              <w:rPr>
                <w:sz w:val="24"/>
                <w:szCs w:val="24"/>
                <w:color w:val="auto"/>
              </w:rPr>
            </w:pPr>
          </w:p>
        </w:tc>
      </w:tr>
      <w:tr>
        <w:trPr>
          <w:trHeight w:val="371"/>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Certification Pursuant to Section 906 of the Sarbanes-Oxley Act of 2002, dated October 25, 2023, by Richard L. Gelfond</w:t>
            </w:r>
          </w:p>
        </w:tc>
        <w:tc>
          <w:tcPr>
            <w:tcW w:w="40" w:type="dxa"/>
            <w:vAlign w:val="bottom"/>
            <w:tcBorders>
              <w:bottom w:val="single" w:sz="8" w:color="0000EE"/>
            </w:tcBorders>
            <w:gridSpan w:val="2"/>
          </w:tcPr>
          <w:p>
            <w:pPr>
              <w:spacing w:after="0"/>
              <w:rPr>
                <w:sz w:val="24"/>
                <w:szCs w:val="24"/>
                <w:color w:val="auto"/>
              </w:rPr>
            </w:pPr>
          </w:p>
        </w:tc>
        <w:tc>
          <w:tcPr>
            <w:tcW w:w="1320" w:type="dxa"/>
            <w:vAlign w:val="bottom"/>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8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Pursuant to Section 906 of the Sarbanes-Oxley Act of 2002, dated October 25, 2023, by Natasha Fernandes.</w:t>
            </w:r>
          </w:p>
        </w:tc>
        <w:tc>
          <w:tcPr>
            <w:tcW w:w="20" w:type="dxa"/>
            <w:vAlign w:val="bottom"/>
            <w:tcBorders>
              <w:bottom w:val="single" w:sz="8" w:color="0000EE"/>
            </w:tcBorders>
          </w:tcPr>
          <w:p>
            <w:pPr>
              <w:spacing w:after="0"/>
              <w:rPr>
                <w:sz w:val="24"/>
                <w:szCs w:val="24"/>
                <w:color w:val="auto"/>
              </w:rPr>
            </w:pPr>
          </w:p>
        </w:tc>
        <w:tc>
          <w:tcPr>
            <w:tcW w:w="1320" w:type="dxa"/>
            <w:vAlign w:val="bottom"/>
          </w:tcPr>
          <w:p>
            <w:pPr>
              <w:spacing w:after="0"/>
              <w:rPr>
                <w:sz w:val="24"/>
                <w:szCs w:val="24"/>
                <w:color w:val="auto"/>
              </w:rPr>
            </w:pPr>
          </w:p>
        </w:tc>
      </w:tr>
      <w:tr>
        <w:trPr>
          <w:trHeight w:val="398"/>
        </w:trPr>
        <w:tc>
          <w:tcPr>
            <w:tcW w:w="102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02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right="3560" w:firstLine="21"/>
        <w:spacing w:after="0" w:line="543"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*Filed herewith.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620" w:type="dxa"/>
            <w:vAlign w:val="bottom"/>
            <w:gridSpan w:val="2"/>
          </w:tcPr>
          <w:p>
            <w:pPr>
              <w:ind w:left="2000"/>
              <w:spacing w:after="0"/>
              <w:rPr>
                <w:sz w:val="20"/>
                <w:szCs w:val="20"/>
                <w:color w:val="auto"/>
              </w:rPr>
            </w:pPr>
            <w:r>
              <w:rPr>
                <w:rFonts w:ascii="Arial" w:cs="Arial" w:eastAsia="Arial" w:hAnsi="Arial"/>
                <w:sz w:val="18"/>
                <w:szCs w:val="18"/>
                <w:color w:val="auto"/>
              </w:rPr>
              <w:t>IMAX CORPORATION</w:t>
            </w:r>
          </w:p>
        </w:tc>
      </w:tr>
      <w:tr>
        <w:trPr>
          <w:trHeight w:val="493"/>
        </w:trPr>
        <w:tc>
          <w:tcPr>
            <w:tcW w:w="3620" w:type="dxa"/>
            <w:vAlign w:val="bottom"/>
          </w:tcPr>
          <w:p>
            <w:pPr>
              <w:ind w:left="20"/>
              <w:spacing w:after="0"/>
              <w:rPr>
                <w:sz w:val="20"/>
                <w:szCs w:val="20"/>
                <w:color w:val="auto"/>
              </w:rPr>
            </w:pPr>
            <w:r>
              <w:rPr>
                <w:rFonts w:ascii="Arial" w:cs="Arial" w:eastAsia="Arial" w:hAnsi="Arial"/>
                <w:sz w:val="18"/>
                <w:szCs w:val="18"/>
                <w:color w:val="auto"/>
              </w:rPr>
              <w:t>Date: October 25, 2023</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Natasha Fernandes</w:t>
            </w:r>
          </w:p>
        </w:tc>
      </w:tr>
      <w:tr>
        <w:trPr>
          <w:trHeight w:val="242"/>
        </w:trPr>
        <w:tc>
          <w:tcPr>
            <w:tcW w:w="36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36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3"/>
        </w:trPr>
        <w:tc>
          <w:tcPr>
            <w:tcW w:w="3620" w:type="dxa"/>
            <w:vAlign w:val="bottom"/>
          </w:tcPr>
          <w:p>
            <w:pPr>
              <w:ind w:left="20"/>
              <w:spacing w:after="0"/>
              <w:rPr>
                <w:sz w:val="20"/>
                <w:szCs w:val="20"/>
                <w:color w:val="auto"/>
              </w:rPr>
            </w:pPr>
            <w:r>
              <w:rPr>
                <w:rFonts w:ascii="Arial" w:cs="Arial" w:eastAsia="Arial" w:hAnsi="Arial"/>
                <w:sz w:val="18"/>
                <w:szCs w:val="18"/>
                <w:color w:val="auto"/>
              </w:rPr>
              <w:t>Date: October 25, 2023</w:t>
            </w:r>
          </w:p>
        </w:tc>
        <w:tc>
          <w:tcPr>
            <w:tcW w:w="2380" w:type="dxa"/>
            <w:vAlign w:val="bottom"/>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ELIZABETH GITAJN</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Elizabeth Gitajn</w:t>
            </w:r>
          </w:p>
        </w:tc>
      </w:tr>
      <w:tr>
        <w:trPr>
          <w:trHeight w:val="242"/>
        </w:trPr>
        <w:tc>
          <w:tcPr>
            <w:tcW w:w="36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Vice-President, Finance &amp; Controller</w:t>
            </w:r>
          </w:p>
        </w:tc>
      </w:tr>
      <w:tr>
        <w:trPr>
          <w:trHeight w:val="243"/>
        </w:trPr>
        <w:tc>
          <w:tcPr>
            <w:tcW w:w="36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662"/>
        </w:trPr>
        <w:tc>
          <w:tcPr>
            <w:tcW w:w="3620" w:type="dxa"/>
            <w:vAlign w:val="bottom"/>
          </w:tcPr>
          <w:p>
            <w:pPr>
              <w:spacing w:after="0"/>
              <w:rPr>
                <w:sz w:val="24"/>
                <w:szCs w:val="24"/>
                <w:color w:val="auto"/>
              </w:rPr>
            </w:pPr>
          </w:p>
        </w:tc>
        <w:tc>
          <w:tcPr>
            <w:tcW w:w="2380" w:type="dxa"/>
            <w:vAlign w:val="bottom"/>
          </w:tcPr>
          <w:p>
            <w:pPr>
              <w:jc w:val="right"/>
              <w:ind w:right="190"/>
              <w:spacing w:after="0"/>
              <w:rPr>
                <w:sz w:val="20"/>
                <w:szCs w:val="20"/>
                <w:color w:val="auto"/>
              </w:rPr>
            </w:pPr>
            <w:r>
              <w:rPr>
                <w:rFonts w:ascii="Arial" w:cs="Arial" w:eastAsia="Arial" w:hAnsi="Arial"/>
                <w:sz w:val="18"/>
                <w:szCs w:val="18"/>
                <w:color w:val="auto"/>
              </w:rPr>
              <w:t>79</w:t>
            </w:r>
          </w:p>
        </w:tc>
        <w:tc>
          <w:tcPr>
            <w:tcW w:w="524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5" w:lineRule="exact"/>
        <w:rPr>
          <w:sz w:val="20"/>
          <w:szCs w:val="20"/>
          <w:color w:val="auto"/>
        </w:rPr>
      </w:pPr>
    </w:p>
    <w:p>
      <w:pPr>
        <w:ind w:left="440" w:hanging="371"/>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the registrant, IMAX Corporation;</w:t>
      </w:r>
    </w:p>
    <w:p>
      <w:pPr>
        <w:spacing w:after="0" w:line="225" w:lineRule="exact"/>
        <w:rPr>
          <w:rFonts w:ascii="Arial" w:cs="Arial" w:eastAsia="Arial" w:hAnsi="Arial"/>
          <w:sz w:val="18"/>
          <w:szCs w:val="18"/>
          <w:color w:val="auto"/>
        </w:rPr>
      </w:pPr>
    </w:p>
    <w:p>
      <w:pPr>
        <w:jc w:val="both"/>
        <w:ind w:left="440" w:hanging="371"/>
        <w:spacing w:after="0" w:line="263"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20" w:hanging="371"/>
        <w:spacing w:after="0" w:line="277"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371"/>
        <w:spacing w:after="0" w:line="263"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200" w:hanging="382"/>
        <w:spacing w:after="0" w:line="263"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00" w:hanging="382"/>
        <w:spacing w:after="0" w:line="263"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00" w:hanging="382"/>
        <w:spacing w:after="0" w:line="342" w:lineRule="auto"/>
        <w:tabs>
          <w:tab w:leader="none" w:pos="12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00" w:hanging="382"/>
        <w:spacing w:after="0" w:line="263"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hanging="371"/>
        <w:spacing w:after="0" w:line="308" w:lineRule="auto"/>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20" w:hanging="382"/>
        <w:spacing w:after="0" w:line="308" w:lineRule="auto"/>
        <w:tabs>
          <w:tab w:leader="none" w:pos="1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00" w:hanging="382"/>
        <w:spacing w:after="0" w:line="277" w:lineRule="auto"/>
        <w:tabs>
          <w:tab w:leader="none" w:pos="1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25, 2023</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L. Gelfond</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Richard L. Gelfond</w:t>
            </w:r>
          </w:p>
        </w:tc>
      </w:tr>
      <w:tr>
        <w:trPr>
          <w:trHeight w:val="242"/>
        </w:trPr>
        <w:tc>
          <w:tcPr>
            <w:tcW w:w="7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87"/>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Natasha Fernandes, certify that:</w:t>
      </w:r>
    </w:p>
    <w:p>
      <w:pPr>
        <w:spacing w:after="0" w:line="225" w:lineRule="exact"/>
        <w:rPr>
          <w:sz w:val="20"/>
          <w:szCs w:val="20"/>
          <w:color w:val="auto"/>
        </w:rPr>
      </w:pPr>
    </w:p>
    <w:p>
      <w:pPr>
        <w:ind w:left="440" w:hanging="371"/>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the registrant, IMAX Corporation;</w:t>
      </w:r>
    </w:p>
    <w:p>
      <w:pPr>
        <w:spacing w:after="0" w:line="225" w:lineRule="exact"/>
        <w:rPr>
          <w:rFonts w:ascii="Arial" w:cs="Arial" w:eastAsia="Arial" w:hAnsi="Arial"/>
          <w:sz w:val="18"/>
          <w:szCs w:val="18"/>
          <w:color w:val="auto"/>
        </w:rPr>
      </w:pPr>
    </w:p>
    <w:p>
      <w:pPr>
        <w:jc w:val="both"/>
        <w:ind w:left="440" w:hanging="371"/>
        <w:spacing w:after="0" w:line="263"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40" w:right="20" w:hanging="371"/>
        <w:spacing w:after="0" w:line="277"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371"/>
        <w:spacing w:after="0" w:line="263"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200" w:hanging="382"/>
        <w:spacing w:after="0" w:line="263" w:lineRule="auto"/>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200" w:hanging="382"/>
        <w:spacing w:after="0" w:line="263" w:lineRule="auto"/>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00" w:hanging="382"/>
        <w:spacing w:after="0" w:line="342" w:lineRule="auto"/>
        <w:tabs>
          <w:tab w:leader="none" w:pos="12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200" w:hanging="382"/>
        <w:spacing w:after="0" w:line="263" w:lineRule="auto"/>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40" w:hanging="371"/>
        <w:spacing w:after="0" w:line="308" w:lineRule="auto"/>
        <w:tabs>
          <w:tab w:leader="none" w:pos="4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20" w:hanging="382"/>
        <w:spacing w:after="0" w:line="308" w:lineRule="auto"/>
        <w:tabs>
          <w:tab w:leader="none" w:pos="12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200" w:hanging="382"/>
        <w:spacing w:after="0" w:line="277" w:lineRule="auto"/>
        <w:tabs>
          <w:tab w:leader="none" w:pos="12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25, 2023</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Natasha Fernandes</w:t>
            </w:r>
          </w:p>
        </w:tc>
      </w:tr>
      <w:tr>
        <w:trPr>
          <w:trHeight w:val="242"/>
        </w:trPr>
        <w:tc>
          <w:tcPr>
            <w:tcW w:w="7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87"/>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32.1</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8"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8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Quarterly Report on Form 10-Q for the quarter ended September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25, 2023</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L. Gelfond</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Richard L. Gelfond</w:t>
            </w:r>
          </w:p>
        </w:tc>
      </w:tr>
      <w:tr>
        <w:trPr>
          <w:trHeight w:val="242"/>
        </w:trPr>
        <w:tc>
          <w:tcPr>
            <w:tcW w:w="7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60"/>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32.2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8" w:lineRule="exact"/>
        <w:rPr>
          <w:sz w:val="20"/>
          <w:szCs w:val="20"/>
          <w:color w:val="auto"/>
        </w:rPr>
      </w:pPr>
    </w:p>
    <w:p>
      <w:pPr>
        <w:jc w:val="both"/>
        <w:ind w:right="20" w:firstLine="749"/>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24"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 Quarterly Report on Form 10-Q for the quarter ended September 30, 2023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ind w:left="20"/>
              <w:spacing w:after="0"/>
              <w:rPr>
                <w:sz w:val="20"/>
                <w:szCs w:val="20"/>
                <w:color w:val="auto"/>
              </w:rPr>
            </w:pPr>
            <w:r>
              <w:rPr>
                <w:rFonts w:ascii="Arial" w:cs="Arial" w:eastAsia="Arial" w:hAnsi="Arial"/>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October 25, 2023</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Natasha Fernandes</w:t>
            </w:r>
          </w:p>
        </w:tc>
      </w:tr>
      <w:tr>
        <w:trPr>
          <w:trHeight w:val="230"/>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Natasha Fernandes</w:t>
            </w:r>
          </w:p>
        </w:tc>
      </w:tr>
      <w:tr>
        <w:trPr>
          <w:trHeight w:val="242"/>
        </w:trPr>
        <w:tc>
          <w:tcPr>
            <w:tcW w:w="7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88"/>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5"/>
    </w:lvl>
  </w:abstractNum>
  <w:abstractNum w:abstractNumId="5">
    <w:nsid w:val="79838CB2"/>
    <w:multiLevelType w:val="hybridMultilevel"/>
    <w:lvl w:ilvl="0">
      <w:lvlJc w:val="left"/>
      <w:lvlText w:val="%1."/>
      <w:numFmt w:val="decimal"/>
      <w:start w:val="7"/>
    </w:lvl>
    <w:lvl w:ilvl="1">
      <w:lvlJc w:val="left"/>
      <w:lvlText w:val="(%2)"/>
      <w:numFmt w:val="lowerLetter"/>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1)"/>
      <w:numFmt w:val="lowerLetter"/>
      <w:start w:val="6"/>
    </w:lvl>
  </w:abstractNum>
  <w:abstractNum w:abstractNumId="8">
    <w:nsid w:val="189A769B"/>
    <w:multiLevelType w:val="hybridMultilevel"/>
    <w:lvl w:ilvl="0">
      <w:lvlJc w:val="left"/>
      <w:lvlText w:val="(%1)"/>
      <w:numFmt w:val="decimal"/>
      <w:start w:val="1"/>
    </w:lvl>
    <w:lvl w:ilvl="1">
      <w:lvlJc w:val="left"/>
      <w:lvlText w:val="(%2)"/>
      <w:numFmt w:val="lowerLetter"/>
      <w:start w:val="2"/>
    </w:lvl>
  </w:abstractNum>
  <w:abstractNum w:abstractNumId="9">
    <w:nsid w:val="54E49EB4"/>
    <w:multiLevelType w:val="hybridMultilevel"/>
    <w:lvl w:ilvl="0">
      <w:lvlJc w:val="left"/>
      <w:lvlText w:val="(%1)"/>
      <w:numFmt w:val="lowerLetter"/>
      <w:start w:val="3"/>
    </w:lvl>
  </w:abstractNum>
  <w:abstractNum w:abstractNumId="10">
    <w:nsid w:val="71F32454"/>
    <w:multiLevelType w:val="hybridMultilevel"/>
    <w:lvl w:ilvl="0">
      <w:lvlJc w:val="left"/>
      <w:lvlText w:val="%1."/>
      <w:numFmt w:val="decimal"/>
      <w:start w:val="9"/>
    </w:lvl>
    <w:lvl w:ilvl="1">
      <w:lvlJc w:val="left"/>
      <w:lvlText w:val="(%2)"/>
      <w:numFmt w:val="lowerLetter"/>
      <w:start w:val="1"/>
    </w:lvl>
  </w:abstractNum>
  <w:abstractNum w:abstractNumId="11">
    <w:nsid w:val="2CA88611"/>
    <w:multiLevelType w:val="hybridMultilevel"/>
    <w:lvl w:ilvl="0">
      <w:lvlJc w:val="left"/>
      <w:lvlText w:val="(%1)"/>
      <w:numFmt w:val="decimal"/>
      <w:start w:val="1"/>
    </w:lvl>
    <w:lvl w:ilvl="1">
      <w:lvlJc w:val="left"/>
      <w:lvlText w:val="(%2)"/>
      <w:numFmt w:val="lowerLetter"/>
      <w:start w:val="3"/>
    </w:lvl>
  </w:abstractNum>
  <w:abstractNum w:abstractNumId="12">
    <w:nsid w:val="836C40E"/>
    <w:multiLevelType w:val="hybridMultilevel"/>
    <w:lvl w:ilvl="0">
      <w:lvlJc w:val="left"/>
      <w:lvlText w:val="(%1)"/>
      <w:numFmt w:val="decimal"/>
      <w:start w:val="1"/>
    </w:lvl>
    <w:lvl w:ilvl="1">
      <w:lvlJc w:val="left"/>
      <w:lvlText w:val="(%2)"/>
      <w:numFmt w:val="lowerLetter"/>
      <w:start w:val="4"/>
    </w:lvl>
  </w:abstractNum>
  <w:abstractNum w:abstractNumId="13">
    <w:nsid w:val="2901D82"/>
    <w:multiLevelType w:val="hybridMultilevel"/>
    <w:lvl w:ilvl="0">
      <w:lvlJc w:val="left"/>
      <w:lvlText w:val="%1."/>
      <w:numFmt w:val="decimal"/>
      <w:start w:val="10"/>
    </w:lvl>
    <w:lvl w:ilvl="1">
      <w:lvlJc w:val="left"/>
      <w:lvlText w:val="(%2)"/>
      <w:numFmt w:val="lowerLetter"/>
      <w:start w:val="1"/>
    </w:lvl>
  </w:abstractNum>
  <w:abstractNum w:abstractNumId="14">
    <w:nsid w:val="3A95F874"/>
    <w:multiLevelType w:val="hybridMultilevel"/>
    <w:lvl w:ilvl="0">
      <w:lvlJc w:val="left"/>
      <w:lvlText w:val="%1."/>
      <w:numFmt w:val="decimal"/>
      <w:start w:val="11"/>
    </w:lvl>
    <w:lvl w:ilvl="1">
      <w:lvlJc w:val="left"/>
      <w:lvlText w:val="(%2)"/>
      <w:numFmt w:val="lowerLetter"/>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2"/>
    </w:lvl>
    <w:lvl w:ilvl="1">
      <w:lvlJc w:val="left"/>
      <w:lvlText w:val="(%2)"/>
      <w:numFmt w:val="lowerLetter"/>
      <w:start w:val="1"/>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5"/>
    </w:lvl>
    <w:lvl w:ilvl="1">
      <w:lvlJc w:val="left"/>
      <w:lvlText w:val="(%2)"/>
      <w:numFmt w:val="lowerLetter"/>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7"/>
    </w:lvl>
    <w:lvl w:ilvl="1">
      <w:lvlJc w:val="left"/>
      <w:lvlText w:val="(%2)"/>
      <w:numFmt w:val="lowerLetter"/>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decimal"/>
      <w:start w:val="104"/>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2023-10-25T09:08:22Z</dcterms:created>
  <dcterms:modified xsi:type="dcterms:W3CDTF">2023-10-25T09:08:22Z</dcterms:modified>
</cp:coreProperties>
</file>