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001-35066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IMAX Corporation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6434" w:type="dxa"/>
        <w:jc w:val="left"/>
        <w:tblInd w:w="0" w:type="dxa"/>
        <w:tblLayout w:type="fixed"/>
        <w:tblCellMar>
          <w:top w:w="28" w:type="dxa"/>
          <w:left w:w="28" w:type="dxa"/>
          <w:bottom w:w="28" w:type="dxa"/>
          <w:right w:w="28" w:type="dxa"/>
        </w:tblCellMar>
      </w:tblPr>
      <w:tblGrid>
        <w:gridCol w:w="1261"/>
        <w:gridCol w:w="1102"/>
        <w:gridCol w:w="1117"/>
        <w:gridCol w:w="863"/>
        <w:gridCol w:w="863"/>
        <w:gridCol w:w="1228"/>
      </w:tblGrid>
      <w:tr>
        <w:trPr/>
        <w:tc>
          <w:tcPr>
            <w:tcW w:w="126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Canada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98-0140269</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(I.R.S. Employer</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Identification Number)</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2525 Speakman Drive,</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Mississauga, Ontario, Canada L5K 1B1</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(905) 403-6457</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902 Broadway, Floor 20</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York, New York, USA 10010</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(212) 821-0142</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zip code, telephone numbers)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before="0" w:after="0"/>
        <w:jc w:val="center"/>
        <w:rPr/>
      </w:pPr>
      <w:r>
        <w:rPr/>
      </w:r>
    </w:p>
    <w:tbl>
      <w:tblPr>
        <w:tblW w:w="8091" w:type="dxa"/>
        <w:jc w:val="left"/>
        <w:tblInd w:w="0" w:type="dxa"/>
        <w:tblLayout w:type="fixed"/>
        <w:tblCellMar>
          <w:top w:w="28" w:type="dxa"/>
          <w:left w:w="28" w:type="dxa"/>
          <w:bottom w:w="28" w:type="dxa"/>
          <w:right w:w="28" w:type="dxa"/>
        </w:tblCellMar>
      </w:tblPr>
      <w:tblGrid>
        <w:gridCol w:w="965"/>
        <w:gridCol w:w="846"/>
        <w:gridCol w:w="858"/>
        <w:gridCol w:w="109"/>
        <w:gridCol w:w="109"/>
        <w:gridCol w:w="109"/>
        <w:gridCol w:w="484"/>
        <w:gridCol w:w="484"/>
        <w:gridCol w:w="486"/>
        <w:gridCol w:w="109"/>
        <w:gridCol w:w="109"/>
        <w:gridCol w:w="109"/>
        <w:gridCol w:w="970"/>
        <w:gridCol w:w="970"/>
        <w:gridCol w:w="1374"/>
      </w:tblGrid>
      <w:tr>
        <w:trPr/>
        <w:tc>
          <w:tcPr>
            <w:tcW w:w="96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center"/>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jc w:val="center"/>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before="0" w:after="0"/>
        <w:jc w:val="center"/>
        <w:rPr/>
      </w:pPr>
      <w:r>
        <w:rPr/>
      </w:r>
    </w:p>
    <w:tbl>
      <w:tblPr>
        <w:tblW w:w="5367" w:type="dxa"/>
        <w:jc w:val="left"/>
        <w:tblInd w:w="0" w:type="dxa"/>
        <w:tblLayout w:type="fixed"/>
        <w:tblCellMar>
          <w:top w:w="28" w:type="dxa"/>
          <w:left w:w="28" w:type="dxa"/>
          <w:bottom w:w="28" w:type="dxa"/>
          <w:right w:w="28" w:type="dxa"/>
        </w:tblCellMar>
      </w:tblPr>
      <w:tblGrid>
        <w:gridCol w:w="914"/>
        <w:gridCol w:w="806"/>
        <w:gridCol w:w="815"/>
        <w:gridCol w:w="109"/>
        <w:gridCol w:w="109"/>
        <w:gridCol w:w="109"/>
        <w:gridCol w:w="732"/>
        <w:gridCol w:w="732"/>
        <w:gridCol w:w="1041"/>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Outstanding as of June 30, 2026</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54,842,114</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both"/>
        <w:rPr/>
      </w:pPr>
      <w:r>
        <w:rPr/>
      </w:r>
    </w:p>
    <w:tbl>
      <w:tblPr>
        <w:tblW w:w="966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16">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16">
              <w:r>
                <w:rPr>
                  <w:rStyle w:val="InternetLink"/>
                  <w:rFonts w:ascii="Times New Roman;serif" w:hAnsi="Times New Roman;serif"/>
                  <w:b w:val="false"/>
                  <w:color w:val="0000FF"/>
                  <w:sz w:val="20"/>
                  <w:u w:val="single"/>
                </w:rPr>
                <w:t>3</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44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442">
              <w:r>
                <w:rPr>
                  <w:rStyle w:val="InternetLink"/>
                  <w:rFonts w:ascii="Times New Roman;serif" w:hAnsi="Times New Roman;serif"/>
                  <w:b w:val="false"/>
                  <w:color w:val="0000FF"/>
                  <w:sz w:val="20"/>
                  <w:u w:val="single"/>
                </w:rPr>
                <w:t>40</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574">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574">
              <w:r>
                <w:rPr>
                  <w:rStyle w:val="InternetLink"/>
                  <w:rFonts w:ascii="Times New Roman;serif" w:hAnsi="Times New Roman;serif"/>
                  <w:b w:val="false"/>
                  <w:color w:val="0000FF"/>
                  <w:sz w:val="20"/>
                  <w:u w:val="single"/>
                </w:rPr>
                <w:t>64</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598">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598">
              <w:r>
                <w:rPr>
                  <w:rStyle w:val="InternetLink"/>
                  <w:rFonts w:ascii="Times New Roman;serif" w:hAnsi="Times New Roman;serif"/>
                  <w:b w:val="false"/>
                  <w:color w:val="0000FF"/>
                  <w:sz w:val="20"/>
                  <w:u w:val="single"/>
                </w:rPr>
                <w:t>65</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07">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10">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610">
              <w:r>
                <w:rPr>
                  <w:rStyle w:val="InternetLink"/>
                  <w:rFonts w:ascii="Times New Roman;serif" w:hAnsi="Times New Roman;serif"/>
                  <w:b w:val="false"/>
                  <w:color w:val="0000FF"/>
                  <w:sz w:val="20"/>
                  <w:u w:val="single"/>
                </w:rPr>
                <w:t>67</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13">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613">
              <w:r>
                <w:rPr>
                  <w:rStyle w:val="InternetLink"/>
                  <w:rFonts w:ascii="Times New Roman;serif" w:hAnsi="Times New Roman;serif"/>
                  <w:b w:val="false"/>
                  <w:color w:val="0000FF"/>
                  <w:sz w:val="20"/>
                  <w:u w:val="single"/>
                </w:rPr>
                <w:t>67</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16">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616">
              <w:r>
                <w:rPr>
                  <w:rStyle w:val="InternetLink"/>
                  <w:rFonts w:ascii="Times New Roman;serif" w:hAnsi="Times New Roman;serif"/>
                  <w:b w:val="false"/>
                  <w:color w:val="0000FF"/>
                  <w:sz w:val="20"/>
                  <w:u w:val="single"/>
                </w:rPr>
                <w:t>69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19">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619">
              <w:r>
                <w:rPr>
                  <w:rStyle w:val="InternetLink"/>
                  <w:rFonts w:ascii="Times New Roman;serif" w:hAnsi="Times New Roman;serif"/>
                  <w:b w:val="false"/>
                  <w:color w:val="0000FF"/>
                  <w:sz w:val="20"/>
                  <w:u w:val="single"/>
                </w:rPr>
                <w:t>69</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25">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625">
              <w:r>
                <w:rPr>
                  <w:rStyle w:val="InternetLink"/>
                  <w:rFonts w:ascii="Times New Roman;serif" w:hAnsi="Times New Roman;serif"/>
                  <w:b w:val="false"/>
                  <w:color w:val="0000FF"/>
                  <w:sz w:val="20"/>
                  <w:u w:val="single"/>
                </w:rPr>
                <w:t>71</w:t>
              </w:r>
            </w:hyperlink>
          </w:p>
        </w:tc>
      </w:tr>
      <w:tr>
        <w:trPr/>
        <w:tc>
          <w:tcPr>
            <w:tcW w:w="90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628">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628">
              <w:r>
                <w:rPr>
                  <w:rStyle w:val="InternetLink"/>
                  <w:rFonts w:ascii="Times New Roman;serif" w:hAnsi="Times New Roman;serif"/>
                  <w:b w:val="false"/>
                  <w:color w:val="0000FF"/>
                  <w:sz w:val="20"/>
                  <w:u w:val="single"/>
                </w:rPr>
                <w:t>72</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12"/>
        <w:gridCol w:w="3082"/>
        <w:gridCol w:w="3098"/>
        <w:gridCol w:w="149"/>
        <w:gridCol w:w="149"/>
        <w:gridCol w:w="215"/>
      </w:tblGrid>
      <w:tr>
        <w:trPr/>
        <w:tc>
          <w:tcPr>
            <w:tcW w:w="3512"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unaudited Condensed Consolidated Financial Statements are filed as part of this Report:</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19">
              <w:r>
                <w:rPr>
                  <w:rStyle w:val="InternetLink"/>
                  <w:rFonts w:ascii="Times New Roman;serif" w:hAnsi="Times New Roman;serif"/>
                  <w:b w:val="false"/>
                  <w:color w:val="000080"/>
                  <w:sz w:val="20"/>
                  <w:u w:val="single"/>
                </w:rPr>
                <w:t xml:space="preserve">Condensed Consolidated Balance Sheets as of </w:t>
              </w:r>
            </w:hyperlink>
            <w:hyperlink w:anchor="if4378b57b22341c1a893a4013207365c_19">
              <w:r>
                <w:rPr>
                  <w:rStyle w:val="InternetLink"/>
                  <w:rFonts w:ascii="Times New Roman;serif" w:hAnsi="Times New Roman;serif"/>
                  <w:b w:val="false"/>
                  <w:color w:val="000080"/>
                  <w:sz w:val="20"/>
                  <w:u w:val="single"/>
                </w:rPr>
                <w:t>June 30</w:t>
              </w:r>
            </w:hyperlink>
            <w:hyperlink w:anchor="if4378b57b22341c1a893a4013207365c_19">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19">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22">
              <w:r>
                <w:rPr>
                  <w:rStyle w:val="InternetLink"/>
                  <w:rFonts w:ascii="Times New Roman;serif" w:hAnsi="Times New Roman;serif"/>
                  <w:b w:val="false"/>
                  <w:color w:val="000080"/>
                  <w:sz w:val="20"/>
                  <w:u w:val="single"/>
                </w:rPr>
                <w:t xml:space="preserve">Condensed Consolidated Statements of Operations for the three </w:t>
              </w:r>
            </w:hyperlink>
            <w:hyperlink w:anchor="if4378b57b22341c1a893a4013207365c_22">
              <w:r>
                <w:rPr>
                  <w:rStyle w:val="InternetLink"/>
                  <w:rFonts w:ascii="Times New Roman;serif" w:hAnsi="Times New Roman;serif"/>
                  <w:b w:val="false"/>
                  <w:color w:val="000080"/>
                  <w:sz w:val="20"/>
                  <w:u w:val="single"/>
                </w:rPr>
                <w:t xml:space="preserve">and six </w:t>
              </w:r>
            </w:hyperlink>
            <w:hyperlink w:anchor="if4378b57b22341c1a893a4013207365c_22">
              <w:r>
                <w:rPr>
                  <w:rStyle w:val="InternetLink"/>
                  <w:rFonts w:ascii="Times New Roman;serif" w:hAnsi="Times New Roman;serif"/>
                  <w:b w:val="false"/>
                  <w:color w:val="000080"/>
                  <w:sz w:val="20"/>
                  <w:u w:val="single"/>
                </w:rPr>
                <w:t xml:space="preserve">months ended </w:t>
              </w:r>
            </w:hyperlink>
            <w:hyperlink w:anchor="if4378b57b22341c1a893a4013207365c_22">
              <w:r>
                <w:rPr>
                  <w:rStyle w:val="InternetLink"/>
                  <w:rFonts w:ascii="Times New Roman;serif" w:hAnsi="Times New Roman;serif"/>
                  <w:b w:val="false"/>
                  <w:color w:val="000080"/>
                  <w:sz w:val="20"/>
                  <w:u w:val="single"/>
                </w:rPr>
                <w:t>June 30</w:t>
              </w:r>
            </w:hyperlink>
            <w:hyperlink w:anchor="if4378b57b22341c1a893a4013207365c_22">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22">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25">
              <w:r>
                <w:rPr>
                  <w:rStyle w:val="InternetLink"/>
                  <w:rFonts w:ascii="Times New Roman;serif" w:hAnsi="Times New Roman;serif"/>
                  <w:b w:val="false"/>
                  <w:color w:val="000080"/>
                  <w:sz w:val="20"/>
                  <w:u w:val="single"/>
                </w:rPr>
                <w:t>Condensed Consolidated Statements of Comprehensive Income for the three</w:t>
              </w:r>
            </w:hyperlink>
            <w:hyperlink w:anchor="if4378b57b22341c1a893a4013207365c_25">
              <w:r>
                <w:rPr>
                  <w:rStyle w:val="InternetLink"/>
                  <w:rFonts w:ascii="Times New Roman;serif" w:hAnsi="Times New Roman;serif"/>
                  <w:b w:val="false"/>
                  <w:color w:val="000080"/>
                  <w:sz w:val="20"/>
                  <w:u w:val="single"/>
                </w:rPr>
                <w:t xml:space="preserve"> and six</w:t>
              </w:r>
            </w:hyperlink>
            <w:hyperlink w:anchor="if4378b57b22341c1a893a4013207365c_25">
              <w:r>
                <w:rPr>
                  <w:rStyle w:val="InternetLink"/>
                  <w:rFonts w:ascii="Times New Roman;serif" w:hAnsi="Times New Roman;serif"/>
                  <w:b w:val="false"/>
                  <w:color w:val="000080"/>
                  <w:sz w:val="20"/>
                  <w:u w:val="single"/>
                </w:rPr>
                <w:t xml:space="preserve"> months ended </w:t>
              </w:r>
            </w:hyperlink>
            <w:hyperlink w:anchor="if4378b57b22341c1a893a4013207365c_25">
              <w:r>
                <w:rPr>
                  <w:rStyle w:val="InternetLink"/>
                  <w:rFonts w:ascii="Times New Roman;serif" w:hAnsi="Times New Roman;serif"/>
                  <w:b w:val="false"/>
                  <w:color w:val="000080"/>
                  <w:sz w:val="20"/>
                  <w:u w:val="single"/>
                </w:rPr>
                <w:t>June 30</w:t>
              </w:r>
            </w:hyperlink>
            <w:hyperlink w:anchor="if4378b57b22341c1a893a4013207365c_25">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25">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28">
              <w:r>
                <w:rPr>
                  <w:rStyle w:val="InternetLink"/>
                  <w:rFonts w:ascii="Times New Roman;serif" w:hAnsi="Times New Roman;serif"/>
                  <w:b w:val="false"/>
                  <w:color w:val="000080"/>
                  <w:sz w:val="20"/>
                  <w:u w:val="single"/>
                </w:rPr>
                <w:t>Condensed Consolidated Statements of Cash Flows for the three</w:t>
              </w:r>
            </w:hyperlink>
            <w:hyperlink w:anchor="if4378b57b22341c1a893a4013207365c_28">
              <w:r>
                <w:rPr>
                  <w:rStyle w:val="InternetLink"/>
                  <w:rFonts w:ascii="Times New Roman;serif" w:hAnsi="Times New Roman;serif"/>
                  <w:b w:val="false"/>
                  <w:color w:val="000080"/>
                  <w:sz w:val="20"/>
                  <w:u w:val="single"/>
                </w:rPr>
                <w:t xml:space="preserve"> and six </w:t>
              </w:r>
            </w:hyperlink>
            <w:hyperlink w:anchor="if4378b57b22341c1a893a4013207365c_28">
              <w:r>
                <w:rPr>
                  <w:rStyle w:val="InternetLink"/>
                  <w:rFonts w:ascii="Times New Roman;serif" w:hAnsi="Times New Roman;serif"/>
                  <w:b w:val="false"/>
                  <w:color w:val="000080"/>
                  <w:sz w:val="20"/>
                  <w:u w:val="single"/>
                </w:rPr>
                <w:t xml:space="preserve">months ended </w:t>
              </w:r>
            </w:hyperlink>
            <w:hyperlink w:anchor="if4378b57b22341c1a893a4013207365c_28">
              <w:r>
                <w:rPr>
                  <w:rStyle w:val="InternetLink"/>
                  <w:rFonts w:ascii="Times New Roman;serif" w:hAnsi="Times New Roman;serif"/>
                  <w:b w:val="false"/>
                  <w:color w:val="000080"/>
                  <w:sz w:val="20"/>
                  <w:u w:val="single"/>
                </w:rPr>
                <w:t>June 30</w:t>
              </w:r>
            </w:hyperlink>
            <w:hyperlink w:anchor="if4378b57b22341c1a893a4013207365c_28">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28">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31">
              <w:r>
                <w:rPr>
                  <w:rStyle w:val="InternetLink"/>
                  <w:rFonts w:ascii="Times New Roman;serif" w:hAnsi="Times New Roman;serif"/>
                  <w:b w:val="false"/>
                  <w:color w:val="000080"/>
                  <w:sz w:val="20"/>
                  <w:u w:val="single"/>
                </w:rPr>
                <w:t xml:space="preserve">Condensed Consolidated Statements of Shareholders’ Equity for the three </w:t>
              </w:r>
            </w:hyperlink>
            <w:hyperlink w:anchor="if4378b57b22341c1a893a4013207365c_31">
              <w:r>
                <w:rPr>
                  <w:rStyle w:val="InternetLink"/>
                  <w:rFonts w:ascii="Times New Roman;serif" w:hAnsi="Times New Roman;serif"/>
                  <w:b w:val="false"/>
                  <w:color w:val="000080"/>
                  <w:sz w:val="20"/>
                  <w:u w:val="single"/>
                </w:rPr>
                <w:t xml:space="preserve">and six </w:t>
              </w:r>
            </w:hyperlink>
            <w:hyperlink w:anchor="if4378b57b22341c1a893a4013207365c_31">
              <w:r>
                <w:rPr>
                  <w:rStyle w:val="InternetLink"/>
                  <w:rFonts w:ascii="Times New Roman;serif" w:hAnsi="Times New Roman;serif"/>
                  <w:b w:val="false"/>
                  <w:color w:val="000080"/>
                  <w:sz w:val="20"/>
                  <w:u w:val="single"/>
                </w:rPr>
                <w:t xml:space="preserve">months ended </w:t>
              </w:r>
            </w:hyperlink>
            <w:hyperlink w:anchor="if4378b57b22341c1a893a4013207365c_31">
              <w:r>
                <w:rPr>
                  <w:rStyle w:val="InternetLink"/>
                  <w:rFonts w:ascii="Times New Roman;serif" w:hAnsi="Times New Roman;serif"/>
                  <w:b w:val="false"/>
                  <w:color w:val="000080"/>
                  <w:sz w:val="20"/>
                  <w:u w:val="single"/>
                </w:rPr>
                <w:t>June 30</w:t>
              </w:r>
            </w:hyperlink>
            <w:hyperlink w:anchor="if4378b57b22341c1a893a4013207365c_31">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31">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378b57b22341c1a893a4013207365c_37">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378b57b22341c1a893a4013207365c_37">
              <w:r>
                <w:rPr>
                  <w:rStyle w:val="InternetLink"/>
                  <w:rFonts w:ascii="Times New Roman;serif" w:hAnsi="Times New Roman;serif"/>
                  <w:b w:val="false"/>
                  <w:color w:val="0000FF"/>
                  <w:sz w:val="20"/>
                  <w:u w:val="single"/>
                </w:rPr>
                <w:t>10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amounts)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27"/>
        <w:gridCol w:w="2381"/>
        <w:gridCol w:w="2402"/>
        <w:gridCol w:w="211"/>
        <w:gridCol w:w="841"/>
        <w:gridCol w:w="109"/>
        <w:gridCol w:w="109"/>
        <w:gridCol w:w="109"/>
        <w:gridCol w:w="109"/>
        <w:gridCol w:w="211"/>
        <w:gridCol w:w="841"/>
        <w:gridCol w:w="155"/>
      </w:tblGrid>
      <w:tr>
        <w:trPr/>
        <w:tc>
          <w:tcPr>
            <w:tcW w:w="272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net of allowance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consideration receivables, net of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 assets, net of accumulated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incentives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 of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917,897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894,031</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borrowings, net of unamortized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and other borrowings, net of unamortized discounts and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467,465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466,298</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Commitments, contingencies and guarantees </w:t>
            </w:r>
            <w:r>
              <w:rPr>
                <w:rFonts w:ascii="Times New Roman;serif" w:hAnsi="Times New Roman;serif"/>
                <w:b w:val="false"/>
                <w:color w:val="000000"/>
                <w:sz w:val="20"/>
              </w:rPr>
              <w:t>(see Note 7)</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 stock common shares — no par value. Authorized — Unlimited number.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54,842,114 issued and outstanding (December 31, 2025 — 53,921,676 issued and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equity attributable to common shareholders</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355,889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337,891</w:t>
            </w:r>
            <w:r>
              <w:rPr>
                <w:color w:val="000000"/>
              </w:rPr>
              <w:t>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449,717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427,067</w:t>
            </w:r>
            <w:r>
              <w:rPr>
                <w:color w:val="000000"/>
              </w:rPr>
              <w:t>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917,897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894,031</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per share amounts)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68"/>
        <w:gridCol w:w="1415"/>
        <w:gridCol w:w="1435"/>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155"/>
      </w:tblGrid>
      <w:tr>
        <w:trPr/>
        <w:tc>
          <w:tcPr>
            <w:tcW w:w="166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Image enhancement and maintenance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102,842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91,684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184,221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178,351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 applicable to revenues</w:t>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Image enhancement and maintenance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39,946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38,082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75,514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71,573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62,896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53,602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108,707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106,778</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expense (reversal),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20,774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14,346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31,080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and unrealized investment gains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benefits non-service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19,415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27,907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15,908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12,235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21,979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20,385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15,402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11,255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19,628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13,582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per share attributable to common shareholders: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 (in thousands):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c>
          <w:tcPr>
            <w:tcW w:w="482"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40"/>
        <w:gridCol w:w="1429"/>
        <w:gridCol w:w="1448"/>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156"/>
      </w:tblGrid>
      <w:tr>
        <w:trPr/>
        <w:tc>
          <w:tcPr>
            <w:tcW w:w="164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15,908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12,235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21,979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20,385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before tax</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net (loss) gain from cash flow hedging instruments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net loss (gain) from cash flow hedging instruments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defined benefit and postretirement benefit plans net gain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other comprehensive income before tax</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3,271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5,426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4,107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recovery related to other comprehensive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18,589</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14,807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27,405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23,684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 attributable to common shareholders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17,014</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13,658</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22,881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16,591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c>
          <w:tcPr>
            <w:tcW w:w="483"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both"/>
        <w:rPr/>
      </w:pPr>
      <w:r>
        <w:rPr/>
      </w:r>
    </w:p>
    <w:tbl>
      <w:tblPr>
        <w:tblW w:w="8229" w:type="dxa"/>
        <w:jc w:val="left"/>
        <w:tblInd w:w="0" w:type="dxa"/>
        <w:tblLayout w:type="fixed"/>
        <w:tblCellMar>
          <w:top w:w="28" w:type="dxa"/>
          <w:left w:w="28" w:type="dxa"/>
          <w:bottom w:w="28" w:type="dxa"/>
          <w:right w:w="28" w:type="dxa"/>
        </w:tblCellMar>
      </w:tblPr>
      <w:tblGrid>
        <w:gridCol w:w="2058"/>
        <w:gridCol w:w="1809"/>
        <w:gridCol w:w="1816"/>
        <w:gridCol w:w="201"/>
        <w:gridCol w:w="771"/>
        <w:gridCol w:w="111"/>
        <w:gridCol w:w="111"/>
        <w:gridCol w:w="111"/>
        <w:gridCol w:w="111"/>
        <w:gridCol w:w="201"/>
        <w:gridCol w:w="771"/>
        <w:gridCol w:w="158"/>
      </w:tblGrid>
      <w:tr>
        <w:trPr/>
        <w:tc>
          <w:tcPr>
            <w:tcW w:w="205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loss expense (reversal),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Write-downs, including asset impairments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recovery</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and other non-cash compensation</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loss (gain)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and unrealized investment gain</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Film assets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Lease incentives provided to exhibitor customers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other operating assets and liabilities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36,014</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30,181</w:t>
            </w:r>
            <w:r>
              <w:rPr>
                <w:color w:val="000000"/>
              </w:rPr>
              <w:t>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 equipment for joint revenue sharing arrangements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other intangible assets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(13,028)</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(22,048)</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 borrowings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Redemption of capped calls related to convertible notes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Settlement of convertible notes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Debt issuance costs related to convertible notes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facility amendment fees paid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other borrowings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shares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shares - IMAX China</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Taxes withheld and paid on employee stock awards vested</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issued - stock options exercised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(14,275)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Increase in cash and cash equivalents during period</w:t>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8,749</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8,659</w:t>
            </w:r>
            <w:r>
              <w:rPr>
                <w:color w:val="000000"/>
              </w:rPr>
              <w:t>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151,168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100,592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159,917</w:t>
            </w:r>
            <w:r>
              <w:rPr>
                <w:color w:val="000000"/>
              </w:rPr>
              <w:t> </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109,251</w:t>
            </w:r>
            <w:r>
              <w:rPr>
                <w:color w:val="000000"/>
              </w:rPr>
              <w:t>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2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(See the accompanying notes, which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data)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3141" w:type="dxa"/>
        <w:jc w:val="left"/>
        <w:tblInd w:w="0" w:type="dxa"/>
        <w:tblLayout w:type="fixed"/>
        <w:tblCellMar>
          <w:top w:w="28" w:type="dxa"/>
          <w:left w:w="28" w:type="dxa"/>
          <w:bottom w:w="28" w:type="dxa"/>
          <w:right w:w="28" w:type="dxa"/>
        </w:tblCellMar>
      </w:tblPr>
      <w:tblGrid>
        <w:gridCol w:w="757"/>
        <w:gridCol w:w="296"/>
        <w:gridCol w:w="298"/>
        <w:gridCol w:w="109"/>
        <w:gridCol w:w="109"/>
        <w:gridCol w:w="109"/>
        <w:gridCol w:w="540"/>
        <w:gridCol w:w="541"/>
        <w:gridCol w:w="19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41"/>
        <w:gridCol w:w="109"/>
        <w:gridCol w:w="109"/>
        <w:gridCol w:w="109"/>
        <w:gridCol w:w="109"/>
        <w:gridCol w:w="211"/>
        <w:gridCol w:w="736"/>
        <w:gridCol w:w="109"/>
        <w:gridCol w:w="109"/>
        <w:gridCol w:w="109"/>
        <w:gridCol w:w="109"/>
        <w:gridCol w:w="255"/>
        <w:gridCol w:w="873"/>
        <w:gridCol w:w="133"/>
        <w:gridCol w:w="109"/>
        <w:gridCol w:w="109"/>
        <w:gridCol w:w="109"/>
        <w:gridCol w:w="211"/>
        <w:gridCol w:w="82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3"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and Six Months Ended June 30,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Statutory Surplus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53,921,676 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stock units vested, net of shares withheld for employee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812,277 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options exercised, net of shares withheld for employee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share-based payment expense - restricted share units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54,855,176 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92,184 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stock units vested, net of shares withheld for employee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options exercised, net of shares withheld for employee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share-based payment expense - restricted share units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capped calls related to 2026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Repurchased and retirement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54,842,114 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13577" w:type="dxa"/>
        <w:jc w:val="left"/>
        <w:tblInd w:w="0" w:type="dxa"/>
        <w:tblLayout w:type="fixed"/>
        <w:tblCellMar>
          <w:top w:w="28" w:type="dxa"/>
          <w:left w:w="28" w:type="dxa"/>
          <w:bottom w:w="28" w:type="dxa"/>
          <w:right w:w="28" w:type="dxa"/>
        </w:tblCellMar>
      </w:tblPr>
      <w:tblGrid>
        <w:gridCol w:w="757"/>
        <w:gridCol w:w="296"/>
        <w:gridCol w:w="298"/>
        <w:gridCol w:w="109"/>
        <w:gridCol w:w="109"/>
        <w:gridCol w:w="109"/>
        <w:gridCol w:w="540"/>
        <w:gridCol w:w="541"/>
        <w:gridCol w:w="19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41"/>
        <w:gridCol w:w="109"/>
        <w:gridCol w:w="109"/>
        <w:gridCol w:w="109"/>
        <w:gridCol w:w="109"/>
        <w:gridCol w:w="211"/>
        <w:gridCol w:w="736"/>
        <w:gridCol w:w="109"/>
        <w:gridCol w:w="109"/>
        <w:gridCol w:w="109"/>
        <w:gridCol w:w="109"/>
        <w:gridCol w:w="255"/>
        <w:gridCol w:w="873"/>
        <w:gridCol w:w="133"/>
        <w:gridCol w:w="109"/>
        <w:gridCol w:w="109"/>
        <w:gridCol w:w="109"/>
        <w:gridCol w:w="211"/>
        <w:gridCol w:w="826"/>
        <w:gridCol w:w="109"/>
        <w:gridCol w:w="109"/>
        <w:gridCol w:w="109"/>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8"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and 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Statutory Surplus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52,946,200 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stock units vested, net of shares withheld for employee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751,817 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exercised, net of shares withheld for employee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share-based payment expense - restricted share units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statutory surplus reserve, IMAX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53,742,048 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stock units vested, net of shares withheld for employee tax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exercised, net of shares withheld for employee tax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share-based payment expense - restricted share units and 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ownership interest related to IMAX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statutory surplus reserve, IMAX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53,782,520 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83,970 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404,382 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96"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96"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(See the accompanying notes, which are an integral part of these Condensed Consolidated Financial Statements.)</w:t>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(Tabular amounts in thousands of U.S. Dollars, unless otherwise stated)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Accounting Principles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Corporation (together with its subsidiaries, unless the context requires otherwise, the “Company” or “IMAX”), prepares financial statements in accordance with United States Generally Accepted Accounting Principles (“U.S. GAAP” or “GAAP”) and pursuant to the rules and regulations of the Securities and Exchange Commission (the “SEC”). Certain information and footnote disclosures have been condensed or omitted as permitted by such rules and regulations. In the opinion of the Company’s management, the unaudited Condensed Consolidated Financial Statements reflect all necessary adjustments for a fair statement of interim results. The Condensed Consolidated Balance Sheet at December 31, 2025 was derived from the Company’s audited annual Consolidated Financial Statements in the Company’s 2025 Annual Report on Form 10-K (the “2025 Form 10-K”). The interim results presented in the Company’s Condensed Consolidated Statements of Operations and Condensed Consolidated Statements of Cash Flows are not necessarily indicative of results for a full year. Certain prior period comparatives have been revised to conform with the current period presentation.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audited Consolidated Financial Statements in the 2025 Form 10-K, which includes significant accounting policies adopted by the Company.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include the accounts of IMAX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Condensed Consolidated Financial Statements. A change in the value of an equity method investment that is other than temporary is recognized in the Condensed Consolidated Statements of Operations.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total assets and liabilities of the Company’s consolidated VIEs were as follows:</w:t>
      </w:r>
    </w:p>
    <w:p>
      <w:pPr>
        <w:pStyle w:val="TextBody"/>
        <w:bidi w:val="0"/>
        <w:spacing w:before="0" w:after="0"/>
        <w:ind w:left="0" w:right="0" w:firstLine="216"/>
        <w:jc w:val="both"/>
        <w:rPr/>
      </w:pPr>
      <w:r>
        <w:rPr/>
      </w:r>
    </w:p>
    <w:tbl>
      <w:tblPr>
        <w:tblW w:w="4622" w:type="dxa"/>
        <w:jc w:val="left"/>
        <w:tblInd w:w="0" w:type="dxa"/>
        <w:tblLayout w:type="fixed"/>
        <w:tblCellMar>
          <w:top w:w="28" w:type="dxa"/>
          <w:left w:w="28" w:type="dxa"/>
          <w:bottom w:w="28" w:type="dxa"/>
          <w:right w:w="28" w:type="dxa"/>
        </w:tblCellMar>
      </w:tblPr>
      <w:tblGrid>
        <w:gridCol w:w="803"/>
        <w:gridCol w:w="707"/>
        <w:gridCol w:w="709"/>
        <w:gridCol w:w="211"/>
        <w:gridCol w:w="616"/>
        <w:gridCol w:w="109"/>
        <w:gridCol w:w="109"/>
        <w:gridCol w:w="109"/>
        <w:gridCol w:w="109"/>
        <w:gridCol w:w="245"/>
        <w:gridCol w:w="716"/>
        <w:gridCol w:w="17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Estimates and Assumptions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preparing the Company’s Condensed Consolidated Financial Statements, management makes judgments in applying various accounting policies. The areas of policy judgment are consistent with those reported in Note 2 of the Company’s audited Consolidated Financial Statements included in its 2025 Form 10-K.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 (iv) provisions for the write-down of excess and obsolete inventories; (v) the fair values of the reporting units used in assessing the recoverability of goodwill; (vi) the cash flow projections used in testing the recoverability of long-lived assets such as the system equipment supporting joint revenue sharing arrangements (“JRSAs”); (vii) the economic lives of the system equipment supporting joint revenue sharing arrangements; (viii) the useful lives of tangible and intangible assets; (ix) the ultimate revenue forecasts used to test the recoverability of film assets; (x) the discount rates used to determine the present value of financing receivables, variable consideration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allowance of deferred income tax assets; and (xiv) reserves related to uncertain tax positions.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2. New Accounting Standards and Accounting Changes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Adoption of New Accounting Pronouncements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Standards Update (“ASU”) No. 2025-05, “Financial Instruments - Credit Losses (Topic 326): Measurement of Credit Losses for Accounts Receivable and Contract Assets” (“ASU 2025-05”). The amendments in ASU 2025-05 provide a practical expedient that allows entities to assume current economic conditions as of the balance sheet date will remain unchanged throughout the reasonable and supportable forecast period when estimating expected credit losses for eligible financial assets, including trade receivables and contract assets. The Company adopted ASU 2025-05 as of January 1, 2026. The adoption did not have a material impact on its Condensed Consolidated Financial Statements.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Recently Issued FASB Accounting Standards Codification Updates Not Yet Adopted</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 Reporting Comprehensive Income - Expense Disaggregation Disclosures” (“ASU 2024-03”). The amendments in ASU 2024-03 expand disclosures about specific expense categories presented on the face of the income statement and address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interim periods within annual reporting periods beginning after December 15, 2027 with early adoption permitted. The Company is in the process of evaluating the impact of ASU 2024-03 on its Consolidated Financial Statements.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Targeted Improvements to the Accounting for Internal-Use Software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in the process of evaluating the impact of this ASU on its Consolidated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Hedge Accounting Improvements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FASB issued ASU No. 2025-09, “Derivatives and Hedging (Topic 815): Hedge Accounting Improvements” (“ASU 2025-09”). The amendments in ASU 2025-09 more closely align hedge accounting with the economics of an entity’s risk management activities for (i) similar risk assessment for cash flow hedges, (ii) hedging forecasted interest payment on choose-your-rate debt instruments, (iii) cash flow hedges of nonfinancial forecasted transactions, (iv) net written options as hedging instruments, and (v) foreign-currency-denominated debt instrument as hedging instrument and hedged item. ASU 2025-09 is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fiscal periods beginning after December 15, 2026, and interim periods thereafter. The Company is in the process of evaluating the impact of this ASU on its Consolidated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Accounting for Government Grants Received by Business Entities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Accounting for Government Grants Received by Business Entities” (“ASU 2025-10”). The amendments in ASU 2025-10 establishes accounting and guidance for a government grant received by an entity. Under the new guidance, a government grant is not recognized until it is probable that an entity will comply with the conditions attached to the grant and the grant will be received, and recognition guidance is met. A grant related to an asset is recognized on the balance sheet as an entity incurs the related costs for which the grant is intended to compensate. ASU 2025-10 is effective for fiscal periods beginning after December 15, 2028, and interim periods thereafter. The Company is in the process of evaluating the impact of this ASU on its Consolidated Financial Statements.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recently issued FASB accounting standard codification updates. ASUs that are not noted above were assessed and determined to be not applicable or not significant to the Company’s Condensed Consolidated Financial Statements for the period ended June 30, 2026.</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3. Receivables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order to mitigate the credit risk associated with the Company’s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reported in Note 4 of the Company’s audited Consolidated Financial Statements included in its 2025 Form 10-K.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the allowance for credit losses related to Accounts Receivable for the three and six months ended June 30, 2026 and 2025:</w:t>
      </w:r>
    </w:p>
    <w:p>
      <w:pPr>
        <w:pStyle w:val="TextBody"/>
        <w:bidi w:val="0"/>
        <w:spacing w:before="0" w:after="0"/>
        <w:jc w:val="both"/>
        <w:rPr/>
      </w:pPr>
      <w:r>
        <w:rPr/>
      </w:r>
    </w:p>
    <w:tbl>
      <w:tblPr>
        <w:tblW w:w="11805" w:type="dxa"/>
        <w:jc w:val="left"/>
        <w:tblInd w:w="0" w:type="dxa"/>
        <w:tblLayout w:type="fixed"/>
        <w:tblCellMar>
          <w:top w:w="28" w:type="dxa"/>
          <w:left w:w="28" w:type="dxa"/>
          <w:bottom w:w="28" w:type="dxa"/>
          <w:right w:w="28" w:type="dxa"/>
        </w:tblCellMar>
      </w:tblPr>
      <w:tblGrid>
        <w:gridCol w:w="464"/>
        <w:gridCol w:w="263"/>
        <w:gridCol w:w="264"/>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109"/>
        <w:gridCol w:w="109"/>
        <w:gridCol w:w="109"/>
        <w:gridCol w:w="109"/>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Theater</w:t>
              <w:br/>
              <w:t>Operators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Theater</w:t>
              <w:br/>
              <w:t>Operators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(reversal),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805" w:type="dxa"/>
        <w:jc w:val="left"/>
        <w:tblInd w:w="0" w:type="dxa"/>
        <w:tblLayout w:type="fixed"/>
        <w:tblCellMar>
          <w:top w:w="28" w:type="dxa"/>
          <w:left w:w="28" w:type="dxa"/>
          <w:bottom w:w="28" w:type="dxa"/>
          <w:right w:w="28" w:type="dxa"/>
        </w:tblCellMar>
      </w:tblPr>
      <w:tblGrid>
        <w:gridCol w:w="464"/>
        <w:gridCol w:w="263"/>
        <w:gridCol w:w="264"/>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109"/>
        <w:gridCol w:w="109"/>
        <w:gridCol w:w="109"/>
        <w:gridCol w:w="109"/>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Theater</w:t>
              <w:br/>
              <w:t>Operators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Theater</w:t>
              <w:br/>
              <w:t>Operators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(reversal),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allowance for current expected credit losses related to Accounts Receivable increased by $0.3 million, respectively (2025 — increased by $0.1 million and decreased by less than $0.1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Financing Receivables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Financing receivables are due from theater operators and consist of the Company’s net investment in sales-type leases and receivables associated with financed sales of IMAX Systems. As of June 30, 2026 and December 31, 2025, financing receivables consisted of the following:</w:t>
      </w:r>
    </w:p>
    <w:p>
      <w:pPr>
        <w:pStyle w:val="TextBody"/>
        <w:bidi w:val="0"/>
        <w:spacing w:before="0" w:after="0"/>
        <w:jc w:val="both"/>
        <w:rPr/>
      </w:pPr>
      <w:r>
        <w:rPr/>
      </w:r>
    </w:p>
    <w:tbl>
      <w:tblPr>
        <w:tblW w:w="7959" w:type="dxa"/>
        <w:jc w:val="left"/>
        <w:tblInd w:w="0" w:type="dxa"/>
        <w:tblLayout w:type="fixed"/>
        <w:tblCellMar>
          <w:top w:w="28" w:type="dxa"/>
          <w:left w:w="28" w:type="dxa"/>
          <w:bottom w:w="28" w:type="dxa"/>
          <w:right w:w="28" w:type="dxa"/>
        </w:tblCellMar>
      </w:tblPr>
      <w:tblGrid>
        <w:gridCol w:w="1916"/>
        <w:gridCol w:w="1687"/>
        <w:gridCol w:w="1692"/>
        <w:gridCol w:w="211"/>
        <w:gridCol w:w="826"/>
        <w:gridCol w:w="109"/>
        <w:gridCol w:w="109"/>
        <w:gridCol w:w="109"/>
        <w:gridCol w:w="109"/>
        <w:gridCol w:w="211"/>
        <w:gridCol w:w="82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minimum payments due under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Unearned finance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minimum payments due under sales-type leases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minimum payments due under financed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Unearned finance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 value of minimum payments due under financed sales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financing receivables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 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 due after one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financed sales receivables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weighted-average remaining lease term and weighted-average interest rate associated with the Company’s sales-type lease arrangements and financed sales receivables, as applicable, were as follows:</w:t>
      </w:r>
    </w:p>
    <w:p>
      <w:pPr>
        <w:pStyle w:val="TextBody"/>
        <w:bidi w:val="0"/>
        <w:spacing w:before="0" w:after="0"/>
        <w:jc w:val="both"/>
        <w:rPr/>
      </w:pPr>
      <w:r>
        <w:rPr/>
      </w:r>
    </w:p>
    <w:tbl>
      <w:tblPr>
        <w:tblW w:w="6609" w:type="dxa"/>
        <w:jc w:val="left"/>
        <w:tblInd w:w="0" w:type="dxa"/>
        <w:tblLayout w:type="fixed"/>
        <w:tblCellMar>
          <w:top w:w="28" w:type="dxa"/>
          <w:left w:w="28" w:type="dxa"/>
          <w:bottom w:w="28" w:type="dxa"/>
          <w:right w:w="28" w:type="dxa"/>
        </w:tblCellMar>
      </w:tblPr>
      <w:tblGrid>
        <w:gridCol w:w="1514"/>
        <w:gridCol w:w="1333"/>
        <w:gridCol w:w="1337"/>
        <w:gridCol w:w="255"/>
        <w:gridCol w:w="256"/>
        <w:gridCol w:w="399"/>
        <w:gridCol w:w="109"/>
        <w:gridCol w:w="109"/>
        <w:gridCol w:w="109"/>
        <w:gridCol w:w="255"/>
        <w:gridCol w:w="256"/>
        <w:gridCol w:w="677"/>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9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on the Company’s net investment in leases by credit quality indicator as of June 30, 2026 and December 31, 2025. The amounts disclosed for each credit quality classification are determined on a theater-by-theater basis as per the origination year of the relationship, and include both billed and unbilled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4"/>
        <w:gridCol w:w="286"/>
        <w:gridCol w:w="287"/>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6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6"/>
        <w:gridCol w:w="268"/>
        <w:gridCol w:w="26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6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investment in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on the Company’s financed sales receivables by credit quality indicator as of June 30, 2026 and December 31, 2025. The amounts disclosed for each credit quality classification are determined on a theater-by-theater basis as per the origination year of the relationship, and include both billed and unbilled amounts.</w:t>
      </w:r>
    </w:p>
    <w:p>
      <w:pPr>
        <w:pStyle w:val="TextBody"/>
        <w:bidi w:val="0"/>
        <w:spacing w:before="0" w:after="0"/>
        <w:jc w:val="both"/>
        <w:rPr/>
      </w:pPr>
      <w:r>
        <w:rPr/>
      </w:r>
    </w:p>
    <w:tbl>
      <w:tblPr>
        <w:tblW w:w="10297" w:type="dxa"/>
        <w:jc w:val="left"/>
        <w:tblInd w:w="0" w:type="dxa"/>
        <w:tblLayout w:type="fixed"/>
        <w:tblCellMar>
          <w:top w:w="28" w:type="dxa"/>
          <w:left w:w="28" w:type="dxa"/>
          <w:bottom w:w="28" w:type="dxa"/>
          <w:right w:w="28" w:type="dxa"/>
        </w:tblCellMar>
      </w:tblPr>
      <w:tblGrid>
        <w:gridCol w:w="674"/>
        <w:gridCol w:w="263"/>
        <w:gridCol w:w="26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10507" w:type="dxa"/>
        <w:jc w:val="left"/>
        <w:tblInd w:w="0" w:type="dxa"/>
        <w:tblLayout w:type="fixed"/>
        <w:tblCellMar>
          <w:top w:w="28" w:type="dxa"/>
          <w:left w:w="28" w:type="dxa"/>
          <w:bottom w:w="28" w:type="dxa"/>
          <w:right w:w="28" w:type="dxa"/>
        </w:tblCellMar>
      </w:tblPr>
      <w:tblGrid>
        <w:gridCol w:w="674"/>
        <w:gridCol w:w="263"/>
        <w:gridCol w:w="26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quality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good 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Pre-approved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suspended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financed sales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an aging analysis for the Company’s net investment in leases and financed sales receivables as of June 30, 2026 and December 31, 2025:</w:t>
      </w:r>
    </w:p>
    <w:p>
      <w:pPr>
        <w:pStyle w:val="TextBody"/>
        <w:bidi w:val="0"/>
        <w:spacing w:before="0" w:after="0"/>
        <w:ind w:left="0" w:right="0" w:firstLine="216"/>
        <w:jc w:val="both"/>
        <w:rPr/>
      </w:pPr>
      <w:r>
        <w:rPr/>
      </w:r>
    </w:p>
    <w:tbl>
      <w:tblPr>
        <w:tblW w:w="11818" w:type="dxa"/>
        <w:jc w:val="left"/>
        <w:tblInd w:w="0" w:type="dxa"/>
        <w:tblLayout w:type="fixed"/>
        <w:tblCellMar>
          <w:top w:w="28" w:type="dxa"/>
          <w:left w:w="28" w:type="dxa"/>
          <w:bottom w:w="28" w:type="dxa"/>
          <w:right w:w="28" w:type="dxa"/>
        </w:tblCellMar>
      </w:tblPr>
      <w:tblGrid>
        <w:gridCol w:w="509"/>
        <w:gridCol w:w="263"/>
        <w:gridCol w:w="26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Accrued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and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 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113,281 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129,145 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818" w:type="dxa"/>
        <w:jc w:val="left"/>
        <w:tblInd w:w="0" w:type="dxa"/>
        <w:tblLayout w:type="fixed"/>
        <w:tblCellMar>
          <w:top w:w="28" w:type="dxa"/>
          <w:left w:w="28" w:type="dxa"/>
          <w:bottom w:w="28" w:type="dxa"/>
          <w:right w:w="28" w:type="dxa"/>
        </w:tblCellMar>
      </w:tblPr>
      <w:tblGrid>
        <w:gridCol w:w="509"/>
        <w:gridCol w:w="263"/>
        <w:gridCol w:w="26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2"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and 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Recorded 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132,552 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net investment in leases and financed sales receivables with billed amounts past due for which it continues to accrue finance income as of June 30, 2026 and December 31, 2025. The amounts disclosed for each credit quality classification are determined on a theater-by-theater basis and include both billed and unbilled amounts.</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549"/>
        <w:gridCol w:w="323"/>
        <w:gridCol w:w="324"/>
        <w:gridCol w:w="241"/>
        <w:gridCol w:w="533"/>
        <w:gridCol w:w="124"/>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41"/>
        <w:gridCol w:w="739"/>
        <w:gridCol w:w="124"/>
        <w:gridCol w:w="109"/>
        <w:gridCol w:w="109"/>
        <w:gridCol w:w="109"/>
        <w:gridCol w:w="211"/>
        <w:gridCol w:w="721"/>
        <w:gridCol w:w="159"/>
      </w:tblGrid>
      <w:tr>
        <w:trPr/>
        <w:tc>
          <w:tcPr>
            <w:tcW w:w="5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9"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1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8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and 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49,336 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1"/>
        <w:gridCol w:w="326"/>
        <w:gridCol w:w="327"/>
        <w:gridCol w:w="233"/>
        <w:gridCol w:w="680"/>
        <w:gridCol w:w="120"/>
        <w:gridCol w:w="109"/>
        <w:gridCol w:w="109"/>
        <w:gridCol w:w="109"/>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43"/>
        <w:gridCol w:w="744"/>
        <w:gridCol w:w="125"/>
        <w:gridCol w:w="109"/>
        <w:gridCol w:w="109"/>
        <w:gridCol w:w="109"/>
        <w:gridCol w:w="211"/>
        <w:gridCol w:w="721"/>
        <w:gridCol w:w="158"/>
      </w:tblGrid>
      <w:tr>
        <w:trPr/>
        <w:tc>
          <w:tcPr>
            <w:tcW w:w="5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Accrued and Current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Unbilled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Financed sales receivables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58,675 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net investment in leases and financed sales receivables that were on nonaccrual status as of June 30, 2026 and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5"/>
        <w:gridCol w:w="523"/>
        <w:gridCol w:w="525"/>
        <w:gridCol w:w="211"/>
        <w:gridCol w:w="721"/>
        <w:gridCol w:w="109"/>
        <w:gridCol w:w="109"/>
        <w:gridCol w:w="109"/>
        <w:gridCol w:w="109"/>
        <w:gridCol w:w="257"/>
        <w:gridCol w:w="940"/>
        <w:gridCol w:w="132"/>
        <w:gridCol w:w="109"/>
        <w:gridCol w:w="109"/>
        <w:gridCol w:w="109"/>
        <w:gridCol w:w="211"/>
        <w:gridCol w:w="721"/>
        <w:gridCol w:w="109"/>
        <w:gridCol w:w="109"/>
        <w:gridCol w:w="109"/>
        <w:gridCol w:w="109"/>
        <w:gridCol w:w="211"/>
        <w:gridCol w:w="721"/>
        <w:gridCol w:w="109"/>
        <w:gridCol w:w="109"/>
        <w:gridCol w:w="109"/>
        <w:gridCol w:w="109"/>
        <w:gridCol w:w="272"/>
        <w:gridCol w:w="862"/>
        <w:gridCol w:w="140"/>
        <w:gridCol w:w="109"/>
        <w:gridCol w:w="109"/>
        <w:gridCol w:w="109"/>
        <w:gridCol w:w="211"/>
        <w:gridCol w:w="721"/>
        <w:gridCol w:w="159"/>
      </w:tblGrid>
      <w:tr>
        <w:trPr/>
        <w:tc>
          <w:tcPr>
            <w:tcW w:w="7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7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Allowance for Credit</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Receivable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Allowance for Credit</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financed sales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(10,025)</w:t>
            </w:r>
          </w:p>
        </w:tc>
        <w:tc>
          <w:tcPr>
            <w:tcW w:w="1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(9,644)</w:t>
            </w:r>
          </w:p>
        </w:tc>
        <w:tc>
          <w:tcPr>
            <w:tcW w:w="1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15,224 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did not recognize Finance Income related to the net investment in leases on nonaccrual status. For the three and six months ended June 30, 2026, the Company recognized $0.1 million, respectively (2025 — less than $0.1 million, respectively) in Finance Income related to the financed sales receivables on nonaccrual status.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the allowance for credit losses related to the Company’s net investment in leases and financed sales receivables for the three and six months ended June 30, 2026 and 2025:</w:t>
      </w:r>
    </w:p>
    <w:p>
      <w:pPr>
        <w:pStyle w:val="TextBody"/>
        <w:bidi w:val="0"/>
        <w:spacing w:before="0" w:after="0"/>
        <w:ind w:left="0" w:right="0" w:firstLine="216"/>
        <w:jc w:val="both"/>
        <w:rPr/>
      </w:pPr>
      <w:r>
        <w:rPr/>
      </w:r>
    </w:p>
    <w:tbl>
      <w:tblPr>
        <w:tblW w:w="9919" w:type="dxa"/>
        <w:jc w:val="left"/>
        <w:tblInd w:w="0" w:type="dxa"/>
        <w:tblLayout w:type="fixed"/>
        <w:tblCellMar>
          <w:top w:w="28" w:type="dxa"/>
          <w:left w:w="28" w:type="dxa"/>
          <w:bottom w:w="28" w:type="dxa"/>
          <w:right w:w="28" w:type="dxa"/>
        </w:tblCellMar>
      </w:tblPr>
      <w:tblGrid>
        <w:gridCol w:w="1183"/>
        <w:gridCol w:w="1042"/>
        <w:gridCol w:w="1045"/>
        <w:gridCol w:w="385"/>
        <w:gridCol w:w="659"/>
        <w:gridCol w:w="200"/>
        <w:gridCol w:w="109"/>
        <w:gridCol w:w="109"/>
        <w:gridCol w:w="109"/>
        <w:gridCol w:w="273"/>
        <w:gridCol w:w="935"/>
        <w:gridCol w:w="141"/>
        <w:gridCol w:w="109"/>
        <w:gridCol w:w="109"/>
        <w:gridCol w:w="109"/>
        <w:gridCol w:w="333"/>
        <w:gridCol w:w="738"/>
        <w:gridCol w:w="174"/>
        <w:gridCol w:w="109"/>
        <w:gridCol w:w="109"/>
        <w:gridCol w:w="109"/>
        <w:gridCol w:w="273"/>
        <w:gridCol w:w="935"/>
        <w:gridCol w:w="141"/>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Investment </w:t>
              <w:br/>
              <w:t>in Leases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Financed</w:t>
              <w:br/>
              <w:t>Sales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Investment </w:t>
              <w:br/>
              <w:t>in Leases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Financed</w:t>
              <w:br/>
              <w:t>Sales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(reversal) provision,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976" w:type="dxa"/>
        <w:jc w:val="left"/>
        <w:tblInd w:w="0" w:type="dxa"/>
        <w:tblLayout w:type="fixed"/>
        <w:tblCellMar>
          <w:top w:w="28" w:type="dxa"/>
          <w:left w:w="28" w:type="dxa"/>
          <w:bottom w:w="28" w:type="dxa"/>
          <w:right w:w="28" w:type="dxa"/>
        </w:tblCellMar>
      </w:tblPr>
      <w:tblGrid>
        <w:gridCol w:w="841"/>
        <w:gridCol w:w="741"/>
        <w:gridCol w:w="743"/>
        <w:gridCol w:w="333"/>
        <w:gridCol w:w="738"/>
        <w:gridCol w:w="174"/>
        <w:gridCol w:w="109"/>
        <w:gridCol w:w="109"/>
        <w:gridCol w:w="109"/>
        <w:gridCol w:w="304"/>
        <w:gridCol w:w="888"/>
        <w:gridCol w:w="158"/>
        <w:gridCol w:w="109"/>
        <w:gridCol w:w="109"/>
        <w:gridCol w:w="109"/>
        <w:gridCol w:w="333"/>
        <w:gridCol w:w="738"/>
        <w:gridCol w:w="174"/>
        <w:gridCol w:w="109"/>
        <w:gridCol w:w="109"/>
        <w:gridCol w:w="109"/>
        <w:gridCol w:w="273"/>
        <w:gridCol w:w="935"/>
        <w:gridCol w:w="141"/>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Investment </w:t>
              <w:br/>
              <w:t>in Leases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Financed</w:t>
              <w:br/>
              <w:t>Sales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Investment </w:t>
              <w:br/>
              <w:t>in Leases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Financed</w:t>
              <w:br/>
              <w:t>Sales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reversal,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allowance for current expected credit losses related to its net investment in leases decreased by less than $0.1 million and $0.4 million, respectively, and net financed sales receivables increased by $0.6 million, respectively.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Company’s allowance for current expected credit losses related to its net investment in leases decreased by $0.2 million, respectively, and net financed sales receivables decreased by $0.1 million and $0.3 million, respectively.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 Receivables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Allowance for Credit Losses related to Variable Consideration Receivables for the three and six months ended June 30, 2026 and 2025:</w:t>
      </w:r>
    </w:p>
    <w:p>
      <w:pPr>
        <w:pStyle w:val="TextBody"/>
        <w:bidi w:val="0"/>
        <w:spacing w:before="0" w:after="0"/>
        <w:ind w:left="0" w:right="0" w:firstLine="216"/>
        <w:jc w:val="both"/>
        <w:rPr/>
      </w:pPr>
      <w:r>
        <w:rPr/>
      </w:r>
    </w:p>
    <w:tbl>
      <w:tblPr>
        <w:tblW w:w="8636" w:type="dxa"/>
        <w:jc w:val="left"/>
        <w:tblInd w:w="0" w:type="dxa"/>
        <w:tblLayout w:type="fixed"/>
        <w:tblCellMar>
          <w:top w:w="28" w:type="dxa"/>
          <w:left w:w="28" w:type="dxa"/>
          <w:bottom w:w="28" w:type="dxa"/>
          <w:right w:w="28" w:type="dxa"/>
        </w:tblCellMar>
      </w:tblPr>
      <w:tblGrid>
        <w:gridCol w:w="1183"/>
        <w:gridCol w:w="1042"/>
        <w:gridCol w:w="1045"/>
        <w:gridCol w:w="357"/>
        <w:gridCol w:w="433"/>
        <w:gridCol w:w="186"/>
        <w:gridCol w:w="109"/>
        <w:gridCol w:w="109"/>
        <w:gridCol w:w="109"/>
        <w:gridCol w:w="262"/>
        <w:gridCol w:w="578"/>
        <w:gridCol w:w="136"/>
        <w:gridCol w:w="109"/>
        <w:gridCol w:w="109"/>
        <w:gridCol w:w="109"/>
        <w:gridCol w:w="302"/>
        <w:gridCol w:w="517"/>
        <w:gridCol w:w="157"/>
        <w:gridCol w:w="109"/>
        <w:gridCol w:w="109"/>
        <w:gridCol w:w="109"/>
        <w:gridCol w:w="262"/>
        <w:gridCol w:w="578"/>
        <w:gridCol w:w="136"/>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Theater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Operators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Theater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Operators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Theater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Operators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Theater</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Operators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period provision (reversal), net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allowance for current expected credit losses related to Variable Consideration Receivables had no change and decreased by less than $0.1 million, respectively (2025 — increased by less than $0.1 million, respectively).</w:t>
      </w:r>
    </w:p>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4. Lease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IMAX Corporation as a Lessor</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 of the Company’s audited Consolidated Financial Statements included in its 2025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provides IMAX Systems to customers through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other JRSAs, known as hybrid arrangements, the customer is responsible for making fixed upfront payments prior to the delivery and installation of the IMAX System.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Under JRSAs, the customer has the ability and the right to operate the hardware components or direct others to operate them in a manner determined by the customer. The Company’s JRSAs are typically non-cancellable for ten years or longer with renewal provisions. Title to the IMAX System under a JRSA generally does not transfer to the customer. The Company’s JRSAs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lease payments are expected to be received by the Company for its sales-type leases and JRSAs in each of the remainder of 2026, next four years and thereafter following the June 30, 2026 balance sheet date:</w:t>
      </w:r>
    </w:p>
    <w:tbl>
      <w:tblPr>
        <w:tblW w:w="3764" w:type="dxa"/>
        <w:jc w:val="left"/>
        <w:tblInd w:w="0" w:type="dxa"/>
        <w:tblLayout w:type="fixed"/>
        <w:tblCellMar>
          <w:top w:w="28" w:type="dxa"/>
          <w:left w:w="28" w:type="dxa"/>
          <w:bottom w:w="28" w:type="dxa"/>
          <w:right w:w="28" w:type="dxa"/>
        </w:tblCellMar>
      </w:tblPr>
      <w:tblGrid>
        <w:gridCol w:w="890"/>
        <w:gridCol w:w="784"/>
        <w:gridCol w:w="786"/>
        <w:gridCol w:w="211"/>
        <w:gridCol w:w="721"/>
        <w:gridCol w:w="109"/>
        <w:gridCol w:w="109"/>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Sales-Type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Inventories consisted of the following:</w:t>
      </w:r>
    </w:p>
    <w:p>
      <w:pPr>
        <w:pStyle w:val="TextBody"/>
        <w:bidi w:val="0"/>
        <w:spacing w:before="0" w:after="0"/>
        <w:jc w:val="both"/>
        <w:rPr/>
      </w:pPr>
      <w:r>
        <w:rPr/>
      </w:r>
    </w:p>
    <w:tbl>
      <w:tblPr>
        <w:tblW w:w="4726" w:type="dxa"/>
        <w:jc w:val="left"/>
        <w:tblInd w:w="0" w:type="dxa"/>
        <w:tblLayout w:type="fixed"/>
        <w:tblCellMar>
          <w:top w:w="28" w:type="dxa"/>
          <w:left w:w="28" w:type="dxa"/>
          <w:bottom w:w="28" w:type="dxa"/>
          <w:right w:w="28" w:type="dxa"/>
        </w:tblCellMar>
      </w:tblPr>
      <w:tblGrid>
        <w:gridCol w:w="803"/>
        <w:gridCol w:w="707"/>
        <w:gridCol w:w="709"/>
        <w:gridCol w:w="211"/>
        <w:gridCol w:w="721"/>
        <w:gridCol w:w="109"/>
        <w:gridCol w:w="109"/>
        <w:gridCol w:w="109"/>
        <w:gridCol w:w="109"/>
        <w:gridCol w:w="221"/>
        <w:gridCol w:w="757"/>
        <w:gridCol w:w="161"/>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32,505 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Inventories included balances of $1.6 million (December 31, 2025 — $1.0 million) for which title had passed to the customers, but the criteria for revenue recognition were not met as of the balance sheet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write-downs of less than $0.1 million and $0.1 million, respectively (2025 — write-downs of $0.1 million and $0.2 million, respectively) in Costs and Expenses Applicable to Revenues ― Technology Sales.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6. Borrowings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Revolving Credit Facility Borrowings, Net</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Revolving Credit Facility Borrowings, Net included the following:</w:t>
      </w:r>
    </w:p>
    <w:p>
      <w:pPr>
        <w:pStyle w:val="TextBody"/>
        <w:bidi w:val="0"/>
        <w:spacing w:before="0" w:after="0"/>
        <w:jc w:val="both"/>
        <w:rPr/>
      </w:pPr>
      <w:r>
        <w:rPr/>
      </w:r>
    </w:p>
    <w:tbl>
      <w:tblPr>
        <w:tblW w:w="6061" w:type="dxa"/>
        <w:jc w:val="left"/>
        <w:tblInd w:w="0" w:type="dxa"/>
        <w:tblLayout w:type="fixed"/>
        <w:tblCellMar>
          <w:top w:w="28" w:type="dxa"/>
          <w:left w:w="28" w:type="dxa"/>
          <w:bottom w:w="28" w:type="dxa"/>
          <w:right w:w="28" w:type="dxa"/>
        </w:tblCellMar>
      </w:tblPr>
      <w:tblGrid>
        <w:gridCol w:w="1287"/>
        <w:gridCol w:w="1132"/>
        <w:gridCol w:w="1135"/>
        <w:gridCol w:w="211"/>
        <w:gridCol w:w="721"/>
        <w:gridCol w:w="109"/>
        <w:gridCol w:w="109"/>
        <w:gridCol w:w="109"/>
        <w:gridCol w:w="109"/>
        <w:gridCol w:w="221"/>
        <w:gridCol w:w="757"/>
        <w:gridCol w:w="161"/>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Credit Facility borrowings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 Borrowings,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34,577 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Wells Fargo Credit Agreement</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Company is a party to a Seventh Amended and Restated Credit Agreement, dated as of July 14, 2025 (the “Credit Agreement”), that provides for a credit facility (the “Credit Facility”). The Company’s obligations under the Credit Agreement are guaranteed by certain of the Company’s subsidiaries (the “Guarantors”), and are secured by first-priority security interests in substantially all of the assets of the Company and the Guarantors.</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a revolving borrowing capacity of $375.0 million, and contains an uncommitted accordion feature that allows the Company to further increase its borrowing capacity by the greater of $140.0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that the Company does not exceed a maximum Senior Secured Net Leverage Ratio (as defined therein) of 3.25:1.00, which may be increased under certain circumstances and is tested on the last day of each fiscal quarter. The Company was in compliance with this requirement as of June 30, 2026 as the Senior Secured Net Leverage Ratio was 0.00:1.00.</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Loans under the Credit Facility will bear interest, at the Company’s option, at (i) Term SOFR, Eurocurrency Rate or Term CORRA plus a margin ranging from 1.00% to 1.75% per annum or (ii) the U.S. base rate or the Canadian prime rate plus a margin ranging from 0.25% to 1.00% per annum, in each case depending on the Company’s total leverage ratio. In no event will Term SOFR, Eurocurrency Rate or Term CORRA be less than 0.00% per annum.</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borrowings under the Credit Facility were $41.0 million (December 31, 2025 — $37.0 million) and bore interest at Term SOFR (as defined in the Credit Agreement), plus a margin of 1.50% per annum (December 31, 2025 — 1.50%) based on the Company’s total leverage ratio. The effective interest rates for the three and six months ended June 30, 2026 were 5.14% and 5.16%, respectively (2025 — 6.17%, respectively).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no letters of credit or advance payment guarantees outstanding under the Credit Facility. As of June 30, 2026, the amount available for future borrowings under the Credit Facility was $334.0 million (December 31, 2025 — $338.0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Foreign Exchange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Within the Credit Facility, the Company is able to purchase foreign currency forward contracts and/or other swap arrangements. As of June 30, 2026, the net unrealized loss on the Company’s outstanding foreign currency forward contracts was $0.9 million, representing the amount by which the fair value of these forward contracts exceeded their notional value (December 31, 2025 — net unrealized gain of $1.0 million). As of June 30, 2026, the notional value of the Company’s outstanding foreign currency forward contracts was $46.3 million (December 31, 2025 — $48.4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Bank of China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no borrowings outstanding under the Bank of China Facility (as defined and described in Note 13 to the Company’s audited Consolidated Financial Statements in its 2025 Form 10-K). As of June 30, 2026, there were no outstanding letters of guarantee.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amount available for future borrowings under the Bank of China Facility was RMB 190.0 million ($27.9 million) and the amount available for letters of guarantee was RMB 10.0 million ($1.5 million). The amount available for future borrowings under the Bank of China Facility is not subject to a standby fee. The effective interest rates for the three and six months ended June 30, 2026 was 0% (2025 — 0%). There were no amounts drawn under the Bank of China Facility for the three and six months ended June 30, 2026. The Bank of China Facility has been renewed to April 15, 2027.</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HSBC China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no borrowings were outstanding under the HSBC China Facility (as defined and described in Note 13 to the Company’s audited Consolidated Financial Statements in its 2025 Form 10-K). As of June 30, 2026, and December 31, 2025, the amount available for future borrowings under the HSBC China Facility was RMB 200.0 million ($29.4 million). The effective interest rate for the three and six months ended June 30, 2026 was 0% (2025 — 0%).</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NBC Facility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NBC Facility (as defined and described in Note 13 to the Company’s audited Consolidated Financial Statements in its 2025 Form 10-K) has been renewed to October 8, 2026. The Company did not have any letters of credit or advance payment guarantees outstanding as of June 30, 2026 and December 31, 2025 under the NBC Facility.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Convertible Notes and Other Borrowings, Net</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Convertible Notes and Other Borrowings, Net included the following:</w:t>
      </w:r>
    </w:p>
    <w:p>
      <w:pPr>
        <w:pStyle w:val="TextBody"/>
        <w:bidi w:val="0"/>
        <w:spacing w:before="0" w:after="0"/>
        <w:jc w:val="both"/>
        <w:rPr/>
      </w:pPr>
      <w:r>
        <w:rPr/>
      </w:r>
    </w:p>
    <w:tbl>
      <w:tblPr>
        <w:tblW w:w="6594" w:type="dxa"/>
        <w:jc w:val="left"/>
        <w:tblInd w:w="0" w:type="dxa"/>
        <w:tblLayout w:type="fixed"/>
        <w:tblCellMar>
          <w:top w:w="28" w:type="dxa"/>
          <w:left w:w="28" w:type="dxa"/>
          <w:bottom w:w="28" w:type="dxa"/>
          <w:right w:w="28" w:type="dxa"/>
        </w:tblCellMar>
      </w:tblPr>
      <w:tblGrid>
        <w:gridCol w:w="1422"/>
        <w:gridCol w:w="1252"/>
        <w:gridCol w:w="1256"/>
        <w:gridCol w:w="211"/>
        <w:gridCol w:w="826"/>
        <w:gridCol w:w="109"/>
        <w:gridCol w:w="109"/>
        <w:gridCol w:w="109"/>
        <w:gridCol w:w="109"/>
        <w:gridCol w:w="211"/>
        <w:gridCol w:w="82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discounts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net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Economic Development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Unaccreted interest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Economic Development Loan, net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and Other Borrowings,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2026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On March 19, 2021, the Company issued $230.0 million of 0.500% Convertible Senior Notes due 2026 (the “2026 Convertible Notes”). In connection with the pricing of the 2026 Convertible Notes, the Company entered into privately negotiated capped call transactions (the “2026 Capped Call Transactions”) with certain financial institutions to reduce potential dilution in connection with the redemption of the 2026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2025, the Company completed the repurchase of $229.3 million (or 99.7%) of the outstanding principal amount of the 2026 Convertible Notes in separate, privately negotiated repurchase transactions with a limited number of holders. During the three months ended March 31, 2026, certain holders of the remaining outstanding 2026 Convertible Notes elected to convert 217 notes $0.2 million of the outstanding principal. As a result of this election, the Company recorded a loss on debt extinguishment of $0.1 million in Interest Expense in the Condensed Consolidated Statement of Operations. The liability for the converted bonds was settled on April 1, 2026, along with the remaining unconverted and outstanding 2026 Convertible Notes. Concurrently with this April 1, 2026 transaction, the Company terminated the remaining portion of the associated 2026 capped call transactions.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2030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On November 6, 2025, the Company issued $250.0 million of 0.750% Convertible Senior Notes due 2030 (the “2030 Convertible Notes”) in a private placement conducted pursuant to Rule 144A under the Securities Act of 1933, as amended. The net proceeds from the issuance of the 2030 Convertible Notes were $243.1 million, after deducting the initial purchasers’ discounts and commissions, and were used to repurchase $229.3 million of the outstanding principal amount of the 2026 Convertible Notes.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2030 Convertible Notes are senior unsecured obligations of the Company and bear interest at a rate of 0.750% per annum on the principal of $250.0 million, payable semi-annually in arrears on May 15 and November 15 of each year. The 2030 Convertible Notes will mature on November 15, 2030, unless they are redeemed or repurchased by the Company or converted on an earlier date.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continues to record the Convertible Notes entirely as a liability on the Condensed Consolidated Balance Sheets, net of initial purchasers’ discounts and commissions and other debt issuance costs, with interest expense reflecting the cash coupon plus the amortization of the discounts and capitalized costs.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 xml:space="preserve">Federal Economic Development Loan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Federal Economic Development Loan (as defined and described in Note 13 to the Company’s audited Consolidated Financial Statements in its 2025 Form 10-K) had a carrying value of $0.6 million, net of unaccreted interest benefit and is recorded within Convertible Notes and Other Borrowings, Net on the Company’s Condensed Consolidated Balance Sheets.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7. Commitments, Contingencies and Guarantees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Contingencies and guarantees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2004, the Company and IMAX Theatre Services Ltd., a subsidiary of the Company, commenced an arbitration seeking damages before the International Court of Arbitration of the International Chamber of Commerce (the “ICC”)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December 30, 2025, the Commercial Appellate Division of the Bombay High Court rejected E-City’s objections to enforcement of the arbitration award and recognized the award as a decree of the Court. The E-City parties have appealed this decision to the Supreme Court of India. The Company fully intends to continue pursuing its rights and seeking to enforce the arbitration award. No amounts have been recognized in connection with this matter.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Financial Guarantees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Certain subsidiaries of the Company have provided significant financial guarantees to third parties under the Credit Agreement.</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Product Warranties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accrual for product warranties, which is recorded within Accrued and Other Liabilities on the Condensed Consolidated Balance Sheets, was less than $0.1 million as of June 30, 2026 and $nil as of December 31, 2025.</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Director and Officer Indemnifications</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serif" w:hAnsi="Times New Roman;serif"/>
          <w:b w:val="false"/>
          <w:i/>
          <w:color w:val="000000"/>
          <w:sz w:val="20"/>
        </w:rPr>
        <w:t>Canada Business Corporations Act</w:t>
      </w:r>
      <w:r>
        <w:rPr>
          <w:rFonts w:ascii="Times New Roman;serif" w:hAnsi="Times New Roman;serif"/>
          <w:b w:val="false"/>
          <w:color w:val="000000"/>
          <w:sz w:val="20"/>
        </w:rPr>
        <w:t>, against expenses (including legal fees), judgments, fines and any amounts actually and reasonably incurred by them in 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on the Company’s Condensed Consolidated Balance Sheets as of June 30, 2026 and December 31, 2025, with respect to this indemnity.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Other Indemnification Agreements</w:t>
      </w:r>
    </w:p>
    <w:p>
      <w:pPr>
        <w:pStyle w:val="TextBody"/>
        <w:bidi w:val="0"/>
        <w:spacing w:before="0" w:after="0"/>
        <w:ind w:left="0" w:right="0" w:firstLine="1"/>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8. Condensed Consolidated Statements of Operations – Supplemental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Selling Expenses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selling expenses, including sales commissions and marketing and other, which are recognized within Costs and Expenses Applicable to Revenues in the Condensed Consolidated Statements of Operations, for the three and six months ended June 30, 2026 and 2025:</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78"/>
        <w:gridCol w:w="936"/>
        <w:gridCol w:w="938"/>
        <w:gridCol w:w="388"/>
        <w:gridCol w:w="858"/>
        <w:gridCol w:w="201"/>
        <w:gridCol w:w="152"/>
        <w:gridCol w:w="152"/>
        <w:gridCol w:w="152"/>
        <w:gridCol w:w="295"/>
        <w:gridCol w:w="861"/>
        <w:gridCol w:w="152"/>
        <w:gridCol w:w="152"/>
        <w:gridCol w:w="152"/>
        <w:gridCol w:w="152"/>
        <w:gridCol w:w="388"/>
        <w:gridCol w:w="858"/>
        <w:gridCol w:w="201"/>
        <w:gridCol w:w="152"/>
        <w:gridCol w:w="152"/>
        <w:gridCol w:w="152"/>
        <w:gridCol w:w="295"/>
        <w:gridCol w:w="861"/>
        <w:gridCol w:w="227"/>
      </w:tblGrid>
      <w:tr>
        <w:trPr/>
        <w:tc>
          <w:tcPr>
            <w:tcW w:w="13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3"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Sales </w:t>
              <w:br/>
              <w:t>Commissions</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Marketing </w:t>
              <w:br/>
              <w:t>and Other</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Commissions</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Marketing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and Other</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 sales</w:t>
            </w:r>
            <w:r>
              <w:rPr>
                <w:rFonts w:ascii="Times New Roman;serif" w:hAnsi="Times New Roman;serif"/>
                <w:b w:val="false"/>
                <w:color w:val="000000"/>
                <w:sz w:val="13"/>
              </w:rPr>
              <w:t>(1)</w:t>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Image enhancement and maintenance services</w:t>
            </w:r>
            <w:r>
              <w:rPr>
                <w:rFonts w:ascii="Times New Roman;serif" w:hAnsi="Times New Roman;serif"/>
                <w:b w:val="false"/>
                <w:color w:val="000000"/>
                <w:sz w:val="13"/>
              </w:rPr>
              <w:t>(2)</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 rentals</w:t>
            </w:r>
            <w:r>
              <w:rPr>
                <w:rFonts w:ascii="Times New Roman;serif" w:hAnsi="Times New Roman;serif"/>
                <w:b w:val="false"/>
                <w:color w:val="000000"/>
                <w:sz w:val="13"/>
              </w:rPr>
              <w:t>(3)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914400" cy="14605"/>
                          </a:xfrm>
                          <a:prstGeom prst="rect">
                            <a:avLst/>
                          </a:prstGeom>
                        </pic:spPr>
                      </pic:pic>
                    </a:graphicData>
                  </a:graphic>
                </wp:inline>
              </w:drawing>
            </w:r>
            <w:bookmarkStart w:id="0" w:name="i-1"/>
            <w:bookmarkEnd w:id="0"/>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(1)Sales commissions paid prior to the recognition of the related revenue are deferred and recognized upon the client acceptance of the IMAX System. Direct advertising and marketing costs for each IMAX System are expensed as incurred and may be reversed when the contractual obligation ceases to exist.</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(2)Film exploitation costs, including advertising and marketing costs, are expensed as incurred.</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(3)Sales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 and may be reversed when the contractual obligation ceases to exist. </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4"/>
        <w:gridCol w:w="913"/>
        <w:gridCol w:w="915"/>
        <w:gridCol w:w="384"/>
        <w:gridCol w:w="849"/>
        <w:gridCol w:w="199"/>
        <w:gridCol w:w="150"/>
        <w:gridCol w:w="150"/>
        <w:gridCol w:w="150"/>
        <w:gridCol w:w="291"/>
        <w:gridCol w:w="997"/>
        <w:gridCol w:w="150"/>
        <w:gridCol w:w="150"/>
        <w:gridCol w:w="150"/>
        <w:gridCol w:w="150"/>
        <w:gridCol w:w="384"/>
        <w:gridCol w:w="849"/>
        <w:gridCol w:w="199"/>
        <w:gridCol w:w="150"/>
        <w:gridCol w:w="150"/>
        <w:gridCol w:w="150"/>
        <w:gridCol w:w="291"/>
        <w:gridCol w:w="852"/>
        <w:gridCol w:w="228"/>
      </w:tblGrid>
      <w:tr>
        <w:trPr/>
        <w:tc>
          <w:tcPr>
            <w:tcW w:w="135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Sales </w:t>
              <w:br/>
              <w:t>Commissions</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Marketing </w:t>
              <w:br/>
              <w:t>and Other</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Commissions</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Marketing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and Other</w:t>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 sales</w:t>
            </w:r>
            <w:r>
              <w:rPr>
                <w:rFonts w:ascii="Times New Roman;serif" w:hAnsi="Times New Roman;serif"/>
                <w:b w:val="false"/>
                <w:color w:val="000000"/>
                <w:sz w:val="13"/>
              </w:rPr>
              <w:t>(1)</w:t>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Image enhancement and maintenance services</w:t>
            </w:r>
            <w:r>
              <w:rPr>
                <w:rFonts w:ascii="Times New Roman;serif" w:hAnsi="Times New Roman;serif"/>
                <w:b w:val="false"/>
                <w:color w:val="000000"/>
                <w:sz w:val="13"/>
              </w:rPr>
              <w:t>(2)</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Technology rentals</w:t>
            </w:r>
            <w:r>
              <w:rPr>
                <w:rFonts w:ascii="Times New Roman;serif" w:hAnsi="Times New Roman;serif"/>
                <w:b w:val="false"/>
                <w:color w:val="000000"/>
                <w:sz w:val="13"/>
              </w:rPr>
              <w:t>(3)</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11,323 </w:t>
            </w:r>
          </w:p>
        </w:tc>
        <w:tc>
          <w:tcPr>
            <w:tcW w:w="1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914400" cy="14605"/>
                          </a:xfrm>
                          <a:prstGeom prst="rect">
                            <a:avLst/>
                          </a:prstGeom>
                        </pic:spPr>
                      </pic:pic>
                    </a:graphicData>
                  </a:graphic>
                </wp:inline>
              </w:drawing>
            </w:r>
            <w:bookmarkStart w:id="1" w:name="i-2"/>
            <w:bookmarkEnd w:id="1"/>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(1)Sales commissions paid prior to the recognition of the related revenue are deferred and recognized upon the client acceptance of the IMAX System. Direct advertising and marketing costs for each IMAX System are expensed as incurred and may be reversed when the contractual obligation ceases to exist.</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(2)Film exploitation costs, including advertising and marketing costs, are expensed as incurred.</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(3)Sales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 and may be reversed when the contractual obligation ceases to exist.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Foreign Exchange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Included in Selling, General and Administrative Expenses for the three and six months ended June 30, 2026 was a foreign currency net gain of $0.4 million and loss of $0.2 million, respectively (2025 — net gain of $0.2 million and loss of $0.2 million, respectively) resulting from changes in exchange rates related to foreign currency denominated monetary assets and liabilities. See Note 15 for additional information.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 xml:space="preserve">Government Assistance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 Company recognized $2.5 million as a reduction to Selling, General and Administrative Expenses, and a $1.3 million reduction to Costs and Expenses Applicable to Revenues for benefits received from the Internal Revenue Service under the Employee Retention Credit (“ERC”) program which provides for a refundable tax credit for eligible businesses that had employees and were affected during the COVID-19 pandemic. No such assistance was received in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Collaborative Arrangements</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Joint Revenue Sharing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accounting policy for the Company’s JRSAs is disclosed in Note 2 of the Company’s audited Consolidated Financial Statements in its 2025 Form 10-K.</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Revenue attributable to transactions arising between the Company and its customers under JRSAs is recorded within Revenues — Technology Sales (for hybrid JRSAs) and Revenues — Technology Rentals (for traditional JRSAs). For the three and six months ended June 30, 2026, such revenues totaled $19.7 million and $36.2 million, respectively (2025 — $18.7 million and $37.9 million, respectively).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Film Remastering and Distribution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earns revenue through the digital remastering of films and other content into IMAX formats for distribution to the IMAX network (“IMAX Film Remastering”). The accounting policy for IMAX Film Remastering and distribution arrangements is disclosed in Note 2 of the Company’s audited Consolidated Financial Statements in its 2025 Form 10-K.</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Revenue attributable to transactions arising between the Company and its customers under IMAX Film Remastering and distribution arrangements is included in Revenues – Image Enhancement and Maintenance Services. For the three and six months ended June 30, 2026, such revenues totaled $32.5 million and $61.8 million, respectively (2025 — $28.7 million and $60.4 million, respectively). See Note 12 for a disaggregated presentation of the Company’s revenues.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Co-Produced Film Arrangements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shd w:fill="FFFFFF" w:val="clear"/>
        </w:rPr>
        <w:t xml:space="preserve">The accounting policies relating to co-produced film arrangements are disclosed in Notes 2 and 3 of the </w:t>
      </w:r>
      <w:r>
        <w:rPr>
          <w:rFonts w:ascii="Times New Roman;serif" w:hAnsi="Times New Roman;serif"/>
          <w:b w:val="false"/>
          <w:color w:val="000000"/>
          <w:sz w:val="20"/>
        </w:rPr>
        <w:t>Company’s audited Consolidated Financial Statements in its</w:t>
      </w:r>
      <w:r>
        <w:rPr>
          <w:color w:val="000000"/>
          <w:shd w:fill="FFFFFF" w:val="clear"/>
        </w:rPr>
        <w:t xml:space="preserve"> </w:t>
      </w:r>
      <w:r>
        <w:rPr>
          <w:rFonts w:ascii="Times New Roman;serif" w:hAnsi="Times New Roman;serif"/>
          <w:b w:val="false"/>
          <w:color w:val="000000"/>
          <w:sz w:val="20"/>
          <w:shd w:fill="FFFFFF" w:val="clear"/>
        </w:rPr>
        <w:t>2025 Form 10-K.</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shd w:fill="FFFFFF" w:val="clear"/>
        </w:rPr>
        <w:t xml:space="preserve">As of June 30, 2026, the Company is party to one co-produced film arrangement, which represented the VIE total assets balance </w:t>
      </w:r>
      <w:r>
        <w:rPr>
          <w:rFonts w:ascii="Times New Roman;serif" w:hAnsi="Times New Roman;serif"/>
          <w:b w:val="false"/>
          <w:color w:val="000000"/>
          <w:sz w:val="20"/>
        </w:rPr>
        <w:t>of $1.8 million and liabilities balance of $0.4 million</w:t>
      </w:r>
      <w:r>
        <w:rPr>
          <w:rFonts w:ascii="Times New Roman;serif" w:hAnsi="Times New Roman;serif"/>
          <w:b w:val="false"/>
          <w:color w:val="000000"/>
          <w:sz w:val="20"/>
          <w:shd w:fill="FFFFFF" w:val="clear"/>
        </w:rPr>
        <w:t>, and four other co-produced film arrangements, the terms of which are similar.</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expenses of $0.2 million and $0.2 million, respectively (2025 — $0.1 million and $0.2 million, respectively) attributable to transactions between the Company and other parties involved in the production of the films have been included in Costs and Expenses Applicable to Revenues ― Image Enhancement and Maintenance Services.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9. Condensed Consolidated Statements of Cash Flows – Supplemental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Changes in other operating assets and liabilities</w:t>
      </w:r>
    </w:p>
    <w:p>
      <w:pPr>
        <w:pStyle w:val="TextBody"/>
        <w:bidi w:val="0"/>
        <w:spacing w:before="0" w:after="0"/>
        <w:jc w:val="both"/>
        <w:rPr/>
      </w:pPr>
      <w:r>
        <w:rPr/>
      </w:r>
    </w:p>
    <w:tbl>
      <w:tblPr>
        <w:tblW w:w="8289" w:type="dxa"/>
        <w:jc w:val="left"/>
        <w:tblInd w:w="0" w:type="dxa"/>
        <w:tblLayout w:type="fixed"/>
        <w:tblCellMar>
          <w:top w:w="28" w:type="dxa"/>
          <w:left w:w="28" w:type="dxa"/>
          <w:bottom w:w="28" w:type="dxa"/>
          <w:right w:w="28" w:type="dxa"/>
        </w:tblCellMar>
      </w:tblPr>
      <w:tblGrid>
        <w:gridCol w:w="2160"/>
        <w:gridCol w:w="1903"/>
        <w:gridCol w:w="1907"/>
        <w:gridCol w:w="211"/>
        <w:gridCol w:w="616"/>
        <w:gridCol w:w="109"/>
        <w:gridCol w:w="109"/>
        <w:gridCol w:w="109"/>
        <w:gridCol w:w="109"/>
        <w:gridCol w:w="211"/>
        <w:gridCol w:w="691"/>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w:t>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consideration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excluding lease incentives provided to exhibitor customers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ind w:left="0" w:right="0" w:firstLine="1"/>
        <w:jc w:val="both"/>
        <w:rPr/>
      </w:pPr>
      <w:r>
        <w:rPr/>
      </w:r>
    </w:p>
    <w:tbl>
      <w:tblPr>
        <w:tblW w:w="5529" w:type="dxa"/>
        <w:jc w:val="left"/>
        <w:tblInd w:w="0" w:type="dxa"/>
        <w:tblLayout w:type="fixed"/>
        <w:tblCellMar>
          <w:top w:w="28" w:type="dxa"/>
          <w:left w:w="28" w:type="dxa"/>
          <w:bottom w:w="28" w:type="dxa"/>
          <w:right w:w="28" w:type="dxa"/>
        </w:tblCellMar>
      </w:tblPr>
      <w:tblGrid>
        <w:gridCol w:w="1113"/>
        <w:gridCol w:w="980"/>
        <w:gridCol w:w="982"/>
        <w:gridCol w:w="211"/>
        <w:gridCol w:w="721"/>
        <w:gridCol w:w="109"/>
        <w:gridCol w:w="109"/>
        <w:gridCol w:w="109"/>
        <w:gridCol w:w="109"/>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supporting JRSAs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45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Write-downs, including asset impairments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44"/>
        <w:gridCol w:w="1705"/>
        <w:gridCol w:w="1709"/>
        <w:gridCol w:w="445"/>
        <w:gridCol w:w="1302"/>
        <w:gridCol w:w="230"/>
        <w:gridCol w:w="230"/>
        <w:gridCol w:w="230"/>
        <w:gridCol w:w="230"/>
        <w:gridCol w:w="445"/>
        <w:gridCol w:w="1302"/>
        <w:gridCol w:w="333"/>
      </w:tblGrid>
      <w:tr>
        <w:trPr/>
        <w:tc>
          <w:tcPr>
            <w:tcW w:w="2044"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4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9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4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supporting JRSAs</w:t>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property, plant and equipment</w:t>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Film assets</w:t>
            </w:r>
            <w:r>
              <w:rPr>
                <w:rFonts w:ascii="Times New Roman;serif" w:hAnsi="Times New Roman;serif"/>
                <w:b w:val="false"/>
                <w:color w:val="000000"/>
                <w:sz w:val="13"/>
              </w:rPr>
              <w:t>(1)</w:t>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For the six months ended June 30, 2026, the Company incurred a $2.0 million (2025 ― $0.1 million) partial impairment on a documentary film asset. (Refer to Note 17 ― Restructuring Charges and Other Impairments for additional information).</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Significant non-cash investing activities</w:t>
      </w:r>
    </w:p>
    <w:p>
      <w:pPr>
        <w:pStyle w:val="TextBody"/>
        <w:bidi w:val="0"/>
        <w:spacing w:before="0" w:after="0"/>
        <w:jc w:val="both"/>
        <w:rPr/>
      </w:pPr>
      <w:r>
        <w:rPr/>
      </w:r>
    </w:p>
    <w:tbl>
      <w:tblPr>
        <w:tblW w:w="5919" w:type="dxa"/>
        <w:jc w:val="left"/>
        <w:tblInd w:w="0" w:type="dxa"/>
        <w:tblLayout w:type="fixed"/>
        <w:tblCellMar>
          <w:top w:w="28" w:type="dxa"/>
          <w:left w:w="28" w:type="dxa"/>
          <w:bottom w:w="28" w:type="dxa"/>
          <w:right w:w="28" w:type="dxa"/>
        </w:tblCellMar>
      </w:tblPr>
      <w:tblGrid>
        <w:gridCol w:w="1357"/>
        <w:gridCol w:w="1195"/>
        <w:gridCol w:w="1198"/>
        <w:gridCol w:w="211"/>
        <w:gridCol w:w="616"/>
        <w:gridCol w:w="109"/>
        <w:gridCol w:w="109"/>
        <w:gridCol w:w="109"/>
        <w:gridCol w:w="109"/>
        <w:gridCol w:w="211"/>
        <w:gridCol w:w="541"/>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accruals related to:</w:t>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equipment supporting JRSAs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other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2169"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10.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an income tax expense of $3.5 million (2025 — $1.2 million). The Company’s effective tax rate of 18.1% for the three months ended June 30, 2026 reflects the geographic allocation of income earned in taxing jurisdictions, a decrease in the valuation allowance and tax reserves, partially offset by withholding taxes. The Company’s effective tax rate of 8.9% for the three months ended June 30, 2025 reflects the geographic allocation of income earned in taxing jurisdictions and a decrease in the valuation allowance.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recorded an income tax expense of $5.9 million (2025 — $8.5 million). The Company’s effective tax rate of 21.2% for the six months ended June 30, 2026, reflects the geographic allocation of income earned in taxing jurisdictions, tax benefit from share-based compensation, tax rate differences in foreign jurisdictions, and reversals of tax reserves, partially offset by an increase in the valuation allowance and withholding taxes. The Company’s effective tax rate of 29.4% for the six months ended June 30, 2025, reflects the geographic allocation of income earned in taxing jurisdictions, tax rate differences in foreign jurisdictions which was offset by an increase in the valuation allowance, tax return adjustments and withholding taxes.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Condensed Consolidated Balance Sheets included net deferred income tax assets of $12.5 million (December 31, 2025 — $12.6 million). Management evaluates the realizability of deferred tax assets on a quarterly basis by considering all available positive and negative evidence, including recent operating results, forecasts of future taxable income, and other relevant factors specific to our industry such as the success of new film releases. Based on the Company’s recent operating results in Canada and its expectation of continued profitability, management believes there is a reasonable possibility that sufficient positive evidence may become available within the next twelve months to support the release of some or all of the valuation allowance recorded against its Canadian deferred tax assets. However, as of June 30, 2026, management has concluded that the available positive evidence is not yet sufficient to overcome the remaining negative evidence and support realization of those deferred tax assets. Any such release would result in a material income tax benefit in the period the conclusion is reached. At December 31, 2025, the amount of the Canadian valuation allowance was $55.5 million. The timing and amount of a valuation allowance release will depend on the Company’s ability to generate sufficient taxable income in Canada, macroeconomic conditions, and other factors affecting management’s assessment.</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Condensed Consolidated Balance Sheets also included deferred tax liabilities of $12.5 million (December 31, 2025 — $12.5 million) primarily related to foreign withholding taxes associated with the remaining balance of non-repatriated historical earnings that will not be indefinitely reinvested outside of Canada.</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disclosed in Note 2 — Summary of Significant Accounting Policies of the 2025 Form 10-K, the Company is subject to ongoing tax audits. Subsequent to June 30, 2026, the Company received a proposal letter from the Canada Revenue Agency related to an examination of international matters in prior taxation years. Any potential reassessment encompasses an ultimate resolution involving multiple tax jurisdictions, which may result in offsetting tax differences from what was originally recognized in its financial statements. The Company continues to believe that it has adequately accounted for all uncertain tax positions, including this pending notice of reassessment.</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 Capital Stock and Reserves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before="0" w:after="0"/>
        <w:ind w:left="0" w:right="0" w:firstLine="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share-based compensation expense totaled $7.3 million and $13.0 million, respectively (2025 — $7.4 million and $12.6 million, respectively) and is reflected in the following accounts in the Condensed Consolidated Statements of Operations: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51" w:type="dxa"/>
        <w:jc w:val="left"/>
        <w:tblInd w:w="0" w:type="dxa"/>
        <w:tblLayout w:type="fixed"/>
        <w:tblCellMar>
          <w:top w:w="28" w:type="dxa"/>
          <w:left w:w="28" w:type="dxa"/>
          <w:bottom w:w="28" w:type="dxa"/>
          <w:right w:w="28" w:type="dxa"/>
        </w:tblCellMar>
      </w:tblPr>
      <w:tblGrid>
        <w:gridCol w:w="1352"/>
        <w:gridCol w:w="1190"/>
        <w:gridCol w:w="119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Costs and expenses applicable to revenues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share-based compensation expense by each award type:</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759"/>
        <w:gridCol w:w="1513"/>
        <w:gridCol w:w="151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155"/>
      </w:tblGrid>
      <w:tr>
        <w:trPr/>
        <w:tc>
          <w:tcPr>
            <w:tcW w:w="175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Share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IMAX China Long Term Incentive Plan Restricted Share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IMAX China Long Term Incentive Plan Performance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share-based compensation expense included restricted share units to non-employees of $1.7 million for each such period, of which $1.7 million granted during the six month period vested immediately (2025 — $1.7 million for each such period).</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Stock Option Summary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under the Company’s Stock Option Plan (“SOP”) for the six months ended June 30, 2026 and 2025:</w:t>
      </w:r>
    </w:p>
    <w:p>
      <w:pPr>
        <w:pStyle w:val="TextBody"/>
        <w:bidi w:val="0"/>
        <w:spacing w:before="0" w:after="0"/>
        <w:ind w:left="0" w:right="0" w:firstLine="216"/>
        <w:jc w:val="both"/>
        <w:rPr/>
      </w:pPr>
      <w:r>
        <w:rPr/>
      </w:r>
    </w:p>
    <w:tbl>
      <w:tblPr>
        <w:tblW w:w="9277" w:type="dxa"/>
        <w:jc w:val="left"/>
        <w:tblInd w:w="0" w:type="dxa"/>
        <w:tblLayout w:type="fixed"/>
        <w:tblCellMar>
          <w:top w:w="28" w:type="dxa"/>
          <w:left w:w="28" w:type="dxa"/>
          <w:bottom w:w="28" w:type="dxa"/>
          <w:right w:w="28" w:type="dxa"/>
        </w:tblCellMar>
      </w:tblPr>
      <w:tblGrid>
        <w:gridCol w:w="1439"/>
        <w:gridCol w:w="1264"/>
        <w:gridCol w:w="1271"/>
        <w:gridCol w:w="488"/>
        <w:gridCol w:w="488"/>
        <w:gridCol w:w="156"/>
        <w:gridCol w:w="156"/>
        <w:gridCol w:w="156"/>
        <w:gridCol w:w="156"/>
        <w:gridCol w:w="488"/>
        <w:gridCol w:w="488"/>
        <w:gridCol w:w="156"/>
        <w:gridCol w:w="109"/>
        <w:gridCol w:w="109"/>
        <w:gridCol w:w="109"/>
        <w:gridCol w:w="211"/>
        <w:gridCol w:w="616"/>
        <w:gridCol w:w="109"/>
        <w:gridCol w:w="109"/>
        <w:gridCol w:w="109"/>
        <w:gridCol w:w="109"/>
        <w:gridCol w:w="211"/>
        <w:gridCol w:w="61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Exercise </w:t>
              <w:br/>
              <w:t>Price Per Share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beginning of period</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1,818,698 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2,469,238 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(470,582)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outstanding, end of period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1,950,169 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exercisable, end of period</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1,332,411 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1,950,169 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are no longer granted under the SOP.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LTIP Restricted Share Units (“RSU”) Summary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respect of RSUs issued under the IMAX Corporation Second Amended and Restated Long-Term Incentive Plan (as may be amended, “IMAX LTIP”) for the six months ended June 30, 2026 and 2025:</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8786" w:type="dxa"/>
        <w:jc w:val="left"/>
        <w:tblInd w:w="0" w:type="dxa"/>
        <w:tblLayout w:type="fixed"/>
        <w:tblCellMar>
          <w:top w:w="28" w:type="dxa"/>
          <w:left w:w="28" w:type="dxa"/>
          <w:bottom w:w="28" w:type="dxa"/>
          <w:right w:w="28" w:type="dxa"/>
        </w:tblCellMar>
      </w:tblPr>
      <w:tblGrid>
        <w:gridCol w:w="1194"/>
        <w:gridCol w:w="1050"/>
        <w:gridCol w:w="1055"/>
        <w:gridCol w:w="488"/>
        <w:gridCol w:w="488"/>
        <w:gridCol w:w="156"/>
        <w:gridCol w:w="156"/>
        <w:gridCol w:w="156"/>
        <w:gridCol w:w="156"/>
        <w:gridCol w:w="488"/>
        <w:gridCol w:w="488"/>
        <w:gridCol w:w="156"/>
        <w:gridCol w:w="109"/>
        <w:gridCol w:w="109"/>
        <w:gridCol w:w="109"/>
        <w:gridCol w:w="228"/>
        <w:gridCol w:w="667"/>
        <w:gridCol w:w="118"/>
        <w:gridCol w:w="118"/>
        <w:gridCol w:w="118"/>
        <w:gridCol w:w="118"/>
        <w:gridCol w:w="228"/>
        <w:gridCol w:w="66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Grant Date </w:t>
              <w:br/>
              <w:t>Fair Value Per Share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 outstanding, beginning of period</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1,244,670 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1,465,977 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(683,112)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(712,092)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 outstanding, end of period</w:t>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923,151 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1,270,847 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LTIP Performance Stock Units (“PSU”) Summary</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grants two types of PSU award, one which vests based on a combination of employee service and the achievement of certain Adjusted EBITDA targets and one which vests based on a combination of employee service and the achievement of total shareholder return (“TSR”) targets. The achievement of these targets is assessed over a three-year performance period, with vesting ranging from 0% to 200% of the initial Adjusted EBITDA PSU award or 200% of the initial TSR PSU award, depending upon actual performance.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2026 grants, the grant date fair value for Adjusted EBITDA PSUs is determined using the volume-weighted average price of the Company’s common shares on the New York Stock Exchange for the sixty calendar days prior to the date of grant. The grant date fair value for TSR PSUs is determined using a Monte Carlo Model, influenced by share price and various assumptions, such as market conditions and expected share price volatility over the term of the awards.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compensation expense attributable for each type of PSU is recognized on a straight-line basis over the requisite service period. If, as a result of management’s assessment, it is projected that a greater or lesser number of PSUs will vest than previously anticipated, a life-to-date adjustment to increase or decrease compensation expense is recorded in the period that such determination is made. The expense recognized in the six months ended June 30, 2026 and 2025 includes adjustments reflecting management’s estimate of the number of Adjusted EBITDA PSUs expected to vest.</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respect of PSUs issued under the IMAX LTIP for the six months ended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0"/>
        <w:gridCol w:w="897"/>
        <w:gridCol w:w="902"/>
        <w:gridCol w:w="681"/>
        <w:gridCol w:w="681"/>
        <w:gridCol w:w="206"/>
        <w:gridCol w:w="184"/>
        <w:gridCol w:w="184"/>
        <w:gridCol w:w="184"/>
        <w:gridCol w:w="681"/>
        <w:gridCol w:w="681"/>
        <w:gridCol w:w="206"/>
        <w:gridCol w:w="152"/>
        <w:gridCol w:w="152"/>
        <w:gridCol w:w="152"/>
        <w:gridCol w:w="304"/>
        <w:gridCol w:w="889"/>
        <w:gridCol w:w="157"/>
        <w:gridCol w:w="157"/>
        <w:gridCol w:w="157"/>
        <w:gridCol w:w="157"/>
        <w:gridCol w:w="304"/>
        <w:gridCol w:w="889"/>
        <w:gridCol w:w="228"/>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Awards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Grant Date </w:t>
              <w:br/>
              <w:t>Fair Value Per Share</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PSUs outstanding, beginning of period</w:t>
            </w:r>
          </w:p>
        </w:tc>
        <w:tc>
          <w:tcPr>
            <w:tcW w:w="13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1,140,515 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1,097,634 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(1)(2)</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491,275 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Vested and settled</w:t>
            </w:r>
            <w:r>
              <w:rPr>
                <w:rFonts w:ascii="Times New Roman;serif" w:hAnsi="Times New Roman;serif"/>
                <w:b w:val="false"/>
                <w:color w:val="000000"/>
                <w:sz w:val="13"/>
              </w:rPr>
              <w:t>(1)(2)</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(605,004)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(463,212)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PSUs outstanding, end of period</w:t>
            </w:r>
          </w:p>
        </w:tc>
        <w:tc>
          <w:tcPr>
            <w:tcW w:w="136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1,009,963 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1,161,050 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(1) For the six months ended June 30, 2026, the balance of shares granted includes 199,473 (2025 - 159,376) additional shares, at a weighted average grant date fair value per share of $16.98 (2025 - $19.18), as PSUs granted in 2023 (2025 - granted in 2022) with Adjusted EBITDA targets vested at 175% (2025 - 175%) on account of full achievement of the targets. </w:t>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For the six months ended June 30, 2026, the balance of shares granted includes 46,510 (2025 - 17,375) additional shares, at a weighted average grant date fair value per share of $19.73 (2025 -22.72), as PSUs granted in 2023 (2025 - granted in 2022) with TSR targets vested at 150% on account of full achievement of the targets (2025 - 123.5% based on actual performance versus the targets).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maximum number of common shares that may be issued with respect to PSUs outstanding was 1,771,830, assuming full achievement of the Adjusted EBITDA and TSR targets.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2017, the Company announced that its Board of Directors approved a $200.0 million share repurchase program for its common shares that would have expired on June 30, 2020, which was subsequently extended through June 30, 2026 and increased to a total share repurchase authority of $500.0 million under the current share repurchase program. As of June 30, 2026, the Company had $237.0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404,866 common shares at an average price of $33.91 per share, for a total of $13.7 million, excluding commission. During the three and six months ended June 30, 2025, the Company did not have any repurchases of common shares. During the six months ended June 30, 2026 and 2025, there were no shares purchased in the administration of employee share-based plans.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IMAX LTIP trustee did not hold any shares. Any shares held with the trustee are recorded at cost and are reported as a reduction against Capital Stock on the Company’s Condensed Consolidated Balance Sheets.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2025, IMAX China’s shareholders granted its Board of Directors a general mandate authorizing IMAX China’s Board of Directors, subject to applicable laws, to repurchase shares of IMAX China not to exceed 10% of the total number of issued shares as of June 12, 2025 (33,919,122 shares). This program expired on the date of the 2026 Annual General Meeting of IMAX China on June 11, 2026. During IMAX China’s 2026 Annual General Meeting, shareholders granted its Board of Directors a general mandate, subject to applicable laws, to repurchase shares of IMAX China not to exceed 10% of the total number of issued shares as of June 11, 2026 (33,988,722 shares). This program will be valid until the 2027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IMAX China did not repurchase any common shares. During the three and six months ended June 30, 2025, IMAX China repurchased 1,495,900 common shares, at an average price of HKD 7.56 per share ($0.96 per share) for a total of HKD 11.3 million ($1.4 million).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Basic and Diluted Weighted Average Shares Outstanding</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denominator of the basic and diluted weighted average share computations:</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768"/>
        <w:gridCol w:w="1555"/>
        <w:gridCol w:w="1563"/>
        <w:gridCol w:w="360"/>
        <w:gridCol w:w="361"/>
        <w:gridCol w:w="171"/>
        <w:gridCol w:w="171"/>
        <w:gridCol w:w="171"/>
        <w:gridCol w:w="171"/>
        <w:gridCol w:w="360"/>
        <w:gridCol w:w="361"/>
        <w:gridCol w:w="171"/>
        <w:gridCol w:w="109"/>
        <w:gridCol w:w="109"/>
        <w:gridCol w:w="109"/>
        <w:gridCol w:w="360"/>
        <w:gridCol w:w="361"/>
        <w:gridCol w:w="155"/>
        <w:gridCol w:w="151"/>
        <w:gridCol w:w="151"/>
        <w:gridCol w:w="151"/>
        <w:gridCol w:w="360"/>
        <w:gridCol w:w="361"/>
        <w:gridCol w:w="155"/>
        <w:gridCol w:w="109"/>
        <w:gridCol w:w="109"/>
        <w:gridCol w:w="109"/>
        <w:gridCol w:w="163"/>
      </w:tblGrid>
      <w:tr>
        <w:trPr/>
        <w:tc>
          <w:tcPr>
            <w:tcW w:w="176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beginning of period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issued, net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54,951 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53,751 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effect of potential common shares, if dilutive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55,161 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56,475 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calculation of diluted weighted average shares outstanding excludes 72,493 shares, respectively (2025 — 929,825 and 968,984 shares, respectively) that are issuable upon the vesting or exercise of share-based compensation including: (i) nil RSUs (2025 — nil RSUs), (ii) 72,493 PSUs (2025 — 86,784 and 125,943 PSUs, respectively) and (iii) nil stock options (2025 — 843,041 stock options), as the effect would be anti-dilutive.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calculation of diluted weighted average shares outstanding for the three and six months ended June 30, 2026 and 2025 also excludes any shares potentially issuable upon the conversion of the Convertible Notes as the average market price of the Company’s common shares during the period of time they were outstanding was less than the conversion price of the Convertible Notes.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Statutory Surplus Reserve</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corporate law of the People’s Republic of China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statutory surplus reserve of RMB 37.7 million ($5.8 million) has reached 50% of the Company’s PRC subsidiaries’ registered capital, and as such, no further contributions to the reserve are required.</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12. Revenue from Contracts with Customers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Disaggregated Information About Revenue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Revenues by reportable segment and revenue stream type for the three and six months ended June 30, 2026 and 2025:</w:t>
      </w:r>
    </w:p>
    <w:p>
      <w:pPr>
        <w:pStyle w:val="TextBody"/>
        <w:bidi w:val="0"/>
        <w:spacing w:before="0" w:after="0"/>
        <w:ind w:left="0" w:right="0" w:firstLine="216"/>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0"/>
        <w:gridCol w:w="626"/>
        <w:gridCol w:w="628"/>
        <w:gridCol w:w="235"/>
        <w:gridCol w:w="805"/>
        <w:gridCol w:w="121"/>
        <w:gridCol w:w="109"/>
        <w:gridCol w:w="109"/>
        <w:gridCol w:w="109"/>
        <w:gridCol w:w="380"/>
        <w:gridCol w:w="1490"/>
        <w:gridCol w:w="196"/>
        <w:gridCol w:w="109"/>
        <w:gridCol w:w="109"/>
        <w:gridCol w:w="109"/>
        <w:gridCol w:w="249"/>
        <w:gridCol w:w="854"/>
        <w:gridCol w:w="129"/>
        <w:gridCol w:w="109"/>
        <w:gridCol w:w="109"/>
        <w:gridCol w:w="109"/>
        <w:gridCol w:w="238"/>
        <w:gridCol w:w="696"/>
        <w:gridCol w:w="123"/>
        <w:gridCol w:w="109"/>
        <w:gridCol w:w="109"/>
        <w:gridCol w:w="109"/>
        <w:gridCol w:w="211"/>
        <w:gridCol w:w="826"/>
        <w:gridCol w:w="160"/>
      </w:tblGrid>
      <w:tr>
        <w:trPr/>
        <w:tc>
          <w:tcPr>
            <w:tcW w:w="9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Image Enhancement and Maintenance Services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Rentals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Remastering and Distribution</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Solutions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34,583 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Sales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Rentals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25,252 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16,632 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19,897 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64,809 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25,252 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26,654 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53,160 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102,842 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Sales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Image Enhancement and Maintenance Services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Rentals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Remastering and Distribution</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Solutions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65,904 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66,056 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Sales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Rentals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37,669 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36,472 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37,669 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99,125 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179,203 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40,068 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101,744 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36,624 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184,221 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860" w:type="dxa"/>
            <w:gridSpan w:val="24"/>
            <w:tcBorders/>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24"/>
        <w:gridCol w:w="622"/>
        <w:gridCol w:w="624"/>
        <w:gridCol w:w="235"/>
        <w:gridCol w:w="806"/>
        <w:gridCol w:w="121"/>
        <w:gridCol w:w="109"/>
        <w:gridCol w:w="109"/>
        <w:gridCol w:w="109"/>
        <w:gridCol w:w="382"/>
        <w:gridCol w:w="1497"/>
        <w:gridCol w:w="197"/>
        <w:gridCol w:w="109"/>
        <w:gridCol w:w="109"/>
        <w:gridCol w:w="109"/>
        <w:gridCol w:w="250"/>
        <w:gridCol w:w="855"/>
        <w:gridCol w:w="129"/>
        <w:gridCol w:w="109"/>
        <w:gridCol w:w="109"/>
        <w:gridCol w:w="109"/>
        <w:gridCol w:w="238"/>
        <w:gridCol w:w="696"/>
        <w:gridCol w:w="123"/>
        <w:gridCol w:w="109"/>
        <w:gridCol w:w="109"/>
        <w:gridCol w:w="109"/>
        <w:gridCol w:w="211"/>
        <w:gridCol w:w="826"/>
        <w:gridCol w:w="161"/>
      </w:tblGrid>
      <w:tr>
        <w:trPr/>
        <w:tc>
          <w:tcPr>
            <w:tcW w:w="9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Image Enhancement and Maintenance Services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Rentals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1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Remastering and Distribution</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Solutions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33,557 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33,965 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11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Sales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Rentals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55,639 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49,616 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50,854 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Sales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Image Enhancement and Maintenance Services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Technology Rentals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Finance Income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11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Remastering and Distribution</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Solutions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67,631 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11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Sales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Rentals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30,720 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31,717 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106,232 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30,720 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99,348 </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38,427 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174,446 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101,607 </w:t>
            </w:r>
          </w:p>
        </w:tc>
        <w:tc>
          <w:tcPr>
            <w:tcW w:w="1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38,427 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178,351 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6873" w:type="dxa"/>
            <w:gridSpan w:val="24"/>
            <w:tcBorders/>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revenues earned from Technology Sales include variable consideration of $10.5 million and $14.8 million, respectively (2025 — $3.1 million and $6.4 million, respectively).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revenues earned from leasing arrangements total $20.1 million and $36.7 million, respectively (2025 — $19.1 million and $38.5 million, respectively), including $20.0 million and $36.6 million, respectively, in Revenues ― Technology Rentals (2025 — $19.1 million and $38.4 million, respectively), and $0.1 million in the three and six months ended June 30, 2026, respectively, in Revenues ― Technology Sales (2025 —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June 30, 2026, $19.8 million of consideration has been deferred in relation to outstanding maintenance services to be provided on existing maintenance contracts (December 31, 2025 — $28.3 million). </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$10.6 million and $19.4 million of revenue, respectively, was recognized from the $50.4 million balance of deferred revenue as of December 31, 2025. During the three and six months ended June 30, 2025, $10.8 million and $19.8 million of revenue, respectively, was recognized from the $52.7 million balance of deferred revenue as of December 31, 2024.</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13. Segment Reporting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reportable segments are the same as those described in Note 2 - Summary of Significant Accounting Policies of the 2025 Form 10-K. Intercompany profit or loss is not included in the evaluation of performance and allocation of resources.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Segment Financial Information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and gross margin by reportable segment for the three months ended June 30, 2026 and 2025: </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119"/>
        <w:gridCol w:w="782"/>
        <w:gridCol w:w="784"/>
        <w:gridCol w:w="299"/>
        <w:gridCol w:w="1173"/>
        <w:gridCol w:w="154"/>
        <w:gridCol w:w="154"/>
        <w:gridCol w:w="154"/>
        <w:gridCol w:w="154"/>
        <w:gridCol w:w="299"/>
        <w:gridCol w:w="1024"/>
        <w:gridCol w:w="154"/>
        <w:gridCol w:w="154"/>
        <w:gridCol w:w="154"/>
        <w:gridCol w:w="154"/>
        <w:gridCol w:w="299"/>
        <w:gridCol w:w="1024"/>
        <w:gridCol w:w="154"/>
        <w:gridCol w:w="154"/>
        <w:gridCol w:w="154"/>
        <w:gridCol w:w="154"/>
        <w:gridCol w:w="299"/>
        <w:gridCol w:w="1024"/>
        <w:gridCol w:w="231"/>
      </w:tblGrid>
      <w:tr>
        <w:trPr/>
        <w:tc>
          <w:tcPr>
            <w:tcW w:w="111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Revenue</w:t>
            </w:r>
            <w:r>
              <w:rPr>
                <w:rFonts w:ascii="Times New Roman;serif" w:hAnsi="Times New Roman;serif"/>
                <w:b/>
                <w:color w:val="000000"/>
                <w:sz w:val="10"/>
              </w:rPr>
              <w:t>(1)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6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22,431 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4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52,609 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4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102,842 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62,896 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53,602 </w:t>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914400" cy="14605"/>
                          </a:xfrm>
                          <a:prstGeom prst="rect">
                            <a:avLst/>
                          </a:prstGeom>
                        </pic:spPr>
                      </pic:pic>
                    </a:graphicData>
                  </a:graphic>
                </wp:inline>
              </w:drawing>
            </w:r>
            <w:bookmarkStart w:id="2" w:name="i-3"/>
            <w:bookmarkEnd w:id="2"/>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Company’s largest customer represents 13% of total Revenues for the three months ended June 30, 2026 (2025 — 12%). No single customer comprised more than 10% of the Company’s total Accounts Receivable balance as of June 30, 2026. No single customer accounted for more than 10% of the Company’s total Accounts Receivable balance as of December 31, 2025.</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and gross margin by reportable segment for the six months ended June 30, 2026 and 2025:</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060"/>
        <w:gridCol w:w="727"/>
        <w:gridCol w:w="730"/>
        <w:gridCol w:w="289"/>
        <w:gridCol w:w="1132"/>
        <w:gridCol w:w="149"/>
        <w:gridCol w:w="149"/>
        <w:gridCol w:w="149"/>
        <w:gridCol w:w="149"/>
        <w:gridCol w:w="289"/>
        <w:gridCol w:w="1132"/>
        <w:gridCol w:w="149"/>
        <w:gridCol w:w="149"/>
        <w:gridCol w:w="149"/>
        <w:gridCol w:w="149"/>
        <w:gridCol w:w="289"/>
        <w:gridCol w:w="1132"/>
        <w:gridCol w:w="149"/>
        <w:gridCol w:w="149"/>
        <w:gridCol w:w="149"/>
        <w:gridCol w:w="149"/>
        <w:gridCol w:w="289"/>
        <w:gridCol w:w="1132"/>
        <w:gridCol w:w="216"/>
      </w:tblGrid>
      <w:tr>
        <w:trPr/>
        <w:tc>
          <w:tcPr>
            <w:tcW w:w="10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Revenue</w:t>
            </w:r>
            <w:r>
              <w:rPr>
                <w:rFonts w:ascii="Times New Roman;serif" w:hAnsi="Times New Roman;serif"/>
                <w:b/>
                <w:color w:val="000000"/>
                <w:sz w:val="10"/>
              </w:rPr>
              <w:t>(1)</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r>
      <w:tr>
        <w:trPr/>
        <w:tc>
          <w:tcPr>
            <w:tcW w:w="25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66,056 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40,231 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45,985 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4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179,203 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174,446 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106,130 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105,249 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4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178,351 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108,707 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106,778 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5"/>
                          <a:stretch>
                            <a:fillRect/>
                          </a:stretch>
                        </pic:blipFill>
                        <pic:spPr bwMode="auto">
                          <a:xfrm>
                            <a:off x="0" y="0"/>
                            <a:ext cx="914400" cy="14605"/>
                          </a:xfrm>
                          <a:prstGeom prst="rect">
                            <a:avLst/>
                          </a:prstGeom>
                        </pic:spPr>
                      </pic:pic>
                    </a:graphicData>
                  </a:graphic>
                </wp:inline>
              </w:drawing>
            </w:r>
            <w:bookmarkStart w:id="3" w:name="i-4"/>
            <w:bookmarkEnd w:id="3"/>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Company’s largest customer represents 15% of total Revenues for the six months ended June 30, 2026 (2025 — 10%). No single customer comprised more than 10% of the Company’s total Accounts Receivable balance as of June 30, 2026. No single customer accounted for more than 10% of the Company’s total Accounts Receivable balance as of December 31, 2025.</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Costs and Expenses Applicable to Revenues for the Content Solutions segment that is made available to the CODM as part of the Company’s annual and quarterly financial reporting requirements in accordance with U.S. GAAP:</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540"/>
        <w:gridCol w:w="1307"/>
        <w:gridCol w:w="1312"/>
        <w:gridCol w:w="236"/>
        <w:gridCol w:w="811"/>
        <w:gridCol w:w="121"/>
        <w:gridCol w:w="121"/>
        <w:gridCol w:w="121"/>
        <w:gridCol w:w="121"/>
        <w:gridCol w:w="236"/>
        <w:gridCol w:w="811"/>
        <w:gridCol w:w="121"/>
        <w:gridCol w:w="121"/>
        <w:gridCol w:w="121"/>
        <w:gridCol w:w="121"/>
        <w:gridCol w:w="236"/>
        <w:gridCol w:w="811"/>
        <w:gridCol w:w="121"/>
        <w:gridCol w:w="121"/>
        <w:gridCol w:w="121"/>
        <w:gridCol w:w="121"/>
        <w:gridCol w:w="236"/>
        <w:gridCol w:w="811"/>
        <w:gridCol w:w="121"/>
        <w:gridCol w:w="109"/>
        <w:gridCol w:w="176"/>
      </w:tblGrid>
      <w:tr>
        <w:trPr/>
        <w:tc>
          <w:tcPr>
            <w:tcW w:w="154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 Segment:</w:t>
            </w:r>
          </w:p>
        </w:tc>
        <w:tc>
          <w:tcPr>
            <w:tcW w:w="26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85" w:type="dxa"/>
            <w:gridSpan w:val="2"/>
            <w:tcBorders/>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33,965 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66,056 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Film asset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other selling expenses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Co-produced film participation expenses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(1)</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 Applicable to Revenues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21,911 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22,431 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40,231 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45,985 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920" w:type="dxa"/>
            <w:gridSpan w:val="24"/>
            <w:tcBorders/>
            <w:shd w:fill="FFFFFF" w:val="clear"/>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 descr=""/>
                          <pic:cNvPicPr>
                            <a:picLocks noChangeAspect="1" noChangeArrowheads="1"/>
                          </pic:cNvPicPr>
                        </pic:nvPicPr>
                        <pic:blipFill>
                          <a:blip r:embed="rId6"/>
                          <a:stretch>
                            <a:fillRect/>
                          </a:stretch>
                        </pic:blipFill>
                        <pic:spPr bwMode="auto">
                          <a:xfrm>
                            <a:off x="0" y="0"/>
                            <a:ext cx="914400" cy="14605"/>
                          </a:xfrm>
                          <a:prstGeom prst="rect">
                            <a:avLst/>
                          </a:prstGeom>
                        </pic:spPr>
                      </pic:pic>
                    </a:graphicData>
                  </a:graphic>
                </wp:inline>
              </w:drawing>
            </w:r>
            <w:bookmarkStart w:id="4" w:name="i-5"/>
            <w:bookmarkEnd w:id="4"/>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(1)Included within the Other segment expenses are costs related to film distribution, post-production costs, production costs, and network connectivity fees.</w:t>
            </w:r>
          </w:p>
        </w:tc>
        <w:tc>
          <w:tcPr>
            <w:tcW w:w="285"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pStyle w:val="TextBody"/>
        <w:bidi w:val="0"/>
        <w:spacing w:before="0" w:after="0"/>
        <w:jc w:val="both"/>
        <w:rPr/>
      </w:pPr>
      <w:r>
        <w:rPr/>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258"/>
        <w:gridCol w:w="1078"/>
        <w:gridCol w:w="1081"/>
        <w:gridCol w:w="257"/>
        <w:gridCol w:w="878"/>
        <w:gridCol w:w="132"/>
        <w:gridCol w:w="132"/>
        <w:gridCol w:w="132"/>
        <w:gridCol w:w="132"/>
        <w:gridCol w:w="257"/>
        <w:gridCol w:w="878"/>
        <w:gridCol w:w="132"/>
        <w:gridCol w:w="132"/>
        <w:gridCol w:w="132"/>
        <w:gridCol w:w="132"/>
        <w:gridCol w:w="257"/>
        <w:gridCol w:w="1006"/>
        <w:gridCol w:w="132"/>
        <w:gridCol w:w="132"/>
        <w:gridCol w:w="132"/>
        <w:gridCol w:w="132"/>
        <w:gridCol w:w="257"/>
        <w:gridCol w:w="1006"/>
        <w:gridCol w:w="132"/>
        <w:gridCol w:w="109"/>
        <w:gridCol w:w="167"/>
      </w:tblGrid>
      <w:tr>
        <w:trPr/>
        <w:tc>
          <w:tcPr>
            <w:tcW w:w="12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 Segment:</w:t>
            </w:r>
          </w:p>
        </w:tc>
        <w:tc>
          <w:tcPr>
            <w:tcW w:w="293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76" w:type="dxa"/>
            <w:gridSpan w:val="2"/>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7"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64,809 </w:t>
            </w:r>
          </w:p>
        </w:tc>
        <w:tc>
          <w:tcPr>
            <w:tcW w:w="132"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55,639 </w:t>
            </w:r>
          </w:p>
        </w:tc>
        <w:tc>
          <w:tcPr>
            <w:tcW w:w="132"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32"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106,232 </w:t>
            </w:r>
          </w:p>
        </w:tc>
        <w:tc>
          <w:tcPr>
            <w:tcW w:w="132"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equipment supporting JRSAs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other selling expenses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 of equipment supporting JRSAs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 of inventory</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(1)</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 Applicable to Revenues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39,017 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30,178 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65,899 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59,264 </w:t>
            </w:r>
          </w:p>
        </w:tc>
        <w:tc>
          <w:tcPr>
            <w:tcW w:w="1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929"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6" descr=""/>
                          <pic:cNvPicPr>
                            <a:picLocks noChangeAspect="1" noChangeArrowheads="1"/>
                          </pic:cNvPicPr>
                        </pic:nvPicPr>
                        <pic:blipFill>
                          <a:blip r:embed="rId7"/>
                          <a:stretch>
                            <a:fillRect/>
                          </a:stretch>
                        </pic:blipFill>
                        <pic:spPr bwMode="auto">
                          <a:xfrm>
                            <a:off x="0" y="0"/>
                            <a:ext cx="914400" cy="14605"/>
                          </a:xfrm>
                          <a:prstGeom prst="rect">
                            <a:avLst/>
                          </a:prstGeom>
                        </pic:spPr>
                      </pic:pic>
                    </a:graphicData>
                  </a:graphic>
                </wp:inline>
              </w:drawing>
            </w:r>
            <w:bookmarkStart w:id="5" w:name="i-6"/>
            <w:bookmarkEnd w:id="5"/>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(1)Included within the Other segment expenses are costs related to the manufacturing and build of IMAX Systems recognized in the period, maintenance and warranty costs, and other product related costs. </w:t>
            </w:r>
          </w:p>
        </w:tc>
        <w:tc>
          <w:tcPr>
            <w:tcW w:w="276"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revenues by geographic area for the three and six months ended June 30, 2026 and 2025:</w:t>
      </w:r>
    </w:p>
    <w:p>
      <w:pPr>
        <w:pStyle w:val="TextBody"/>
        <w:bidi w:val="0"/>
        <w:spacing w:before="0" w:after="0"/>
        <w:ind w:left="0" w:right="0" w:firstLine="216"/>
        <w:jc w:val="both"/>
        <w:rPr/>
      </w:pPr>
      <w:r>
        <w:rPr/>
      </w:r>
    </w:p>
    <w:tbl>
      <w:tblPr>
        <w:tblW w:w="8144" w:type="dxa"/>
        <w:jc w:val="left"/>
        <w:tblInd w:w="0" w:type="dxa"/>
        <w:tblLayout w:type="fixed"/>
        <w:tblCellMar>
          <w:top w:w="28" w:type="dxa"/>
          <w:left w:w="28" w:type="dxa"/>
          <w:bottom w:w="28" w:type="dxa"/>
          <w:right w:w="28" w:type="dxa"/>
        </w:tblCellMar>
      </w:tblPr>
      <w:tblGrid>
        <w:gridCol w:w="955"/>
        <w:gridCol w:w="841"/>
        <w:gridCol w:w="84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64,962 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178,351 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United States, Greater China (which includes the mainland of the People’s Republic of China, Hong Kong, Macau, and Taiwan), Asia (excluding Greater China), and Western Europe each comprise greater than 10% of the Company’s total revenues for the three and six months ended June 30, 2026. The United States, Greater China, Asia and Western Europe each comprise greater than 10% of the Company’s total revenues for the three and six months ended June 30, 2025.</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14. Employee’s Pension and Postretirement Benefits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Defined Benefit Plan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defined benefit pension plan, the Supplemental Executive Retirement Plan (the “SERP”), covering its CEO, Richard L. Gelfond. Under the terms of his employment agreement, as amended, the total benefit payable to Mr. Gelfond under the SERP is fixed at $20.3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projected benefit obligation under the SERP was $17.9 million (December 31, 2025 — $17.5 million). For the three and six months ended June 30, 2026, the Company recorded interest costs of $0.2 million and $0.4 million, respectively, (2025 — $0.2 million and $0.4 million, respectively) related to the SERP. The Company expects to recognize additional interest costs of $0.3 million related to the SERP during the remainder of 2026. No contributions are expected to be made to the SERP in 2026.</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Postretirement Benefits – Executives</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postretirement plan for Mr. Gelfond and Bradley J. Wechsler, former Chairman of the Company’s Board of Directors (the “Executive Postretirement Benefit Plan”).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postretirement benefits obligation under this plan was $0.5 million (December 31, 2025 — $0.5 million). For the three and six months ended June 30, 2026, the Company has recorded an expense of less than $0.1 million, respectively (2025 — less than $0.1 million, respectively) related to this plan.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Postretirement Benefits – Canadian Employees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postretirement plan for its Canadian employees meeting specific eligibility requirements. The Company will provide eligible participants, upon retirement, with health and welfare benefits. As of June 30, 2026, the Company’s postretirement benefits obligation under this plan was $0.9 million (December 31, 2025 — $1.0 million). For the three and six months ended June 30, 2026, the Company has recorded expense of less than $0.1 million, respectively (2025 — less than $0.1 million, respectively) related to this plan.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Deferred Compensation Benefit Plan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benefit obligation related to the Retirement Plan was $4.5 million (December 31, 2025 — $4.4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Retirement Plan is funded by an investment in company-owned life insurance (“COLI”), which is recorded at its fair value on the Company’s Condensed Consolidated Balance Sheets within Prepaid Expenses. As of June 30, 2026, fair value of the COLI asset was $3.9 million (December 31, 2025 — $3.8 million). Gains and losses resulting from changes in the cash surrender value of the COLI asset are recognized in the Condensed Consolidated Statements of Operations within Realized and Unrealized Investment Gains.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15. Financial Instruments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cash is invested with various major financial institutions. The Company’s $159.9 million balance of cash and cash equivalents as of June 30, 2026 (December 31, 2025 — $151.2 million) included $150.1 million in cash held outside of Canada (December 31, 2025 — $137.4 million), of which $110.5 million was held in the PRC (December 31, 2025 — $97.2 million).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consisted of the following:</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117"/>
        <w:gridCol w:w="981"/>
        <w:gridCol w:w="984"/>
        <w:gridCol w:w="284"/>
        <w:gridCol w:w="974"/>
        <w:gridCol w:w="146"/>
        <w:gridCol w:w="109"/>
        <w:gridCol w:w="109"/>
        <w:gridCol w:w="109"/>
        <w:gridCol w:w="332"/>
        <w:gridCol w:w="1138"/>
        <w:gridCol w:w="171"/>
        <w:gridCol w:w="109"/>
        <w:gridCol w:w="109"/>
        <w:gridCol w:w="109"/>
        <w:gridCol w:w="284"/>
        <w:gridCol w:w="974"/>
        <w:gridCol w:w="146"/>
        <w:gridCol w:w="109"/>
        <w:gridCol w:w="109"/>
        <w:gridCol w:w="109"/>
        <w:gridCol w:w="327"/>
        <w:gridCol w:w="1120"/>
        <w:gridCol w:w="246"/>
      </w:tblGrid>
      <w:tr>
        <w:trPr/>
        <w:tc>
          <w:tcPr>
            <w:tcW w:w="11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0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Level 2</w:t>
            </w:r>
          </w:p>
        </w:tc>
        <w:tc>
          <w:tcPr>
            <w:tcW w:w="1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financed sales receivables</w:t>
            </w:r>
            <w:r>
              <w:rPr>
                <w:rFonts w:ascii="Times New Roman;serif" w:hAnsi="Times New Roman;serif"/>
                <w:b w:val="false"/>
                <w:color w:val="000000"/>
                <w:sz w:val="13"/>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bookmarkStart w:id="6" w:name="i5c35280e48d341e9a4f27d17d0e21c15_5-1-2-"/>
            <w:bookmarkEnd w:id="6"/>
            <w:r>
              <w:rPr>
                <w:rFonts w:ascii="Times New Roman;serif" w:hAnsi="Times New Roman;serif"/>
                <w:b w:val="false"/>
                <w:color w:val="000000"/>
                <w:sz w:val="20"/>
              </w:rPr>
              <w:t>87,331 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investment in sales-type leases</w:t>
            </w:r>
            <w:r>
              <w:rPr>
                <w:rFonts w:ascii="Times New Roman;serif" w:hAnsi="Times New Roman;serif"/>
                <w:b w:val="false"/>
                <w:color w:val="000000"/>
                <w:sz w:val="13"/>
              </w:rPr>
              <w:t>(1)</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2030 Convertible notes</w:t>
            </w:r>
            <w:r>
              <w:rPr>
                <w:rFonts w:ascii="Times New Roman;serif" w:hAnsi="Times New Roman;serif"/>
                <w:b w:val="false"/>
                <w:color w:val="000000"/>
                <w:sz w:val="13"/>
              </w:rPr>
              <w:t>(2)</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 descr=""/>
                          <pic:cNvPicPr>
                            <a:picLocks noChangeAspect="1" noChangeArrowheads="1"/>
                          </pic:cNvPicPr>
                        </pic:nvPicPr>
                        <pic:blipFill>
                          <a:blip r:embed="rId8"/>
                          <a:stretch>
                            <a:fillRect/>
                          </a:stretch>
                        </pic:blipFill>
                        <pic:spPr bwMode="auto">
                          <a:xfrm>
                            <a:off x="0" y="0"/>
                            <a:ext cx="914400" cy="14605"/>
                          </a:xfrm>
                          <a:prstGeom prst="rect">
                            <a:avLst/>
                          </a:prstGeom>
                        </pic:spPr>
                      </pic:pic>
                    </a:graphicData>
                  </a:graphic>
                </wp:inline>
              </w:drawing>
            </w:r>
            <w:bookmarkStart w:id="7" w:name="i-7"/>
            <w:bookmarkEnd w:id="7"/>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(1)Fair value is estimated based on discounting future cash flows at currently available interest rates with comparable terms. </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(2)Fair value is determined using quoted market prices that are observable in the market or that could be derived from observable market data.</w:t>
            </w:r>
          </w:p>
          <w:p>
            <w:pPr>
              <w:pStyle w:val="TableContents"/>
              <w:bidi w:val="0"/>
              <w:spacing w:before="0" w:after="0"/>
              <w:jc w:val="both"/>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Foreign Exchange Risk Management</w:t>
      </w:r>
    </w:p>
    <w:p>
      <w:pPr>
        <w:pStyle w:val="TextBody"/>
        <w:bidi w:val="0"/>
        <w:spacing w:before="0" w:after="0"/>
        <w:ind w:left="0" w:right="0" w:firstLine="1"/>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 from changes in foreign currency rates.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 majority of the Company’s revenues are denominated in U.S. Dollars while a significant portion of its costs and expenses are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91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June 30, 2026 (the “Foreign Currency Hedges”), with settlement dates throughout 2026 and 2027.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Condensed Consolidated Statements of Operations when the forecasted transaction occurs. Any ineffective portion is recognized immediately in the Condensed Consolidated Statements of Operations.</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tabular disclosures reflect the impact that derivative instruments and hedging activities have on the Company’s Condensed Consolidated Financial Statements: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Notional value of derivatives in foreign exchange contracts:</w:t>
      </w:r>
    </w:p>
    <w:p>
      <w:pPr>
        <w:pStyle w:val="TextBody"/>
        <w:bidi w:val="0"/>
        <w:spacing w:before="0" w:after="0"/>
        <w:jc w:val="both"/>
        <w:rPr/>
      </w:pPr>
      <w:r>
        <w:rPr/>
      </w:r>
    </w:p>
    <w:tbl>
      <w:tblPr>
        <w:tblW w:w="6467" w:type="dxa"/>
        <w:jc w:val="left"/>
        <w:tblInd w:w="0" w:type="dxa"/>
        <w:tblLayout w:type="fixed"/>
        <w:tblCellMar>
          <w:top w:w="28" w:type="dxa"/>
          <w:left w:w="28" w:type="dxa"/>
          <w:bottom w:w="28" w:type="dxa"/>
          <w:right w:w="28" w:type="dxa"/>
        </w:tblCellMar>
      </w:tblPr>
      <w:tblGrid>
        <w:gridCol w:w="1433"/>
        <w:gridCol w:w="1262"/>
        <w:gridCol w:w="1265"/>
        <w:gridCol w:w="211"/>
        <w:gridCol w:w="721"/>
        <w:gridCol w:w="109"/>
        <w:gridCol w:w="109"/>
        <w:gridCol w:w="109"/>
        <w:gridCol w:w="109"/>
        <w:gridCol w:w="221"/>
        <w:gridCol w:w="757"/>
        <w:gridCol w:w="161"/>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derivatives in foreign exchange contracts:</w:t>
      </w:r>
    </w:p>
    <w:p>
      <w:pPr>
        <w:pStyle w:val="TextBody"/>
        <w:bidi w:val="0"/>
        <w:spacing w:before="0" w:after="0"/>
        <w:ind w:left="0" w:right="0" w:firstLine="216"/>
        <w:jc w:val="both"/>
        <w:rPr/>
      </w:pPr>
      <w:r>
        <w:rPr/>
      </w:r>
    </w:p>
    <w:tbl>
      <w:tblPr>
        <w:tblW w:w="9030" w:type="dxa"/>
        <w:jc w:val="left"/>
        <w:tblInd w:w="0" w:type="dxa"/>
        <w:tblLayout w:type="fixed"/>
        <w:tblCellMar>
          <w:top w:w="28" w:type="dxa"/>
          <w:left w:w="28" w:type="dxa"/>
          <w:bottom w:w="28" w:type="dxa"/>
          <w:right w:w="28" w:type="dxa"/>
        </w:tblCellMar>
      </w:tblPr>
      <w:tblGrid>
        <w:gridCol w:w="1433"/>
        <w:gridCol w:w="1262"/>
        <w:gridCol w:w="1265"/>
        <w:gridCol w:w="804"/>
        <w:gridCol w:w="804"/>
        <w:gridCol w:w="807"/>
        <w:gridCol w:w="109"/>
        <w:gridCol w:w="109"/>
        <w:gridCol w:w="109"/>
        <w:gridCol w:w="211"/>
        <w:gridCol w:w="541"/>
        <w:gridCol w:w="109"/>
        <w:gridCol w:w="109"/>
        <w:gridCol w:w="109"/>
        <w:gridCol w:w="109"/>
        <w:gridCol w:w="289"/>
        <w:gridCol w:w="639"/>
        <w:gridCol w:w="212"/>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4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Derivatives in foreign currency hedging relationships are as follows:</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963"/>
        <w:gridCol w:w="754"/>
        <w:gridCol w:w="757"/>
        <w:gridCol w:w="856"/>
        <w:gridCol w:w="856"/>
        <w:gridCol w:w="858"/>
        <w:gridCol w:w="211"/>
        <w:gridCol w:w="517"/>
        <w:gridCol w:w="109"/>
        <w:gridCol w:w="109"/>
        <w:gridCol w:w="109"/>
        <w:gridCol w:w="109"/>
        <w:gridCol w:w="211"/>
        <w:gridCol w:w="616"/>
        <w:gridCol w:w="109"/>
        <w:gridCol w:w="109"/>
        <w:gridCol w:w="109"/>
        <w:gridCol w:w="109"/>
        <w:gridCol w:w="211"/>
        <w:gridCol w:w="667"/>
        <w:gridCol w:w="109"/>
        <w:gridCol w:w="109"/>
        <w:gridCol w:w="109"/>
        <w:gridCol w:w="109"/>
        <w:gridCol w:w="211"/>
        <w:gridCol w:w="616"/>
        <w:gridCol w:w="109"/>
        <w:gridCol w:w="109"/>
        <w:gridCol w:w="109"/>
        <w:gridCol w:w="109"/>
        <w:gridCol w:w="157"/>
      </w:tblGrid>
      <w:tr>
        <w:trPr/>
        <w:tc>
          <w:tcPr>
            <w:tcW w:w="9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(Loss) Gain Recognized in OCI</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Portion)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7"/>
        <w:gridCol w:w="920"/>
        <w:gridCol w:w="923"/>
        <w:gridCol w:w="834"/>
        <w:gridCol w:w="771"/>
        <w:gridCol w:w="774"/>
        <w:gridCol w:w="211"/>
        <w:gridCol w:w="466"/>
        <w:gridCol w:w="109"/>
        <w:gridCol w:w="109"/>
        <w:gridCol w:w="109"/>
        <w:gridCol w:w="109"/>
        <w:gridCol w:w="211"/>
        <w:gridCol w:w="529"/>
        <w:gridCol w:w="109"/>
        <w:gridCol w:w="109"/>
        <w:gridCol w:w="109"/>
        <w:gridCol w:w="109"/>
        <w:gridCol w:w="211"/>
        <w:gridCol w:w="466"/>
        <w:gridCol w:w="109"/>
        <w:gridCol w:w="109"/>
        <w:gridCol w:w="109"/>
        <w:gridCol w:w="109"/>
        <w:gridCol w:w="211"/>
        <w:gridCol w:w="679"/>
        <w:gridCol w:w="109"/>
        <w:gridCol w:w="109"/>
        <w:gridCol w:w="109"/>
        <w:gridCol w:w="109"/>
        <w:gridCol w:w="158"/>
      </w:tblGrid>
      <w:tr>
        <w:trPr/>
        <w:tc>
          <w:tcPr>
            <w:tcW w:w="109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3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Location of Derivative Gain (Loss)</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Reclassified from AOCI</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(Effective Portion)</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 — Forwards</w:t>
            </w:r>
          </w:p>
        </w:tc>
        <w:tc>
          <w:tcPr>
            <w:tcW w:w="23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estimated net amount of the existing loss as of June 30, 2026 is $0.8 million, which is expected to be reclassified to the Condensed Consolidated Statements of Operations within the next twelve months.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16. Non-Controlling Interests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IMAX China Non-Controlling Interest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indirectly owned 71.57% of the outstanding equity interest in IMAX China, whose shares trade on the Hong Kong Stock Exchange (December 31, 2025 — 71.57%). IMAX China remains a consolidated subsidiary of the Company. As of June 30, 2026, the balance of the Company’s non-controlling interest in IMAX China was $93.8 million (December 31, 2025 — $89.2 million). For the three and six months ended June 30, 2026, the net income attributable to the non-controlling interest in IMAX China was $0.5 million and $2.3 million, respectively (2025 — $1.0 million and $6.8 million, respectively).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17. Restructuring Charges and Other Impairments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each of the three and six months ended June 30, 2026, the Company incurred $2.3 million (2025 — $0.8 million, respectively) in Restructuring charges and other impairments in the Condensed Consolidated Statements of Operations.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second quarter, the Company recognized an impairment charge of $2.0 million (2025 — $nil) on an individual documentary film asset following a reassessment of estimated future revenues. The revised estimates reflects updates to estimated market performance and future monetization of the title.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addition, in the three and six months ended June 30, 2026, the Company incurred termination charges of $0.3 million (2025 — $0.8 million, respectively) in connection with its plan to optimize its organizational structure, including eliminating redundant roles, addressing spans and layers to capture efficiencies and centralizing certain operational roles.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liability was $0.6 million (December 31, 2025 — $1.4 million) on the Consolidated Balance Sheets within Accrued and other liabilities related to Restructuring charges and other impairments.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i/>
          <w:color w:val="000000"/>
          <w:sz w:val="20"/>
        </w:rPr>
      </w:pPr>
      <w:r>
        <w:rPr>
          <w:rFonts w:ascii="Times New Roman;serif" w:hAnsi="Times New Roman;serif"/>
          <w:b w:val="false"/>
          <w:i/>
          <w:color w:val="000000"/>
          <w:sz w:val="20"/>
        </w:rPr>
        <w:t xml:space="preserve">Presented below is Management’s Discussion and Analysis of Financial Condition and Results of Operations (“MD&amp;A”) for IMAX Corporation (together with its consolidated subsidiaries, unless the context requires otherwise, “IMAX” or the “Company”) for the three and six months ended June 30, 2026 and 2025. This MD&amp;A should be read in conjunction with the accompanying Condensed Consolidated Financial Statements in Item 1 as well as the Company’s audited consolidated financial statements and related notes and the discussion under the heading “Management’s Discussion and Analysis of Financial Condition and Results of Operations” for the fiscal year ended December 31, 2025 included in the Company’s 2025 Annual Report on Form 10-K (the “2025 Form 10-K”).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indirectly owned 71.57% of the outstanding equity interest in IMAX China Holding, Inc. (“IMAX China”), whose shares trade on the Hong Kong Stock Exchange. IMAX China is a consolidated subsidiary of the Company. For the six months ended June 30, 2026, net income attributable to IMAX China was $8.1 million, of which $5.8 million was attributable to the shareholders of the Company (2025 — $23.7 million and $17.0 million, respectively).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SPECIAL NOTE REGARDING FORWARD-LOOKING INFORMATION</w:t>
      </w:r>
    </w:p>
    <w:p>
      <w:pPr>
        <w:pStyle w:val="TextBody"/>
        <w:bidi w:val="0"/>
        <w:spacing w:before="0" w:after="0"/>
        <w:ind w:left="0" w:right="0" w:firstLine="216"/>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included in this quarterly report may constitute “forward-looking statements” within the meaning of the U.S. Private Securities Litigation Reform Act of 1995 or “forward-looking information” within the meaning of Canadian securities laws. Words such as “anticipate,” “assume,” “believe,” “continue,” “could,” “drive,” “estimate,” “expect,” “forecast,” “future,” “if,” “improvement,” “likely,” “may,” “plan,” “possibility,” “potential,” “project,” “projection,” “prospect,” “remain,” “runway,” “scheduled,” “seek,” “strategy,” “subject to,” “upcoming,” “will,” “would,” or the negative thereof, and similar expressions identify forward-looking statements and information. These forward-looking statements and information include, but are not limited to, statements regarding the Company’s business and technology strategies and measures to implement such strategies, including with respect to its brand extensions and re-positionings and new business initiatives; the Company’s competitive strengths, goals, market opportunity and penetration, including opportunities in and expected growth from international markets, momentum and runway for expansion and growth of business, networks, operations and technology; future cash flow and revenue realization; capital allocation, including the amount and nature of future capital expenditures and the sufficiency of capital and liquidity to fund the Company’s anticipated operating needs; the Company’s capital structure, including the incurrence and repayment of debt and the impact of its restrictive debt covenants on operating and financial flexibility; anticipated contributions to pension and postretirement benefit plans; the Company’s technological capabilities and the differentiation thereof, including with respect to artificial intelligence (“AI”); the Company’s ability to enhance its brand equity and brand awareness and the benefits thereof; industry prospects and developments and shifts in consumer behavior; the Company’s upcoming film slate and content pipeline, including the timing and performance thereof; and plans and references to the future success of the Company and expectations regarding its future operating, financial and technological results.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industry conditions affecting both the Company and its partners; the ability of the Company’s exhibitor customers to fulfill their contractual payment obligations; risks related to the Company’s ability to attract and retain its employee population or the loss of the Company’s key personnel; the performance of IMAX remastered films and other films released to the IMAX network; conditions, changes and developments in the commercial exhibition industry; the Company’s ability to enter into new IMAX theater system agreements and sales and lease agreements and the effects thereof ; fluctuations in operating results and cash flow;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with respect to AI products and AI-generated content; the potential impacts of consolidation among commercial exhibitors and studios; success of brand extensions and new business initiatives; conditions and competition in the in-home (including streaming) and out-of-home entertainment industries; the Company’s ability to identify and pursue new business opportunities (or lack thereof); cybersecurity and data privacy incidents; the Company’s ability to protect its intellectual property and to avoid infringing, misappropriating, or violating the intellectual property rights of others; effects of environmental laws and regulations, including with respect to climate 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and the resulting disruptions to the Company’s operations or supply chain; the Company’s ability to convert system backlog into revenue and cash flows; accuracy of assumptions underlying goodwill impairment assessment and fair value measurements;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IMAX</w:t>
            </w:r>
            <w:r>
              <w:rPr>
                <w:rFonts w:ascii="Times New Roman;serif" w:hAnsi="Times New Roman;serif"/>
                <w:b w:val="false"/>
                <w:color w:val="000000"/>
                <w:sz w:val="13"/>
              </w:rPr>
              <w:t>®</w:t>
            </w:r>
            <w:r>
              <w:rPr>
                <w:rFonts w:ascii="Times New Roman;serif" w:hAnsi="Times New Roman;serif"/>
                <w:b w:val="false"/>
                <w:color w:val="000000"/>
                <w:sz w:val="20"/>
              </w:rPr>
              <w:t>, IMAX</w:t>
            </w:r>
            <w:r>
              <w:rPr>
                <w:rFonts w:ascii="Times New Roman;serif" w:hAnsi="Times New Roman;serif"/>
                <w:b w:val="false"/>
                <w:color w:val="000000"/>
                <w:sz w:val="13"/>
              </w:rPr>
              <w:t xml:space="preserve">® </w:t>
            </w:r>
            <w:r>
              <w:rPr>
                <w:rFonts w:ascii="Times New Roman;serif" w:hAnsi="Times New Roman;serif"/>
                <w:b w:val="false"/>
                <w:color w:val="000000"/>
                <w:sz w:val="20"/>
              </w:rPr>
              <w:t>3D, Experience It In IMAX</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13"/>
              </w:rPr>
              <w:t>®</w:t>
            </w:r>
            <w:r>
              <w:rPr>
                <w:rFonts w:ascii="Times New Roman;serif" w:hAnsi="Times New Roman;serif"/>
                <w:b w:val="false"/>
                <w:color w:val="000000"/>
                <w:sz w:val="20"/>
              </w:rPr>
              <w:t>, DMR</w:t>
            </w:r>
            <w:r>
              <w:rPr>
                <w:rFonts w:ascii="Times New Roman;serif" w:hAnsi="Times New Roman;serif"/>
                <w:b w:val="false"/>
                <w:color w:val="000000"/>
                <w:sz w:val="13"/>
              </w:rPr>
              <w:t>®</w:t>
            </w:r>
            <w:r>
              <w:rPr>
                <w:rFonts w:ascii="Times New Roman;serif" w:hAnsi="Times New Roman;serif"/>
                <w:b w:val="false"/>
                <w:color w:val="000000"/>
                <w:sz w:val="20"/>
              </w:rPr>
              <w:t>, Filmed For IMAX</w:t>
            </w:r>
            <w:r>
              <w:rPr>
                <w:rFonts w:ascii="Times New Roman;serif" w:hAnsi="Times New Roman;serif"/>
                <w:b w:val="false"/>
                <w:color w:val="000000"/>
                <w:sz w:val="13"/>
              </w:rPr>
              <w:t>®</w:t>
            </w:r>
            <w:r>
              <w:rPr>
                <w:rFonts w:ascii="Times New Roman;serif" w:hAnsi="Times New Roman;serif"/>
                <w:b w:val="false"/>
                <w:color w:val="000000"/>
                <w:sz w:val="20"/>
              </w:rPr>
              <w:t>, IMAX Live</w:t>
            </w:r>
            <w:r>
              <w:rPr>
                <w:rFonts w:ascii="Times New Roman;serif" w:hAnsi="Times New Roman;serif"/>
                <w:b w:val="false"/>
                <w:color w:val="000000"/>
                <w:sz w:val="13"/>
              </w:rPr>
              <w:t>®</w:t>
            </w:r>
            <w:r>
              <w:rPr>
                <w:rFonts w:ascii="Times New Roman;serif" w:hAnsi="Times New Roman;serif"/>
                <w:b w:val="false"/>
                <w:color w:val="000000"/>
                <w:sz w:val="20"/>
              </w:rPr>
              <w:t>, and IMAX Enhanced</w:t>
            </w:r>
            <w:r>
              <w:rPr>
                <w:rFonts w:ascii="Times New Roman;serif" w:hAnsi="Times New Roman;serif"/>
                <w:b w:val="false"/>
                <w:color w:val="000000"/>
                <w:sz w:val="13"/>
              </w:rPr>
              <w:t xml:space="preserve">® </w:t>
            </w:r>
            <w:r>
              <w:rPr>
                <w:rFonts w:ascii="Times New Roman;serif" w:hAnsi="Times New Roman;serif"/>
                <w:b w:val="false"/>
                <w:color w:val="000000"/>
                <w:sz w:val="20"/>
              </w:rPr>
              <w:t>are trademarks and trade names of the Company or its subsidiaries that are registered or otherwise protected under laws of various jurisdictions.</w:t>
            </w:r>
          </w:p>
        </w:tc>
      </w:tr>
    </w:tbl>
    <w:p>
      <w:pPr>
        <w:pStyle w:val="TextBody"/>
        <w:bidi w:val="0"/>
        <w:spacing w:before="0" w:after="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website at www.imax.com or by calling the Company’s Investor Relations Department at 212-821-0154.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filing, except where expressly indicated. All references to the Company’s website are intended to be inactive textual references only.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 is globally renowned. Top filmmakers, movie studios, artists, and creators utilize the cutting-edge visual and sound technology of IMAX to connect with audiences in innovative ways.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has the largest global premium format network, more than double the size of its nearest competitor. As of June 30, 2026, there were 1,876 IMAX Systems operating in locations in 91 countries and territories, including 1,809 commercial multiplexes, 10 commercial destinations, and 57 institutional locations in the Company’s global network. This compares to 1,821 IMAX Systems operating in locations in 89 countries and territories as of June 30, 2025, including 1,750 commercial multiplexes, 11 commercial destinations, and 60 institutional locations in the Company’s global network. (Refer to the table under “IMAX Network and Backlog” for additional information on the composition of the IMAX network.)</w:t>
      </w:r>
    </w:p>
    <w:p>
      <w:pPr>
        <w:pStyle w:val="TextBody"/>
        <w:bidi w:val="0"/>
        <w:spacing w:before="0" w:after="0"/>
        <w:ind w:left="0" w:right="0" w:firstLine="216"/>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IMAX Systems provide the Company’s exhibitor customers with a combination of the following benefits: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the ability to exhibit content that has been enhanced through the IMAX Film Remastering process, which results in higher image and sound fidelity than conventional cinema experiences;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advanced, high-resolution projectors with specialized equipment and automated theater control systems, which generate significantly more contrast and brightness than conventional theater systems;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large screens and proprietary auditorium geometry, which result in a substantially larger field of view than conventional theater systems so that the screen extends to the edge of a viewer’s peripheral vision and creates more realistic images;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advanced sound system components, which deliver more expansive sound imagery than conventional theater systems and pinpointed origination of sound to any specific spot in an auditorium equipped with an IMAX System;</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specialized theater acoustics, which result in a four-fold reduction in background noise compared to conventional cinema experiences;</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ongoing maintenance and extended warranty services to ensure a consistent image and sound quality presentation across the IMAX global network; and</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 license to the globally recognized IMAX brand, as well as benefits from IMAX marketing of films being shown in its network and IMAX’s growing social media followership.</w:t>
      </w:r>
    </w:p>
    <w:p>
      <w:pPr>
        <w:pStyle w:val="TextBody"/>
        <w:bidi w:val="0"/>
        <w:spacing w:lineRule="auto" w:line="288" w:before="0" w:after="0"/>
        <w:ind w:left="0" w:right="0" w:hanging="72"/>
        <w:jc w:val="both"/>
        <w:rPr>
          <w:color w:val="000000"/>
        </w:rPr>
      </w:pPr>
      <w:r>
        <w:rPr>
          <w:color w:val="000000"/>
        </w:rPr>
        <w:t>    </w:t>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 For additional discussion, see section titled “Sources of Revenue—IMAX Film Remastering and Distribution” below.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As a result of the engineering and scientific achievements that are a hallmark of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13"/>
        </w:rPr>
        <w:t>®</w:t>
      </w:r>
      <w:r>
        <w:rPr>
          <w:rFonts w:ascii="Times New Roman;serif" w:hAnsi="Times New Roman;serif"/>
          <w:b w:val="false"/>
          <w:color w:val="000000"/>
          <w:sz w:val="20"/>
        </w:rPr>
        <w:t xml:space="preserve">, the Company’s exhibitor customers typically charge a premium for films released in IMAX’s format versus films exhibited in their other auditoriums. The premium pricing, combined with the higher attendance levels associated with IMAX films, generates incremental box office receipts (“global box office”) for the Company’s exhibitor customers and for the movie studios releasing their films to the IMAX network. IMAX has become a key premium distribution and marketing platform for Hollywood and local language films driven by IMAX’s leading global network footprint and scale, the incremental global box office generated by IMAX films and the growing demand by moviegoers for the differentiated quality of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20"/>
        </w:rPr>
        <w:t>.</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pPr>
      <w:r>
        <w:rPr>
          <w:rFonts w:ascii="Times New Roman;serif" w:hAnsi="Times New Roman;serif"/>
          <w:b w:val="false"/>
          <w:color w:val="000000"/>
          <w:sz w:val="20"/>
          <w:shd w:fill="FFFFFF" w:val="clear"/>
        </w:rPr>
        <w:t xml:space="preserve">The Company achieved global box office of </w:t>
      </w:r>
      <w:r>
        <w:rPr>
          <w:rFonts w:ascii="Times New Roman;serif" w:hAnsi="Times New Roman;serif"/>
          <w:b w:val="false"/>
          <w:color w:val="000000"/>
          <w:sz w:val="20"/>
        </w:rPr>
        <w:t>$544.5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first half</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The Company’s </w:t>
      </w:r>
      <w:r>
        <w:rPr>
          <w:rFonts w:ascii="Times New Roman;serif" w:hAnsi="Times New Roman;serif"/>
          <w:b w:val="false"/>
          <w:color w:val="000000"/>
          <w:sz w:val="20"/>
        </w:rPr>
        <w:t>first half</w:t>
      </w:r>
      <w:r>
        <w:rPr>
          <w:color w:val="000000"/>
          <w:shd w:fill="FFFFFF" w:val="clear"/>
        </w:rPr>
        <w:t xml:space="preserve"> </w:t>
      </w:r>
      <w:r>
        <w:rPr>
          <w:rFonts w:ascii="Times New Roman;serif" w:hAnsi="Times New Roman;serif"/>
          <w:b w:val="false"/>
          <w:color w:val="000000"/>
          <w:sz w:val="20"/>
          <w:shd w:fill="FFFFFF" w:val="clear"/>
        </w:rPr>
        <w:t xml:space="preserve">global box office was derived from </w:t>
      </w:r>
      <w:r>
        <w:rPr>
          <w:rFonts w:ascii="Times New Roman;serif" w:hAnsi="Times New Roman;serif"/>
          <w:b w:val="false"/>
          <w:color w:val="000000"/>
          <w:sz w:val="20"/>
        </w:rPr>
        <w:t>63 new</w:t>
      </w:r>
      <w:r>
        <w:rPr>
          <w:color w:val="000000"/>
          <w:shd w:fill="FFFFFF" w:val="clear"/>
        </w:rPr>
        <w:t xml:space="preserve"> </w:t>
      </w:r>
      <w:r>
        <w:rPr>
          <w:rFonts w:ascii="Times New Roman;serif" w:hAnsi="Times New Roman;serif"/>
          <w:b w:val="false"/>
          <w:color w:val="000000"/>
          <w:sz w:val="20"/>
          <w:shd w:fill="FFFFFF" w:val="clear"/>
        </w:rPr>
        <w:t xml:space="preserve">pieces of content distributed across its global network. The </w:t>
      </w:r>
      <w:r>
        <w:rPr>
          <w:rFonts w:ascii="Times New Roman;serif" w:hAnsi="Times New Roman;serif"/>
          <w:b w:val="false"/>
          <w:color w:val="000000"/>
          <w:sz w:val="20"/>
        </w:rPr>
        <w:t>first half</w:t>
      </w:r>
      <w:r>
        <w:rPr>
          <w:color w:val="000000"/>
          <w:shd w:fill="FFFFFF" w:val="clear"/>
        </w:rPr>
        <w:t xml:space="preserve"> </w:t>
      </w:r>
      <w:r>
        <w:rPr>
          <w:rFonts w:ascii="Times New Roman;serif" w:hAnsi="Times New Roman;serif"/>
          <w:b w:val="false"/>
          <w:color w:val="000000"/>
          <w:sz w:val="20"/>
          <w:shd w:fill="FFFFFF" w:val="clear"/>
        </w:rPr>
        <w:t>w</w:t>
      </w:r>
      <w:r>
        <w:rPr>
          <w:rFonts w:ascii="Times New Roman;serif" w:hAnsi="Times New Roman;serif"/>
          <w:b w:val="false"/>
          <w:color w:val="000000"/>
          <w:sz w:val="20"/>
        </w:rPr>
        <w:t>as highlighted by the performance of the Filmed For IMAX</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title </w:t>
      </w:r>
      <w:r>
        <w:rPr>
          <w:rFonts w:ascii="Times New Roman;serif" w:hAnsi="Times New Roman;serif"/>
          <w:b w:val="false"/>
          <w:i/>
          <w:color w:val="000000"/>
          <w:sz w:val="20"/>
        </w:rPr>
        <w:t>Project Hail Mary</w:t>
      </w:r>
      <w:r>
        <w:rPr>
          <w:rFonts w:ascii="Times New Roman;serif" w:hAnsi="Times New Roman;serif"/>
          <w:b w:val="false"/>
          <w:color w:val="000000"/>
          <w:sz w:val="20"/>
        </w:rPr>
        <w:t xml:space="preserve">, in which IMAX captured 20% of the opening weekend global box office, despite IMAX representing less than 1% of screens worldwide. Global box office in the first half of 2026 also included carry-over of </w:t>
      </w:r>
      <w:r>
        <w:rPr>
          <w:rFonts w:ascii="Times New Roman;serif" w:hAnsi="Times New Roman;serif"/>
          <w:b w:val="false"/>
          <w:i/>
          <w:color w:val="000000"/>
          <w:sz w:val="20"/>
        </w:rPr>
        <w:t xml:space="preserve">Avatar: Fire and Ash </w:t>
      </w:r>
      <w:r>
        <w:rPr>
          <w:rFonts w:ascii="Times New Roman;serif" w:hAnsi="Times New Roman;serif"/>
          <w:b w:val="false"/>
          <w:color w:val="000000"/>
          <w:sz w:val="20"/>
        </w:rPr>
        <w:t xml:space="preserve">and the break-out biopic music centered film title </w:t>
      </w:r>
      <w:r>
        <w:rPr>
          <w:rFonts w:ascii="Times New Roman;serif" w:hAnsi="Times New Roman;serif"/>
          <w:b w:val="false"/>
          <w:i/>
          <w:color w:val="000000"/>
          <w:sz w:val="20"/>
        </w:rPr>
        <w:t>Michael</w:t>
      </w:r>
      <w:r>
        <w:rPr>
          <w:rFonts w:ascii="Times New Roman;serif" w:hAnsi="Times New Roman;serif"/>
          <w:b w:val="false"/>
          <w:color w:val="000000"/>
          <w:sz w:val="20"/>
        </w:rPr>
        <w:t xml:space="preserve">. The Company continues to expand its local language strategy with 34 releases across 11 countries and territories, including first time releases in Brazil and Taiwan, China. The total first half local language box office was $81 million (or 15% of global box office), led by the Chinese film, </w:t>
      </w:r>
      <w:r>
        <w:rPr>
          <w:rFonts w:ascii="Times New Roman;serif" w:hAnsi="Times New Roman;serif"/>
          <w:b w:val="false"/>
          <w:i/>
          <w:color w:val="000000"/>
          <w:sz w:val="20"/>
        </w:rPr>
        <w:t xml:space="preserve">Pegasus 3. </w:t>
      </w:r>
      <w:r>
        <w:rPr>
          <w:rFonts w:ascii="Times New Roman;serif" w:hAnsi="Times New Roman;serif"/>
          <w:b w:val="false"/>
          <w:color w:val="000000"/>
          <w:sz w:val="20"/>
        </w:rPr>
        <w:t>Despite increasing competition for consumer attention across both out</w:t>
        <w:noBreakHyphen/>
        <w:t>of</w:t>
        <w:noBreakHyphen/>
        <w:t>home and in</w:t>
        <w:noBreakHyphen/>
        <w:t xml:space="preserve">home entertainment, demand for </w:t>
      </w:r>
      <w:r>
        <w:rPr>
          <w:rFonts w:ascii="Times New Roman;serif" w:hAnsi="Times New Roman;serif"/>
          <w:b w:val="false"/>
          <w:i/>
          <w:color w:val="000000"/>
          <w:sz w:val="20"/>
        </w:rPr>
        <w:t xml:space="preserve">The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continues to strengthen among theatergoers. During the first half of 2026, the Company’s trailing twelve month domestic box office market share was 5.2% and global market share was 3.7%. See “Results of Operations” below for a discussion of the Company’s 2026 three and six months results as compared to the prior year periods.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SOURCES OF REVENUE</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Content Solutions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Content Solutions segment earns revenue from IMAX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to commercial IMAX theaters, as well as the provision of film post-production services.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Content Solutions segment results are influenced by the level of commercial success and global box office performance of the films and other content released to the IMAX network, as well as other factors, including the timing of the releases, the timing of documentary downstream sales, the length of play across the IMAX network, the global box office share take rates under the Company’s Film Remastering and distribution arrangements, the level of marketing spend associated with the releases in the year, and fluctuations in the value of foreign currencies versus the U.S. Dollar.</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Film Remastering and Distribution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IMAX Film Remastering is a proprietary technology that digitally remasters films and other content into IMAX formats for distribution across the IMAX network. In a typical IMAX Film Remastering and distribution arrangement, the Company receives a percentage of the global box office from a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 receives a lower percentage of net box office due to an incremental importation fee paid by the studios. All of the Company’s box office results in this Form 10-Q are inclusive of China booking fees to be consistent with market reporting of global box office.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IMAX Film Remastering digitally enhances the image quality and/or resolution for projection on IMAX screens while maintaining or enhancing the visual clarity and sound quality to levels for which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versus a conventional screen. In select IMAX locations worldwide, movies filmed with IMAX cameras have an IMAX-exclusive 1.43 film aspect ratio, delivering up to 67% more image onto a standard conventional movie screen. </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serif" w:hAnsi="Times New Roman;serif"/>
          <w:b w:val="false"/>
          <w:i/>
          <w:color w:val="000000"/>
          <w:sz w:val="20"/>
        </w:rPr>
        <w:t xml:space="preserve">The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 The global box office metrics have demonstrated audiences respond extremely favorably to Filmed For IMAX titles, resulting in a higher market share for IMAX. In the first half of 2026, Filmed For IMAX titles on average indexed approximately 10% higher than titles with no IMAX DNA.</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Management believes that growth in global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Japan, France, India, and South Korea. As the popularity of local language films has continued to increase, the Company has extended its content strategy to distribute local language content beyond native markets. For the six months ended June 30, 2026, local language films exhibited across the Company’s global network generated $81 million in box office, representing 15% of the Company’s global box office.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number of new films and other content released to the Company’s global network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57"/>
        <w:gridCol w:w="1358"/>
        <w:gridCol w:w="1364"/>
        <w:gridCol w:w="298"/>
        <w:gridCol w:w="298"/>
        <w:gridCol w:w="279"/>
        <w:gridCol w:w="278"/>
        <w:gridCol w:w="278"/>
        <w:gridCol w:w="278"/>
        <w:gridCol w:w="298"/>
        <w:gridCol w:w="298"/>
        <w:gridCol w:w="279"/>
        <w:gridCol w:w="182"/>
        <w:gridCol w:w="182"/>
        <w:gridCol w:w="182"/>
        <w:gridCol w:w="261"/>
        <w:gridCol w:w="261"/>
        <w:gridCol w:w="260"/>
        <w:gridCol w:w="247"/>
        <w:gridCol w:w="247"/>
        <w:gridCol w:w="247"/>
        <w:gridCol w:w="261"/>
        <w:gridCol w:w="261"/>
        <w:gridCol w:w="260"/>
        <w:gridCol w:w="109"/>
        <w:gridCol w:w="109"/>
        <w:gridCol w:w="109"/>
        <w:gridCol w:w="164"/>
      </w:tblGrid>
      <w:tr>
        <w:trPr/>
        <w:tc>
          <w:tcPr>
            <w:tcW w:w="15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Hollywood film releases</w:t>
            </w:r>
            <w:r>
              <w:rPr>
                <w:rFonts w:ascii="Times New Roman;serif" w:hAnsi="Times New Roman;serif"/>
                <w:b w:val="false"/>
                <w:color w:val="000000"/>
                <w:sz w:val="13"/>
              </w:rPr>
              <w:t>(1)</w:t>
            </w:r>
          </w:p>
        </w:tc>
        <w:tc>
          <w:tcPr>
            <w:tcW w:w="8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Local language film releases:</w:t>
            </w:r>
          </w:p>
        </w:tc>
        <w:tc>
          <w:tcPr>
            <w:tcW w:w="8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 China</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Egypt</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local language film releases</w:t>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content experiences</w:t>
            </w:r>
          </w:p>
        </w:tc>
        <w:tc>
          <w:tcPr>
            <w:tcW w:w="8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9"/>
                          <a:stretch>
                            <a:fillRect/>
                          </a:stretch>
                        </pic:blipFill>
                        <pic:spPr bwMode="auto">
                          <a:xfrm>
                            <a:off x="0" y="0"/>
                            <a:ext cx="914400" cy="14605"/>
                          </a:xfrm>
                          <a:prstGeom prst="rect">
                            <a:avLst/>
                          </a:prstGeom>
                        </pic:spPr>
                      </pic:pic>
                    </a:graphicData>
                  </a:graphic>
                </wp:inline>
              </w:drawing>
            </w:r>
            <w:bookmarkStart w:id="8" w:name="i-8"/>
            <w:bookmarkEnd w:id="8"/>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(1)For the three and six months ended June 30, 2026, the films released to the Company’s global network include three and seven with IMAX DNA (2025 — six and seven).</w:t>
            </w:r>
          </w:p>
          <w:p>
            <w:pPr>
              <w:pStyle w:val="TableContents"/>
              <w:bidi w:val="0"/>
              <w:spacing w:before="0" w:after="0"/>
              <w:jc w:val="left"/>
              <w:rPr/>
            </w:pPr>
            <w:r>
              <w:rPr/>
            </w:r>
          </w:p>
        </w:tc>
        <w:tc>
          <w:tcPr>
            <w:tcW w:w="491" w:type="dxa"/>
            <w:gridSpan w:val="4"/>
            <w:tcBorders/>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5926" w:type="dxa"/>
            <w:gridSpan w:val="2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pPr>
      <w:r>
        <w:rPr>
          <w:rFonts w:ascii="Times New Roman;serif" w:hAnsi="Times New Roman;serif"/>
          <w:b w:val="false"/>
          <w:color w:val="000000"/>
          <w:sz w:val="20"/>
        </w:rPr>
        <w:t>In addition to the 63 IMAX new films and other content experiences released on the Company’s global network during the six months ended June 30, 2026, the Company has announced the following 32</w:t>
      </w:r>
      <w:r>
        <w:rPr>
          <w:color w:val="000000"/>
          <w:shd w:fill="FFFFFF" w:val="clear"/>
        </w:rPr>
        <w:t xml:space="preserve"> </w:t>
      </w:r>
      <w:r>
        <w:rPr>
          <w:rFonts w:ascii="Times New Roman;serif" w:hAnsi="Times New Roman;serif"/>
          <w:b w:val="false"/>
          <w:color w:val="000000"/>
          <w:sz w:val="20"/>
          <w:shd w:fill="FFFFFF" w:val="clear"/>
        </w:rPr>
        <w:t>new films and</w:t>
      </w:r>
      <w:r>
        <w:rPr>
          <w:color w:val="000000"/>
        </w:rPr>
        <w:t xml:space="preserve"> </w:t>
      </w:r>
      <w:r>
        <w:rPr>
          <w:rFonts w:ascii="Times New Roman;serif" w:hAnsi="Times New Roman;serif"/>
          <w:b w:val="false"/>
          <w:color w:val="000000"/>
          <w:sz w:val="20"/>
        </w:rPr>
        <w:t>other content experiences for release in the remainder of 2026:</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456"/>
        <w:gridCol w:w="1273"/>
        <w:gridCol w:w="1298"/>
        <w:gridCol w:w="127"/>
        <w:gridCol w:w="127"/>
        <w:gridCol w:w="127"/>
        <w:gridCol w:w="649"/>
        <w:gridCol w:w="630"/>
        <w:gridCol w:w="639"/>
        <w:gridCol w:w="127"/>
        <w:gridCol w:w="127"/>
        <w:gridCol w:w="127"/>
        <w:gridCol w:w="480"/>
        <w:gridCol w:w="478"/>
        <w:gridCol w:w="481"/>
        <w:gridCol w:w="127"/>
        <w:gridCol w:w="127"/>
        <w:gridCol w:w="127"/>
        <w:gridCol w:w="490"/>
        <w:gridCol w:w="487"/>
        <w:gridCol w:w="701"/>
      </w:tblGrid>
      <w:tr>
        <w:trPr/>
        <w:tc>
          <w:tcPr>
            <w:tcW w:w="14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4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Studio</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Scheduled</w:t>
            </w:r>
          </w:p>
          <w:p>
            <w:pPr>
              <w:pStyle w:val="TableContents"/>
              <w:bidi w:val="0"/>
              <w:spacing w:lineRule="auto" w:line="288" w:before="0" w:after="0"/>
              <w:jc w:val="center"/>
              <w:rPr/>
            </w:pPr>
            <w:r>
              <w:rPr>
                <w:rFonts w:ascii="Times New Roman;serif" w:hAnsi="Times New Roman;serif"/>
                <w:b/>
                <w:color w:val="000000"/>
                <w:sz w:val="16"/>
              </w:rPr>
              <w:t>Release Date</w:t>
            </w:r>
            <w:r>
              <w:rPr>
                <w:rFonts w:ascii="Times New Roman;serif" w:hAnsi="Times New Roman;serif"/>
                <w:b/>
                <w:color w:val="000000"/>
                <w:sz w:val="10"/>
              </w:rPr>
              <w:t>(1)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IMAX DNA</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Minions &amp; Monsters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Universal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Keep Real</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Damai Pictures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 Silverstone Race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Kung Fu Soccer</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Maoyan</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Moana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Hope</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Plus M Entertainment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The Odyssey</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Universal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Kingdom 5</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All Wishes Come True!</w:t>
            </w:r>
            <w:r>
              <w:rPr>
                <w:rFonts w:ascii="Times New Roman;serif" w:hAnsi="Times New Roman;serif"/>
                <w:b w:val="false"/>
                <w:i/>
                <w:color w:val="000000"/>
                <w:sz w:val="12"/>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Maoyan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Chiikawa: The Secret of Mermaid Island</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Peng Hu</w:t>
            </w:r>
            <w:r>
              <w:rPr>
                <w:rFonts w:ascii="Times New Roman;serif" w:hAnsi="Times New Roman;serif"/>
                <w:b w:val="false"/>
                <w:i/>
                <w:color w:val="000000"/>
                <w:sz w:val="12"/>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Filmko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The Decisive Moment</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Damai Pictures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Spider-Man: Brand New Day</w:t>
            </w:r>
            <w:r>
              <w:rPr>
                <w:rFonts w:ascii="Times New Roman;serif" w:hAnsi="Times New Roman;serif"/>
                <w:b w:val="false"/>
                <w:i/>
                <w:color w:val="000000"/>
                <w:sz w:val="12"/>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Sony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Blue Lock</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End of Oak Street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The Confession of a Shaman</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 Studio</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Tokyo Mer 3</w:t>
            </w:r>
            <w:r>
              <w:rPr>
                <w:rFonts w:ascii="Times New Roman;serif" w:hAnsi="Times New Roman;serif"/>
                <w:b w:val="false"/>
                <w:i/>
                <w:color w:val="000000"/>
                <w:sz w:val="12"/>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Ghost: 2 Big 2 Rig</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Trafalgar Releasing</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Dog Stars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Toxic</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KVN Productions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 Monza Race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Don’t Look Back in Anger</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Pictures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Resident Evil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Sony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Digger</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October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Street Fighter</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Paramount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F1</w:t>
            </w:r>
            <w:r>
              <w:rPr>
                <w:rFonts w:ascii="Times New Roman;serif" w:hAnsi="Times New Roman;serif"/>
                <w:b w:val="false"/>
                <w:i/>
                <w:color w:val="000000"/>
                <w:sz w:val="12"/>
              </w:rPr>
              <w:t>®</w:t>
            </w:r>
            <w:r>
              <w:rPr>
                <w:color w:val="000000"/>
              </w:rPr>
              <w:t xml:space="preserve"> </w:t>
            </w:r>
            <w:r>
              <w:rPr>
                <w:rFonts w:ascii="Times New Roman;serif" w:hAnsi="Times New Roman;serif"/>
                <w:b w:val="false"/>
                <w:i/>
                <w:color w:val="000000"/>
                <w:sz w:val="18"/>
              </w:rPr>
              <w:t>on Apple TV Live in IMAX: Austin Race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Apple TV</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Ramayana</w:t>
            </w:r>
            <w:r>
              <w:rPr>
                <w:rFonts w:ascii="Times New Roman;serif" w:hAnsi="Times New Roman;serif"/>
                <w:b w:val="false"/>
                <w:i/>
                <w:color w:val="000000"/>
                <w:sz w:val="12"/>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DNEG</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Diwali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Godzilla Minus Zero</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Toho Cinemas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Hunger Games: Sunrise on the Reaping</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Lionsgate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Untitled Fincher Project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Netflix</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Dune: Part Three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Warner Bros. Pictures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Filmed for IMAX</w:t>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8"/>
              </w:rPr>
              <w:t>Avengers: Doomsday</w:t>
            </w:r>
            <w:r>
              <w:rPr>
                <w:rFonts w:ascii="Times New Roman;serif" w:hAnsi="Times New Roman;serif"/>
                <w:b w:val="false"/>
                <w:i/>
                <w:color w:val="000000"/>
                <w:sz w:val="12"/>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Walt Disney Studios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5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9" descr=""/>
                          <pic:cNvPicPr>
                            <a:picLocks noChangeAspect="1" noChangeArrowheads="1"/>
                          </pic:cNvPicPr>
                        </pic:nvPicPr>
                        <pic:blipFill>
                          <a:blip r:embed="rId10"/>
                          <a:stretch>
                            <a:fillRect/>
                          </a:stretch>
                        </pic:blipFill>
                        <pic:spPr bwMode="auto">
                          <a:xfrm>
                            <a:off x="0" y="0"/>
                            <a:ext cx="914400" cy="14605"/>
                          </a:xfrm>
                          <a:prstGeom prst="rect">
                            <a:avLst/>
                          </a:prstGeom>
                        </pic:spPr>
                      </pic:pic>
                    </a:graphicData>
                  </a:graphic>
                </wp:inline>
              </w:drawing>
            </w:r>
            <w:bookmarkStart w:id="9" w:name="i-9"/>
            <w:bookmarkEnd w:id="9"/>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scheduled release dates in the table above are subject to change, may vary by territory, and may not reflect the date(s) of limited premiere events.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(2)Denotes local language release.</w:t>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in 2026. </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Other Content Solutions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distributes large-format documentary feature films through its global commercial network and institutional theaters. Traditionally, the Company receives as its distribution fee either a fixed amount or a fixed percentage of the theater global box office and, following the recoupment of its costs, is typically entitled to receive an additional percentage of gross revenues as participation revenues.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IMAX network is a valuable global platform to launch and distribute original content, including documentaries. The ownership rights to such films may be held by the film sponsors, the film investors and/or the Company. As of June 30, 2026, the Company had distribution rights with respect to approximately 75 films, which cover subjects such as space, wildlife, music, sports, history, and natural wonders.</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4"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early 2026, </w:t>
      </w:r>
      <w:r>
        <w:rPr>
          <w:rFonts w:ascii="Times New Roman;serif" w:hAnsi="Times New Roman;serif"/>
          <w:b w:val="false"/>
          <w:i/>
          <w:color w:val="000000"/>
          <w:sz w:val="20"/>
        </w:rPr>
        <w:t>The Lost Wolves of Yellowstone</w:t>
      </w:r>
      <w:r>
        <w:rPr>
          <w:rFonts w:ascii="Times New Roman;serif" w:hAnsi="Times New Roman;serif"/>
          <w:b w:val="false"/>
          <w:color w:val="000000"/>
          <w:sz w:val="20"/>
        </w:rPr>
        <w:t xml:space="preserve">, in collaboration with Grizzly Creek Films LLC, and French language documentary </w:t>
      </w:r>
      <w:r>
        <w:rPr>
          <w:rFonts w:ascii="Times New Roman;serif" w:hAnsi="Times New Roman;serif"/>
          <w:b w:val="false"/>
          <w:i/>
          <w:color w:val="000000"/>
          <w:sz w:val="20"/>
        </w:rPr>
        <w:t xml:space="preserve">Athos, </w:t>
      </w:r>
      <w:r>
        <w:rPr>
          <w:rFonts w:ascii="Times New Roman;serif" w:hAnsi="Times New Roman;serif"/>
          <w:b w:val="false"/>
          <w:color w:val="000000"/>
          <w:sz w:val="20"/>
        </w:rPr>
        <w:t xml:space="preserve">produced by Federation Studio France, were released. In April 2026, the Company released the restored for IMAX documentary </w:t>
      </w:r>
      <w:r>
        <w:rPr>
          <w:rFonts w:ascii="Times New Roman;serif" w:hAnsi="Times New Roman;serif"/>
          <w:b w:val="false"/>
          <w:i/>
          <w:color w:val="000000"/>
          <w:sz w:val="20"/>
        </w:rPr>
        <w:t>Cave of Forgotten Dreams</w:t>
      </w:r>
      <w:r>
        <w:rPr>
          <w:rFonts w:ascii="Times New Roman;serif" w:hAnsi="Times New Roman;serif"/>
          <w:b w:val="false"/>
          <w:color w:val="000000"/>
          <w:sz w:val="20"/>
        </w:rPr>
        <w:t xml:space="preserve">, in collaboration with Independent Film Company. In 2026, the Company plans to release the documentary </w:t>
      </w:r>
      <w:r>
        <w:rPr>
          <w:rFonts w:ascii="Times New Roman;serif" w:hAnsi="Times New Roman;serif"/>
          <w:b w:val="false"/>
          <w:i/>
          <w:color w:val="000000"/>
          <w:sz w:val="20"/>
        </w:rPr>
        <w:t xml:space="preserve">Portrait of an Artist </w:t>
      </w:r>
      <w:r>
        <w:rPr>
          <w:rFonts w:ascii="Times New Roman;serif" w:hAnsi="Times New Roman;serif"/>
          <w:b w:val="false"/>
          <w:color w:val="000000"/>
          <w:sz w:val="20"/>
        </w:rPr>
        <w:t>in collaboration with The National Basketball Association (“NBA”), Unanimous Media, and Religion of Sports,</w:t>
      </w:r>
      <w:r>
        <w:rPr>
          <w:color w:val="000000"/>
        </w:rPr>
        <w:t xml:space="preserve"> </w:t>
      </w:r>
      <w:r>
        <w:rPr>
          <w:rFonts w:ascii="Times New Roman;serif" w:hAnsi="Times New Roman;serif"/>
          <w:b w:val="false"/>
          <w:color w:val="000000"/>
          <w:sz w:val="20"/>
        </w:rPr>
        <w:t>offering an intimate glimpse into the life of NBA superstar Stephen Curry</w:t>
      </w:r>
      <w:r>
        <w:rPr>
          <w:rFonts w:ascii="Times New Roman;serif" w:hAnsi="Times New Roman;serif"/>
          <w:b w:val="false"/>
          <w:i/>
          <w:color w:val="000000"/>
          <w:sz w:val="20"/>
        </w:rPr>
        <w:t xml:space="preserve">. </w:t>
      </w:r>
      <w:r>
        <w:rPr>
          <w:rFonts w:ascii="Times New Roman;serif" w:hAnsi="Times New Roman;serif"/>
          <w:b w:val="false"/>
          <w:color w:val="000000"/>
          <w:sz w:val="20"/>
        </w:rPr>
        <w:t>Upcoming 2026 documentaries which are currently in production include</w:t>
      </w:r>
      <w:r>
        <w:rPr>
          <w:color w:val="000000"/>
        </w:rPr>
        <w:t xml:space="preserve"> </w:t>
      </w:r>
      <w:r>
        <w:rPr>
          <w:rFonts w:ascii="Times New Roman;serif" w:hAnsi="Times New Roman;serif"/>
          <w:b w:val="false"/>
          <w:i/>
          <w:color w:val="000000"/>
          <w:sz w:val="20"/>
        </w:rPr>
        <w:t xml:space="preserve">Stormbound, </w:t>
      </w:r>
      <w:r>
        <w:rPr>
          <w:rFonts w:ascii="Times New Roman;serif" w:hAnsi="Times New Roman;serif"/>
          <w:b w:val="false"/>
          <w:color w:val="000000"/>
          <w:sz w:val="20"/>
        </w:rPr>
        <w:t xml:space="preserve">produced by Academy Award-winning producer, Adam McKay; and </w:t>
      </w:r>
      <w:r>
        <w:rPr>
          <w:rFonts w:ascii="Times New Roman;serif" w:hAnsi="Times New Roman;serif"/>
          <w:b w:val="false"/>
          <w:i/>
          <w:color w:val="000000"/>
          <w:sz w:val="20"/>
        </w:rPr>
        <w:t xml:space="preserve">Frontier, </w:t>
      </w:r>
      <w:r>
        <w:rPr>
          <w:rFonts w:ascii="Times New Roman;serif" w:hAnsi="Times New Roman;serif"/>
          <w:b w:val="false"/>
          <w:color w:val="000000"/>
          <w:sz w:val="20"/>
        </w:rPr>
        <w:t xml:space="preserve">produced in collaboration with Nocturnal Entertainment Productions, LLC, Atlas Entertainment LLC, and Believe Entertainment Group, LLC. </w:t>
      </w:r>
      <w:r>
        <w:rPr>
          <w:rFonts w:ascii="Times New Roman;serif" w:hAnsi="Times New Roman;serif"/>
          <w:b w:val="false"/>
          <w:i/>
          <w:color w:val="000000"/>
          <w:sz w:val="20"/>
        </w:rPr>
        <w:t>The Elephant Odyssey</w:t>
      </w:r>
      <w:r>
        <w:rPr>
          <w:rFonts w:ascii="Times New Roman;serif" w:hAnsi="Times New Roman;serif"/>
          <w:b w:val="false"/>
          <w:color w:val="000000"/>
          <w:sz w:val="20"/>
        </w:rPr>
        <w:t>, a documentary in collaboration with Beach House Pictures Pte Ltd and China International Communications Group, is expected to be released in 2027.</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the Company continues to evolve its platform to bring new, innovative IMAX events and experiences to audiences worldwide. As of June 30, 2026, the Company has 252 connected IMAX locations worldwide. Furthermore, the Company can use its live streaming technologies to deliver events to additional IMAX locations around the world.</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six months ended June 30, 2026, the Company partnered with various studios and distributors on a number of alternative content releases and exclusive events. These included the releases of </w:t>
      </w:r>
      <w:r>
        <w:rPr>
          <w:rFonts w:ascii="Times New Roman;serif" w:hAnsi="Times New Roman;serif"/>
          <w:b w:val="false"/>
          <w:i/>
          <w:color w:val="000000"/>
          <w:sz w:val="20"/>
        </w:rPr>
        <w:t xml:space="preserve">EPiC: Elvis Presley in Concert </w:t>
      </w:r>
      <w:r>
        <w:rPr>
          <w:rFonts w:ascii="Times New Roman;serif" w:hAnsi="Times New Roman;serif"/>
          <w:b w:val="false"/>
          <w:color w:val="000000"/>
          <w:sz w:val="20"/>
        </w:rPr>
        <w:t xml:space="preserve">(Neon Rated and Universal Pictures), </w:t>
      </w:r>
      <w:r>
        <w:rPr>
          <w:rFonts w:ascii="Times New Roman;serif" w:hAnsi="Times New Roman;serif"/>
          <w:b w:val="false"/>
          <w:i/>
          <w:color w:val="000000"/>
          <w:sz w:val="20"/>
        </w:rPr>
        <w:t xml:space="preserve">Stray Kids: The dominATE Experience </w:t>
      </w:r>
      <w:r>
        <w:rPr>
          <w:rFonts w:ascii="Times New Roman;serif" w:hAnsi="Times New Roman;serif"/>
          <w:b w:val="false"/>
          <w:color w:val="000000"/>
          <w:sz w:val="20"/>
        </w:rPr>
        <w:t xml:space="preserve">(Bleecker Street and Universal Pictures), </w:t>
      </w:r>
      <w:r>
        <w:rPr>
          <w:rFonts w:ascii="Times New Roman;serif" w:hAnsi="Times New Roman;serif"/>
          <w:b w:val="false"/>
          <w:i/>
          <w:color w:val="000000"/>
          <w:sz w:val="20"/>
        </w:rPr>
        <w:t xml:space="preserve">Twenty One Pilots: More Than We Ever Imagined </w:t>
      </w:r>
      <w:r>
        <w:rPr>
          <w:rFonts w:ascii="Times New Roman;serif" w:hAnsi="Times New Roman;serif"/>
          <w:b w:val="false"/>
          <w:color w:val="000000"/>
          <w:sz w:val="20"/>
        </w:rPr>
        <w:t xml:space="preserve">(Trafalgar Releasing), </w:t>
      </w:r>
      <w:r>
        <w:rPr>
          <w:rFonts w:ascii="Times New Roman;serif" w:hAnsi="Times New Roman;serif"/>
          <w:b w:val="false"/>
          <w:i/>
          <w:color w:val="000000"/>
          <w:sz w:val="20"/>
        </w:rPr>
        <w:t xml:space="preserve">Eric Church: Evangeline vs. The Machine Comes Alive </w:t>
      </w:r>
      <w:r>
        <w:rPr>
          <w:rFonts w:ascii="Times New Roman;serif" w:hAnsi="Times New Roman;serif"/>
          <w:b w:val="false"/>
          <w:color w:val="000000"/>
          <w:sz w:val="20"/>
        </w:rPr>
        <w:t xml:space="preserve">(Mercury Studios), </w:t>
      </w:r>
      <w:r>
        <w:rPr>
          <w:rFonts w:ascii="Times New Roman;serif" w:hAnsi="Times New Roman;serif"/>
          <w:b w:val="false"/>
          <w:i/>
          <w:color w:val="000000"/>
          <w:sz w:val="20"/>
        </w:rPr>
        <w:t xml:space="preserve">TOMMY in IMAX (50th Anniversary) </w:t>
      </w:r>
      <w:r>
        <w:rPr>
          <w:rFonts w:ascii="Times New Roman;serif" w:hAnsi="Times New Roman;serif"/>
          <w:b w:val="false"/>
          <w:color w:val="000000"/>
          <w:sz w:val="20"/>
        </w:rPr>
        <w:t xml:space="preserve">(Sony Pictures), and limited releases of </w:t>
      </w:r>
      <w:r>
        <w:rPr>
          <w:rFonts w:ascii="Times New Roman;serif" w:hAnsi="Times New Roman;serif"/>
          <w:b w:val="false"/>
          <w:i/>
          <w:color w:val="000000"/>
          <w:sz w:val="20"/>
        </w:rPr>
        <w:t xml:space="preserve">Marty Supreme </w:t>
      </w:r>
      <w:r>
        <w:rPr>
          <w:rFonts w:ascii="Times New Roman;serif" w:hAnsi="Times New Roman;serif"/>
          <w:b w:val="false"/>
          <w:color w:val="000000"/>
          <w:sz w:val="20"/>
        </w:rPr>
        <w:t>(A24) and</w:t>
      </w:r>
      <w:r>
        <w:rPr>
          <w:color w:val="000000"/>
        </w:rPr>
        <w:t xml:space="preserve"> </w:t>
      </w:r>
      <w:r>
        <w:rPr>
          <w:rFonts w:ascii="Times New Roman;serif" w:hAnsi="Times New Roman;serif"/>
          <w:b w:val="false"/>
          <w:i/>
          <w:color w:val="000000"/>
          <w:sz w:val="20"/>
        </w:rPr>
        <w:t xml:space="preserve">Memento </w:t>
      </w:r>
      <w:r>
        <w:rPr>
          <w:rFonts w:ascii="Times New Roman;serif" w:hAnsi="Times New Roman;serif"/>
          <w:b w:val="false"/>
          <w:color w:val="000000"/>
          <w:sz w:val="20"/>
        </w:rPr>
        <w:t xml:space="preserve">(China Film Group). The Company partnered with MGM Studios in March 2026 and Universal Pictures in June 2026 to present exclusive Q&amp;A livestreams in advance of screenings of </w:t>
      </w:r>
      <w:r>
        <w:rPr>
          <w:rFonts w:ascii="Times New Roman;serif" w:hAnsi="Times New Roman;serif"/>
          <w:b w:val="false"/>
          <w:i/>
          <w:color w:val="000000"/>
          <w:sz w:val="20"/>
        </w:rPr>
        <w:t>Project Hail Mary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Disclosure Day</w:t>
      </w:r>
      <w:r>
        <w:rPr>
          <w:rFonts w:ascii="Times New Roman;serif" w:hAnsi="Times New Roman;serif"/>
          <w:b w:val="false"/>
          <w:color w:val="000000"/>
          <w:sz w:val="20"/>
        </w:rPr>
        <w:t xml:space="preserve">, respectively, across select connected IMAX locations in North America. The Company partnered with Apple TV to livestream select races from the 2026 FIA Formula One World Championship across North America, including the </w:t>
      </w:r>
      <w:r>
        <w:rPr>
          <w:rFonts w:ascii="Times New Roman;serif" w:hAnsi="Times New Roman;serif"/>
          <w:b w:val="false"/>
          <w:i/>
          <w:color w:val="000000"/>
          <w:sz w:val="20"/>
        </w:rPr>
        <w:t>Miami Grand Prix</w:t>
      </w:r>
      <w:r>
        <w:rPr>
          <w:color w:val="000000"/>
        </w:rPr>
        <w:t xml:space="preserve"> </w:t>
      </w:r>
      <w:r>
        <w:rPr>
          <w:rFonts w:ascii="Times New Roman;serif" w:hAnsi="Times New Roman;serif"/>
          <w:b w:val="false"/>
          <w:color w:val="000000"/>
          <w:sz w:val="20"/>
        </w:rPr>
        <w:t xml:space="preserve">in May 2026 and the </w:t>
      </w:r>
      <w:r>
        <w:rPr>
          <w:rFonts w:ascii="Times New Roman;serif" w:hAnsi="Times New Roman;serif"/>
          <w:b w:val="false"/>
          <w:i/>
          <w:color w:val="000000"/>
          <w:sz w:val="20"/>
        </w:rPr>
        <w:t>Monaco Grand Prix</w:t>
      </w:r>
      <w:r>
        <w:rPr>
          <w:color w:val="000000"/>
        </w:rPr>
        <w:t xml:space="preserve"> </w:t>
      </w:r>
      <w:r>
        <w:rPr>
          <w:rFonts w:ascii="Times New Roman;serif" w:hAnsi="Times New Roman;serif"/>
          <w:b w:val="false"/>
          <w:color w:val="000000"/>
          <w:sz w:val="20"/>
        </w:rPr>
        <w:t>in June 2026.</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Technology Products and Services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primary drivers of Technology Products and Services segment results are the number of IMAX Systems installed in a period, the costs associated with each installation, and lease payments tied to the global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Sales and Sales-Type Lease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global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5"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Joint Revenue Sharing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also provides IMAX Systems to exhibitors through joint revenue sharing arrangements (“JRSA(s)”). Under the traditional form of these arrangements, the Company provides the IMAX System under a long-term lease in which the Company assumes the majority of the equipment and installation costs. In exchange for its upfront investment, the Company, generally,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material obligations.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revenue earned from customers under the Company’s JRSAs can vary from quarter-to-quarter and year-to-year based on a number of factors that drive global box office levels including film performance, the mix of IMAX System configurations, the timing of installation of IMAX Systems, the nature of the arrangement, the location, size and management of the theater and other factors specific to individual arrangements.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JRSAs also require IMAX to provide maintenance and extended warranty services to the customer over the term of the lease in exchange for a separate fixed annual fee. These fees are reported within IMAX Maintenance, as discussed below.</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June 30, 2026, the Company had 881 locations under JRSAs in its global commercial multiplex network. The Company also had contracts in backlog for 187 IMAX systems under JRSAs as of June 30, 2026, including 88 new locations and 99 upgrades to existing locations.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Maintenance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IMAX quality standards. Annual maintenance fees are paid throughout the duration of the term of the system agreements.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All Other</w:t>
      </w:r>
    </w:p>
    <w:p>
      <w:pPr>
        <w:pStyle w:val="TextBody"/>
        <w:bidi w:val="0"/>
        <w:spacing w:before="0" w:after="0"/>
        <w:ind w:left="0" w:right="0" w:hanging="360"/>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Streaming and Consumer Technology</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IMAX’s Streaming and Consumer Technology (“SCT”) business offers a single unified program:</w:t>
      </w:r>
      <w:r>
        <w:rPr>
          <w:color w:val="000000"/>
        </w:rPr>
        <w:t xml:space="preserve"> </w:t>
      </w:r>
      <w:r>
        <w:rPr>
          <w:rFonts w:ascii="Times New Roman;serif" w:hAnsi="Times New Roman;serif"/>
          <w:b w:val="false"/>
          <w:color w:val="000000"/>
          <w:sz w:val="20"/>
        </w:rPr>
        <w:t>IMAX</w:t>
      </w:r>
      <w:r>
        <w:rPr>
          <w:color w:val="000000"/>
        </w:rPr>
        <w:t xml:space="preserve"> </w:t>
      </w:r>
      <w:r>
        <w:rPr>
          <w:rFonts w:ascii="Times New Roman;serif" w:hAnsi="Times New Roman;serif"/>
          <w:b w:val="false"/>
          <w:color w:val="000000"/>
          <w:sz w:val="20"/>
        </w:rPr>
        <w:t>Enhanced</w:t>
      </w:r>
      <w:r>
        <w:rPr>
          <w:rFonts w:ascii="Times New Roman;serif" w:hAnsi="Times New Roman;serif"/>
          <w:b w:val="false"/>
          <w:color w:val="000000"/>
          <w:sz w:val="13"/>
        </w:rPr>
        <w:t>®</w:t>
      </w:r>
      <w:r>
        <w:rPr>
          <w:rFonts w:ascii="Times New Roman;serif" w:hAnsi="Times New Roman;serif"/>
          <w:b w:val="false"/>
          <w:color w:val="000000"/>
          <w:sz w:val="20"/>
        </w:rPr>
        <w:t xml:space="preserve">. This umbrella program builds on IMAX’s brand and proprietary VisionScience™ technology to deliver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color w:val="000000"/>
        </w:rPr>
        <w:t xml:space="preserve"> </w:t>
      </w:r>
      <w:r>
        <w:rPr>
          <w:rFonts w:ascii="Times New Roman;serif" w:hAnsi="Times New Roman;serif"/>
          <w:b w:val="false"/>
          <w:color w:val="000000"/>
          <w:sz w:val="20"/>
        </w:rPr>
        <w:t>to users across streaming platforms and consumer devices. The new IMAX Enhanced program for partners includes three core elements:</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6"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1.IMAX Enhanced Live: Real-time enhancement for sports, concerts, and events using SCT’s proprietary technology to measure, enhance, optimize, and validate premium color, contrast, and clarity at the speed of live.</w:t>
      </w:r>
    </w:p>
    <w:p>
      <w:pPr>
        <w:pStyle w:val="TextBody"/>
        <w:bidi w:val="0"/>
        <w:spacing w:before="0" w:after="0"/>
        <w:ind w:left="0" w:right="0" w:firstLine="216"/>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pStyle w:val="TextBody"/>
        <w:bidi w:val="0"/>
        <w:spacing w:before="0" w:after="0"/>
        <w:ind w:left="0" w:right="0" w:firstLine="216"/>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including but not limited to TVs, soundbars, automotive, and other device segments. As of June 30, 2026, IMAX Enhanced certified devices in-market are with partners including Goer Dynamics, Sony Electronics, Hisense, TCL, LG, and Philips.</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SCT products previously branded as StreamSmart™ (encoding optimization) and StreamAware™ (quality assurance and monitoring) have been integrated into the IMAX Enhanced program, streamlining operations and enabling partners to deliver premium viewing experiences validated through IMAX’s proprietary quality standards.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IMAX’s SCT represents an extension of the IMAX brand and technology beyond traditional theatrical programming into live streaming for connected theaters and live and on-demand streaming home entertainment experiences. Leveraging IMAX’s globally recognized brand and proprietary technology, IMAX Enhanced is designed to drive consumer engagement and create incremental return on investment for content owners and rights holders.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Other also includes revenues from sources including one owned and operated IMAX System in Sacramento, California; a commercial arrangement with one theater resulting in the sharing of profits and losses; the provision of management services to three other theaters; and merchandising revenue including IMAX branded merchandise and cooperative merchandising with studios.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IMAX NETWORK AND BACKLOG </w:t>
      </w:r>
    </w:p>
    <w:p>
      <w:pPr>
        <w:pStyle w:val="TextBody"/>
        <w:bidi w:val="0"/>
        <w:spacing w:before="0" w:after="0"/>
        <w:ind w:left="0" w:right="0" w:hanging="360"/>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IMAX Network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detailed information about the IMAX network by type and geographic location as of June 30, 2026 and 2025. For additional information regarding the composition of the IMAX network, see “Marketing and Customers” in Part I, Item 1 of the Company’s 2025 Form 10-K.</w:t>
      </w:r>
    </w:p>
    <w:p>
      <w:pPr>
        <w:pStyle w:val="TextBody"/>
        <w:bidi w:val="0"/>
        <w:spacing w:before="0" w:after="0"/>
        <w:jc w:val="both"/>
        <w:rPr/>
      </w:pPr>
      <w:r>
        <w:rPr/>
      </w:r>
    </w:p>
    <w:tbl>
      <w:tblPr>
        <w:tblW w:w="10428" w:type="dxa"/>
        <w:jc w:val="left"/>
        <w:tblInd w:w="0" w:type="dxa"/>
        <w:tblLayout w:type="fixed"/>
        <w:tblCellMar>
          <w:top w:w="28" w:type="dxa"/>
          <w:left w:w="28" w:type="dxa"/>
          <w:bottom w:w="28" w:type="dxa"/>
          <w:right w:w="28" w:type="dxa"/>
        </w:tblCellMar>
      </w:tblPr>
      <w:tblGrid>
        <w:gridCol w:w="511"/>
        <w:gridCol w:w="279"/>
        <w:gridCol w:w="216"/>
        <w:gridCol w:w="330"/>
        <w:gridCol w:w="330"/>
        <w:gridCol w:w="331"/>
        <w:gridCol w:w="109"/>
        <w:gridCol w:w="109"/>
        <w:gridCol w:w="109"/>
        <w:gridCol w:w="330"/>
        <w:gridCol w:w="330"/>
        <w:gridCol w:w="331"/>
        <w:gridCol w:w="109"/>
        <w:gridCol w:w="109"/>
        <w:gridCol w:w="109"/>
        <w:gridCol w:w="330"/>
        <w:gridCol w:w="330"/>
        <w:gridCol w:w="331"/>
        <w:gridCol w:w="109"/>
        <w:gridCol w:w="109"/>
        <w:gridCol w:w="109"/>
        <w:gridCol w:w="189"/>
        <w:gridCol w:w="189"/>
        <w:gridCol w:w="193"/>
        <w:gridCol w:w="109"/>
        <w:gridCol w:w="109"/>
        <w:gridCol w:w="109"/>
        <w:gridCol w:w="330"/>
        <w:gridCol w:w="330"/>
        <w:gridCol w:w="331"/>
        <w:gridCol w:w="109"/>
        <w:gridCol w:w="109"/>
        <w:gridCol w:w="109"/>
        <w:gridCol w:w="330"/>
        <w:gridCol w:w="330"/>
        <w:gridCol w:w="331"/>
        <w:gridCol w:w="109"/>
        <w:gridCol w:w="109"/>
        <w:gridCol w:w="109"/>
        <w:gridCol w:w="330"/>
        <w:gridCol w:w="330"/>
        <w:gridCol w:w="331"/>
        <w:gridCol w:w="109"/>
        <w:gridCol w:w="109"/>
        <w:gridCol w:w="109"/>
        <w:gridCol w:w="179"/>
        <w:gridCol w:w="179"/>
        <w:gridCol w:w="258"/>
      </w:tblGrid>
      <w:tr>
        <w:trPr/>
        <w:tc>
          <w:tcPr>
            <w:tcW w:w="5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Commercial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Multiplex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Commercial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Destination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Institutional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Commercial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Multiplex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Commercial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Destination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Institutional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Greater China</w:t>
            </w:r>
            <w:r>
              <w:rPr>
                <w:rFonts w:ascii="Times New Roman;serif" w:hAnsi="Times New Roman;serif"/>
                <w:b w:val="false"/>
                <w:color w:val="000000"/>
                <w:sz w:val="13"/>
              </w:rPr>
              <w:t>(1)</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Asia (excluding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Latin America</w:t>
            </w:r>
            <w:r>
              <w:rPr>
                <w:rFonts w:ascii="Times New Roman;serif" w:hAnsi="Times New Roman;serif"/>
                <w:b w:val="false"/>
                <w:color w:val="000000"/>
                <w:sz w:val="13"/>
              </w:rPr>
              <w:t>(2)</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(3)</w:t>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r>
      <w:tr>
        <w:trPr/>
        <w:tc>
          <w:tcPr>
            <w:tcW w:w="10428" w:type="dxa"/>
            <w:gridSpan w:val="48"/>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11"/>
                          <a:stretch>
                            <a:fillRect/>
                          </a:stretch>
                        </pic:blipFill>
                        <pic:spPr bwMode="auto">
                          <a:xfrm>
                            <a:off x="0" y="0"/>
                            <a:ext cx="914400" cy="14605"/>
                          </a:xfrm>
                          <a:prstGeom prst="rect">
                            <a:avLst/>
                          </a:prstGeom>
                        </pic:spPr>
                      </pic:pic>
                    </a:graphicData>
                  </a:graphic>
                </wp:inline>
              </w:drawing>
            </w:r>
            <w:bookmarkStart w:id="10" w:name="i-10"/>
            <w:bookmarkEnd w:id="10"/>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(1)Greater China includes China, Hong Kong, Taiwan, and Macau.</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(2)Latin America includes South America, Central America, and Mexico.</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(3)Period-to-period changes in the table above are reported net of the effect of permanently closed locations.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(See “Risk Factors – The Company faces risks in connection with its significant presence in China and the continued expansion of its business there,” “Risk Factors – The Company may not convert all of its backlog into revenue and cash flows,” and “Risk Factors – General political, social and economic conditions can affect the Company’s business by reducing both revenues generated from existing IMAX Systems and the demand for new IMAX Systems” in Part I, Item 1A of the Company’s 2025 Form 10-K.)</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IMAX currently estimates a worldwide commercial multiplex addressable market of 4,466 locations, of which there are 1,809 IMAX Systems operating as of June 30, 2026, representing a market penetration of only 41%. The Company believes that the majority of its future growth will come from international markets. As of June 30, 2026, 76% of IMAX Systems in the global commercial multiplex network were located within international markets (defined as all countries other than the United States and Canada). Revenues and gross box office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II, Item 1A of this Form 10-Q.</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detailed information about IMAX Systems operating in multiplex locations by arrangement type and geographic location as of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25"/>
        <w:gridCol w:w="1187"/>
        <w:gridCol w:w="1196"/>
        <w:gridCol w:w="402"/>
        <w:gridCol w:w="402"/>
        <w:gridCol w:w="403"/>
        <w:gridCol w:w="212"/>
        <w:gridCol w:w="212"/>
        <w:gridCol w:w="212"/>
        <w:gridCol w:w="272"/>
        <w:gridCol w:w="272"/>
        <w:gridCol w:w="273"/>
        <w:gridCol w:w="212"/>
        <w:gridCol w:w="212"/>
        <w:gridCol w:w="212"/>
        <w:gridCol w:w="535"/>
        <w:gridCol w:w="535"/>
        <w:gridCol w:w="538"/>
        <w:gridCol w:w="212"/>
        <w:gridCol w:w="212"/>
        <w:gridCol w:w="212"/>
        <w:gridCol w:w="264"/>
        <w:gridCol w:w="264"/>
        <w:gridCol w:w="329"/>
      </w:tblGrid>
      <w:tr>
        <w:trPr/>
        <w:tc>
          <w:tcPr>
            <w:tcW w:w="142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 Multiplex Locations in IMAX Network</w:t>
            </w:r>
          </w:p>
        </w:tc>
      </w:tr>
      <w:tr>
        <w:trPr/>
        <w:tc>
          <w:tcPr>
            <w:tcW w:w="3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12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12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(2)(3)</w:t>
            </w:r>
          </w:p>
        </w:tc>
        <w:tc>
          <w:tcPr>
            <w:tcW w:w="120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 descr=""/>
                          <pic:cNvPicPr>
                            <a:picLocks noChangeAspect="1" noChangeArrowheads="1"/>
                          </pic:cNvPicPr>
                        </pic:nvPicPr>
                        <pic:blipFill>
                          <a:blip r:embed="rId12"/>
                          <a:stretch>
                            <a:fillRect/>
                          </a:stretch>
                        </pic:blipFill>
                        <pic:spPr bwMode="auto">
                          <a:xfrm>
                            <a:off x="0" y="0"/>
                            <a:ext cx="914400" cy="14605"/>
                          </a:xfrm>
                          <a:prstGeom prst="rect">
                            <a:avLst/>
                          </a:prstGeom>
                        </pic:spPr>
                      </pic:pic>
                    </a:graphicData>
                  </a:graphic>
                </wp:inline>
              </w:drawing>
            </w:r>
            <w:bookmarkStart w:id="11" w:name="i-11"/>
            <w:bookmarkEnd w:id="11"/>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(2)Period-to-period changes in the tables above are reported net of permanently closed systems.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(3)Includes zero and 31 IMAX Systems that were converted from Hybrid JRSA arrangement types to Sales Arrangements during the three and six months ended June 30, 2026.</w:t>
            </w:r>
          </w:p>
        </w:tc>
      </w:tr>
    </w:tbl>
    <w:p>
      <w:pPr>
        <w:pStyle w:val="TextBody"/>
        <w:bidi w:val="0"/>
        <w:spacing w:before="0" w:after="0"/>
        <w:jc w:val="both"/>
        <w:rPr/>
      </w:pPr>
      <w:r>
        <w:rPr/>
      </w:r>
    </w:p>
    <w:tbl>
      <w:tblPr>
        <w:tblW w:w="8568" w:type="dxa"/>
        <w:jc w:val="left"/>
        <w:tblInd w:w="0" w:type="dxa"/>
        <w:tblLayout w:type="fixed"/>
        <w:tblCellMar>
          <w:top w:w="28" w:type="dxa"/>
          <w:left w:w="28" w:type="dxa"/>
          <w:bottom w:w="28" w:type="dxa"/>
          <w:right w:w="28" w:type="dxa"/>
        </w:tblCellMar>
      </w:tblPr>
      <w:tblGrid>
        <w:gridCol w:w="1254"/>
        <w:gridCol w:w="1101"/>
        <w:gridCol w:w="1109"/>
        <w:gridCol w:w="310"/>
        <w:gridCol w:w="310"/>
        <w:gridCol w:w="311"/>
        <w:gridCol w:w="180"/>
        <w:gridCol w:w="180"/>
        <w:gridCol w:w="180"/>
        <w:gridCol w:w="210"/>
        <w:gridCol w:w="210"/>
        <w:gridCol w:w="211"/>
        <w:gridCol w:w="180"/>
        <w:gridCol w:w="180"/>
        <w:gridCol w:w="180"/>
        <w:gridCol w:w="419"/>
        <w:gridCol w:w="419"/>
        <w:gridCol w:w="421"/>
        <w:gridCol w:w="180"/>
        <w:gridCol w:w="180"/>
        <w:gridCol w:w="180"/>
        <w:gridCol w:w="204"/>
        <w:gridCol w:w="204"/>
        <w:gridCol w:w="255"/>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 Multiplex Locations in IMAX Network</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5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9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r>
      <w:tr>
        <w:trPr/>
        <w:tc>
          <w:tcPr>
            <w:tcW w:w="8568"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2" descr=""/>
                          <pic:cNvPicPr>
                            <a:picLocks noChangeAspect="1" noChangeArrowheads="1"/>
                          </pic:cNvPicPr>
                        </pic:nvPicPr>
                        <pic:blipFill>
                          <a:blip r:embed="rId13"/>
                          <a:stretch>
                            <a:fillRect/>
                          </a:stretch>
                        </pic:blipFill>
                        <pic:spPr bwMode="auto">
                          <a:xfrm>
                            <a:off x="0" y="0"/>
                            <a:ext cx="914400" cy="14605"/>
                          </a:xfrm>
                          <a:prstGeom prst="rect">
                            <a:avLst/>
                          </a:prstGeom>
                        </pic:spPr>
                      </pic:pic>
                    </a:graphicData>
                  </a:graphic>
                </wp:inline>
              </w:drawing>
            </w:r>
            <w:bookmarkStart w:id="12" w:name="i-12"/>
            <w:bookmarkEnd w:id="12"/>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(2)Period-to-period changes in the tables above are reported net of permanently closed systems.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detailed information about the Company’s backlog by arrangement type and geographic location as of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61"/>
        <w:gridCol w:w="1156"/>
        <w:gridCol w:w="1164"/>
        <w:gridCol w:w="462"/>
        <w:gridCol w:w="462"/>
        <w:gridCol w:w="463"/>
        <w:gridCol w:w="162"/>
        <w:gridCol w:w="162"/>
        <w:gridCol w:w="162"/>
        <w:gridCol w:w="313"/>
        <w:gridCol w:w="313"/>
        <w:gridCol w:w="314"/>
        <w:gridCol w:w="162"/>
        <w:gridCol w:w="162"/>
        <w:gridCol w:w="162"/>
        <w:gridCol w:w="607"/>
        <w:gridCol w:w="607"/>
        <w:gridCol w:w="609"/>
        <w:gridCol w:w="162"/>
        <w:gridCol w:w="162"/>
        <w:gridCol w:w="162"/>
        <w:gridCol w:w="235"/>
        <w:gridCol w:w="235"/>
        <w:gridCol w:w="346"/>
      </w:tblGrid>
      <w:tr>
        <w:trPr/>
        <w:tc>
          <w:tcPr>
            <w:tcW w:w="14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IMAX System Backlog</w:t>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13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8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Greater China</w:t>
            </w:r>
            <w:r>
              <w:rPr>
                <w:rFonts w:ascii="Times New Roman;serif" w:hAnsi="Times New Roman;serif"/>
                <w:b w:val="false"/>
                <w:color w:val="000000"/>
                <w:sz w:val="13"/>
              </w:rPr>
              <w:t>(4)</w:t>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13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r>
      <w:tr>
        <w:trPr/>
        <w:tc>
          <w:tcPr>
            <w:tcW w:w="3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(2)(3)</w:t>
            </w:r>
          </w:p>
        </w:tc>
        <w:tc>
          <w:tcPr>
            <w:tcW w:w="138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3" descr=""/>
                          <pic:cNvPicPr>
                            <a:picLocks noChangeAspect="1" noChangeArrowheads="1"/>
                          </pic:cNvPicPr>
                        </pic:nvPicPr>
                        <pic:blipFill>
                          <a:blip r:embed="rId14"/>
                          <a:stretch>
                            <a:fillRect/>
                          </a:stretch>
                        </pic:blipFill>
                        <pic:spPr bwMode="auto">
                          <a:xfrm>
                            <a:off x="0" y="0"/>
                            <a:ext cx="914400" cy="14605"/>
                          </a:xfrm>
                          <a:prstGeom prst="rect">
                            <a:avLst/>
                          </a:prstGeom>
                        </pic:spPr>
                      </pic:pic>
                    </a:graphicData>
                  </a:graphic>
                </wp:inline>
              </w:drawing>
            </w:r>
            <w:bookmarkStart w:id="13" w:name="i-13"/>
            <w:bookmarkEnd w:id="13"/>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(2)Worldwide Total of 421 includes 202 new IMAX Laser Systems and 158 upgrades of existing locations to IMAX Laser Systems.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(3)Worldwide Total of 421 includes 263 new systems and 158 upgrades.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(4)Greater China backlog changes include first half installations along with restructuring of certain contracts resulting in cancellation of backlog for 17 system locations deemed mutually to no longer be beneficial to IMAX and its exhibition customers.</w:t>
            </w:r>
          </w:p>
          <w:p>
            <w:pPr>
              <w:pStyle w:val="TableContents"/>
              <w:bidi w:val="0"/>
              <w:spacing w:before="0" w:after="0"/>
              <w:jc w:val="left"/>
              <w:rPr/>
            </w:pPr>
            <w:r>
              <w:rPr/>
            </w:r>
          </w:p>
        </w:tc>
      </w:tr>
    </w:tbl>
    <w:p>
      <w:pPr>
        <w:pStyle w:val="TextBody"/>
        <w:bidi w:val="0"/>
        <w:spacing w:before="0" w:after="0"/>
        <w:jc w:val="both"/>
        <w:rPr/>
      </w:pPr>
      <w:r>
        <w:rPr/>
      </w:r>
    </w:p>
    <w:tbl>
      <w:tblPr>
        <w:tblW w:w="9097" w:type="dxa"/>
        <w:jc w:val="left"/>
        <w:tblInd w:w="0" w:type="dxa"/>
        <w:tblLayout w:type="fixed"/>
        <w:tblCellMar>
          <w:top w:w="28" w:type="dxa"/>
          <w:left w:w="28" w:type="dxa"/>
          <w:bottom w:w="28" w:type="dxa"/>
          <w:right w:w="28" w:type="dxa"/>
        </w:tblCellMar>
      </w:tblPr>
      <w:tblGrid>
        <w:gridCol w:w="1462"/>
        <w:gridCol w:w="1284"/>
        <w:gridCol w:w="1293"/>
        <w:gridCol w:w="361"/>
        <w:gridCol w:w="361"/>
        <w:gridCol w:w="362"/>
        <w:gridCol w:w="127"/>
        <w:gridCol w:w="127"/>
        <w:gridCol w:w="127"/>
        <w:gridCol w:w="244"/>
        <w:gridCol w:w="244"/>
        <w:gridCol w:w="246"/>
        <w:gridCol w:w="127"/>
        <w:gridCol w:w="127"/>
        <w:gridCol w:w="127"/>
        <w:gridCol w:w="488"/>
        <w:gridCol w:w="488"/>
        <w:gridCol w:w="491"/>
        <w:gridCol w:w="127"/>
        <w:gridCol w:w="127"/>
        <w:gridCol w:w="127"/>
        <w:gridCol w:w="184"/>
        <w:gridCol w:w="184"/>
        <w:gridCol w:w="262"/>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IMAX System Backlog</w:t>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Hybrid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JRSA</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Sales </w:t>
            </w:r>
          </w:p>
          <w:p>
            <w:pPr>
              <w:pStyle w:val="TableContents"/>
              <w:bidi w:val="0"/>
              <w:spacing w:lineRule="auto" w:line="288" w:before="0" w:after="0"/>
              <w:jc w:val="center"/>
              <w:rPr/>
            </w:pPr>
            <w:r>
              <w:rPr>
                <w:rFonts w:ascii="Times New Roman;serif" w:hAnsi="Times New Roman;serif"/>
                <w:b/>
                <w:color w:val="000000"/>
                <w:sz w:val="16"/>
              </w:rPr>
              <w:t>Arrangements</w:t>
            </w:r>
            <w:r>
              <w:rPr>
                <w:rFonts w:ascii="Times New Roman;serif" w:hAnsi="Times New Roman;serif"/>
                <w:b/>
                <w:color w:val="000000"/>
                <w:sz w:val="10"/>
              </w:rPr>
              <w:t>(1)</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Total (United States &amp; Canada)</w:t>
            </w:r>
          </w:p>
        </w:tc>
        <w:tc>
          <w:tcPr>
            <w:tcW w:w="10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Greater China)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Total</w:t>
            </w:r>
          </w:p>
        </w:tc>
        <w:tc>
          <w:tcPr>
            <w:tcW w:w="10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Worldwide Total</w:t>
            </w:r>
            <w:r>
              <w:rPr>
                <w:rFonts w:ascii="Times New Roman;serif" w:hAnsi="Times New Roman;serif"/>
                <w:b w:val="false"/>
                <w:color w:val="000000"/>
                <w:sz w:val="13"/>
              </w:rPr>
              <w:t>(2)(3)</w:t>
            </w:r>
          </w:p>
        </w:tc>
        <w:tc>
          <w:tcPr>
            <w:tcW w:w="10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r>
        <w:trPr/>
        <w:tc>
          <w:tcPr>
            <w:tcW w:w="9097"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15"/>
                          <a:stretch>
                            <a:fillRect/>
                          </a:stretch>
                        </pic:blipFill>
                        <pic:spPr bwMode="auto">
                          <a:xfrm>
                            <a:off x="0" y="0"/>
                            <a:ext cx="914400" cy="14605"/>
                          </a:xfrm>
                          <a:prstGeom prst="rect">
                            <a:avLst/>
                          </a:prstGeom>
                        </pic:spPr>
                      </pic:pic>
                    </a:graphicData>
                  </a:graphic>
                </wp:inline>
              </w:drawing>
            </w:r>
            <w:bookmarkStart w:id="14" w:name="i-14"/>
            <w:bookmarkEnd w:id="14"/>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(2)Worldwide Total of 501 includes 256 new IMAX Laser Systems and 145 upgrades of existing locations to IMAX Laser Systems.</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(3)Worldwide Total of 501 includes 356 new systems and 145 upgrades.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backlog reflects the minimum number of commitments for IMAX Systems according to signed contracts. The Company believes that the contractual obligations for IMAX System installations that are listed in backlog are valid and binding commitments. From time to time, the Company and its customers may amend the arrangement type of a backlog system, and in the normal course of its business the Company will have customers who are unable to proceed with an IMAX System installation for a variety of reasons, including the inability to obtain certain consents, approvals or financing.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73% of IMAX System arrangements in backlog were scheduled to be installed in international markets (2025 — 74%).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(See “Risk Factors – The Company may not convert all of its backlog into revenue and cash flows.” in Part I, Item 1A of the Company’s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ind w:left="0" w:right="0" w:firstLine="216"/>
        <w:jc w:val="left"/>
        <w:rPr/>
      </w:pPr>
      <w:r>
        <w:rPr/>
      </w:r>
    </w:p>
    <w:p>
      <w:pPr>
        <w:pStyle w:val="TextBody"/>
        <w:bidi w:val="0"/>
        <w:spacing w:lineRule="auto" w:line="288" w:before="0" w:after="0"/>
        <w:ind w:left="0" w:right="0" w:firstLine="216"/>
        <w:jc w:val="left"/>
        <w:rPr>
          <w:rFonts w:ascii="Times New Roman;serif" w:hAnsi="Times New Roman;serif"/>
          <w:b w:val="false"/>
          <w:i/>
          <w:color w:val="000000"/>
          <w:sz w:val="20"/>
        </w:rPr>
      </w:pPr>
      <w:r>
        <w:rPr>
          <w:rFonts w:ascii="Times New Roman;serif" w:hAnsi="Times New Roman;serif"/>
          <w:b w:val="false"/>
          <w:i/>
          <w:color w:val="000000"/>
          <w:sz w:val="20"/>
        </w:rPr>
        <w:t>Signings and Installations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detailed information about IMAX System signings and installations for the three and six months ended June 30, 2026 and 2025:</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476"/>
        <w:gridCol w:w="1296"/>
        <w:gridCol w:w="1256"/>
        <w:gridCol w:w="294"/>
        <w:gridCol w:w="296"/>
        <w:gridCol w:w="276"/>
        <w:gridCol w:w="275"/>
        <w:gridCol w:w="275"/>
        <w:gridCol w:w="275"/>
        <w:gridCol w:w="294"/>
        <w:gridCol w:w="296"/>
        <w:gridCol w:w="276"/>
        <w:gridCol w:w="178"/>
        <w:gridCol w:w="178"/>
        <w:gridCol w:w="178"/>
        <w:gridCol w:w="294"/>
        <w:gridCol w:w="296"/>
        <w:gridCol w:w="254"/>
        <w:gridCol w:w="244"/>
        <w:gridCol w:w="244"/>
        <w:gridCol w:w="244"/>
        <w:gridCol w:w="379"/>
        <w:gridCol w:w="383"/>
        <w:gridCol w:w="254"/>
        <w:gridCol w:w="109"/>
        <w:gridCol w:w="109"/>
        <w:gridCol w:w="109"/>
        <w:gridCol w:w="167"/>
      </w:tblGrid>
      <w:tr>
        <w:trPr/>
        <w:tc>
          <w:tcPr>
            <w:tcW w:w="147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 Signings:</w:t>
            </w:r>
          </w:p>
        </w:tc>
        <w:tc>
          <w:tcPr>
            <w:tcW w:w="8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Arrangements</w:t>
            </w:r>
            <w:r>
              <w:rPr>
                <w:rFonts w:ascii="Times New Roman;serif" w:hAnsi="Times New Roman;serif"/>
                <w:b w:val="false"/>
                <w:color w:val="000000"/>
                <w:sz w:val="13"/>
              </w:rPr>
              <w:t>(1)</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Traditional JRSA</w:t>
            </w:r>
            <w:r>
              <w:rPr>
                <w:rFonts w:ascii="Times New Roman;serif" w:hAnsi="Times New Roman;serif"/>
                <w:b w:val="false"/>
                <w:color w:val="000000"/>
                <w:sz w:val="13"/>
              </w:rPr>
              <w:t>(2)</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IMAX System signings</w:t>
            </w:r>
            <w:r>
              <w:rPr>
                <w:rFonts w:ascii="Times New Roman;serif" w:hAnsi="Times New Roman;serif"/>
                <w:b w:val="false"/>
                <w:color w:val="000000"/>
                <w:sz w:val="13"/>
              </w:rPr>
              <w:t>(3)</w:t>
            </w:r>
          </w:p>
        </w:tc>
        <w:tc>
          <w:tcPr>
            <w:tcW w:w="59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711"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6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5" descr=""/>
                          <pic:cNvPicPr>
                            <a:picLocks noChangeAspect="1" noChangeArrowheads="1"/>
                          </pic:cNvPicPr>
                        </pic:nvPicPr>
                        <pic:blipFill>
                          <a:blip r:embed="rId16"/>
                          <a:stretch>
                            <a:fillRect/>
                          </a:stretch>
                        </pic:blipFill>
                        <pic:spPr bwMode="auto">
                          <a:xfrm>
                            <a:off x="0" y="0"/>
                            <a:ext cx="914400" cy="14605"/>
                          </a:xfrm>
                          <a:prstGeom prst="rect">
                            <a:avLst/>
                          </a:prstGeom>
                        </pic:spPr>
                      </pic:pic>
                    </a:graphicData>
                  </a:graphic>
                </wp:inline>
              </w:drawing>
            </w:r>
            <w:bookmarkStart w:id="15" w:name="i-15"/>
            <w:bookmarkEnd w:id="15"/>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(1)Includes Sales and Sales-Type Lease deal types.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(2)Includes 70 Traditional JRSA IMAX System signings with AMC Entertainment in 2025.</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(3)Includes IMAX System upgrades of seven and 20 for the three and six months ended June 30, 2026, respectively (2025 ― two and 60 upgrades, respectively).</w:t>
            </w:r>
          </w:p>
          <w:p>
            <w:pPr>
              <w:pStyle w:val="TableContents"/>
              <w:bidi w:val="0"/>
              <w:spacing w:before="0" w:after="0"/>
              <w:jc w:val="both"/>
              <w:rPr/>
            </w:pPr>
            <w:r>
              <w:rPr/>
            </w:r>
          </w:p>
        </w:tc>
        <w:tc>
          <w:tcPr>
            <w:tcW w:w="494"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94"/>
        <w:gridCol w:w="1231"/>
        <w:gridCol w:w="1233"/>
        <w:gridCol w:w="321"/>
        <w:gridCol w:w="323"/>
        <w:gridCol w:w="264"/>
        <w:gridCol w:w="263"/>
        <w:gridCol w:w="263"/>
        <w:gridCol w:w="263"/>
        <w:gridCol w:w="321"/>
        <w:gridCol w:w="323"/>
        <w:gridCol w:w="264"/>
        <w:gridCol w:w="194"/>
        <w:gridCol w:w="194"/>
        <w:gridCol w:w="194"/>
        <w:gridCol w:w="321"/>
        <w:gridCol w:w="323"/>
        <w:gridCol w:w="277"/>
        <w:gridCol w:w="241"/>
        <w:gridCol w:w="241"/>
        <w:gridCol w:w="241"/>
        <w:gridCol w:w="321"/>
        <w:gridCol w:w="323"/>
        <w:gridCol w:w="277"/>
        <w:gridCol w:w="109"/>
        <w:gridCol w:w="109"/>
        <w:gridCol w:w="109"/>
        <w:gridCol w:w="168"/>
      </w:tblGrid>
      <w:tr>
        <w:trPr/>
        <w:tc>
          <w:tcPr>
            <w:tcW w:w="149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Installations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Arrangements</w:t>
            </w:r>
            <w:r>
              <w:rPr>
                <w:rFonts w:ascii="Times New Roman;serif" w:hAnsi="Times New Roman;serif"/>
                <w:b w:val="false"/>
                <w:color w:val="000000"/>
                <w:sz w:val="13"/>
              </w:rPr>
              <w:t>(2)</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Traditional JRSA</w:t>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IMAX System installations</w:t>
            </w:r>
            <w:r>
              <w:rPr>
                <w:rFonts w:ascii="Times New Roman;serif" w:hAnsi="Times New Roman;serif"/>
                <w:b w:val="false"/>
                <w:color w:val="000000"/>
                <w:sz w:val="13"/>
              </w:rPr>
              <w:t>(3)</w:t>
            </w:r>
          </w:p>
        </w:tc>
        <w:tc>
          <w:tcPr>
            <w:tcW w:w="6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710"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6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6" descr=""/>
                          <pic:cNvPicPr>
                            <a:picLocks noChangeAspect="1" noChangeArrowheads="1"/>
                          </pic:cNvPicPr>
                        </pic:nvPicPr>
                        <pic:blipFill>
                          <a:blip r:embed="rId17"/>
                          <a:stretch>
                            <a:fillRect/>
                          </a:stretch>
                        </pic:blipFill>
                        <pic:spPr bwMode="auto">
                          <a:xfrm>
                            <a:off x="0" y="0"/>
                            <a:ext cx="914400" cy="14605"/>
                          </a:xfrm>
                          <a:prstGeom prst="rect">
                            <a:avLst/>
                          </a:prstGeom>
                        </pic:spPr>
                      </pic:pic>
                    </a:graphicData>
                  </a:graphic>
                </wp:inline>
              </w:drawing>
            </w:r>
            <w:bookmarkStart w:id="16" w:name="i-16"/>
            <w:bookmarkEnd w:id="16"/>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(1)Two IMAX Systems were relocated from their original location for the three and six months ended June 30, 2026, respectively (2025 ― zero and three, respectively). When a system is relocated, the amount of revenue earned by the Company may vary from transaction-to-transaction and is usually less than the amount earned for a new sale. In certain situations when a system is relocated, the original location is upgraded to an IMAX Laser System.</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(2)Includes Sales and Sales-Type Lease deal types.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(3)Includes 21 and 32 IMAX System upgrades for the three and six months ended June 30, 2026, respectively (2025 ― 18 and 25 upgrades, respectively).</w:t>
            </w:r>
          </w:p>
        </w:tc>
        <w:tc>
          <w:tcPr>
            <w:tcW w:w="495"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results for the first half of 2026 reflect variability driven by the timing, mix and geographic distribution of global box office performance. The year-over-year decline in total global box office was primarily attributable to an unusually strong prior-year comparison in Greater China. Domestic and other international markets experienced strong box office growth, driven by the performance of Hollywood titles and Filmed For IMAX releases. The Company’s future results may continue to be affected by the timing and performance of major film releases, the mix of Hollywood and local language content, and the geographic concentration of box office revenues, as well as by variability in system installations and box office-driven revenues. In addition, broader macroeconomic conditions, including global economic uncertainty, supply chain disruptions, inflationary pressures and geopolitical tensions and conflicts, could adversely impact consumer demand and the Company’s ability to deliver and install IMAX systems, any of which could materially affect the Company’s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Results of Operations for the Three Months Ended June 30, 2026 and 2025</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Net Income and Adjusted Net Income Attributable to Common Shareholders</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The following table presents the Company’s net income attributable to common shareholders and net income attributable to common shareholders per diluted share amounts, as well as adjusted net income attributable to common shareholders(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adjusted net income attributable to common shareholders per diluted share for the three months ended June 30, 2026 and 2025:</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24"/>
        <w:gridCol w:w="1363"/>
        <w:gridCol w:w="1368"/>
        <w:gridCol w:w="217"/>
        <w:gridCol w:w="744"/>
        <w:gridCol w:w="112"/>
        <w:gridCol w:w="112"/>
        <w:gridCol w:w="112"/>
        <w:gridCol w:w="112"/>
        <w:gridCol w:w="335"/>
        <w:gridCol w:w="813"/>
        <w:gridCol w:w="173"/>
        <w:gridCol w:w="112"/>
        <w:gridCol w:w="112"/>
        <w:gridCol w:w="112"/>
        <w:gridCol w:w="217"/>
        <w:gridCol w:w="744"/>
        <w:gridCol w:w="112"/>
        <w:gridCol w:w="112"/>
        <w:gridCol w:w="112"/>
        <w:gridCol w:w="112"/>
        <w:gridCol w:w="329"/>
        <w:gridCol w:w="798"/>
        <w:gridCol w:w="248"/>
      </w:tblGrid>
      <w:tr>
        <w:trPr/>
        <w:tc>
          <w:tcPr>
            <w:tcW w:w="162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5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15,402 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 attributable to common shareholders</w:t>
            </w:r>
            <w:r>
              <w:rPr>
                <w:rFonts w:ascii="Times New Roman;serif" w:hAnsi="Times New Roman;serif"/>
                <w:b w:val="false"/>
                <w:color w:val="000000"/>
                <w:sz w:val="13"/>
              </w:rPr>
              <w:t>(1)</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 descr=""/>
                          <pic:cNvPicPr>
                            <a:picLocks noChangeAspect="1" noChangeArrowheads="1"/>
                          </pic:cNvPicPr>
                        </pic:nvPicPr>
                        <pic:blipFill>
                          <a:blip r:embed="rId18"/>
                          <a:stretch>
                            <a:fillRect/>
                          </a:stretch>
                        </pic:blipFill>
                        <pic:spPr bwMode="auto">
                          <a:xfrm>
                            <a:off x="0" y="0"/>
                            <a:ext cx="914400" cy="14605"/>
                          </a:xfrm>
                          <a:prstGeom prst="rect">
                            <a:avLst/>
                          </a:prstGeom>
                        </pic:spPr>
                      </pic:pic>
                    </a:graphicData>
                  </a:graphic>
                </wp:inline>
              </w:drawing>
            </w:r>
            <w:bookmarkStart w:id="17" w:name="i-17"/>
            <w:bookmarkEnd w:id="17"/>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Refer to “Non-GAAP Financial Measures” for a description of this non-GAAP financial measure and a reconciliation to the most comparable GAAP amount.</w:t>
            </w:r>
          </w:p>
        </w:tc>
      </w:tr>
    </w:tbl>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Revenues and Gross Margin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Company’s revenues and gross margin were $102.8 million and $62.9 million, respectively. In comparison to the prior year second quarter, the Company’s revenues and gross margin increased by $11.2 million, or 12%, and $9.3 million, or 17%, respectively, principally due to a higher number of IMAX system installations under sales type arrangements and stronger IMAX box office performance across rest of world markets of 24%.</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gross margin, and gross margin percentage by reportable segment for the three months ended June 30, 2026 and 2025:</w:t>
      </w:r>
    </w:p>
    <w:tbl>
      <w:tblPr>
        <w:tblW w:w="10146" w:type="dxa"/>
        <w:jc w:val="left"/>
        <w:tblInd w:w="0" w:type="dxa"/>
        <w:tblLayout w:type="fixed"/>
        <w:tblCellMar>
          <w:top w:w="28" w:type="dxa"/>
          <w:left w:w="28" w:type="dxa"/>
          <w:bottom w:w="28" w:type="dxa"/>
          <w:right w:w="28" w:type="dxa"/>
        </w:tblCellMar>
      </w:tblPr>
      <w:tblGrid>
        <w:gridCol w:w="1058"/>
        <w:gridCol w:w="932"/>
        <w:gridCol w:w="934"/>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4"/>
        <w:gridCol w:w="110"/>
        <w:gridCol w:w="110"/>
        <w:gridCol w:w="110"/>
        <w:gridCol w:w="180"/>
        <w:gridCol w:w="181"/>
        <w:gridCol w:w="319"/>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 %</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(1)</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62,896 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46" w:type="dxa"/>
            <w:gridSpan w:val="3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8" descr=""/>
                          <pic:cNvPicPr>
                            <a:picLocks noChangeAspect="1" noChangeArrowheads="1"/>
                          </pic:cNvPicPr>
                        </pic:nvPicPr>
                        <pic:blipFill>
                          <a:blip r:embed="rId19"/>
                          <a:stretch>
                            <a:fillRect/>
                          </a:stretch>
                        </pic:blipFill>
                        <pic:spPr bwMode="auto">
                          <a:xfrm>
                            <a:off x="0" y="0"/>
                            <a:ext cx="914400" cy="14605"/>
                          </a:xfrm>
                          <a:prstGeom prst="rect">
                            <a:avLst/>
                          </a:prstGeom>
                        </pic:spPr>
                      </pic:pic>
                    </a:graphicData>
                  </a:graphic>
                </wp:inline>
              </w:drawing>
            </w:r>
            <w:bookmarkStart w:id="18" w:name="i-18"/>
            <w:bookmarkEnd w:id="18"/>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(1)All Other includes the results from Streaming and Consumer Technology and other ancillary activities.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Content Solutions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Content Solutions segment revenues and gross margin increased by $0.7 million, or 2%, and decreased by $0.5 million, or 2%, respectively, when compared to the same period in 2025.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second quarter of 2026, box office generated by IMAX films totaled $284.8 million, a $3.8 million, or 1% increase versus the prior year comparative period of $281.1 million. In the second quarter of 2026, IMAX box office was generated by the exhibition of 35 films (32 new films and three re-releases), including the following Hollywood titles: </w:t>
      </w:r>
      <w:r>
        <w:rPr>
          <w:rFonts w:ascii="Times New Roman;serif" w:hAnsi="Times New Roman;serif"/>
          <w:b w:val="false"/>
          <w:i/>
          <w:color w:val="000000"/>
          <w:sz w:val="20"/>
        </w:rPr>
        <w:t xml:space="preserve">Michael </w:t>
      </w:r>
      <w:r>
        <w:rPr>
          <w:rFonts w:ascii="Times New Roman;serif" w:hAnsi="Times New Roman;serif"/>
          <w:b w:val="false"/>
          <w:color w:val="000000"/>
          <w:sz w:val="20"/>
        </w:rPr>
        <w:t xml:space="preserve">($69 million), </w:t>
      </w:r>
      <w:r>
        <w:rPr>
          <w:rFonts w:ascii="Times New Roman;serif" w:hAnsi="Times New Roman;serif"/>
          <w:b w:val="false"/>
          <w:i/>
          <w:color w:val="000000"/>
          <w:sz w:val="20"/>
        </w:rPr>
        <w:t xml:space="preserve">The Mandalorian &amp; Grogu </w:t>
      </w:r>
      <w:r>
        <w:rPr>
          <w:rFonts w:ascii="Times New Roman;serif" w:hAnsi="Times New Roman;serif"/>
          <w:b w:val="false"/>
          <w:color w:val="000000"/>
          <w:sz w:val="20"/>
        </w:rPr>
        <w:t xml:space="preserve">($42 million), and </w:t>
      </w: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 xml:space="preserve">Super Mario Galaxy Movie </w:t>
      </w:r>
      <w:r>
        <w:rPr>
          <w:rFonts w:ascii="Times New Roman;serif" w:hAnsi="Times New Roman;serif"/>
          <w:b w:val="false"/>
          <w:color w:val="000000"/>
          <w:sz w:val="20"/>
        </w:rPr>
        <w:t xml:space="preserve">($39 million). Furthermore, in the second quarter of 2026, local language films exhibited across the Company’s global network generated $18.7 million in box office, representing 7% of its global box office including the Japanese local language film, </w:t>
      </w:r>
      <w:r>
        <w:rPr>
          <w:rFonts w:ascii="Times New Roman;serif" w:hAnsi="Times New Roman;serif"/>
          <w:b w:val="false"/>
          <w:i/>
          <w:color w:val="000000"/>
          <w:sz w:val="20"/>
        </w:rPr>
        <w:t xml:space="preserve">Detective Conan: Fallen Angel of the Highway </w:t>
      </w:r>
      <w:r>
        <w:rPr>
          <w:rFonts w:ascii="Times New Roman;serif" w:hAnsi="Times New Roman;serif"/>
          <w:b w:val="false"/>
          <w:color w:val="000000"/>
          <w:sz w:val="20"/>
        </w:rPr>
        <w:t xml:space="preserve">($5 million). </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second quarter of 2025, IMAX box office was generated by the exhibition of 22 films and other content (21 new films and 1 re-release), including the following Hollywood titles, </w:t>
      </w:r>
      <w:r>
        <w:rPr>
          <w:rFonts w:ascii="Times New Roman;serif" w:hAnsi="Times New Roman;serif"/>
          <w:b w:val="false"/>
          <w:i/>
          <w:color w:val="000000"/>
          <w:sz w:val="20"/>
        </w:rPr>
        <w:t xml:space="preserve">Mission: Impossible - The Final Reckoning </w:t>
      </w:r>
      <w:r>
        <w:rPr>
          <w:rFonts w:ascii="Times New Roman;serif" w:hAnsi="Times New Roman;serif"/>
          <w:b w:val="false"/>
          <w:color w:val="000000"/>
          <w:sz w:val="20"/>
        </w:rPr>
        <w:t xml:space="preserve">($75 million), </w:t>
      </w:r>
      <w:r>
        <w:rPr>
          <w:rFonts w:ascii="Times New Roman;serif" w:hAnsi="Times New Roman;serif"/>
          <w:b w:val="false"/>
          <w:i/>
          <w:color w:val="000000"/>
          <w:sz w:val="20"/>
        </w:rPr>
        <w:t xml:space="preserve">Sinners </w:t>
      </w:r>
      <w:r>
        <w:rPr>
          <w:rFonts w:ascii="Times New Roman;serif" w:hAnsi="Times New Roman;serif"/>
          <w:b w:val="false"/>
          <w:color w:val="000000"/>
          <w:sz w:val="20"/>
        </w:rPr>
        <w:t xml:space="preserve">($40 million), </w:t>
      </w:r>
      <w:r>
        <w:rPr>
          <w:rFonts w:ascii="Times New Roman;serif" w:hAnsi="Times New Roman;serif"/>
          <w:b w:val="false"/>
          <w:i/>
          <w:color w:val="000000"/>
          <w:sz w:val="20"/>
        </w:rPr>
        <w:t xml:space="preserve">F1 The Movie </w:t>
      </w:r>
      <w:r>
        <w:rPr>
          <w:rFonts w:ascii="Times New Roman;serif" w:hAnsi="Times New Roman;serif"/>
          <w:b w:val="false"/>
          <w:color w:val="000000"/>
          <w:sz w:val="20"/>
        </w:rPr>
        <w:t xml:space="preserve">($32 million) and </w:t>
      </w:r>
      <w:r>
        <w:rPr>
          <w:rFonts w:ascii="Times New Roman;serif" w:hAnsi="Times New Roman;serif"/>
          <w:b w:val="false"/>
          <w:i/>
          <w:color w:val="000000"/>
          <w:sz w:val="20"/>
        </w:rPr>
        <w:t xml:space="preserve">Thunderbolts </w:t>
      </w:r>
      <w:r>
        <w:rPr>
          <w:rFonts w:ascii="Times New Roman;serif" w:hAnsi="Times New Roman;serif"/>
          <w:b w:val="false"/>
          <w:color w:val="000000"/>
          <w:sz w:val="20"/>
        </w:rPr>
        <w:t>($31 million). Furthermore, in the second quarter of 2025, local language films exhibited across the Company’s global network generated $19.8 million in box office, representing 7% of its global box office.</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second quarter of 2026, the Company released three movies that were filmed with IMAX proprietary cameras (Filmed For IMAX): </w:t>
      </w:r>
      <w:r>
        <w:rPr>
          <w:rFonts w:ascii="Times New Roman;serif" w:hAnsi="Times New Roman;serif"/>
          <w:b w:val="false"/>
          <w:i/>
          <w:color w:val="000000"/>
          <w:sz w:val="20"/>
        </w:rPr>
        <w:t xml:space="preserve">Mortal Kombat II, The Mandalorian &amp; Grogu </w:t>
      </w:r>
      <w:r>
        <w:rPr>
          <w:rFonts w:ascii="Times New Roman;serif" w:hAnsi="Times New Roman;serif"/>
          <w:b w:val="false"/>
          <w:color w:val="000000"/>
          <w:sz w:val="20"/>
        </w:rPr>
        <w:t xml:space="preserve">and </w:t>
      </w:r>
      <w:r>
        <w:rPr>
          <w:rFonts w:ascii="Times New Roman;serif" w:hAnsi="Times New Roman;serif"/>
          <w:b w:val="false"/>
          <w:i/>
          <w:color w:val="000000"/>
          <w:sz w:val="20"/>
        </w:rPr>
        <w:t>Supergirl.</w:t>
      </w:r>
      <w:r>
        <w:rPr>
          <w:color w:val="000000"/>
        </w:rPr>
        <w:t xml:space="preserve"> </w:t>
      </w:r>
      <w:r>
        <w:rPr>
          <w:rFonts w:ascii="Times New Roman;serif" w:hAnsi="Times New Roman;serif"/>
          <w:b w:val="false"/>
          <w:color w:val="000000"/>
          <w:sz w:val="20"/>
        </w:rPr>
        <w:t xml:space="preserve">Filmed For IMAX movies historically have performed disproportionately well at the box office, and for </w:t>
      </w:r>
      <w:r>
        <w:rPr>
          <w:rFonts w:ascii="Times New Roman;serif" w:hAnsi="Times New Roman;serif"/>
          <w:b w:val="false"/>
          <w:i/>
          <w:color w:val="000000"/>
          <w:sz w:val="20"/>
        </w:rPr>
        <w:t>Supergirl</w:t>
      </w:r>
      <w:r>
        <w:rPr>
          <w:rFonts w:ascii="Times New Roman;serif" w:hAnsi="Times New Roman;serif"/>
          <w:b w:val="false"/>
          <w:color w:val="000000"/>
          <w:sz w:val="20"/>
        </w:rPr>
        <w:t>, IMAX delivered approximately 20% or more of the opening weekend domestic box office, despite accounting for only 1% of available screens.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three months ended June 30, 2026, gross margin percent was 63% compared to 66% in the prior year period. The decrease in gross margin reflects the mix of IMAX box office, amount of marketing spend and level of box office outperformance.</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Technology Products and Services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IMAX Systems installed and the associated revenue recognized at that time, except for traditional JRSAs as revenue is recognized over the lease term, during the three months ended June 30, 2026 and 2025: </w:t>
      </w:r>
    </w:p>
    <w:p>
      <w:pPr>
        <w:pStyle w:val="TextBody"/>
        <w:bidi w:val="0"/>
        <w:spacing w:before="0" w:after="0"/>
        <w:ind w:left="0" w:right="0" w:firstLine="216"/>
        <w:jc w:val="both"/>
        <w:rPr/>
      </w:pPr>
      <w:r>
        <w:rPr/>
      </w:r>
    </w:p>
    <w:tbl>
      <w:tblPr>
        <w:tblW w:w="10140" w:type="dxa"/>
        <w:jc w:val="left"/>
        <w:tblInd w:w="0" w:type="dxa"/>
        <w:tblLayout w:type="fixed"/>
        <w:tblCellMar>
          <w:top w:w="28" w:type="dxa"/>
          <w:left w:w="28" w:type="dxa"/>
          <w:bottom w:w="28" w:type="dxa"/>
          <w:right w:w="28" w:type="dxa"/>
        </w:tblCellMar>
      </w:tblPr>
      <w:tblGrid>
        <w:gridCol w:w="1460"/>
        <w:gridCol w:w="1285"/>
        <w:gridCol w:w="1289"/>
        <w:gridCol w:w="499"/>
        <w:gridCol w:w="499"/>
        <w:gridCol w:w="501"/>
        <w:gridCol w:w="109"/>
        <w:gridCol w:w="109"/>
        <w:gridCol w:w="109"/>
        <w:gridCol w:w="211"/>
        <w:gridCol w:w="721"/>
        <w:gridCol w:w="109"/>
        <w:gridCol w:w="109"/>
        <w:gridCol w:w="109"/>
        <w:gridCol w:w="109"/>
        <w:gridCol w:w="499"/>
        <w:gridCol w:w="499"/>
        <w:gridCol w:w="501"/>
        <w:gridCol w:w="109"/>
        <w:gridCol w:w="109"/>
        <w:gridCol w:w="109"/>
        <w:gridCol w:w="211"/>
        <w:gridCol w:w="72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number of systems)</w:t>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Systems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Systems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IMAX Systems</w:t>
            </w:r>
          </w:p>
        </w:tc>
        <w:tc>
          <w:tcPr>
            <w:tcW w:w="9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Upgraded IMAX Systems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IMAX Systems</w:t>
            </w:r>
          </w:p>
        </w:tc>
        <w:tc>
          <w:tcPr>
            <w:tcW w:w="99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one IMAX System was relocated from its original location (2025 ― no IMAX Systems were relocated from their original locations). When a system under a sale or sales-type lease arrangement is relocated, the amount of revenue earned by the Company may vary from transaction to transaction and is typically lower than a new IMAX system. In certain situations when a system is relocated, the original location is upgraded to an IMAX Laser System.</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Technology Products and Services segment revenue and gross margin increased by $9.2 million, or 16%, and $8.8 million, or 29%, respectively, when compared to the same period in 2025. The higher level of revenue was primarily driven by higher revenues from variable consideration recognized on IMAX systems installed under sales arrangements in the current period. The increases in revenue were also partially driven by a $1.9 million increase in revenue contribution from the impact of amendments, renewals and other adjustments to existing IMAX Systems arrangements.</w:t>
      </w:r>
    </w:p>
    <w:p>
      <w:pPr>
        <w:pStyle w:val="TextBody"/>
        <w:bidi w:val="0"/>
        <w:spacing w:before="0" w:after="0"/>
        <w:ind w:left="0" w:right="0" w:firstLine="216"/>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IMAX GBO from JRSAs decreased $5.1 million compared to the prior year period, from $125.1 million to $120.0 million. While IMAX GBO from JRSAs declined, rental revenues increased by $1.2 million to $19.9 million from $18.7 million in the prior year comparative period, which reflects lower box office performance fully offset by higher average rental rates resulting from the geographic box office mix coupled with additional rent specifically earned from locations in which the Company has invested in lease incentives.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gross margin percent was 60% compared to 54% in the prior period, which primarily reflects the impact of higher variable consideration estimates, amendments, renewals and other adjustments as described above.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All Other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All Other revenue and gross margin increased by $1.3 million and $1.0 million, respectively, when compared to the same period in 2025, which principally reflects the results of the Company’s SCT business expansion of offerings to Goer Dynamics Group Co., Ltd. (“Goer Dynamics”) under an automotive consumer device partnership, following the re-positioning and relaunch in late 2025 under the brand of IMAX Enhanced, and increased sales of the Company’s merchandise.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Selling, General and Administrative Expenses for the three months ended June 30, 2026 and 2025:</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877"/>
        <w:gridCol w:w="1346"/>
        <w:gridCol w:w="1350"/>
        <w:gridCol w:w="255"/>
        <w:gridCol w:w="873"/>
        <w:gridCol w:w="131"/>
        <w:gridCol w:w="131"/>
        <w:gridCol w:w="131"/>
        <w:gridCol w:w="131"/>
        <w:gridCol w:w="255"/>
        <w:gridCol w:w="873"/>
        <w:gridCol w:w="131"/>
        <w:gridCol w:w="131"/>
        <w:gridCol w:w="131"/>
        <w:gridCol w:w="131"/>
        <w:gridCol w:w="255"/>
        <w:gridCol w:w="793"/>
        <w:gridCol w:w="131"/>
        <w:gridCol w:w="131"/>
        <w:gridCol w:w="131"/>
        <w:gridCol w:w="131"/>
        <w:gridCol w:w="163"/>
        <w:gridCol w:w="164"/>
        <w:gridCol w:w="429"/>
      </w:tblGrid>
      <w:tr>
        <w:trPr/>
        <w:tc>
          <w:tcPr>
            <w:tcW w:w="187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5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34,528 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35,302 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Share-based compensation</w:t>
            </w:r>
            <w:r>
              <w:rPr>
                <w:rFonts w:ascii="Times New Roman;serif" w:hAnsi="Times New Roman;serif"/>
                <w:b w:val="false"/>
                <w:color w:val="000000"/>
                <w:sz w:val="13"/>
              </w:rPr>
              <w:t>(1)</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selling, general and administrative expenses, excluding share-based compensation</w:t>
            </w:r>
            <w:r>
              <w:rPr>
                <w:rFonts w:ascii="Times New Roman;serif" w:hAnsi="Times New Roman;serif"/>
                <w:b w:val="false"/>
                <w:color w:val="000000"/>
                <w:sz w:val="13"/>
              </w:rPr>
              <w:t>(2)</w:t>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27,213 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28,440 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7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9" descr=""/>
                          <pic:cNvPicPr>
                            <a:picLocks noChangeAspect="1" noChangeArrowheads="1"/>
                          </pic:cNvPicPr>
                        </pic:nvPicPr>
                        <pic:blipFill>
                          <a:blip r:embed="rId20"/>
                          <a:stretch>
                            <a:fillRect/>
                          </a:stretch>
                        </pic:blipFill>
                        <pic:spPr bwMode="auto">
                          <a:xfrm>
                            <a:off x="0" y="0"/>
                            <a:ext cx="914400" cy="14605"/>
                          </a:xfrm>
                          <a:prstGeom prst="rect">
                            <a:avLst/>
                          </a:prstGeom>
                        </pic:spPr>
                      </pic:pic>
                    </a:graphicData>
                  </a:graphic>
                </wp:inline>
              </w:drawing>
            </w:r>
            <w:bookmarkStart w:id="19" w:name="i-19"/>
            <w:bookmarkEnd w:id="19"/>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(1)A portion of share-based compensation expense is recognized within Costs and Expenses Applicable to Revenues, and Research and Development. (Refer to “Capital Stock and Reserves — Share-Based Compensation” in Note 11 of Notes to Condensed Consolidated Financial Statements in Part I, Item 1.)</w:t>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(2)See “Non-GAAP Financial Measures” for a description of this non-GAAP financial measure and a reconciliation to the most comparable GAAP amount.</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the lower level of Selling, General and Administrative Expenses year-over-year reflects management’s continued focus on operational efficiencies, including workforce reductions, and a shift in timing of annual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events and other expenses. Additionally, influencing the prior period, were $2.5 million in benefits resulting from an Employee Retention Credit as a reduction to Selling, General and Administrative expenses, partially offset by higher annual incentive compensation costs.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Research and Development expenses were $1.7 million, representing an increase of $0.2 million or 13%, when compared to expenses of $1.5 million during the same period in the prior year. The Company continues to expense its investment in other projects, including in the development of new product offerings, data and software projects and improvements to its existing IMAX System product suite.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Credit Loss Expense (Reversal), Net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a credit loss expense of $1.5 million, as compared to a credit loss reversal of $0.2 million recognized in the prior year. The year over year change was primarily due to higher reserves established for specific exhibitor customers in China resulting from a deterioration in customer credit quality.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Overall, continued strong global box office performance has contributed to consistent collections. Strong theatrical attendance, driven by a robust film slate, has increased and accelerated cash inflows from studio and exhibitor customers. This trend reflects the continued consumer demand for premium cinematic experiences and effectiveness of IMAX's strategic initiatives to partner with filmmakers, studios, and exhibitors to deliver higher levels of box office.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Interest Expense and Interest Income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interest expense was $2.0 million, representing an increase of less than $0.1 million, or 2% when compared to interest expense of $1.9 million during the same period of the prior year primarily due to a higher level of borrowings under the Credit Facility (as defined under “—Liquidity and Capital Resources” below), including $1.2 million paid for lease incentives provided to exhibitor customers, in the current period offset by lower average interest rates. The effective interest rate for the three months ended June 30, 2026 was 5.14% (2025 — 6.17%).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interest income was $0.7 million and $1.1 million, respectively. Interest income primarily comprises interest earned on bank deposits.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an income tax expense of $3.5 million (2025 — $1.2 million). The Company’s effective tax rate of 18.1% for the three months ended June 30, 2026 (2025 — 8.9%), reflects the geographic allocation of income earned in taxing jurisdictions and a decrease in the valuation allowance and tax reserves, partially offset by withholding taxes.</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Management evaluates the realizability of deferred tax assets on a quarterly basis by considering all available positive and negative evidence, including recent operating results, forecasts of future taxable income, and other relevant factors specific to our industry such as the success of new film releases. Based on the Company’s recent operating results in Canada and its expectation of continued profitability, management believes there is a reasonable possibility that sufficient positive evidence may become available within the next twelve months to support the release of some or all of the valuation allowance recorded against its Canadian deferred tax assets.</w:t>
      </w:r>
      <w:r>
        <w:rPr>
          <w:color w:val="000000"/>
        </w:rPr>
        <w:t xml:space="preserve"> </w:t>
      </w:r>
      <w:r>
        <w:rPr>
          <w:rFonts w:ascii="Times New Roman;serif" w:hAnsi="Times New Roman;serif"/>
          <w:b w:val="false"/>
          <w:color w:val="000000"/>
          <w:sz w:val="20"/>
        </w:rPr>
        <w:t>However, as of June 30, 2026, management has concluded that the available positive evidence is not yet sufficient to overcome the remaining negative evidence and support realization of those deferred tax assets.</w:t>
      </w:r>
      <w:r>
        <w:rPr>
          <w:color w:val="000000"/>
        </w:rPr>
        <w:t xml:space="preserve"> </w:t>
      </w:r>
      <w:r>
        <w:rPr>
          <w:rFonts w:ascii="Times New Roman;serif" w:hAnsi="Times New Roman;serif"/>
          <w:b w:val="false"/>
          <w:color w:val="000000"/>
          <w:sz w:val="20"/>
        </w:rPr>
        <w:t>Any such release would result in a material income tax benefit in the period the conclusion is reached. At December 31, 2025, the amount of the Canadian valuation allowance was $55.5 million. The timing and amount of a valuation allowance release will depend on the Company’s ability to generate sufficient taxable income in Canada, macroeconomic conditions, and other factors affecting management’s assessment.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Note 2 — Summary of Significant Accounting Policies of the 2025 Form 10-K, the Company is subject to ongoing tax audits. Subsequent to June 30, 2026, the Company received a proposal letter from the Canada Revenue Agency related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examination of international matters in prior taxation years. Any potential reassessment encompasses an ultimate resolution involving multiple tax jurisdictions, which may result in offsetting tax differences from what was originally recognized in its financial statements. The Company continues to believe that it has adequately accounted for all uncertain tax positions, including this pending notice of reassessment.</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net income attributable to non-controlling interests of the Company’s subsidiaries was $0.5 million, a decrease of $0.5 million, when compared to the same period in 2025, which was driven by the lower level of IMAX box office earned in Greater China.</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Restructuring Charges and Other Impairments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Company recorded $2.3 million (2025 — $0.8 million) in Restructuring charges and other impairments. </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quarter, the Company recognized an impairment charge of $2.0 million (2025 — $nil) on an individual documentary film asset following a reassessment of estimated future revenues. The revised estimates reflect updates to estimated market performance and future monetization of the title. In addition, the Company incurred other termination and restructuring charges of $0.3 million (2025 — $0.8 million). These charges are associated with strategic initiatives aimed at enhancing operational efficiency, reducing costs, and optimizing the Company’s organization structure. Specifically, the Company incurred costs in connection with the continued implementation of its plan to optimize its organizational structure, including the elimination of redundant roles, addressing spans and layers to capture efficiencies and centralize certain operational roles.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Six Months Ended June 30, 2026 and 2025 </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Net Income and Adjusted Net Income Attributable to Common Shareholders</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The following table presents the Company’s net income attributable to common shareholders and the associated per diluted share amounts, as well as adjusted net income attributable to common shareholders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adjusted net income attributable to common shareholders per diluted share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624"/>
        <w:gridCol w:w="1363"/>
        <w:gridCol w:w="1368"/>
        <w:gridCol w:w="217"/>
        <w:gridCol w:w="744"/>
        <w:gridCol w:w="112"/>
        <w:gridCol w:w="112"/>
        <w:gridCol w:w="112"/>
        <w:gridCol w:w="112"/>
        <w:gridCol w:w="335"/>
        <w:gridCol w:w="813"/>
        <w:gridCol w:w="173"/>
        <w:gridCol w:w="112"/>
        <w:gridCol w:w="112"/>
        <w:gridCol w:w="112"/>
        <w:gridCol w:w="217"/>
        <w:gridCol w:w="744"/>
        <w:gridCol w:w="112"/>
        <w:gridCol w:w="112"/>
        <w:gridCol w:w="112"/>
        <w:gridCol w:w="112"/>
        <w:gridCol w:w="329"/>
        <w:gridCol w:w="798"/>
        <w:gridCol w:w="248"/>
      </w:tblGrid>
      <w:tr>
        <w:trPr/>
        <w:tc>
          <w:tcPr>
            <w:tcW w:w="162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5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19,628 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13,582 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 attributable to common shareholders</w:t>
            </w:r>
            <w:r>
              <w:rPr>
                <w:rFonts w:ascii="Times New Roman;serif" w:hAnsi="Times New Roman;serif"/>
                <w:b w:val="false"/>
                <w:color w:val="000000"/>
                <w:sz w:val="13"/>
              </w:rPr>
              <w:t>(1)</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7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0" descr=""/>
                          <pic:cNvPicPr>
                            <a:picLocks noChangeAspect="1" noChangeArrowheads="1"/>
                          </pic:cNvPicPr>
                        </pic:nvPicPr>
                        <pic:blipFill>
                          <a:blip r:embed="rId21"/>
                          <a:stretch>
                            <a:fillRect/>
                          </a:stretch>
                        </pic:blipFill>
                        <pic:spPr bwMode="auto">
                          <a:xfrm>
                            <a:off x="0" y="0"/>
                            <a:ext cx="914400" cy="14605"/>
                          </a:xfrm>
                          <a:prstGeom prst="rect">
                            <a:avLst/>
                          </a:prstGeom>
                        </pic:spPr>
                      </pic:pic>
                    </a:graphicData>
                  </a:graphic>
                </wp:inline>
              </w:drawing>
            </w:r>
            <w:bookmarkStart w:id="20" w:name="i-20"/>
            <w:bookmarkEnd w:id="20"/>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Refer to “Non-GAAP Financial Measures” for a description of this non-GAAP financial measure and a reconciliation to the most comparable GAAP amount.</w:t>
            </w:r>
          </w:p>
        </w:tc>
      </w:tr>
    </w:tbl>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Revenues and Gross Margin</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Company’s revenues and gross margin were $184.2 million and $108.7 million, respectively. In comparison to the prior year second quarter, the Company’s revenues and gross margin increased by $5.9 million, or 3%, and $1.9 million, or 2%, respectively, principally due to higher revenues recognized for systems installed under sales and sales-type lease arrangements. </w:t>
      </w:r>
    </w:p>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gross margin, and gross margin percentage by reportable segment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906"/>
        <w:gridCol w:w="717"/>
        <w:gridCol w:w="71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273"/>
        <w:gridCol w:w="109"/>
        <w:gridCol w:w="109"/>
        <w:gridCol w:w="109"/>
        <w:gridCol w:w="180"/>
        <w:gridCol w:w="181"/>
        <w:gridCol w:w="322"/>
      </w:tblGrid>
      <w:tr>
        <w:trPr/>
        <w:tc>
          <w:tcPr>
            <w:tcW w:w="90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Margin %</w:t>
            </w:r>
          </w:p>
        </w:tc>
      </w:tr>
      <w:tr>
        <w:trPr/>
        <w:tc>
          <w:tcPr>
            <w:tcW w:w="2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184,221 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178,351 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108,707 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106,778 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39"/>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7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1" descr=""/>
                          <pic:cNvPicPr>
                            <a:picLocks noChangeAspect="1" noChangeArrowheads="1"/>
                          </pic:cNvPicPr>
                        </pic:nvPicPr>
                        <pic:blipFill>
                          <a:blip r:embed="rId22"/>
                          <a:stretch>
                            <a:fillRect/>
                          </a:stretch>
                        </pic:blipFill>
                        <pic:spPr bwMode="auto">
                          <a:xfrm>
                            <a:off x="0" y="0"/>
                            <a:ext cx="914400" cy="14605"/>
                          </a:xfrm>
                          <a:prstGeom prst="rect">
                            <a:avLst/>
                          </a:prstGeom>
                        </pic:spPr>
                      </pic:pic>
                    </a:graphicData>
                  </a:graphic>
                </wp:inline>
              </w:drawing>
            </w:r>
            <w:bookmarkStart w:id="21" w:name="i-21"/>
            <w:bookmarkEnd w:id="21"/>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(1)All Other includes the results from Streaming and Consumer Technology and other ancillary activities.</w:t>
            </w:r>
          </w:p>
        </w:tc>
      </w:tr>
    </w:tbl>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Content Solutions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Content Solutions segment revenues and gross margin decreased by $2.2 million, or 3%, and by $5.8 million, or 13%, respectively, when compared to the same period in 2025.</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six months ended June 30, 2026, box office generated by IMAX films totaled $544.5 million, a $34.8 million, or 6%, decrease versus the prior year comparative period of $579.2 million. This decrease was primarily driven by lower local language box office in the first half of 2026, due in part to the shift in 2026 local language blockbuster films out of the Chinese New Year period versus a record Chinese New Year in 2025 from the breakout performance of </w:t>
      </w:r>
      <w:r>
        <w:rPr>
          <w:rFonts w:ascii="Times New Roman;serif" w:hAnsi="Times New Roman;serif"/>
          <w:b w:val="false"/>
          <w:i/>
          <w:color w:val="000000"/>
          <w:sz w:val="20"/>
        </w:rPr>
        <w:t xml:space="preserve">Ne Zha 2 </w:t>
      </w:r>
      <w:r>
        <w:rPr>
          <w:rFonts w:ascii="Times New Roman;serif" w:hAnsi="Times New Roman;serif"/>
          <w:b w:val="false"/>
          <w:color w:val="000000"/>
          <w:sz w:val="20"/>
        </w:rPr>
        <w:t>($167 million),</w:t>
      </w:r>
      <w:r>
        <w:rPr>
          <w:color w:val="000000"/>
        </w:rPr>
        <w:t xml:space="preserve"> </w:t>
      </w:r>
      <w:r>
        <w:rPr>
          <w:rFonts w:ascii="Times New Roman;serif" w:hAnsi="Times New Roman;serif"/>
          <w:b w:val="false"/>
          <w:color w:val="000000"/>
          <w:sz w:val="20"/>
        </w:rPr>
        <w:t xml:space="preserve">the highest grossing local language film of all time. During the six months ended June 30, 2026, IMAX box office was generated by the exhibition of 69 films and other content (63 new films, 5 re-releases and one carry-over), including the following Hollywood titles: </w:t>
      </w:r>
      <w:r>
        <w:rPr>
          <w:rFonts w:ascii="Times New Roman;serif" w:hAnsi="Times New Roman;serif"/>
          <w:b w:val="false"/>
          <w:i/>
          <w:color w:val="000000"/>
          <w:sz w:val="20"/>
        </w:rPr>
        <w:t xml:space="preserve">Project Hail Mary </w:t>
      </w:r>
      <w:r>
        <w:rPr>
          <w:rFonts w:ascii="Times New Roman;serif" w:hAnsi="Times New Roman;serif"/>
          <w:b w:val="false"/>
          <w:color w:val="000000"/>
          <w:sz w:val="20"/>
        </w:rPr>
        <w:t xml:space="preserve">($96 million), </w:t>
      </w:r>
      <w:r>
        <w:rPr>
          <w:rFonts w:ascii="Times New Roman;serif" w:hAnsi="Times New Roman;serif"/>
          <w:b w:val="false"/>
          <w:i/>
          <w:color w:val="000000"/>
          <w:sz w:val="20"/>
        </w:rPr>
        <w:t xml:space="preserve">Avatar: Fire and Ash </w:t>
      </w:r>
      <w:r>
        <w:rPr>
          <w:rFonts w:ascii="Times New Roman;serif" w:hAnsi="Times New Roman;serif"/>
          <w:b w:val="false"/>
          <w:color w:val="000000"/>
          <w:sz w:val="20"/>
        </w:rPr>
        <w:t xml:space="preserve">($78 million), </w:t>
      </w:r>
      <w:r>
        <w:rPr>
          <w:rFonts w:ascii="Times New Roman;serif" w:hAnsi="Times New Roman;serif"/>
          <w:b w:val="false"/>
          <w:i/>
          <w:color w:val="000000"/>
          <w:sz w:val="20"/>
        </w:rPr>
        <w:t xml:space="preserve">Michael </w:t>
      </w:r>
      <w:r>
        <w:rPr>
          <w:rFonts w:ascii="Times New Roman;serif" w:hAnsi="Times New Roman;serif"/>
          <w:b w:val="false"/>
          <w:color w:val="000000"/>
          <w:sz w:val="20"/>
        </w:rPr>
        <w:t xml:space="preserve">($69 million), </w:t>
      </w:r>
      <w:r>
        <w:rPr>
          <w:rFonts w:ascii="Times New Roman;serif" w:hAnsi="Times New Roman;serif"/>
          <w:b w:val="false"/>
          <w:i/>
          <w:color w:val="000000"/>
          <w:sz w:val="20"/>
        </w:rPr>
        <w:t xml:space="preserve">The Mandalorian &amp; Grogu </w:t>
      </w:r>
      <w:r>
        <w:rPr>
          <w:rFonts w:ascii="Times New Roman;serif" w:hAnsi="Times New Roman;serif"/>
          <w:b w:val="false"/>
          <w:color w:val="000000"/>
          <w:sz w:val="20"/>
        </w:rPr>
        <w:t xml:space="preserve">($42 million) and </w:t>
      </w: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 xml:space="preserve">Super Mario Galaxy Movie </w:t>
      </w:r>
      <w:r>
        <w:rPr>
          <w:rFonts w:ascii="Times New Roman;serif" w:hAnsi="Times New Roman;serif"/>
          <w:b w:val="false"/>
          <w:color w:val="000000"/>
          <w:sz w:val="20"/>
        </w:rPr>
        <w:t xml:space="preserve">($39 million). In addition, in the six months ended June 30, 2026, local language films exhibited across the Company’s global network generated $81 million in box office, representing 15% of its global box office, including the Chinese local language film, </w:t>
      </w:r>
      <w:r>
        <w:rPr>
          <w:rFonts w:ascii="Times New Roman;serif" w:hAnsi="Times New Roman;serif"/>
          <w:b w:val="false"/>
          <w:i/>
          <w:color w:val="000000"/>
          <w:sz w:val="20"/>
        </w:rPr>
        <w:t xml:space="preserve">Pegasus 3 </w:t>
      </w:r>
      <w:r>
        <w:rPr>
          <w:rFonts w:ascii="Times New Roman;serif" w:hAnsi="Times New Roman;serif"/>
          <w:b w:val="false"/>
          <w:color w:val="000000"/>
          <w:sz w:val="20"/>
        </w:rPr>
        <w:t xml:space="preserve">($34 million) and </w:t>
      </w:r>
      <w:r>
        <w:rPr>
          <w:rFonts w:ascii="Times New Roman;serif" w:hAnsi="Times New Roman;serif"/>
          <w:b w:val="false"/>
          <w:i/>
          <w:color w:val="000000"/>
          <w:sz w:val="20"/>
        </w:rPr>
        <w:t xml:space="preserve">Blades of the Guardians </w:t>
      </w:r>
      <w:r>
        <w:rPr>
          <w:rFonts w:ascii="Times New Roman;serif" w:hAnsi="Times New Roman;serif"/>
          <w:b w:val="false"/>
          <w:color w:val="000000"/>
          <w:sz w:val="20"/>
        </w:rPr>
        <w:t xml:space="preserve">($7 million). In the six months ended June 30, 2025, IMAX box office revenue was generated by the exhibition of 56 films (54 new films and 2 re-releases), including the following Hollywood titles, </w:t>
      </w:r>
      <w:r>
        <w:rPr>
          <w:rFonts w:ascii="Times New Roman;serif" w:hAnsi="Times New Roman;serif"/>
          <w:b w:val="false"/>
          <w:i/>
          <w:color w:val="000000"/>
          <w:sz w:val="20"/>
        </w:rPr>
        <w:t>Mission: Impossible - The Final Reckoning</w:t>
      </w:r>
      <w:r>
        <w:rPr>
          <w:color w:val="000000"/>
        </w:rPr>
        <w:t xml:space="preserve"> </w:t>
      </w:r>
      <w:r>
        <w:rPr>
          <w:rFonts w:ascii="Times New Roman;serif" w:hAnsi="Times New Roman;serif"/>
          <w:b w:val="false"/>
          <w:color w:val="000000"/>
          <w:sz w:val="20"/>
        </w:rPr>
        <w:t xml:space="preserve">($75 million), </w:t>
      </w:r>
      <w:r>
        <w:rPr>
          <w:rFonts w:ascii="Times New Roman;serif" w:hAnsi="Times New Roman;serif"/>
          <w:b w:val="false"/>
          <w:i/>
          <w:color w:val="000000"/>
          <w:sz w:val="20"/>
        </w:rPr>
        <w:t xml:space="preserve">Sinners </w:t>
      </w:r>
      <w:r>
        <w:rPr>
          <w:rFonts w:ascii="Times New Roman;serif" w:hAnsi="Times New Roman;serif"/>
          <w:b w:val="false"/>
          <w:color w:val="000000"/>
          <w:sz w:val="20"/>
        </w:rPr>
        <w:t xml:space="preserve">($39 million), </w:t>
      </w:r>
      <w:r>
        <w:rPr>
          <w:rFonts w:ascii="Times New Roman;serif" w:hAnsi="Times New Roman;serif"/>
          <w:b w:val="false"/>
          <w:i/>
          <w:color w:val="000000"/>
          <w:sz w:val="20"/>
        </w:rPr>
        <w:t xml:space="preserve">F1 The Movie </w:t>
      </w:r>
      <w:r>
        <w:rPr>
          <w:rFonts w:ascii="Times New Roman;serif" w:hAnsi="Times New Roman;serif"/>
          <w:b w:val="false"/>
          <w:color w:val="000000"/>
          <w:sz w:val="20"/>
        </w:rPr>
        <w:t xml:space="preserve">($31 million) and </w:t>
      </w:r>
      <w:r>
        <w:rPr>
          <w:rFonts w:ascii="Times New Roman;serif" w:hAnsi="Times New Roman;serif"/>
          <w:b w:val="false"/>
          <w:i/>
          <w:color w:val="000000"/>
          <w:sz w:val="20"/>
        </w:rPr>
        <w:t xml:space="preserve">Thunderbolts </w:t>
      </w:r>
      <w:r>
        <w:rPr>
          <w:rFonts w:ascii="Times New Roman;serif" w:hAnsi="Times New Roman;serif"/>
          <w:b w:val="false"/>
          <w:color w:val="000000"/>
          <w:sz w:val="20"/>
        </w:rPr>
        <w:t xml:space="preserve">($31 million) and local language title </w:t>
      </w:r>
      <w:r>
        <w:rPr>
          <w:rFonts w:ascii="Times New Roman;serif" w:hAnsi="Times New Roman;serif"/>
          <w:b w:val="false"/>
          <w:i/>
          <w:color w:val="000000"/>
          <w:sz w:val="20"/>
        </w:rPr>
        <w:t>Ne Zha 2</w:t>
      </w:r>
      <w:r>
        <w:rPr>
          <w:color w:val="000000"/>
        </w:rPr>
        <w:t xml:space="preserve"> </w:t>
      </w:r>
      <w:r>
        <w:rPr>
          <w:rFonts w:ascii="Times New Roman;serif" w:hAnsi="Times New Roman;serif"/>
          <w:b w:val="false"/>
          <w:color w:val="000000"/>
          <w:sz w:val="20"/>
        </w:rPr>
        <w:t xml:space="preserve">discussed above.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 xml:space="preserve">In the six months ended June 30, 2026, the Company released seven movies that were filmed with IMAX proprietary cameras (Filmed For IMAX), including </w:t>
      </w:r>
      <w:r>
        <w:rPr>
          <w:rFonts w:ascii="Times New Roman;serif" w:hAnsi="Times New Roman;serif"/>
          <w:b w:val="false"/>
          <w:i/>
          <w:color w:val="000000"/>
          <w:sz w:val="20"/>
        </w:rPr>
        <w:t>Mercy</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The Bride!, Project Hail Mary</w:t>
      </w:r>
      <w:r>
        <w:rPr>
          <w:rFonts w:ascii="Times New Roman;serif" w:hAnsi="Times New Roman;serif"/>
          <w:b w:val="false"/>
          <w:color w:val="000000"/>
          <w:sz w:val="20"/>
        </w:rPr>
        <w:t xml:space="preserve">, </w:t>
      </w:r>
      <w:r>
        <w:rPr>
          <w:rFonts w:ascii="Times New Roman;serif" w:hAnsi="Times New Roman;serif"/>
          <w:b w:val="false"/>
          <w:i/>
          <w:color w:val="000000"/>
          <w:sz w:val="20"/>
        </w:rPr>
        <w:t>Mortal Kombat II, The Mandalorian &amp; Grogu</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Supergirl, </w:t>
      </w:r>
      <w:r>
        <w:rPr>
          <w:rFonts w:ascii="Times New Roman;serif" w:hAnsi="Times New Roman;serif"/>
          <w:b w:val="false"/>
          <w:color w:val="000000"/>
          <w:sz w:val="20"/>
        </w:rPr>
        <w:t xml:space="preserve">and the IMAX documentary </w:t>
      </w:r>
      <w:r>
        <w:rPr>
          <w:rFonts w:ascii="Times New Roman;serif" w:hAnsi="Times New Roman;serif"/>
          <w:b w:val="false"/>
          <w:i/>
          <w:color w:val="000000"/>
          <w:sz w:val="20"/>
        </w:rPr>
        <w:t>Athos.</w:t>
      </w:r>
      <w:r>
        <w:rPr>
          <w:color w:val="000000"/>
        </w:rPr>
        <w:t xml:space="preserve"> </w:t>
      </w:r>
      <w:r>
        <w:rPr>
          <w:rFonts w:ascii="Times New Roman;serif" w:hAnsi="Times New Roman;serif"/>
          <w:b w:val="false"/>
          <w:color w:val="000000"/>
          <w:sz w:val="20"/>
        </w:rPr>
        <w:t>Filmed For IMAX movies historically have performed disproportionately well at the box office, and for four of these films, IMAX delivered approximately 20% or more of the opening weekend domestic box office, despite accounting for only 1% of available screens.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six months ended June 30, 2026, gross margin percent was 61% compared to 67% in the prior year. The Content Solutions margin decline was driven by a combination of factors including; lower box office performance in Greater China, with no significant breakout title, a lower mix of local language films which carries a higher margin, and an increased level of film marketing spend associated with a higher mix of Hollywood titles.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Technology Products and Services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IMAX Systems installed and the associated revenue recognized at that time, except for traditional JRSAs, for which revenue is recognized over the lease term, during the six months ended June 30, 2026 and 2025: </w:t>
      </w:r>
    </w:p>
    <w:p>
      <w:pPr>
        <w:pStyle w:val="TextBody"/>
        <w:bidi w:val="0"/>
        <w:spacing w:before="0" w:after="0"/>
        <w:jc w:val="both"/>
        <w:rPr/>
      </w:pPr>
      <w:r>
        <w:rPr/>
      </w:r>
    </w:p>
    <w:tbl>
      <w:tblPr>
        <w:tblW w:w="9000" w:type="dxa"/>
        <w:jc w:val="left"/>
        <w:tblInd w:w="0" w:type="dxa"/>
        <w:tblLayout w:type="fixed"/>
        <w:tblCellMar>
          <w:top w:w="28" w:type="dxa"/>
          <w:left w:w="28" w:type="dxa"/>
          <w:bottom w:w="28" w:type="dxa"/>
          <w:right w:w="28" w:type="dxa"/>
        </w:tblCellMar>
      </w:tblPr>
      <w:tblGrid>
        <w:gridCol w:w="1460"/>
        <w:gridCol w:w="1285"/>
        <w:gridCol w:w="1289"/>
        <w:gridCol w:w="309"/>
        <w:gridCol w:w="309"/>
        <w:gridCol w:w="311"/>
        <w:gridCol w:w="109"/>
        <w:gridCol w:w="109"/>
        <w:gridCol w:w="109"/>
        <w:gridCol w:w="211"/>
        <w:gridCol w:w="721"/>
        <w:gridCol w:w="109"/>
        <w:gridCol w:w="109"/>
        <w:gridCol w:w="109"/>
        <w:gridCol w:w="109"/>
        <w:gridCol w:w="309"/>
        <w:gridCol w:w="309"/>
        <w:gridCol w:w="311"/>
        <w:gridCol w:w="109"/>
        <w:gridCol w:w="109"/>
        <w:gridCol w:w="109"/>
        <w:gridCol w:w="211"/>
        <w:gridCol w:w="72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number of systems)</w:t>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Systems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Systems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IMAX Systems</w:t>
            </w:r>
          </w:p>
        </w:tc>
        <w:tc>
          <w:tcPr>
            <w:tcW w:w="6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Upgraded IMAX Systems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one IMAX System was relocated from its original location (2025 ― three IMAX Systems). When a system under a sale or sales-type lease arrangement is relocated, the amount of revenue earned by the Company may vary from transaction to transaction and is usually less than the amount earned for a new sale. In certain situations when a system is relocated, the original location is upgraded to an IMAX Laser System.</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Technology Products and Services segment revenue and gross margin increased by $6.9 million, or 7%, and $6.6 million, or 11%, respectively, when compared to the same period in the prior year. The increase in revenue was primarily driven by a $5.0 million increase in revenue contribution from the impact of amendments, renewals and other adjustments to existing IMAX Systems arrangements, coupled with higher revenues for variable consideration recognized from sales arrangements installed in the period.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GBO from JRSAs decreased $36.9 million compared to the prior year, from $265.2 million to $228.3 million. Accordingly, rental revenues of $36.5 million, decreased $1.4 million from $37.8 million in the prior year comparative period, were driven by the lower IMAX box office offset mostly higher average rental rates resulting from the geographic box office mix coupled with additional rent specifically earned from locations in which the Company has invested in lease incentives.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gross margin percent was 58% compared to 56% in the same period in the prior year, which primarily reflects the impact of amendments, renewals and other adjustments as described above.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All Other</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All Other revenue and gross margin increased by $1.1 million, and $1.0 million, respectively, when compared to the same period in 2025, which principally reflects the results of the Company’s SCT business expansion of offerings across automotive consumer devices under the Goer Dynamics partnership, following the re-positioning and relaunch in late 2025 under the brand of IMAX Enhanced, and increased sales of the Company’s merchandise.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Selling, General and Administrative Expenses for the six months ended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46"/>
        <w:gridCol w:w="1318"/>
        <w:gridCol w:w="1322"/>
        <w:gridCol w:w="253"/>
        <w:gridCol w:w="867"/>
        <w:gridCol w:w="131"/>
        <w:gridCol w:w="131"/>
        <w:gridCol w:w="131"/>
        <w:gridCol w:w="131"/>
        <w:gridCol w:w="253"/>
        <w:gridCol w:w="867"/>
        <w:gridCol w:w="131"/>
        <w:gridCol w:w="131"/>
        <w:gridCol w:w="131"/>
        <w:gridCol w:w="131"/>
        <w:gridCol w:w="253"/>
        <w:gridCol w:w="787"/>
        <w:gridCol w:w="131"/>
        <w:gridCol w:w="131"/>
        <w:gridCol w:w="131"/>
        <w:gridCol w:w="131"/>
        <w:gridCol w:w="224"/>
        <w:gridCol w:w="227"/>
        <w:gridCol w:w="416"/>
      </w:tblGrid>
      <w:tr>
        <w:trPr/>
        <w:tc>
          <w:tcPr>
            <w:tcW w:w="18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4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Share-based compensation</w:t>
            </w:r>
            <w:r>
              <w:rPr>
                <w:rFonts w:ascii="Times New Roman;serif" w:hAnsi="Times New Roman;serif"/>
                <w:b w:val="false"/>
                <w:color w:val="000000"/>
                <w:sz w:val="13"/>
              </w:rPr>
              <w:t>(1)</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selling, general and administrative expenses, excluding share-based compensation</w:t>
            </w:r>
            <w:r>
              <w:rPr>
                <w:rFonts w:ascii="Times New Roman;serif" w:hAnsi="Times New Roman;serif"/>
                <w:b w:val="false"/>
                <w:color w:val="000000"/>
                <w:sz w:val="13"/>
              </w:rPr>
              <w:t>(2)</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53,792 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57,182 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(3,390)</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7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2" descr=""/>
                          <pic:cNvPicPr>
                            <a:picLocks noChangeAspect="1" noChangeArrowheads="1"/>
                          </pic:cNvPicPr>
                        </pic:nvPicPr>
                        <pic:blipFill>
                          <a:blip r:embed="rId23"/>
                          <a:stretch>
                            <a:fillRect/>
                          </a:stretch>
                        </pic:blipFill>
                        <pic:spPr bwMode="auto">
                          <a:xfrm>
                            <a:off x="0" y="0"/>
                            <a:ext cx="914400" cy="14605"/>
                          </a:xfrm>
                          <a:prstGeom prst="rect">
                            <a:avLst/>
                          </a:prstGeom>
                        </pic:spPr>
                      </pic:pic>
                    </a:graphicData>
                  </a:graphic>
                </wp:inline>
              </w:drawing>
            </w:r>
            <w:bookmarkStart w:id="22" w:name="i-22"/>
            <w:bookmarkEnd w:id="22"/>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(1)A portion of share-based compensation expense is recognized within Costs and Expenses Applicable to Revenue, and Research and Development. (Refer to “Capital Stock and Reserves — Share-Based Compensation” in Note 11 of Notes to Condensed Consolidated Financial Statements in Part I, Item 1.)</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(2)See “Non-GAAP Financial Measures” for a description of this non-GAAP financial measure and a reconciliation to the most comparable GAAP amount.</w:t>
            </w:r>
          </w:p>
        </w:tc>
      </w:tr>
    </w:tbl>
    <w:p>
      <w:pPr>
        <w:pStyle w:val="TextBody"/>
        <w:bidi w:val="0"/>
        <w:spacing w:before="0" w:after="0"/>
        <w:ind w:left="0" w:right="0" w:hanging="13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lower level of Selling, General and Administrative Expenses year-over-year reflects management’s continued focus on operational efficiencies, including workforce reductions and timing. Additionally, influencing the prior period, were $2.5 million in benefits resulting from an Employee Retention Credit as a reduction to Selling, General and Administrative expenses, partially offset by higher annual incentive compensation costs.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Research and Development expenses were $3.5 million, representing an increase of $0.6 million, or 21%, when compared to Research and Development expenses of $2.9 million during the same period in the prior year. The increase year-over-year was primarily driven by higher depreciation in the current period from the capitalization of film camera costs in a prior year coupled with increased investment in data and software related projects. The Company continues to expense its investment in other projects, including in the development of new product offerings and improvements to its existing IMAX System product suite.</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Credit Loss Expense (Reversal), Net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recorded a credit loss expense of $1.0 million, as compared to a $0.3 million reversal in the same period of the prior year. The year over year change was primarily due to higher reserves established for specific exhibitor customers in China resulting from a deterioration in customer credit quality.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Overall, continued strong global box office performance has contributed to consistent collections. Strong theatrical attendance, driven by a robust film slate, has increased and accelerated cash inflows from studio and exhibitor customers. This trend reflects the continued consumer demand for premium cinematic experiences and effectiveness of IMAX's strategic initiatives to partner with filmmakers, studios, and exhibitors to deliver higher levels of box office.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Interest Expense and Interest Income</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interest expense was $3.9 million, representing an increase of $0.1 million, or 3%, as compared to $3.7 million during the same period of the prior year primarily due to a higher level of borrowings under the Credit Facility (as defined under “—Liquidity and Capital Resources” below), including $9.9 million paid for lease incentives provided to exhibitor customers, in the current period offset by lower average interest rates. The effective interest rate for the six months ended June 30, 2026 was 5.16% (2025 — 6.17%). Additionally, as a result of certain holder of the remaining 2026 Convertible Notes electing to convert, the Company recorded a loss on extinguishment of debt of $0.1 million during the period.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interest income was $1.1 million and $1.7 million, respectively. Interest income primarily comprises interest earned on bank deposits.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recorded an income tax expense of $5.9 million (2025 — $8.5 million). The Company’s effective tax rate of 21.2% for the six months ended June 30, 2026 (2025 — 29.4%), reflects the geographic allocation of income earned in taxing jurisdictions, tax benefit from share-based compensation, tax rate differences in foreign jurisdictions, and reversals of tax reserves, partially offset by an increase in the valuation allowance and withholding taxes. </w:t>
      </w:r>
    </w:p>
    <w:p>
      <w:pPr>
        <w:pStyle w:val="TextBody"/>
        <w:bidi w:val="0"/>
        <w:spacing w:before="0" w:after="0"/>
        <w:jc w:val="both"/>
        <w:rPr/>
      </w:pPr>
      <w:r>
        <w:rPr/>
      </w:r>
    </w:p>
    <w:p>
      <w:pPr>
        <w:pStyle w:val="TextBody"/>
        <w:bidi w:val="0"/>
        <w:spacing w:lineRule="auto" w:line="288" w:before="0" w:after="0"/>
        <w:ind w:left="0" w:right="0" w:firstLine="216"/>
        <w:jc w:val="both"/>
        <w:rPr/>
      </w:pPr>
      <w:r>
        <w:rPr>
          <w:rFonts w:ascii="Times New Roman;serif" w:hAnsi="Times New Roman;serif"/>
          <w:b w:val="false"/>
          <w:color w:val="000000"/>
          <w:sz w:val="20"/>
        </w:rPr>
        <w:t>Management evaluates the realizability of deferred tax assets on a quarterly basis by considering all available positive and negative evidence, including recent operating results, forecasts of future taxable income, and other relevant factors specific to our industry such as the success of new film releases. Based on the Company’s recent operating results in Canada and its expectation of continued profitability, management believes there is a reasonable possibility that sufficient positive evidence may become available within the next twelve months to support the release of some or all of the valuation allowance recorded against its Canadian deferred tax assets.</w:t>
      </w:r>
      <w:r>
        <w:rPr>
          <w:color w:val="000000"/>
        </w:rPr>
        <w:t xml:space="preserve"> </w:t>
      </w:r>
      <w:r>
        <w:rPr>
          <w:rFonts w:ascii="Times New Roman;serif" w:hAnsi="Times New Roman;serif"/>
          <w:b w:val="false"/>
          <w:color w:val="000000"/>
          <w:sz w:val="20"/>
        </w:rPr>
        <w:t>However, as of June 30, 2026, management has concluded that the available positive evidence is not yet sufficient to overcome the remaining negative evidence and support realization of those deferred tax assets.</w:t>
      </w:r>
      <w:r>
        <w:rPr>
          <w:color w:val="000000"/>
        </w:rPr>
        <w:t xml:space="preserve"> </w:t>
      </w:r>
      <w:r>
        <w:rPr>
          <w:rFonts w:ascii="Times New Roman;serif" w:hAnsi="Times New Roman;serif"/>
          <w:b w:val="false"/>
          <w:color w:val="000000"/>
          <w:sz w:val="20"/>
        </w:rPr>
        <w:t>Any such release would result in a material income tax benefit in the period the conclusion is reached. At December 31, 2025, the amount of the Canadian valuation allowance was $55.5 million. The timing and amount of a valuation allowance release will depend on the Company’s ability to generate sufficient taxable income in Canada, macroeconomic conditions, and other factors affecting management’s assessment.</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disclosed in Note 2 — Summary of Significant Accounting Policies of the 2025 Form 10-K, the Company is subject to ongoing tax audits. Subsequent to June 30, 2026, the Company received a proposal letter from the Canada Revenue Agency related to an examination of international matters in prior taxation years. Any potential reassessment encompasses an ultimate resolution involving multiple tax jurisdictions, which may result in offsetting tax differences from what was originally recognized in its financial statements. The Company continues to believe that it has adequately accounted for all uncertain tax positions, including this pending notice of reassessment.</w:t>
      </w:r>
    </w:p>
    <w:p>
      <w:pPr>
        <w:pStyle w:val="TextBody"/>
        <w:bidi w:val="0"/>
        <w:spacing w:before="0" w:after="0"/>
        <w:ind w:left="0" w:right="0" w:firstLine="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net income attributable to non-controlling interests of the Company’s subsidiaries was $2.4 million, a decrease of $4.5 million, when compared to the same period in 2025, which was driven by the lower level of IMAX box office earned in Greater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i/>
          <w:color w:val="000000"/>
          <w:sz w:val="20"/>
        </w:rPr>
      </w:pPr>
      <w:r>
        <w:rPr>
          <w:rFonts w:ascii="Times New Roman;serif" w:hAnsi="Times New Roman;serif"/>
          <w:b/>
          <w:i/>
          <w:color w:val="000000"/>
          <w:sz w:val="20"/>
        </w:rPr>
        <w:t>Restructuring Charges and Other Impairments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recorded $2.3 million (2025 — $0.8 million) in Restructuring charges and other impairments.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the Company recognized an impairment charge of $2.0 million (2025 — $nil) on an individual documentary film asset following a reassessment of estimated future revenues. The revised estimates reflect updates to estimated market performance and future monetization of the title. In addition, the Company incurred other termination and restructuring charges of $0.3 million (2025 — $0.8 million). These charges are associated with strategic initiatives aimed at enhancing operational efficiency, reducing costs, and optimizing the Company’s organizational structure. Specifically, the Company incurred costs in connection with the implementation of its plan to optimize its organizational structure, including the elimination of redundant roles, addressing spans and layers to capture efficiencies and centralize certain operational roles.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CASH FLOWS FOR THE SIX MONTHS ENDED JUNE 30, 2026 AND 2025</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below summarizes our cash flows from operating, investing, and financing activities as reflected in the Condensed Consolidated Statements of Cash Flows for the six months ended June 30, 2026 and 2025. </w:t>
      </w:r>
    </w:p>
    <w:p>
      <w:pPr>
        <w:pStyle w:val="TextBody"/>
        <w:bidi w:val="0"/>
        <w:spacing w:before="0" w:after="0"/>
        <w:ind w:left="0" w:right="0" w:firstLine="216"/>
        <w:jc w:val="left"/>
        <w:rPr/>
      </w:pPr>
      <w:r>
        <w:rPr/>
      </w:r>
    </w:p>
    <w:tbl>
      <w:tblPr>
        <w:tblW w:w="5798" w:type="dxa"/>
        <w:jc w:val="left"/>
        <w:tblInd w:w="0" w:type="dxa"/>
        <w:tblLayout w:type="fixed"/>
        <w:tblCellMar>
          <w:top w:w="28" w:type="dxa"/>
          <w:left w:w="28" w:type="dxa"/>
          <w:bottom w:w="28" w:type="dxa"/>
          <w:right w:w="28" w:type="dxa"/>
        </w:tblCellMar>
      </w:tblPr>
      <w:tblGrid>
        <w:gridCol w:w="1210"/>
        <w:gridCol w:w="1066"/>
        <w:gridCol w:w="1068"/>
        <w:gridCol w:w="211"/>
        <w:gridCol w:w="721"/>
        <w:gridCol w:w="109"/>
        <w:gridCol w:w="109"/>
        <w:gridCol w:w="109"/>
        <w:gridCol w:w="109"/>
        <w:gridCol w:w="211"/>
        <w:gridCol w:w="721"/>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8,659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Net cash provided by the Company’s operating activities increased $5.8 million in the six months ended June 30, 2026, when compared to the same period in 2025, primarily driven by an increase in the net income earned in the current period and a net increase in working capital driven by strong Accounts Receivable collections during the period, partially offset by a $7.7 million increase in cash outflows for lease incentives provided to exhibitor customers. (Refer to Note 9 to Condensed Consolidated Financial Statements in Item 1. for more information on the Company’s change in other operating assets and liabilities.)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$9.0 million in the six months ended June 30, 2026, when compared to the same period in 2025. Cash used in the investment in equipment contributed to the Company’s JRSAs with exhibitor customers was higher in the first half of 2025 due in part to the Company shipping systems into the U.S. in advance of planned 2025 system installations as a proactive measure in response to new and potentially changing tariffs. (Refer to “Risk Factors—The Company’s business may be materially adversely affected by the imposition of tariffs and other trade barriers and retaliatory countermeasures implemented by the United States and other governments.” in Part I, Item 1A. in the 2025 Form 10-K.)</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$14.8 million in the six months ended June 30, 2026, when compared to the same period in 2025, mainly driven by repurchases of common shares and higher taxes withheld and paid on employee stock awards vested due to the Company’s higher stock price relative to grant dates. This decrease was partially offset by cash received for stock options exercised during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principal sources of liquidity included: (i) its balances of cash and cash equivalents of $159.9 million; (ii) the anticipated collection of trade accounts receivable, which includes amounts owed under JRSAs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addition, as of June 30, 2026, the Company had $334.0 million in available borrowing capacity under its Credit Facility pursuant to its Seventh Amended and Restated Credit Agreement (the “Credit Agreement”), $27.9 million in available borrowing capacity under the IMAX Shanghai revolving credit facility with the Bank of China (the “Bank of China Facility”), and $29.4 million in available borrowing capacity under IMAX Shanghai’s revolving credit facility with HSBC Bank (China) Company Limited, Shanghai Branch (the “HSBC China Facility”). (Refer to “Borrowings — Convertible Notes and Other Borrowings, Net” in Note 6 of Notes to Condensed Consolidated Financial Statements in Part I, Item 1.)</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$159.9 million balance of cash and cash equivalents as of June 30, 2026 (December 31, 2025 — $151.2 million) included $150.1 million in cash held outside of Canada (December 31, 2025 — $137.4 million), of which $110.5 million was held in the People’s Republic of China (the “PRC”) (December 31, 2025 — $97.2 million). In prior years,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six months ended June 30, 2026, no historical earnings from a subsidiary in the PRC were distributed (2025 — $nil) and, as a result, no foreign withholding taxes were paid to the relevant tax authorities (2025 — $nil). As of June 30, 2026, the Company’s Condensed Consolidated Balance Sheets included a deferred tax liability of $12.5 million for the applicable foreign withholding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associated with the remaining balance of non-repatriated historical earnings that will not be indefinitely reinvested outside of Canada. These taxes will become payable upon the repatriation of any such earnings.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2025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 </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also has certain significant contractual obligations and commitments that have been disclosed in “Contractual Obligations” in Part II, Item 7 of the Company’s 2025 Form 10-K. There are no material changes to these obligations and commitments as of June 30, 2026.</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There are currently no off-balance sheet arrangements that have or are reasonably likely to have a current or future material effect on the Company’s financial condition.</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2025 Form 10-K.</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Refer to Note 2 of Notes to Condensed Consolidated Financial Statements in Part I, Item 1 for a discussion of recently issued accounting standards and their impact on the Company’s Condensed Consolidated Financial Statements.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net income or loss attributable to common shareholders;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net income or loss attributable to common shareholders per basic and diluted share;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EBITDA;</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EBITDA per Credit Facility; and</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pPr>
      <w:r>
        <w:rPr>
          <w:color w:val="000000"/>
        </w:rPr>
        <w:t>•</w:t>
      </w:r>
      <w:r>
        <w:rPr>
          <w:rFonts w:ascii="Times New Roman;serif" w:hAnsi="Times New Roman;serif"/>
          <w:b w:val="false"/>
          <w:color w:val="000000"/>
          <w:sz w:val="20"/>
        </w:rPr>
        <w:t>Adjusted SG&amp;A expenses.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or loss attributable to common shareholders and adjusted net income or loss attributable to common shareholders per basic and diluted share exclude, where applicable: (i) share-based compensation; (ii) realized and unrealized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gains or losses; (iii) restructuring charges and other impairments; and (iv) employee retention credits, as well as the related tax impact of these adjustments.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non-recurring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attributable to common shareholders and net income attributable to common shareholder per diluted share to adjusted net income attributable to common shareholders and adjusted net income attributable to common shareholders per diluted share are presented in the tables below.</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02"/>
        <w:gridCol w:w="1385"/>
        <w:gridCol w:w="1390"/>
        <w:gridCol w:w="211"/>
        <w:gridCol w:w="721"/>
        <w:gridCol w:w="109"/>
        <w:gridCol w:w="109"/>
        <w:gridCol w:w="109"/>
        <w:gridCol w:w="109"/>
        <w:gridCol w:w="344"/>
        <w:gridCol w:w="836"/>
        <w:gridCol w:w="178"/>
        <w:gridCol w:w="109"/>
        <w:gridCol w:w="109"/>
        <w:gridCol w:w="109"/>
        <w:gridCol w:w="211"/>
        <w:gridCol w:w="721"/>
        <w:gridCol w:w="109"/>
        <w:gridCol w:w="109"/>
        <w:gridCol w:w="109"/>
        <w:gridCol w:w="109"/>
        <w:gridCol w:w="338"/>
        <w:gridCol w:w="819"/>
        <w:gridCol w:w="250"/>
      </w:tblGrid>
      <w:tr>
        <w:trPr/>
        <w:tc>
          <w:tcPr>
            <w:tcW w:w="160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retention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on items listed above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55,161 </w:t>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8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3" descr=""/>
                          <pic:cNvPicPr>
                            <a:picLocks noChangeAspect="1" noChangeArrowheads="1"/>
                          </pic:cNvPicPr>
                        </pic:nvPicPr>
                        <pic:blipFill>
                          <a:blip r:embed="rId24"/>
                          <a:stretch>
                            <a:fillRect/>
                          </a:stretch>
                        </pic:blipFill>
                        <pic:spPr bwMode="auto">
                          <a:xfrm>
                            <a:off x="0" y="0"/>
                            <a:ext cx="914400" cy="14605"/>
                          </a:xfrm>
                          <a:prstGeom prst="rect">
                            <a:avLst/>
                          </a:prstGeom>
                        </pic:spPr>
                      </pic:pic>
                    </a:graphicData>
                  </a:graphic>
                </wp:inline>
              </w:drawing>
            </w:r>
            <w:bookmarkStart w:id="23" w:name="i-23"/>
            <w:bookmarkEnd w:id="23"/>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(1)Reflects amounts attributable to common shareholders.</w:t>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02"/>
        <w:gridCol w:w="1385"/>
        <w:gridCol w:w="1390"/>
        <w:gridCol w:w="211"/>
        <w:gridCol w:w="721"/>
        <w:gridCol w:w="109"/>
        <w:gridCol w:w="109"/>
        <w:gridCol w:w="109"/>
        <w:gridCol w:w="109"/>
        <w:gridCol w:w="344"/>
        <w:gridCol w:w="836"/>
        <w:gridCol w:w="178"/>
        <w:gridCol w:w="109"/>
        <w:gridCol w:w="109"/>
        <w:gridCol w:w="109"/>
        <w:gridCol w:w="211"/>
        <w:gridCol w:w="721"/>
        <w:gridCol w:w="109"/>
        <w:gridCol w:w="109"/>
        <w:gridCol w:w="109"/>
        <w:gridCol w:w="109"/>
        <w:gridCol w:w="338"/>
        <w:gridCol w:w="819"/>
        <w:gridCol w:w="250"/>
      </w:tblGrid>
      <w:tr>
        <w:trPr/>
        <w:tc>
          <w:tcPr>
            <w:tcW w:w="160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 Diluted Share</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retention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on items listed above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56,475 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55,064 </w:t>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8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4" descr=""/>
                          <pic:cNvPicPr>
                            <a:picLocks noChangeAspect="1" noChangeArrowheads="1"/>
                          </pic:cNvPicPr>
                        </pic:nvPicPr>
                        <pic:blipFill>
                          <a:blip r:embed="rId25"/>
                          <a:stretch>
                            <a:fillRect/>
                          </a:stretch>
                        </pic:blipFill>
                        <pic:spPr bwMode="auto">
                          <a:xfrm>
                            <a:off x="0" y="0"/>
                            <a:ext cx="914400" cy="14605"/>
                          </a:xfrm>
                          <a:prstGeom prst="rect">
                            <a:avLst/>
                          </a:prstGeom>
                        </pic:spPr>
                      </pic:pic>
                    </a:graphicData>
                  </a:graphic>
                </wp:inline>
              </w:drawing>
            </w:r>
            <w:bookmarkStart w:id="24" w:name="i-24"/>
            <w:bookmarkEnd w:id="24"/>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(1)Reflects amounts attributable to common shareholders.</w:t>
            </w:r>
          </w:p>
          <w:p>
            <w:pPr>
              <w:pStyle w:val="TableContents"/>
              <w:bidi w:val="0"/>
              <w:spacing w:before="0" w:after="0"/>
              <w:jc w:val="left"/>
              <w:rPr/>
            </w:pPr>
            <w:r>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useful information widely used by analysts, investors and other interested parties in the Company’s industry to evaluate, assess and benchmark the Company’s results.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restructuring charges and other impairments; (iv) write-downs, net of recoveries, including goodwill, asset impairments and credit loss expense or reversal; and (v) induced conversion expense on settlement of convertible notes.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attributable to common shareholders, which is the most directly comparable GAAP measure, to EBITDA and Adjusted EBITDA per Credit Facility are presented in the tables below:</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2468"/>
        <w:gridCol w:w="2167"/>
        <w:gridCol w:w="2174"/>
        <w:gridCol w:w="590"/>
        <w:gridCol w:w="2018"/>
        <w:gridCol w:w="304"/>
        <w:gridCol w:w="109"/>
        <w:gridCol w:w="109"/>
        <w:gridCol w:w="109"/>
        <w:gridCol w:w="157"/>
      </w:tblGrid>
      <w:tr>
        <w:trPr/>
        <w:tc>
          <w:tcPr>
            <w:tcW w:w="246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9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484" w:type="dxa"/>
            <w:gridSpan w:val="4"/>
            <w:tcBorders/>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29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(subtract):</w:t>
            </w:r>
          </w:p>
        </w:tc>
        <w:tc>
          <w:tcPr>
            <w:tcW w:w="2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film asset amortization</w:t>
            </w:r>
          </w:p>
        </w:tc>
        <w:tc>
          <w:tcPr>
            <w:tcW w:w="2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deferred financing costs</w:t>
            </w:r>
            <w:r>
              <w:rPr>
                <w:rFonts w:ascii="Times New Roman;serif" w:hAnsi="Times New Roman;serif"/>
                <w:b w:val="false"/>
                <w:color w:val="000000"/>
                <w:sz w:val="13"/>
              </w:rPr>
              <w:t>(1)</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6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36,410 </w:t>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and other non-cash compensation</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2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2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Write-downs, including asset impairments and credit loss expense</w:t>
            </w:r>
          </w:p>
        </w:tc>
        <w:tc>
          <w:tcPr>
            <w:tcW w:w="2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5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47,966 </w:t>
            </w:r>
          </w:p>
        </w:tc>
        <w:tc>
          <w:tcPr>
            <w:tcW w:w="30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26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per Credit Facility - attributable to common shareholders</w:t>
            </w:r>
          </w:p>
        </w:tc>
        <w:tc>
          <w:tcPr>
            <w:tcW w:w="590"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8"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45,629 </w:t>
            </w:r>
          </w:p>
        </w:tc>
        <w:tc>
          <w:tcPr>
            <w:tcW w:w="30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6"/>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8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5" descr=""/>
                          <pic:cNvPicPr>
                            <a:picLocks noChangeAspect="1" noChangeArrowheads="1"/>
                          </pic:cNvPicPr>
                        </pic:nvPicPr>
                        <pic:blipFill>
                          <a:blip r:embed="rId26"/>
                          <a:stretch>
                            <a:fillRect/>
                          </a:stretch>
                        </pic:blipFill>
                        <pic:spPr bwMode="auto">
                          <a:xfrm>
                            <a:off x="0" y="0"/>
                            <a:ext cx="914400" cy="14605"/>
                          </a:xfrm>
                          <a:prstGeom prst="rect">
                            <a:avLst/>
                          </a:prstGeom>
                        </pic:spPr>
                      </pic:pic>
                    </a:graphicData>
                  </a:graphic>
                </wp:inline>
              </w:drawing>
            </w:r>
            <w:bookmarkStart w:id="25" w:name="i-25"/>
            <w:bookmarkEnd w:id="25"/>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amortization of deferred financing costs is recorded within Interest Expense in the Condensed Consolidated Statements of Operations.</w:t>
            </w:r>
          </w:p>
        </w:tc>
        <w:tc>
          <w:tcPr>
            <w:tcW w:w="484"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2445"/>
        <w:gridCol w:w="2147"/>
        <w:gridCol w:w="2152"/>
        <w:gridCol w:w="547"/>
        <w:gridCol w:w="2147"/>
        <w:gridCol w:w="282"/>
        <w:gridCol w:w="109"/>
        <w:gridCol w:w="109"/>
        <w:gridCol w:w="109"/>
        <w:gridCol w:w="158"/>
      </w:tblGrid>
      <w:tr>
        <w:trPr/>
        <w:tc>
          <w:tcPr>
            <w:tcW w:w="2445"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Twelve Months Ended June 30, 2026</w:t>
            </w:r>
          </w:p>
        </w:tc>
        <w:tc>
          <w:tcPr>
            <w:tcW w:w="485" w:type="dxa"/>
            <w:gridSpan w:val="4"/>
            <w:tcBorders/>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2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(subtract):</w:t>
            </w:r>
          </w:p>
        </w:tc>
        <w:tc>
          <w:tcPr>
            <w:tcW w:w="2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film asset amortization</w:t>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deferred financing costs</w:t>
            </w:r>
            <w:r>
              <w:rPr>
                <w:rFonts w:ascii="Times New Roman;serif" w:hAnsi="Times New Roman;serif"/>
                <w:b w:val="false"/>
                <w:color w:val="000000"/>
                <w:sz w:val="13"/>
              </w:rPr>
              <w:t>(1)</w:t>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6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130,115 </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and other non-cash compensation</w:t>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losses</w:t>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2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vAlign w:val="center"/>
          </w:tcPr>
          <w:p>
            <w:pPr>
              <w:pStyle w:val="TableContents"/>
              <w:bidi w:val="0"/>
              <w:spacing w:before="0" w:after="283"/>
              <w:jc w:val="left"/>
              <w:rPr>
                <w:sz w:val="4"/>
                <w:szCs w:val="4"/>
              </w:rPr>
            </w:pPr>
            <w:r>
              <w:rPr>
                <w:sz w:val="4"/>
                <w:szCs w:val="4"/>
              </w:rPr>
            </w:r>
          </w:p>
        </w:tc>
        <w:tc>
          <w:tcPr>
            <w:tcW w:w="2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Write-downs, including goodwill, asset impairments and credit loss expense</w:t>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Induced conversion expense on settlement of convertible notes</w:t>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187,387 </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26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(13,932)</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per Credit Facility - attributable to common shareholders</w:t>
            </w:r>
          </w:p>
        </w:tc>
        <w:tc>
          <w:tcPr>
            <w:tcW w:w="5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173,455 </w:t>
            </w:r>
          </w:p>
        </w:tc>
        <w:tc>
          <w:tcPr>
            <w:tcW w:w="2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6"/>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8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6" descr=""/>
                          <pic:cNvPicPr>
                            <a:picLocks noChangeAspect="1" noChangeArrowheads="1"/>
                          </pic:cNvPicPr>
                        </pic:nvPicPr>
                        <pic:blipFill>
                          <a:blip r:embed="rId27"/>
                          <a:stretch>
                            <a:fillRect/>
                          </a:stretch>
                        </pic:blipFill>
                        <pic:spPr bwMode="auto">
                          <a:xfrm>
                            <a:off x="0" y="0"/>
                            <a:ext cx="914400" cy="14605"/>
                          </a:xfrm>
                          <a:prstGeom prst="rect">
                            <a:avLst/>
                          </a:prstGeom>
                        </pic:spPr>
                      </pic:pic>
                    </a:graphicData>
                  </a:graphic>
                </wp:inline>
              </w:drawing>
            </w:r>
            <w:bookmarkStart w:id="26" w:name="i-26"/>
            <w:bookmarkEnd w:id="26"/>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(1)The amortization of deferred financing costs is recorded within Interest Expense in the Condensed Consolidated Statements of Operations.</w:t>
            </w:r>
          </w:p>
          <w:p>
            <w:pPr>
              <w:pStyle w:val="TableContents"/>
              <w:bidi w:val="0"/>
              <w:spacing w:before="0" w:after="0"/>
              <w:jc w:val="both"/>
              <w:rPr/>
            </w:pPr>
            <w:r>
              <w:rPr/>
            </w:r>
          </w:p>
          <w:p>
            <w:pPr>
              <w:pStyle w:val="TableContents"/>
              <w:bidi w:val="0"/>
              <w:spacing w:before="0" w:after="0"/>
              <w:jc w:val="both"/>
              <w:rPr/>
            </w:pPr>
            <w:r>
              <w:rPr/>
            </w:r>
          </w:p>
        </w:tc>
        <w:tc>
          <w:tcPr>
            <w:tcW w:w="485"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adjusts SG&amp;A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results, enhances the overall understanding of past financial performance and future prospects, and allows for greater transparency with respect to key metrics used by management and its financial and operational decision making.</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 reconciliation of Selling, General and Administrative Expenses, the most directly comparable GAAP measure presented in the Condensed Consolidated Statement of Operations in Part I, Item 1, to Adjusted Selling, General and Administrative Expenses is presented in the table below.</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1690"/>
        <w:gridCol w:w="1442"/>
        <w:gridCol w:w="14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5"/>
      </w:tblGrid>
      <w:tr>
        <w:trPr/>
        <w:tc>
          <w:tcPr>
            <w:tcW w:w="169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Adjusted Selling, general and administrative expenses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57,182 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cautions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Foreign Exchange Rate Risk</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91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Certain of the Company’s PRC subsidiaries held approximately RMB 749.7 million ($110.1 million) in cash and cash equivalents as of June 30, 2026 (December 31, 2025 — RMB 678.2 million or $96.5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 of the Company’s 2025 Form 10-K.)</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Management also monitors the macroeconomic environment as part of its continuous assessment of credit risk. This includes consideration of developments in the U.S. and global banking sectors,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a foreign exchange net gain of $0.4 million and net loss of $0.2 million respectively, resulting from changes in exchange rates related to foreign currency denominated monetary assets and liabilities (2025 — net gain of $0.2 million and net loss of $0.2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June 30, 2026, with settlement dates throughout 2026 and 2027.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notional value of foreign currency cash flow hedging instruments that qualify for hedge accounting as of June 30, 2026 was $46.3 million (December 31, 2025 — $48.4 million). Losses of $0.8 million and losses of $1.4 million were recorded to Other Comprehensive Loss with respect to the change in fair value of these contracts for the three and six months ended June 30, 2026, respectively (2025 — gains of $2.5 million and gains of $1.8 million, respectively). Gains of $0.1 million and $0.4 million were reclassified from Accumulated Other Comprehensive Loss to Selling, General and Administrative Expenses for the three and six months ended June 30, 2026, respectively (2025 — Losses of $0.3 million and $1.6 million, respectively). The Company currently does not hold any derivatives which are not designated as hedging instruments.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Financing Receivables and working capital items denominated in Canadian Dollars, RMB, Japanese Yen, Euros and other foreign currencies translated into U.S. Dollars was $132.1 million. Assuming a 10% appreciation or depreciation in foreign currency exchange rates from the quoted foreign currency exchange rates as of June 30, 2026, the potential change in the fair value of foreign currency-denominated financing receivables and working capital items would have been $13.2 million. A significant portion of the Company’s Selling, General, and Administrative Expenses is denominated in Canadian Dollars. Assuming a 1% change appreciation or depreciation in foreign currency exchange rates as of June 30, 2026, the potential change in the amount of Selling, General, and Administrative Expenses would be $0.2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Interest Rate Risk Management</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earnings may also be affected by changes in interest rates due to the impact those changes have on its interest income from cash, and its interest expense from variable-rate borrowings that may be made under the Credit Facility.</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drawn down $41.0 million on its Credit Facility (December 31, 2025 — $37.0 million), and $nil on its HSBC China Facility (December 31, 2025 — $nil) and $nil on its Bank of China Facility (December 31, 2025 — $nil), which are subject to variable effective interest rates. If the interest rates available to the Company increased by 10%, the Company’s interest expense would increase by $0.2 million and interest income from cash would increase by $0.3 million.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had variable rate debt instruments representing 9% and 8% of its total liabilities as of June 30, 2026 and December 31, 2025, respectively. These amounts are determined by considering the impact of the hypothetical interest rates on the Company’s variable rate debt and cash balances as of June 30, 2026.</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principal executive and principal financial officers,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principal executive and principal financial officers, has evaluated the effectiveness of the Company’s “disclosure controls and procedures” (as defined in Rules 13a-15(e) or 15d-15(e) under the Exchange Act) as of June 30, 2026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which occurred during the three months ended June 30, 2026,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Refer to Note 7 of Notes to Condensed Consolidated Financial Statements in Part I, Item 1 for information regarding legal proceedings involving the Company.</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This Form 10-Q should be read together with, and supplement, the risk factors in Item 1A “Risk Factors” in the Company’s 2025 Form 10-K, which describes various risks and uncertainties to which the Company is or may become subject. The risk factors below update certain risk factors included in the Company’s 2025 Form 10-K in light of recent events. The below risk factors and the risk factors included in the Company’s 2025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pStyle w:val="TextBody"/>
        <w:bidi w:val="0"/>
        <w:spacing w:before="0" w:after="0"/>
        <w:ind w:left="0" w:right="0" w:firstLine="216"/>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Company conducts business internationally, which exposes it to uncertainties and risks that could negatively affect its operations, sales, and future growth prospects.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revenues and of the GBO earned by the Company’s exhibitor customers are generated outside the United States and Canada. Approximately 62%, 58%, and 64% of the Company’s revenues were derived outside of the United States and Canada in 2025, 2024, and 2023, respectively. As of June 30, 2026, 73% of IMAX Systems in backlog were scheduled to be installed in international markets. The Company’s network spanned 91 different countries as of June 30, 2026,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among others, include: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Operational and Supply Chain Risks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obtaining competitively priced key commodities, raw materials, and component parts from various international sources that are needed to manufacture quality products on a timely basis;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dependence on foreign distributors and their sales channels;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reliance on local partners in foreign territories, including in connection with JRSAs;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inability to complete installations of IMAX Systems, including as a result of material disruptions or delays in the Company’s supply chains, or to collect full payment on installations thereof;</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public health concerns, including pandemics or epidemics, and regulations in response thereto, which could adversely affect the Company’s and its customers’ operations; and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harm to the IMAX brand from operating in countries with records of controversial government action, including human rights abuses.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Macroeconomic Risks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fluctuations in the value of foreign currencies versus the U.S. Dollar, potential currency devaluations, and imposition of foreign exchange controls in foreign jurisdictions;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adverse changes in foreign government monetary and/or tax policies, and/or difficulties in repatriating cash from foreign jurisdictions (including with respect to China, where approval of the State Administration of Foreign Exchange is required);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requirements to provide performance bonds and letters of credit to international customers to secure IMAX System component deliveries;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less accurate and/or less reliable box office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establishing market-appropriate pricing; and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economic conditions in foreign markets, including inflation.</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Geopolitical, Trade, and Regulatory Compliance Risks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new and potentially changing tariffs, trade protection measures, import or export licensing requirements, trade embargoes, sanctions and export controls, and other trade barriers, including but not limited to planned, implemented or threatened tariffs and retaliatory responses thereto, or the residual impacts and uncertainty as a result of changes in tariff or trade policy;</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new restrictions on access to markets, both for IMAX Systems and content;</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unusual or burdensome foreign laws or regulatory requirements or unexpected changes to those laws or requirements, including censorship of content that may restrict what films or other content are exhibited across the Company’s network;</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local business practices that can present challenges to compliance with applicable anti-corruption and bribery laws;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poor recognition of intellectual property rights;</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difficulties in enforcing contractual rights; and</w:t>
      </w:r>
    </w:p>
    <w:p>
      <w:pPr>
        <w:pStyle w:val="TextBody"/>
        <w:bidi w:val="0"/>
        <w:spacing w:before="0" w:after="0"/>
        <w:ind w:left="0" w:right="0" w:firstLine="216"/>
        <w:jc w:val="both"/>
        <w:rPr/>
      </w:pPr>
      <w:r>
        <w:rPr/>
      </w:r>
    </w:p>
    <w:p>
      <w:pPr>
        <w:pStyle w:val="TextBody"/>
        <w:bidi w:val="0"/>
        <w:spacing w:lineRule="auto" w:line="288" w:before="0" w:after="0"/>
        <w:ind w:left="0" w:right="0" w:hanging="144"/>
        <w:jc w:val="both"/>
        <w:rPr/>
      </w:pPr>
      <w:r>
        <w:rPr>
          <w:color w:val="000000"/>
        </w:rPr>
        <w:t>•</w:t>
      </w:r>
      <w:r>
        <w:rPr>
          <w:rFonts w:ascii="Times New Roman;serif" w:hAnsi="Times New Roman;serif"/>
          <w:b w:val="false"/>
          <w:color w:val="000000"/>
          <w:sz w:val="20"/>
        </w:rPr>
        <w:t>war, conflict, geopolitical tensions and other political, economic and social instability, terrorist attacks and security concerns, such as the ongoing conflict between Russia and Ukraine, the war in Iran and other armed conflicts in the Middle East, and escalating tensions in the Taiwan Strait, all of which could result in adverse consequences for the Company’s interests in different regions of the world.</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Global geopolitical tensions and actions that governments take in response and the resulting global and regional economic downturns have had and may in the future adversely impact the Company’s ability to operate in such regions. For example, the ongoing conflict between Russia and Ukraine and responses thereto have had and may continue to have an adverse impact on the Company’s business and results of operations in affected regions, including the continued suspension of the Company’s operations across the Company’s 54 theaters in the region. Three theaters in Israel and one theater in Lebanon have been impacted by closures or are operating in limited capacity due to the Iran war. The other 31 of the Company’s 35 theaters in the Middle East region remain fully operational. Furthermore, disruptions to key global shipping routes, including the Strait of Hormuz, have and may continue to adversely affect global supply chains by increasing transportation time and cost as well as increasing uncertainty in the availability of critical goods and services, which may in turn impact the Company’s operations. Given the uncertainty as to the scope, intensity, duration and outcome of geopolitical conflicts, it is difficult to predict the full extent of the adverse impacts of geopolitical conflicts on the Company’s business and results of operations. Additionally, given the global nature of the Company’s operations, any protracted conflict or the broader macroeconomic impact of geopolitical conflicts and sanctions imposed in response thereto, have had and could continue to have an adverse impact on the Company’s business, results of operations, financial condition, and future performance and may also magnify the impact of other risks described herein, including the risk of cybersecurity attacks, which may impact information technology systems unrelated to the conflict, or jeopardize critical infrastructure in jurisdictions where the Company operates.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While the Company has implemented policies, internal controls, and other measures reasonably designed to promote compliance with applicable laws and regulations related to doing business internationally, any violations of these laws and regulations, or even allegations of such a violation, could disrupt the Company’s operations and harm the Company’s business, financial condition and results of operations. 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particular country may impede the Company’s ability to conduct business in that country and have a negative impact on the Company’s financial condition and future growth prospects.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before="0" w:after="0"/>
        <w:jc w:val="both"/>
        <w:rPr/>
      </w:pPr>
      <w:r>
        <w:rPr/>
      </w:r>
    </w:p>
    <w:p>
      <w:pPr>
        <w:pStyle w:val="TextBody"/>
        <w:bidi w:val="0"/>
        <w:spacing w:lineRule="auto" w:line="288" w:before="0" w:after="0"/>
        <w:ind w:left="0" w:right="0" w:firstLine="216"/>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hanging="36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On June 12, 2017, the Company announced that its Board of Directors approved a $200.0 million share repurchase program for its common shares that would have expired on June 30, 2020, which was subsequently extended through June 30, 2027 and increased to a total share repurchase authority to $500.0 million under the current share repurchase program. As of June 30, 2026, the Company had $237.0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404,866 common shares at an average price of $33.91 per share, for a total of $13.7 million, excluding commission. All share repurchases were made under the Company’s publicly announced program, and there are no other programs under which the Company repurchases shares.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The Company’s common share repurchase program activity for the three months ended June 30, 2026 was as follows:</w:t>
      </w:r>
    </w:p>
    <w:p>
      <w:pPr>
        <w:pStyle w:val="TextBody"/>
        <w:bidi w:val="0"/>
        <w:spacing w:before="0" w:after="0"/>
        <w:ind w:left="0" w:right="0" w:firstLine="216"/>
        <w:jc w:val="both"/>
        <w:rPr/>
      </w:pPr>
      <w:r>
        <w:rPr/>
      </w:r>
    </w:p>
    <w:tbl>
      <w:tblPr>
        <w:tblW w:w="10205" w:type="dxa"/>
        <w:jc w:val="left"/>
        <w:tblInd w:w="0" w:type="dxa"/>
        <w:tblLayout w:type="fixed"/>
        <w:tblCellMar>
          <w:top w:w="28" w:type="dxa"/>
          <w:left w:w="28" w:type="dxa"/>
          <w:bottom w:w="28" w:type="dxa"/>
          <w:right w:w="28" w:type="dxa"/>
        </w:tblCellMar>
      </w:tblPr>
      <w:tblGrid>
        <w:gridCol w:w="447"/>
        <w:gridCol w:w="394"/>
        <w:gridCol w:w="396"/>
        <w:gridCol w:w="684"/>
        <w:gridCol w:w="432"/>
        <w:gridCol w:w="434"/>
        <w:gridCol w:w="124"/>
        <w:gridCol w:w="124"/>
        <w:gridCol w:w="124"/>
        <w:gridCol w:w="297"/>
        <w:gridCol w:w="868"/>
        <w:gridCol w:w="153"/>
        <w:gridCol w:w="124"/>
        <w:gridCol w:w="124"/>
        <w:gridCol w:w="124"/>
        <w:gridCol w:w="867"/>
        <w:gridCol w:w="644"/>
        <w:gridCol w:w="646"/>
        <w:gridCol w:w="124"/>
        <w:gridCol w:w="124"/>
        <w:gridCol w:w="124"/>
        <w:gridCol w:w="383"/>
        <w:gridCol w:w="2154"/>
        <w:gridCol w:w="290"/>
      </w:tblGrid>
      <w:tr>
        <w:trPr/>
        <w:tc>
          <w:tcPr>
            <w:tcW w:w="4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 as part of publicly announced program</w:t>
            </w:r>
            <w:r>
              <w:rPr>
                <w:rFonts w:ascii="Times New Roman;serif" w:hAnsi="Times New Roman;serif"/>
                <w:b/>
                <w:color w:val="000000"/>
                <w:sz w:val="1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 approximate dollar value of shares that may yet be purchased under the program</w:t>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1 through April 30, 2026</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250,720,352 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 through May 31, 2026</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404,866 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404,866 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236,991,163 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 through June 30, 2026</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236,991,163 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404,866 </w:t>
            </w:r>
          </w:p>
        </w:tc>
        <w:tc>
          <w:tcPr>
            <w:tcW w:w="4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404,866 </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282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9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7" descr=""/>
                          <pic:cNvPicPr>
                            <a:picLocks noChangeAspect="1" noChangeArrowheads="1"/>
                          </pic:cNvPicPr>
                        </pic:nvPicPr>
                        <pic:blipFill>
                          <a:blip r:embed="rId28"/>
                          <a:stretch>
                            <a:fillRect/>
                          </a:stretch>
                        </pic:blipFill>
                        <pic:spPr bwMode="auto">
                          <a:xfrm>
                            <a:off x="0" y="0"/>
                            <a:ext cx="914400" cy="14605"/>
                          </a:xfrm>
                          <a:prstGeom prst="rect">
                            <a:avLst/>
                          </a:prstGeom>
                        </pic:spPr>
                      </pic:pic>
                    </a:graphicData>
                  </a:graphic>
                </wp:inline>
              </w:drawing>
            </w:r>
            <w:bookmarkStart w:id="27" w:name="i-27"/>
            <w:bookmarkEnd w:id="27"/>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(1)On June 12, 2017, the Company announced that its Board of Directors approved a $200.0 million share repurchase program for its common shares that would have expired on June 30, 2020, which was subsequently extended through June 30, 2026 and increased to a total share repurchase authority to $500.0 million under the current share repurchase program. As of June 30, 2026, the Company had $237.0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 No plan or program expired or was terminated during the period covered by this table, and the Company has not determined to terminate the program prior to its expiration.</w:t>
            </w:r>
          </w:p>
        </w:tc>
      </w:tr>
    </w:tbl>
    <w:p>
      <w:pPr>
        <w:pStyle w:val="TextBody"/>
        <w:bidi w:val="0"/>
        <w:spacing w:before="0" w:after="0"/>
        <w:jc w:val="left"/>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In 2025, IMAX China’s shareholders granted its Board of Directors a general mandate authorizing IMAX China’s Board of Directors, subject to applicable laws, to repurchase shares of IMAX China not to exceed 10% of the total number of issued shares as of June 12, 2025 (33,919,122 shares). This program expired on the date of the 2026 Annual General Meeting of IMAX China on June 11, 2026. During IMAX China’s 2026 Annual General Meeting, shareholders granted its Board of Directors, subject to applicable laws, to repurchase shares of IMAX China not to exceed 10% of the total number of shares as of June 11, 2026 (33,988,722 shares). This program will be valid until the 2027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June 30, 2026, IMAX China did not repurchase any shares.</w:t>
      </w:r>
    </w:p>
    <w:p>
      <w:pPr>
        <w:pStyle w:val="TextBody"/>
        <w:bidi w:val="0"/>
        <w:spacing w:before="0" w:after="0"/>
        <w:ind w:left="0" w:right="0" w:firstLine="216"/>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(Refer to Note 13 to the Company’s audited Consolidated Financial Statements in its 2025 Form 10-K Part I, Item 1 for a summary of the material terms and conditions of the Company’s revolving credit facility, which includes a limitation of the amount of permitted share repurchases.)</w:t>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before="0" w:after="0"/>
        <w:jc w:val="both"/>
        <w:rPr/>
      </w:pPr>
      <w:r>
        <w:rPr/>
      </w:r>
    </w:p>
    <w:p>
      <w:pPr>
        <w:pStyle w:val="TextBody"/>
        <w:bidi w:val="0"/>
        <w:spacing w:lineRule="auto" w:line="288" w:before="0" w:after="0"/>
        <w:ind w:left="0" w:right="0" w:hanging="432"/>
        <w:jc w:val="both"/>
        <w:rPr/>
      </w:pPr>
      <w:r>
        <w:rPr>
          <w:rFonts w:ascii="Times New Roman;serif" w:hAnsi="Times New Roman;serif"/>
          <w:b/>
          <w:i/>
          <w:color w:val="000000"/>
          <w:sz w:val="20"/>
        </w:rPr>
        <w:t>(a)</w:t>
      </w:r>
      <w:r>
        <w:rPr>
          <w:rFonts w:ascii="Times New Roman;serif" w:hAnsi="Times New Roman;serif"/>
          <w:b w:val="false"/>
          <w:color w:val="000000"/>
          <w:sz w:val="20"/>
        </w:rPr>
        <w:t>None.</w:t>
      </w:r>
    </w:p>
    <w:p>
      <w:pPr>
        <w:pStyle w:val="TextBody"/>
        <w:bidi w:val="0"/>
        <w:spacing w:before="0" w:after="0"/>
        <w:ind w:left="0" w:right="0" w:hanging="72"/>
        <w:jc w:val="both"/>
        <w:rPr/>
      </w:pPr>
      <w:r>
        <w:rPr/>
      </w:r>
    </w:p>
    <w:p>
      <w:pPr>
        <w:pStyle w:val="TextBody"/>
        <w:bidi w:val="0"/>
        <w:spacing w:lineRule="auto" w:line="288" w:before="0" w:after="0"/>
        <w:ind w:left="0" w:right="0" w:hanging="432"/>
        <w:jc w:val="both"/>
        <w:rPr/>
      </w:pPr>
      <w:r>
        <w:rPr>
          <w:rFonts w:ascii="Times New Roman;serif" w:hAnsi="Times New Roman;serif"/>
          <w:b/>
          <w:i/>
          <w:color w:val="000000"/>
          <w:sz w:val="20"/>
        </w:rPr>
        <w:t>(b)</w:t>
      </w:r>
      <w:r>
        <w:rPr>
          <w:rFonts w:ascii="Times New Roman;serif" w:hAnsi="Times New Roman;serif"/>
          <w:b w:val="false"/>
          <w:color w:val="000000"/>
          <w:sz w:val="20"/>
        </w:rPr>
        <w:t>None.</w:t>
      </w:r>
    </w:p>
    <w:p>
      <w:pPr>
        <w:pStyle w:val="TextBody"/>
        <w:bidi w:val="0"/>
        <w:spacing w:before="0" w:after="0"/>
        <w:ind w:left="0" w:right="0" w:hanging="72"/>
        <w:jc w:val="both"/>
        <w:rPr/>
      </w:pPr>
      <w:r>
        <w:rPr/>
      </w:r>
    </w:p>
    <w:p>
      <w:pPr>
        <w:pStyle w:val="TextBody"/>
        <w:bidi w:val="0"/>
        <w:spacing w:lineRule="auto" w:line="288" w:before="0" w:after="0"/>
        <w:ind w:left="0" w:right="0" w:hanging="432"/>
        <w:jc w:val="both"/>
        <w:rPr/>
      </w:pPr>
      <w:r>
        <w:rPr>
          <w:rFonts w:ascii="Times New Roman;serif" w:hAnsi="Times New Roman;serif"/>
          <w:b/>
          <w:i/>
          <w:color w:val="000000"/>
          <w:sz w:val="20"/>
        </w:rPr>
        <w:t>(c)</w:t>
      </w:r>
      <w:r>
        <w:rPr>
          <w:rFonts w:ascii="Times New Roman;serif" w:hAnsi="Times New Roman;serif"/>
          <w:b w:val="false"/>
          <w:color w:val="000000"/>
          <w:sz w:val="20"/>
        </w:rPr>
        <w:t>Rule 10b5-1 and Non-Rule 10b5-1 Trading Arrangements.</w:t>
      </w:r>
    </w:p>
    <w:p>
      <w:pPr>
        <w:pStyle w:val="TextBody"/>
        <w:bidi w:val="0"/>
        <w:spacing w:before="0" w:after="0"/>
        <w:ind w:left="0" w:right="0" w:hanging="72"/>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On May 19, 2026, Richard Gelfond, the CEO, entered into a Rule 10b5-1 trading arrangement (as defined in Item 408 of Regulation S-K under the Exchange Act (“Item 408”) and such arrangement, the “Gelfond Plan”) for the exercise of 356,757 of stock options granted in June 2016 (the “Options”) and sale of up to 356,757 common shares underlying the Options. The Options have a 10-year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expiry and are due to expire on January 3, 2027. Sales under this Gelfond Plan, which was previously disclosed in a Company subsidiary filing, may commence on August 18, 2026, after the completion of the required cooling off period under Rule 10b5-1. The Gelfond Plan will terminate on December 31, 2026, or earlier if all shares underlying the Options have been sold. This trading arrangement is intended to satisfy the affirmative defense of Rule 10b5-1(c).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2026, Natasha Fernandes, the Company’s Chief Financial Officer, entered into a Rule 10b5-1 trading arrangement (as defined in Item 408) and such arrangement, the “Fernandes Plan”) for the sale of up to 30,000 common shares of the Company. Sales under the Fernandes Plan may commence on September 24, 2026, after the completion of the required cooling off period under Rule 10b5-1. The Fernandes Plan will terminate on March 1, 2027, or earlier if all shares under the Fernandes Plan have been sold. This trading arrangement is intended to satisfy the affirmative defense of Rule 10b5-1(c).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 other Rule 10b5-1 or non-Rule 10b5-1 trading arrangements (as defined in Item 408) were adopted or terminated by any directors or officers of the Company during the second quarter of 2026.</w:t>
      </w:r>
    </w:p>
    <w:p>
      <w:pPr>
        <w:pStyle w:val="TextBody"/>
        <w:bidi w:val="0"/>
        <w:spacing w:before="0" w:after="0"/>
        <w:jc w:val="both"/>
        <w:rPr/>
      </w:pPr>
      <w:r>
        <w:rPr/>
      </w:r>
    </w:p>
    <w:p>
      <w:pPr>
        <w:pStyle w:val="TextBody"/>
        <w:bidi w:val="0"/>
        <w:spacing w:before="0" w:after="0"/>
        <w:ind w:left="0" w:right="0" w:firstLine="1"/>
        <w:jc w:val="both"/>
        <w:rPr/>
      </w:pPr>
      <w:r>
        <w:rPr/>
      </w:r>
    </w:p>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pStyle w:val="TextBody"/>
        <w:bidi w:val="0"/>
        <w:spacing w:before="0" w:after="0"/>
        <w:ind w:left="0" w:right="0" w:firstLine="21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0"/>
        <w:gridCol w:w="264"/>
        <w:gridCol w:w="265"/>
        <w:gridCol w:w="109"/>
        <w:gridCol w:w="109"/>
        <w:gridCol w:w="109"/>
        <w:gridCol w:w="2639"/>
        <w:gridCol w:w="2639"/>
        <w:gridCol w:w="3771"/>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ex311ceocertification.htm">
              <w:r>
                <w:rPr>
                  <w:rStyle w:val="InternetLink"/>
                  <w:rFonts w:ascii="Times New Roman;serif" w:hAnsi="Times New Roman;serif"/>
                  <w:b w:val="false"/>
                  <w:color w:val="0000FF"/>
                  <w:sz w:val="20"/>
                  <w:u w:val="single"/>
                </w:rPr>
                <w:t>Certification Pursuant to Section 302 of the Sarbanes-Oxley Act of 2002, dated July 23, 2026, by Richard L. Gelfond</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ex312cfocertification.htm">
              <w:r>
                <w:rPr>
                  <w:rStyle w:val="InternetLink"/>
                  <w:rFonts w:ascii="Times New Roman;serif" w:hAnsi="Times New Roman;serif"/>
                  <w:b w:val="false"/>
                  <w:color w:val="0000FF"/>
                  <w:sz w:val="20"/>
                  <w:u w:val="single"/>
                </w:rPr>
                <w:t>Certification Pursuant to Section 302 of the Sarbanes-Oxley Act of 2002, dated July 23, 2026, by Natasha Fernandes</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ex321ceocertification.htm">
              <w:r>
                <w:rPr>
                  <w:rStyle w:val="InternetLink"/>
                  <w:rFonts w:ascii="Times New Roman;serif" w:hAnsi="Times New Roman;serif"/>
                  <w:b w:val="false"/>
                  <w:color w:val="0000FF"/>
                  <w:sz w:val="20"/>
                  <w:u w:val="single"/>
                </w:rPr>
                <w:t>Certification Pursuant to Section 906 of the Sarbanes-Oxley Act of 2002, dated July 23, 2026, by Richard L. Gelfond</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ex322cfocertification.htm">
              <w:r>
                <w:rPr>
                  <w:rStyle w:val="InternetLink"/>
                  <w:rFonts w:ascii="Times New Roman;serif" w:hAnsi="Times New Roman;serif"/>
                  <w:b w:val="false"/>
                  <w:color w:val="0000FF"/>
                  <w:sz w:val="20"/>
                  <w:u w:val="single"/>
                </w:rPr>
                <w:t>Certification Pursuant to Section 906 of the Sarbanes-Oxley Act of 2002, dated July 23, 2026, by Natasha Fernandes</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contract or arrangement.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f4378b57b22341c1a893a4013207365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216"/>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964" w:type="dxa"/>
        <w:jc w:val="left"/>
        <w:tblInd w:w="0" w:type="dxa"/>
        <w:tblLayout w:type="fixed"/>
        <w:tblCellMar>
          <w:top w:w="28" w:type="dxa"/>
          <w:left w:w="28" w:type="dxa"/>
          <w:bottom w:w="28" w:type="dxa"/>
          <w:right w:w="28" w:type="dxa"/>
        </w:tblCellMar>
      </w:tblPr>
      <w:tblGrid>
        <w:gridCol w:w="618"/>
        <w:gridCol w:w="544"/>
        <w:gridCol w:w="547"/>
        <w:gridCol w:w="322"/>
        <w:gridCol w:w="322"/>
        <w:gridCol w:w="322"/>
        <w:gridCol w:w="1250"/>
        <w:gridCol w:w="1250"/>
        <w:gridCol w:w="178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IMAX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JOSE ZLATAR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 Zlatar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Vice-President, Finance &amp; Controller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 - 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Richard L. Gelfond,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for the quarter ended June 30, 2026 of the registrant, IMAX Corporation;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549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6"/>
        <w:gridCol w:w="109"/>
        <w:gridCol w:w="109"/>
        <w:gridCol w:w="109"/>
        <w:gridCol w:w="208"/>
        <w:gridCol w:w="208"/>
        <w:gridCol w:w="213"/>
        <w:gridCol w:w="109"/>
        <w:gridCol w:w="109"/>
        <w:gridCol w:w="109"/>
        <w:gridCol w:w="618"/>
        <w:gridCol w:w="618"/>
        <w:gridCol w:w="87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Richard L. Gelfond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L. Gelfond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 - 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Natasha Fernandes,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for the quarter ended June 30, 2026 of the registrant, IMAX Corporation;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left"/>
        <w:rPr/>
      </w:pPr>
      <w:r>
        <w:rPr/>
      </w:r>
    </w:p>
    <w:tbl>
      <w:tblPr>
        <w:tblW w:w="7669"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6"/>
        <w:gridCol w:w="109"/>
        <w:gridCol w:w="109"/>
        <w:gridCol w:w="109"/>
        <w:gridCol w:w="208"/>
        <w:gridCol w:w="208"/>
        <w:gridCol w:w="213"/>
        <w:gridCol w:w="109"/>
        <w:gridCol w:w="109"/>
        <w:gridCol w:w="109"/>
        <w:gridCol w:w="1253"/>
        <w:gridCol w:w="1253"/>
        <w:gridCol w:w="178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32.1</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CERTIFICATIONS</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906 of the Sarbanes-Oxley Act of 2002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(Subsections (A) and (B) of Section 1350, Chapter 63 of Title 18, United States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jc w:val="left"/>
        <w:rPr/>
      </w:pPr>
      <w:r>
        <w:rPr/>
      </w:r>
    </w:p>
    <w:tbl>
      <w:tblPr>
        <w:tblW w:w="5167"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109"/>
        <w:gridCol w:w="109"/>
        <w:gridCol w:w="109"/>
        <w:gridCol w:w="208"/>
        <w:gridCol w:w="208"/>
        <w:gridCol w:w="213"/>
        <w:gridCol w:w="618"/>
        <w:gridCol w:w="618"/>
        <w:gridCol w:w="87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Richard L. Gelfond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L. Gelfond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IMAX CORPORATION</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Exhibit 32.2</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CERTIFICATIONS</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906 of the Sarbanes-Oxley Act of 2002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(Subsections (A) and (B) of Section 1350, Chapter 63 of Title 18, United States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before="0" w:after="0"/>
        <w:jc w:val="left"/>
        <w:rPr/>
      </w:pPr>
      <w:r>
        <w:rPr/>
      </w:r>
    </w:p>
    <w:tbl>
      <w:tblPr>
        <w:tblW w:w="734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109"/>
        <w:gridCol w:w="109"/>
        <w:gridCol w:w="109"/>
        <w:gridCol w:w="208"/>
        <w:gridCol w:w="208"/>
        <w:gridCol w:w="213"/>
        <w:gridCol w:w="1253"/>
        <w:gridCol w:w="1253"/>
        <w:gridCol w:w="178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Natasha Fernandes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Executive Vice President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36232</Words>
  <Characters>201688</Characters>
  <CharactersWithSpaces>235235</CharactersWithSpaces>
  <Paragraphs>4960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