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608330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625475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jc w:val="center"/>
        <w:ind w:left="3900" w:right="980" w:hanging="2919"/>
        <w:spacing w:after="0" w:line="255" w:lineRule="auto"/>
        <w:tabs>
          <w:tab w:leader="none" w:pos="118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jc w:val="center"/>
        <w:ind w:left="4380" w:right="960" w:hanging="3406"/>
        <w:spacing w:after="0" w:line="251" w:lineRule="auto"/>
        <w:tabs>
          <w:tab w:leader="none" w:pos="118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ectPr>
          <w:pgSz w:w="11900" w:h="16838" w:orient="portrait"/>
          <w:cols w:equalWidth="0" w:num="1">
            <w:col w:w="11240"/>
          </w:cols>
          <w:pgMar w:left="320" w:top="1306" w:right="33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65" w:lineRule="exact"/>
        <w:rPr>
          <w:sz w:val="24"/>
          <w:szCs w:val="24"/>
          <w:color w:val="auto"/>
        </w:rPr>
      </w:pPr>
    </w:p>
    <w:p>
      <w:pPr>
        <w:ind w:left="20" w:right="860"/>
        <w:spacing w:after="0" w:line="309"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98-0140269</w:t>
      </w:r>
    </w:p>
    <w:p>
      <w:pPr>
        <w:spacing w:after="0" w:line="13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2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62" w:lineRule="exact"/>
        <w:rPr>
          <w:sz w:val="24"/>
          <w:szCs w:val="24"/>
          <w:color w:val="auto"/>
        </w:rPr>
      </w:pPr>
    </w:p>
    <w:p>
      <w:pPr>
        <w:sectPr>
          <w:pgSz w:w="11900" w:h="16838" w:orient="portrait"/>
          <w:cols w:equalWidth="0" w:num="2">
            <w:col w:w="3040" w:space="720"/>
            <w:col w:w="7480"/>
          </w:cols>
          <w:pgMar w:left="320" w:top="1306" w:right="339" w:bottom="784" w:gutter="0" w:footer="0" w:header="0"/>
          <w:type w:val="continuous"/>
        </w:sect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2525 Speakman Drive,</w:t>
      </w:r>
      <w:r>
        <w:rPr>
          <w:sz w:val="20"/>
          <w:szCs w:val="20"/>
          <w:color w:val="auto"/>
        </w:rPr>
        <w:tab/>
      </w:r>
      <w:r>
        <w:rPr>
          <w:rFonts w:ascii="Times New Roman" w:cs="Times New Roman" w:eastAsia="Times New Roman" w:hAnsi="Times New Roman"/>
          <w:sz w:val="17"/>
          <w:szCs w:val="17"/>
          <w:b w:val="1"/>
          <w:bCs w:val="1"/>
          <w:color w:val="auto"/>
        </w:rPr>
        <w:t>902 Broadway, Floor 20</w:t>
      </w:r>
    </w:p>
    <w:p>
      <w:pPr>
        <w:spacing w:after="0" w:line="30"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Mississauga, Ontario, Canada L5K 1B1</w:t>
      </w:r>
      <w:r>
        <w:rPr>
          <w:sz w:val="20"/>
          <w:szCs w:val="20"/>
          <w:color w:val="auto"/>
        </w:rPr>
        <w:tab/>
      </w:r>
      <w:r>
        <w:rPr>
          <w:rFonts w:ascii="Times New Roman" w:cs="Times New Roman" w:eastAsia="Times New Roman" w:hAnsi="Times New Roman"/>
          <w:sz w:val="17"/>
          <w:szCs w:val="17"/>
          <w:b w:val="1"/>
          <w:bCs w:val="1"/>
          <w:color w:val="auto"/>
        </w:rPr>
        <w:t>New York, New York, USA 10010</w:t>
      </w:r>
    </w:p>
    <w:p>
      <w:pPr>
        <w:spacing w:after="0" w:line="7"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(905) 403-6457</w:t>
      </w:r>
      <w:r>
        <w:rPr>
          <w:sz w:val="20"/>
          <w:szCs w:val="20"/>
          <w:color w:val="auto"/>
        </w:rPr>
        <w:tab/>
      </w:r>
      <w:r>
        <w:rPr>
          <w:rFonts w:ascii="Times New Roman" w:cs="Times New Roman" w:eastAsia="Times New Roman" w:hAnsi="Times New Roman"/>
          <w:sz w:val="17"/>
          <w:szCs w:val="17"/>
          <w:b w:val="1"/>
          <w:bCs w:val="1"/>
          <w:color w:val="auto"/>
        </w:rPr>
        <w:t>(212) 821-0142</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5"/>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IMAX</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200" w:lineRule="exact"/>
        <w:rPr>
          <w:sz w:val="24"/>
          <w:szCs w:val="24"/>
          <w:color w:val="auto"/>
        </w:rPr>
      </w:pPr>
    </w:p>
    <w:p>
      <w:pPr>
        <w:spacing w:after="0" w:line="385"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2" w:lineRule="exact"/>
        <w:rPr>
          <w:sz w:val="24"/>
          <w:szCs w:val="24"/>
          <w:color w:val="auto"/>
        </w:rPr>
      </w:pPr>
    </w:p>
    <w:p>
      <w:pPr>
        <w:ind w:right="20" w:firstLine="193"/>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96"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Class</w:t>
      </w:r>
      <w:r>
        <w:rPr>
          <w:sz w:val="20"/>
          <w:szCs w:val="20"/>
          <w:color w:val="auto"/>
        </w:rPr>
        <w:tab/>
      </w:r>
      <w:r>
        <w:rPr>
          <w:rFonts w:ascii="Times New Roman" w:cs="Times New Roman" w:eastAsia="Times New Roman" w:hAnsi="Times New Roman"/>
          <w:sz w:val="14"/>
          <w:szCs w:val="14"/>
          <w:b w:val="1"/>
          <w:bCs w:val="1"/>
          <w:color w:val="auto"/>
        </w:rPr>
        <w:t>Outstanding as of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p>
      <w:pPr>
        <w:spacing w:after="0" w:line="87"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Common Shares, no par value</w:t>
      </w:r>
      <w:r>
        <w:rPr>
          <w:sz w:val="20"/>
          <w:szCs w:val="20"/>
          <w:color w:val="auto"/>
        </w:rPr>
        <w:tab/>
      </w:r>
      <w:r>
        <w:rPr>
          <w:rFonts w:ascii="Times New Roman" w:cs="Times New Roman" w:eastAsia="Times New Roman" w:hAnsi="Times New Roman"/>
          <w:sz w:val="17"/>
          <w:szCs w:val="17"/>
          <w:color w:val="auto"/>
        </w:rPr>
        <w:t>53,782,520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306070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153035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6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IMAX CORPORATION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6"/>
        </w:trPr>
        <w:tc>
          <w:tcPr>
            <w:tcW w:w="102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200" w:type="dxa"/>
            <w:vAlign w:val="bottom"/>
            <w:gridSpan w:val="1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160" w:type="dxa"/>
            <w:vAlign w:val="bottom"/>
            <w:gridSpan w:val="4"/>
          </w:tcPr>
          <w:p>
            <w:pPr>
              <w:spacing w:after="0"/>
              <w:rPr>
                <w:sz w:val="24"/>
                <w:szCs w:val="2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00" w:type="dxa"/>
            <w:vAlign w:val="bottom"/>
            <w:gridSpan w:val="2"/>
          </w:tcPr>
          <w:p>
            <w:pPr>
              <w:spacing w:after="0"/>
              <w:rPr>
                <w:sz w:val="21"/>
                <w:szCs w:val="21"/>
                <w:color w:val="auto"/>
              </w:rPr>
            </w:pPr>
          </w:p>
        </w:tc>
        <w:tc>
          <w:tcPr>
            <w:tcW w:w="492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4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8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5"/>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3000" w:type="dxa"/>
            <w:vAlign w:val="bottom"/>
            <w:gridSpan w:val="5"/>
          </w:tcPr>
          <w:p>
            <w:pPr>
              <w:spacing w:after="0"/>
              <w:rPr>
                <w:sz w:val="21"/>
                <w:szCs w:val="21"/>
                <w:color w:val="auto"/>
              </w:rPr>
            </w:pPr>
          </w:p>
        </w:tc>
        <w:tc>
          <w:tcPr>
            <w:tcW w:w="48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7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0640" w:type="dxa"/>
            <w:vAlign w:val="bottom"/>
            <w:gridSpan w:val="7"/>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2025 and December 31, 2024</w:t>
            </w:r>
          </w:p>
        </w:tc>
        <w:tc>
          <w:tcPr>
            <w:tcW w:w="4540" w:type="dxa"/>
            <w:vAlign w:val="bottom"/>
            <w:gridSpan w:val="5"/>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2025 and 2024</w:t>
            </w:r>
          </w:p>
        </w:tc>
        <w:tc>
          <w:tcPr>
            <w:tcW w:w="2740" w:type="dxa"/>
            <w:vAlign w:val="bottom"/>
            <w:gridSpan w:val="3"/>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June 30, 2025 and 2024</w:t>
            </w:r>
          </w:p>
        </w:tc>
        <w:tc>
          <w:tcPr>
            <w:tcW w:w="182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2025 and 2024</w:t>
            </w:r>
          </w:p>
        </w:tc>
        <w:tc>
          <w:tcPr>
            <w:tcW w:w="1560" w:type="dxa"/>
            <w:vAlign w:val="bottom"/>
            <w:gridSpan w:val="3"/>
          </w:tcPr>
          <w:p>
            <w:pPr>
              <w:spacing w:after="0"/>
              <w:rPr>
                <w:sz w:val="21"/>
                <w:szCs w:val="21"/>
                <w:color w:val="auto"/>
              </w:rPr>
            </w:pPr>
          </w:p>
        </w:tc>
        <w:tc>
          <w:tcPr>
            <w:tcW w:w="182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six months ended June 30, 2025 and 2024</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20" w:type="dxa"/>
            <w:vAlign w:val="bottom"/>
            <w:gridSpan w:val="2"/>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109,251</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119,885</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32,840</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868,582</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229,901</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463,509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452,183</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color w:val="auto"/>
              </w:rPr>
              <w:t>(see Note 7)</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53,782,520 issued and outstanding (December 31, 2024 — 52,946,200 issued and outstanding)</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320,412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299,466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78,069</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404,382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377,535</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868,582</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102,537</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35"/>
        </w:trPr>
        <w:tc>
          <w:tcPr>
            <w:tcW w:w="6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91,684</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178,351</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168,084</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12,995</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38,082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71,573</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77,268</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53,602</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106,778</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90,816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(reversal)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14,346</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31,080</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28,868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11,655</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10,493</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6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23"/>
                <w:szCs w:val="23"/>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23"/>
                <w:szCs w:val="23"/>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6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53,751</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53,448</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52,568</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55,161</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10,493</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gain (loss) from cash flow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income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14,807</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23,684</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6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13,658</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16,591</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4,965</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r>
      <w:tr>
        <w:trPr>
          <w:trHeight w:val="228"/>
        </w:trPr>
        <w:tc>
          <w:tcPr>
            <w:tcW w:w="7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r>
      <w:tr>
        <w:trPr>
          <w:trHeight w:val="38"/>
        </w:trPr>
        <w:tc>
          <w:tcPr>
            <w:tcW w:w="79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3"/>
        </w:trPr>
        <w:tc>
          <w:tcPr>
            <w:tcW w:w="7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20,385</w:t>
            </w:r>
          </w:p>
        </w:tc>
        <w:tc>
          <w:tcPr>
            <w:tcW w:w="140" w:type="dxa"/>
            <w:vAlign w:val="bottom"/>
          </w:tcPr>
          <w:p>
            <w:pPr>
              <w:spacing w:after="0"/>
              <w:rPr>
                <w:sz w:val="20"/>
                <w:szCs w:val="20"/>
                <w:color w:val="auto"/>
              </w:rPr>
            </w:pPr>
          </w:p>
        </w:tc>
        <w:tc>
          <w:tcPr>
            <w:tcW w:w="56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34,002</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(reversal) expense,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asset impairments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(gain) loss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14,492</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(11,318)</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r>
      <w:tr>
        <w:trPr>
          <w:trHeight w:val="244"/>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(19,086)</w:t>
            </w:r>
          </w:p>
        </w:tc>
      </w:tr>
      <w:tr>
        <w:trPr>
          <w:trHeight w:val="235"/>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30,181</w:t>
            </w:r>
          </w:p>
        </w:tc>
        <w:tc>
          <w:tcPr>
            <w:tcW w:w="1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24,070</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(14,666)</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w:t>
            </w:r>
          </w:p>
        </w:tc>
      </w:tr>
      <w:tr>
        <w:trPr>
          <w:trHeight w:val="23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(3,191)</w:t>
            </w:r>
          </w:p>
        </w:tc>
      </w:tr>
      <w:tr>
        <w:trPr>
          <w:trHeight w:val="2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(22,048)</w:t>
            </w:r>
          </w:p>
        </w:tc>
        <w:tc>
          <w:tcPr>
            <w:tcW w:w="14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(15,638)</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51,000</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other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9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(18,102)</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 - IMAX China</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r>
      <w:tr>
        <w:trPr>
          <w:trHeight w:val="24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1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6,609</w:t>
            </w:r>
          </w:p>
        </w:tc>
      </w:tr>
      <w:tr>
        <w:trPr>
          <w:trHeight w:val="23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bl>
    <w:p>
      <w:pPr>
        <w:spacing w:after="0" w:line="11" w:lineRule="exact"/>
        <w:rPr>
          <w:sz w:val="20"/>
          <w:szCs w:val="20"/>
          <w:color w:val="auto"/>
        </w:rPr>
      </w:pPr>
    </w:p>
    <w:p>
      <w:pPr>
        <w:sectPr>
          <w:pgSz w:w="11900" w:h="16838" w:orient="portrait"/>
          <w:cols w:equalWidth="0" w:num="1">
            <w:col w:w="11240"/>
          </w:cols>
          <w:pgMar w:left="320" w:top="362"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359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jc w:val="both"/>
        <w:ind w:left="1120"/>
        <w:spacing w:after="0"/>
        <w:tabs>
          <w:tab w:leader="none" w:pos="2740" w:val="left"/>
        </w:tabs>
        <w:rPr>
          <w:sz w:val="20"/>
          <w:szCs w:val="20"/>
          <w:color w:val="auto"/>
        </w:rPr>
      </w:pPr>
      <w:r>
        <w:rPr>
          <w:rFonts w:ascii="Times New Roman" w:cs="Times New Roman" w:eastAsia="Times New Roman" w:hAnsi="Times New Roman"/>
          <w:sz w:val="16"/>
          <w:szCs w:val="16"/>
          <w:b w:val="1"/>
          <w:bCs w:val="1"/>
          <w:color w:val="auto"/>
        </w:rPr>
        <w:t>8,659</w:t>
      </w:r>
      <w:r>
        <w:rPr>
          <w:sz w:val="20"/>
          <w:szCs w:val="20"/>
          <w:color w:val="auto"/>
        </w:rPr>
        <w:tab/>
      </w:r>
      <w:r>
        <w:rPr>
          <w:rFonts w:ascii="Times New Roman" w:cs="Times New Roman" w:eastAsia="Times New Roman" w:hAnsi="Times New Roman"/>
          <w:sz w:val="16"/>
          <w:szCs w:val="16"/>
          <w:b w:val="1"/>
          <w:bCs w:val="1"/>
          <w:color w:val="auto"/>
        </w:rPr>
        <w:t>15,352</w:t>
      </w:r>
    </w:p>
    <w:p>
      <w:pPr>
        <w:spacing w:after="0" w:line="57" w:lineRule="exact"/>
        <w:rPr>
          <w:sz w:val="20"/>
          <w:szCs w:val="20"/>
          <w:color w:val="auto"/>
        </w:rPr>
      </w:pPr>
    </w:p>
    <w:p>
      <w:pPr>
        <w:jc w:val="both"/>
        <w:ind w:left="960"/>
        <w:spacing w:after="0"/>
        <w:tabs>
          <w:tab w:leader="none" w:pos="2740" w:val="left"/>
        </w:tabs>
        <w:rPr>
          <w:sz w:val="20"/>
          <w:szCs w:val="20"/>
          <w:color w:val="auto"/>
        </w:rPr>
      </w:pPr>
      <w:r>
        <w:rPr>
          <w:rFonts w:ascii="Times New Roman" w:cs="Times New Roman" w:eastAsia="Times New Roman" w:hAnsi="Times New Roman"/>
          <w:sz w:val="16"/>
          <w:szCs w:val="16"/>
          <w:b w:val="1"/>
          <w:bCs w:val="1"/>
          <w:color w:val="auto"/>
        </w:rPr>
        <w:t>100,592</w:t>
      </w:r>
      <w:r>
        <w:rPr>
          <w:sz w:val="20"/>
          <w:szCs w:val="20"/>
          <w:color w:val="auto"/>
        </w:rPr>
        <w:tab/>
      </w:r>
      <w:r>
        <w:rPr>
          <w:rFonts w:ascii="Times New Roman" w:cs="Times New Roman" w:eastAsia="Times New Roman" w:hAnsi="Times New Roman"/>
          <w:sz w:val="16"/>
          <w:szCs w:val="16"/>
          <w:b w:val="1"/>
          <w:bCs w:val="1"/>
          <w:color w:val="auto"/>
        </w:rPr>
        <w:t>76,200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0770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51" w:lineRule="exact"/>
        <w:rPr>
          <w:sz w:val="20"/>
          <w:szCs w:val="20"/>
          <w:color w:val="auto"/>
        </w:rPr>
      </w:pPr>
    </w:p>
    <w:p>
      <w:pPr>
        <w:spacing w:after="0"/>
        <w:tabs>
          <w:tab w:leader="none" w:pos="940" w:val="left"/>
          <w:tab w:leader="none" w:pos="1700" w:val="left"/>
          <w:tab w:leader="none" w:pos="274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109,251</w:t>
        <w:tab/>
        <w:t>$</w:t>
      </w:r>
      <w:r>
        <w:rPr>
          <w:sz w:val="20"/>
          <w:szCs w:val="20"/>
          <w:color w:val="auto"/>
        </w:rPr>
        <w:tab/>
      </w:r>
      <w:r>
        <w:rPr>
          <w:rFonts w:ascii="Times New Roman" w:cs="Times New Roman" w:eastAsia="Times New Roman" w:hAnsi="Times New Roman"/>
          <w:sz w:val="16"/>
          <w:szCs w:val="16"/>
          <w:b w:val="1"/>
          <w:bCs w:val="1"/>
          <w:color w:val="auto"/>
        </w:rPr>
        <w:t>91,552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07708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7085" cy="342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260" w:space="720"/>
            <w:col w:w="3260"/>
          </w:cols>
          <w:pgMar w:left="320" w:top="362" w:right="3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414,041</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393,597</w:t>
            </w:r>
          </w:p>
        </w:tc>
        <w:tc>
          <w:tcPr>
            <w:tcW w:w="12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 net of shares withheld for employee tax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2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 withheld for employee tax</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394,493</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185,087</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(19,791)</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176,632</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statutory surplus reserve:</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statutory surplus reserve, IMAX China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(292,845)</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surplus reserve deducted from retained earnings, IMAX China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(293,889)</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loss: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71,790</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 common share repurchases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83,970</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83,970</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75,111</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404,382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342,305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404,382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342,305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26" w:lineRule="exact"/>
        <w:rPr>
          <w:sz w:val="20"/>
          <w:szCs w:val="20"/>
          <w:color w:val="auto"/>
        </w:rPr>
      </w:pPr>
    </w:p>
    <w:p>
      <w:pPr>
        <w:jc w:val="both"/>
        <w:ind w:left="200" w:right="9400" w:hanging="193"/>
        <w:spacing w:after="0" w:line="562" w:lineRule="auto"/>
        <w:tabs>
          <w:tab w:leader="none" w:pos="18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Accounting Principles</w:t>
      </w: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Corporation (together with its subsidiaries, unless the context requires otherwise, the “Company” or “IMAX”), prepares financial statements in accordance with United States Generally Accepted Accounting Principles (“U.S. GAAP”) and pursuant to the rules and regulations of the Securities and Exchange Commission (the “SEC”). Certain information and footnote disclosures have been condensed or omitted as permitted by such rules and regulations. In the opinion of the Company’s management, the unaudited Condensed Consolidated Financial Statements reflect all necessary adjustments for a fair statement of interim results. The Condensed Consolidated Balance Sheet at December 31, 2024 was derived from the Company’s audited annual Consolidated Financial Statements in the Company’s 2024 Annual Report on Form 10-K (the “2024 Form 10-K”). The interim results presented in the Company’s Condensed Consolidated Statements of Operations and Condensed Consolidated Statements of Cash Flows are not necessarily indicative of results for a full year.</w:t>
      </w:r>
    </w:p>
    <w:p>
      <w:pPr>
        <w:spacing w:after="0" w:line="212"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2024 Form 10-K, which includes significant accounting policies adopted by the Company.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Condensed Consolidated Financial Statements. A change in the value of an equity method investment that is other than temporary is recognized in the Condensed Consolidated Statements of Operations.</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2025 and December 31, 2024, total assets and liabilities of the Company’s consolidated VIEs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1,787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3"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7"/>
          <w:szCs w:val="17"/>
          <w:color w:val="auto"/>
        </w:rPr>
        <w:t>In preparing the Company’s Condensed Consolidated Financial Statements, management makes judgments in applying various accounting policies. The areas of policy judgment are consistent with those reported in Note 2 of the Company’s audited Consolidated Financial Statements included in its 2024 Form 10-K.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w:t>
      </w:r>
    </w:p>
    <w:p>
      <w:pPr>
        <w:spacing w:after="0" w:line="4"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for the write-down of excess and obsolete inventory; (v) the fair values of the reporting units used in assessing the recoverability of goodwill;</w:t>
      </w:r>
    </w:p>
    <w:p>
      <w:pPr>
        <w:spacing w:after="0" w:line="18" w:lineRule="exact"/>
        <w:rPr>
          <w:rFonts w:ascii="Times New Roman" w:cs="Times New Roman" w:eastAsia="Times New Roman" w:hAnsi="Times New Roman"/>
          <w:sz w:val="17"/>
          <w:szCs w:val="17"/>
          <w:color w:val="auto"/>
        </w:rPr>
      </w:pPr>
    </w:p>
    <w:p>
      <w:pPr>
        <w:jc w:val="both"/>
        <w:ind w:firstLine="7"/>
        <w:spacing w:after="0" w:line="24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w:t>
      </w:r>
    </w:p>
    <w:p>
      <w:pPr>
        <w:spacing w:after="0" w:line="1" w:lineRule="exact"/>
        <w:rPr>
          <w:rFonts w:ascii="Times New Roman" w:cs="Times New Roman" w:eastAsia="Times New Roman" w:hAnsi="Times New Roman"/>
          <w:sz w:val="18"/>
          <w:szCs w:val="18"/>
          <w:color w:val="auto"/>
        </w:rPr>
      </w:pPr>
    </w:p>
    <w:p>
      <w:pPr>
        <w:ind w:firstLine="7"/>
        <w:spacing w:after="0" w:line="257"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revenue forecasts used to test the recoverability of film assets; (x) the discount rates used to determine the present value of financing receivables, variable consideration and lease liabilities, as well as to determine</w:t>
      </w:r>
    </w:p>
    <w:p>
      <w:pPr>
        <w:sectPr>
          <w:pgSz w:w="11900" w:h="16838" w:orient="portrait"/>
          <w:cols w:equalWidth="0" w:num="1">
            <w:col w:w="11240"/>
          </w:cols>
          <w:pgMar w:left="320" w:top="362"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200" w:lineRule="exact"/>
        <w:rPr>
          <w:sz w:val="20"/>
          <w:szCs w:val="20"/>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and Accounting Changes</w:t>
      </w:r>
    </w:p>
    <w:p>
      <w:pPr>
        <w:spacing w:after="0" w:line="248" w:lineRule="exact"/>
        <w:rPr>
          <w:rFonts w:ascii="Times New Roman" w:cs="Times New Roman" w:eastAsia="Times New Roman" w:hAnsi="Times New Roman"/>
          <w:sz w:val="18"/>
          <w:szCs w:val="18"/>
          <w:b w:val="1"/>
          <w:bCs w:val="1"/>
          <w:color w:val="auto"/>
        </w:rPr>
      </w:pPr>
    </w:p>
    <w:p>
      <w:pPr>
        <w:ind w:left="200" w:right="5640"/>
        <w:spacing w:after="0" w:line="5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Issued FASB Accounting Standard Codification Updates Not Yet Adopted </w:t>
      </w:r>
      <w:r>
        <w:rPr>
          <w:rFonts w:ascii="Times New Roman" w:cs="Times New Roman" w:eastAsia="Times New Roman" w:hAnsi="Times New Roman"/>
          <w:sz w:val="18"/>
          <w:szCs w:val="18"/>
          <w:i w:val="1"/>
          <w:iCs w:val="1"/>
          <w:color w:val="auto"/>
        </w:rPr>
        <w:t>Improvements to Income Tax Disclosures</w:t>
      </w:r>
    </w:p>
    <w:p>
      <w:pPr>
        <w:spacing w:after="0" w:line="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 Update (“ASU”) No. 2023-09, “Income Taxes (Topic 740): Improvements to Income Tax Disclosures” (“ASU 2023-09”). The amendments in ASU 2023-09 improve the transparency of income tax disclosures by requiring (i) consistent categories and greater disaggregation of information in the rate reconciliation, and (ii) income taxes to be paid disaggregated by jurisdiction. ASU 2023-09 is effective for annual periods beginning on or after December 31, 2024. The Company is in the process of evaluating the impact of this ASU on its Consolidated Financial Statements disclosures related to tax.</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 Update No. 2024-03, “Income Statement - Reporting Comprehensive Income - Expense Disaggregation Disclosures” (“ASU 2024-03”). The amendments in ASU 2024-03 expand disclosures about specific expense categories presented on the face of the income statement and addresses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fiscal years beginning after December 15, 2026 and interim periods thereafter with early adoption permitted. The Company is in the process of evaluating the impact of this ASU on its Consolidated Financial Statements.</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ASUs that are not noted above were assessed and determined to be not applicable or not significant to the Company’s Condensed Consolidated Financial Statements for the period ended June 30,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4" w:lineRule="exact"/>
        <w:rPr>
          <w:sz w:val="20"/>
          <w:szCs w:val="20"/>
          <w:color w:val="auto"/>
        </w:rPr>
      </w:pPr>
    </w:p>
    <w:p>
      <w:pPr>
        <w:jc w:val="both"/>
        <w:ind w:firstLine="193"/>
        <w:spacing w:after="0" w:line="272" w:lineRule="auto"/>
        <w:rPr>
          <w:sz w:val="20"/>
          <w:szCs w:val="20"/>
          <w:color w:val="auto"/>
        </w:rPr>
      </w:pPr>
      <w:r>
        <w:rPr>
          <w:rFonts w:ascii="Times New Roman" w:cs="Times New Roman" w:eastAsia="Times New Roman" w:hAnsi="Times New Roman"/>
          <w:sz w:val="17"/>
          <w:szCs w:val="17"/>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reported in Note 4 of the Company’s audited Consolidated Financial Statements included in its 2024 Form 10-K.</w:t>
      </w:r>
    </w:p>
    <w:p>
      <w:pPr>
        <w:spacing w:after="0" w:line="19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ectPr>
          <w:pgSz w:w="11900" w:h="16838" w:orient="portrait"/>
          <w:cols w:equalWidth="0" w:num="1">
            <w:col w:w="11240"/>
          </w:cols>
          <w:pgMar w:left="320" w:top="36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9"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and six months ended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0"/>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6"/>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42"/>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8"/>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56"/>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2"/>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Company’s allowance for current expected credit losses related to Accounts Receivable increased by $0.1 million and decreased by less than $0.1 million, respectively (2024 — decreased by $0.1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June 30, 2025 and December 31, 2024, financing receivables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30,203</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30,890</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30,003</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127,906</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100,707</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2025 and December 31, 2024,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sales receivables, as applicable,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1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42"/>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2"/>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r>
      <w:tr>
        <w:trPr>
          <w:trHeight w:val="26"/>
        </w:trPr>
        <w:tc>
          <w:tcPr>
            <w:tcW w:w="77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June 30, 2025 and December 31, 2024. The amounts disclosed for each credit quality classification are determined on a theater-by-theater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June 30, 2025 and December 31, 2024. The amounts disclosed for each credit quality classification are determined on a theater-by-theater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71,654</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June 30, 2025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Accrued</w:t>
            </w:r>
          </w:p>
        </w:tc>
        <w:tc>
          <w:tcPr>
            <w:tcW w:w="20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113,463</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4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138"/>
              <w:spacing w:after="0" w:line="157"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8"/>
        </w:trPr>
        <w:tc>
          <w:tcPr>
            <w:tcW w:w="2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039"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039"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sales receivables with billed amounts past due for which it continues to accrue finance income as of June 30, 2025 and December 31, 2024. The amounts disclosed for each credit quality classification are determined on a theater-by-theater basis and include both billed and unbilled amounts.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38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0"/>
        </w:trPr>
        <w:tc>
          <w:tcPr>
            <w:tcW w:w="3880" w:type="dxa"/>
            <w:vAlign w:val="bottom"/>
          </w:tcPr>
          <w:p>
            <w:pPr>
              <w:spacing w:after="0"/>
              <w:rPr>
                <w:sz w:val="14"/>
                <w:szCs w:val="14"/>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30-89</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90+</w:t>
            </w: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40" w:type="dxa"/>
            <w:vAlign w:val="bottom"/>
          </w:tcPr>
          <w:p>
            <w:pPr>
              <w:spacing w:after="0"/>
              <w:rPr>
                <w:sz w:val="14"/>
                <w:szCs w:val="14"/>
                <w:color w:val="auto"/>
              </w:rPr>
            </w:pPr>
          </w:p>
        </w:tc>
      </w:tr>
      <w:tr>
        <w:trPr>
          <w:trHeight w:val="187"/>
        </w:trPr>
        <w:tc>
          <w:tcPr>
            <w:tcW w:w="3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4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Days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21,792</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50,102</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71,894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
        </w:trPr>
        <w:tc>
          <w:tcPr>
            <w:tcW w:w="390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56"/>
        </w:trPr>
        <w:tc>
          <w:tcPr>
            <w:tcW w:w="3900" w:type="dxa"/>
            <w:vAlign w:val="bottom"/>
          </w:tcPr>
          <w:p>
            <w:pPr>
              <w:spacing w:after="0"/>
              <w:rPr>
                <w:sz w:val="13"/>
                <w:szCs w:val="13"/>
                <w:color w:val="auto"/>
              </w:rPr>
            </w:pPr>
          </w:p>
        </w:tc>
        <w:tc>
          <w:tcPr>
            <w:tcW w:w="1060" w:type="dxa"/>
            <w:vAlign w:val="bottom"/>
            <w:gridSpan w:val="3"/>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20" w:type="dxa"/>
            <w:vAlign w:val="bottom"/>
          </w:tcPr>
          <w:p>
            <w:pPr>
              <w:jc w:val="right"/>
              <w:ind w:right="215"/>
              <w:spacing w:after="0" w:line="157" w:lineRule="exact"/>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77"/>
              <w:spacing w:after="0" w:line="157" w:lineRule="exact"/>
              <w:rPr>
                <w:sz w:val="20"/>
                <w:szCs w:val="20"/>
                <w:color w:val="auto"/>
              </w:rPr>
            </w:pPr>
            <w:r>
              <w:rPr>
                <w:rFonts w:ascii="Times New Roman" w:cs="Times New Roman" w:eastAsia="Times New Roman" w:hAnsi="Times New Roman"/>
                <w:sz w:val="14"/>
                <w:szCs w:val="14"/>
                <w:b w:val="1"/>
                <w:bCs w:val="1"/>
                <w:color w:val="auto"/>
              </w:rPr>
              <w:t>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3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23,795</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52,602</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76,397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 provides information about the Company’s net investment in leases and financed sale receivables that were on nonaccrual status as of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2"/>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w:t>
            </w:r>
          </w:p>
        </w:tc>
        <w:tc>
          <w:tcPr>
            <w:tcW w:w="3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Company did not recognize Finance Income related to the net investment in leases on non-accrual status. For the three and six months ended June 30, 2025, the Company recognized less than $0.1 million, respectively (2024 — less than $0.3 million and $0.7 million) in Finance Income related to the financed sales receivables in nonaccrual status.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 receivables for the three and six months ended June 30, 2025 and 2024:</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580" w:type="dxa"/>
            <w:vAlign w:val="bottom"/>
          </w:tcPr>
          <w:p>
            <w:pPr>
              <w:spacing w:after="0"/>
              <w:rPr>
                <w:sz w:val="19"/>
                <w:szCs w:val="19"/>
                <w:color w:val="auto"/>
              </w:rPr>
            </w:pPr>
          </w:p>
        </w:tc>
        <w:tc>
          <w:tcPr>
            <w:tcW w:w="3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38"/>
        </w:trPr>
        <w:tc>
          <w:tcPr>
            <w:tcW w:w="45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70"/>
        </w:trPr>
        <w:tc>
          <w:tcPr>
            <w:tcW w:w="4580" w:type="dxa"/>
            <w:vAlign w:val="bottom"/>
          </w:tcPr>
          <w:p>
            <w:pPr>
              <w:spacing w:after="0"/>
              <w:rPr>
                <w:sz w:val="14"/>
                <w:szCs w:val="14"/>
                <w:color w:val="auto"/>
              </w:rPr>
            </w:pPr>
          </w:p>
        </w:tc>
        <w:tc>
          <w:tcPr>
            <w:tcW w:w="15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187"/>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45"/>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4"/>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38"/>
        </w:trPr>
        <w:tc>
          <w:tcPr>
            <w:tcW w:w="4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6"/>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50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380" w:type="dxa"/>
            <w:vAlign w:val="bottom"/>
          </w:tcPr>
          <w:p>
            <w:pPr>
              <w:jc w:val="right"/>
              <w:ind w:right="294"/>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0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8"/>
        </w:trPr>
        <w:tc>
          <w:tcPr>
            <w:tcW w:w="4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Company’s allowance for current expected credit losses related to its net investment in leases decreased by $0.2 million and $0.2 million, respectively, and financed sale receivables decreased by $0.1 million and $0.3 million, respectively.</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Company’s allowance for current expected credit losses related to its net investment in leases decreased by less than $0.1 million, respectively, and financed sale receivables increased by less than $0.1 million,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and six months ended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8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gridSpan w:val="3"/>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Pr>
          <w:p>
            <w:pPr>
              <w:spacing w:after="0"/>
              <w:rPr>
                <w:sz w:val="19"/>
                <w:szCs w:val="19"/>
                <w:color w:val="auto"/>
              </w:rPr>
            </w:pPr>
          </w:p>
        </w:tc>
      </w:tr>
      <w:tr>
        <w:trPr>
          <w:trHeight w:val="38"/>
        </w:trPr>
        <w:tc>
          <w:tcPr>
            <w:tcW w:w="46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3"/>
        </w:trPr>
        <w:tc>
          <w:tcPr>
            <w:tcW w:w="4640" w:type="dxa"/>
            <w:vAlign w:val="bottom"/>
          </w:tcPr>
          <w:p>
            <w:pPr>
              <w:spacing w:after="0"/>
              <w:rPr>
                <w:sz w:val="15"/>
                <w:szCs w:val="15"/>
                <w:color w:val="auto"/>
              </w:rPr>
            </w:pPr>
          </w:p>
        </w:tc>
        <w:tc>
          <w:tcPr>
            <w:tcW w:w="11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4640" w:type="dxa"/>
            <w:vAlign w:val="bottom"/>
          </w:tcPr>
          <w:p>
            <w:pPr>
              <w:spacing w:after="0"/>
              <w:rPr>
                <w:sz w:val="19"/>
                <w:szCs w:val="19"/>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40" w:type="dxa"/>
            <w:vAlign w:val="bottom"/>
          </w:tcPr>
          <w:p>
            <w:pPr>
              <w:spacing w:after="0"/>
              <w:rPr>
                <w:sz w:val="19"/>
                <w:szCs w:val="19"/>
                <w:color w:val="auto"/>
              </w:rPr>
            </w:pPr>
          </w:p>
        </w:tc>
        <w:tc>
          <w:tcPr>
            <w:tcW w:w="12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Theater</w:t>
            </w:r>
          </w:p>
        </w:tc>
      </w:tr>
      <w:tr>
        <w:trPr>
          <w:trHeight w:val="18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4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Operators</w:t>
            </w:r>
          </w:p>
        </w:tc>
      </w:tr>
      <w:tr>
        <w:trPr>
          <w:trHeight w:val="38"/>
        </w:trPr>
        <w:tc>
          <w:tcPr>
            <w:tcW w:w="46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8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42"/>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
        </w:trPr>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8"/>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80" w:type="dxa"/>
            <w:vAlign w:val="bottom"/>
            <w:tcBorders>
              <w:top w:val="single" w:sz="8" w:color="auto"/>
              <w:bottom w:val="single" w:sz="8" w:color="auto"/>
            </w:tcBorders>
          </w:tcPr>
          <w:p>
            <w:pPr>
              <w:jc w:val="right"/>
              <w:ind w:right="98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4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Company’s allowance for current expected credit losses related to Variable Consideration Receivables increased by less than $0.1 million, respectively (2024 — increased by less than $0.1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180" w:hanging="173"/>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3"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 of the Company’s audited Consolidated Financial Statements included in its 2024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1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joint revenue sharing arrangements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Under JRSAs, the customer has the ability and the right to operate the hardware components or direct others to operate them in a manner determined by the customer. The Company’s JRSAs are typically non-cancellable for ten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4" w:lineRule="exact"/>
        <w:rPr>
          <w:sz w:val="20"/>
          <w:szCs w:val="20"/>
          <w:color w:val="auto"/>
        </w:rPr>
      </w:pPr>
    </w:p>
    <w:p>
      <w:pPr>
        <w:jc w:val="both"/>
        <w:ind w:right="20" w:firstLine="193"/>
        <w:spacing w:after="0" w:line="276"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remainder of 2025, next four years and thereafter following the June 30, 2025 balance sheet date:</w:t>
      </w:r>
    </w:p>
    <w:tbl>
      <w:tblPr>
        <w:tblLayout w:type="fixed"/>
        <w:tblInd w:w="0" w:type="dxa"/>
        <w:tblCellMar>
          <w:top w:w="0" w:type="dxa"/>
          <w:left w:w="0" w:type="dxa"/>
          <w:bottom w:w="0" w:type="dxa"/>
          <w:right w:w="0" w:type="dxa"/>
        </w:tblCellMar>
      </w:tblPr>
      <w:tr>
        <w:trPr>
          <w:trHeight w:val="174"/>
        </w:trPr>
        <w:tc>
          <w:tcPr>
            <w:tcW w:w="9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Sales-Type</w:t>
            </w:r>
          </w:p>
        </w:tc>
      </w:tr>
      <w:tr>
        <w:trPr>
          <w:trHeight w:val="187"/>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2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8"/>
        </w:trPr>
        <w:tc>
          <w:tcPr>
            <w:tcW w:w="9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2"/>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(six months remaining)</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6"/>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6"/>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w:t>
            </w:r>
          </w:p>
        </w:tc>
      </w:tr>
      <w:tr>
        <w:trPr>
          <w:trHeight w:val="26"/>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180" w:hanging="173"/>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2025 and December 31, 2024, Inventories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7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2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36,699</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2025, Inventories included finished goods of $2.3 million (December 31, 2024 — $1.8 million) for which title had passed to the customers, but the criteria for revenue recognition were not met as of the balance sheet date.</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write-downs of $0.1 million and $0.2 million, respectively (2024 — write-downs of $0.2 million during each such period) in Costs and Expenses Applicable to Revenues ― Technology Sales.</w:t>
      </w:r>
    </w:p>
    <w:p>
      <w:pPr>
        <w:spacing w:after="0" w:line="200" w:lineRule="exact"/>
        <w:rPr>
          <w:sz w:val="20"/>
          <w:szCs w:val="20"/>
          <w:color w:val="auto"/>
        </w:rPr>
      </w:pPr>
    </w:p>
    <w:p>
      <w:pPr>
        <w:spacing w:after="0" w:line="226" w:lineRule="exact"/>
        <w:rPr>
          <w:sz w:val="20"/>
          <w:szCs w:val="20"/>
          <w:color w:val="auto"/>
        </w:rPr>
      </w:pPr>
    </w:p>
    <w:p>
      <w:pPr>
        <w:ind w:left="180" w:hanging="173"/>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2025 and December 31, 2024, Revolving Credit Facility Borrowings, Net included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2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color w:val="auto"/>
        </w:rPr>
        <w:t>The Company was a party to a Sixth Amended and Restated Credit Agreement, dated as of March 25, 2022 (the “Credit Agreement”), that provided for a credit facility (the “Credit Facility”) maturing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209" w:lineRule="exact"/>
        <w:rPr>
          <w:sz w:val="20"/>
          <w:szCs w:val="20"/>
          <w:color w:val="auto"/>
        </w:rPr>
      </w:pPr>
    </w:p>
    <w:p>
      <w:pPr>
        <w:jc w:val="both"/>
        <w:ind w:firstLine="161"/>
        <w:spacing w:after="0" w:line="278" w:lineRule="auto"/>
        <w:rPr>
          <w:sz w:val="20"/>
          <w:szCs w:val="20"/>
          <w:color w:val="auto"/>
        </w:rPr>
      </w:pPr>
      <w:r>
        <w:rPr>
          <w:rFonts w:ascii="Times New Roman" w:cs="Times New Roman" w:eastAsia="Times New Roman" w:hAnsi="Times New Roman"/>
          <w:sz w:val="17"/>
          <w:szCs w:val="17"/>
          <w:color w:val="auto"/>
        </w:rPr>
        <w:t>The Credit Agreement provided for a revolving borrowing capacity of $300.0 million, and contained an uncommitted accordion feature that allowed the Company to further increase its borrowing capacity by the greater of $140.0 million, for a total of $440.0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spacing w:after="0" w:line="193"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The Credit Agreement required that the Company maintain a maximum Senior Secured Net Leverage Ratio (as defined in the Credit Agreement) of no greater than 3.25:1.00, on the last day of each fiscal quarter. The Company was in compliance with this requirement as of June 30, 2025 as the Senior Secured Net Leverage Ratio was 0.00:1.00.</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2025, borrowings under the Credit Facility were $48.0 million (December 31, 2024 — $37.0 million) and bore interest at Term SOFR, plus a margin of 1.75% per annum based on the Company’s total leverage ratio. The effective interest rate for the three and six months ended June 30, 2025 were 6.17%, respectively.</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no letters of credit or advance payment guarantees outstanding under the Credit Facility.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amount available for future borrowings under the Credit Facility was $252.0 million (December 31, 2024 — $263.0 million).</w:t>
      </w:r>
    </w:p>
    <w:p>
      <w:pPr>
        <w:spacing w:after="0" w:line="23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On July 14, 2025, the Company entered into a Seventh Amended and Restated Credit Agreement (the “New Credit Agreement”) with Wells Fargo Bank, National Association, as agent, and a syndicate of lenders party thereto. The New Credit Agreement increases</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revolving borrowing capacity to $375.0 million, and also contains an uncommitted accordion feature allowing the Company to further expand its borrowing capacity to $515.0 million or greater, in the form of revolving loans and/or term loans under the incremental facility and subject to conditions set forth in the New Credit Agreement. The facility under the New Credit Agreement (the “New Facility”) matures on July 14, 2030; provided that if certain convertible debt that is permitted to be incurred under the New Credit Agreement, and is so incurred after the date of the New Credit Agreement, has a maturity date that is earlier than 91 days after the maturity date of the New Facility and the aggregate amount of any such convertible debt that remains outstanding on the date that is 91 days prior to the earliest maturity date of any such convertible debt (the “Springing Maturity Date”) exceeds $100.0 million, then the maturity date for the New Facility shall automatically be modified to be the Springing Maturity Date.</w:t>
      </w:r>
    </w:p>
    <w:p>
      <w:pPr>
        <w:spacing w:after="0" w:line="21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Loans under the New Facility will bear interest, at the Company’s option, at (i) Term SOFR, Eurocurrency Rate or Term CORRA plus a margin ranging from 1.00% to 1.75% per annum or (ii) the U.S. base rate or the Canadian prime rate plus a margin ranging from 0.25% to 1.00% per annum, in each case depending on the Company’s total leverage ratio. In no event will Term SOFR, Eurocurrency Rate or Term CORRA be less than 0.00% per annum.</w:t>
      </w:r>
    </w:p>
    <w:p>
      <w:pPr>
        <w:spacing w:after="0" w:line="20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New Credit Agreement requires that the Company does not exceed a maximum senior secured net leverage ratio of 3.25:1.00, which may be increased under certain circumstances and is tested on the last day of each fiscal quarter. In addition, the New Credit Agreement contains customary affirmative and negative covenants for a transaction of this type, including covenants that limit indebtedness, liens, asset sales, investments and restricted payments, in each case, subject to negotiated exceptions and baskets. The New Credit Agreement also contains representations, warranties and event of default provisions customary for a transaction of this type. The Company’s obligations under the New Credit Agreement are guaranteed by certain of the Guarantors, and are secured by first-priority security interests in substantially all of the assets of the Company and the Guarantors.</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At closing, the Company incurred $52.0 million under the New Credit Agreement to repay the outstanding balance under the Credit Facility. The Company estimates the fees incurred in connection with the New Credit Agreement to be approximately $2.2 million, which will be amortized on a straight-line basis over the term of the New Credit Agreement.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June 30, 2025, the net unrealized gain on the Company’s outstanding foreign currency forward contracts was $1.4 million, representing the amount by which the notional value of these forward contracts exceeded their fair value (December 31, 2024 — net unrealized loss of $2.0 million). As of June 30, 2025, the notional value of the Company’s outstanding foreign currency forward contracts was $51.3 million (December 31, 2024 — $48.4 million).</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2025, and December 31, 2024, there were no borrowings outstanding under the Bank of China Facility (as defined and described in Note 13 to the Company’s audited Consolidated Financial Statements in its 2024 Form 10-K) and outstanding letters of guarantee were RMB 0.2 million (less than $0.1 million).</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2025, the amount available for future borrowings under the Bank of China Facility was RMB 190.0 million ($26.5 million) and the amount available for letters of guarantee was RMB 9.8 million ($1.4 million). The amount available for future borrowings under the Bank of China Facility is not subject to a standby fee. The effective interest rate for the three and six months ended June 30, 2025 was 0% for each such period (2024 — 0% for each such period).There were no amounts drawn under the Bank of China Facility for the three and six months ended June 30, 2025.</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June 2022, IMAX Shanghai entered into an unsecured revolving facility for up to RMB 200.0 million ($27.9 million) with HSBC Bank (China) Company Limited, Shanghai Branch to fund ongoing working capital requirements (the “HSBC China Facility”). As of June 30, 2025 and December 31, 2024, no borrowings were outstanding under the HSBC China Facility. As of June 30, 2025, the amount available for future borrowings under the HSBC China Facility was RMB 200.0 million ($27.9 million). The effective interest rate for the three and six months ended June 30, 2025 was 0% for each such period (2024 — 0%).</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NBC Facility (as defined and described in Note 13 to the Company’s audited Consolidated Financial Statements in its 2024 Form 10-K) has been renewed to September 20, 2025. The Company did not have any letters of credit or advance payment guarantees outstanding as of June 30, 2025 and December 31, 2024 under the NBC Facility.</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2025 and December 31, 2024, Convertible Notes and Other Borrowings, Net included the following:</w:t>
      </w:r>
    </w:p>
    <w:p>
      <w:pPr>
        <w:spacing w:after="0" w:line="296" w:lineRule="exact"/>
        <w:rPr>
          <w:sz w:val="20"/>
          <w:szCs w:val="20"/>
          <w:color w:val="auto"/>
        </w:rPr>
      </w:pPr>
    </w:p>
    <w:p>
      <w:pPr>
        <w:jc w:val="right"/>
        <w:ind w:right="3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7" w:lineRule="exact"/>
        <w:rPr>
          <w:sz w:val="20"/>
          <w:szCs w:val="20"/>
          <w:color w:val="auto"/>
        </w:rPr>
      </w:pPr>
    </w:p>
    <w:p>
      <w:pPr>
        <w:ind w:left="20"/>
        <w:spacing w:after="0"/>
        <w:tabs>
          <w:tab w:leader="none" w:pos="8600" w:val="left"/>
          <w:tab w:leader="none" w:pos="10300" w:val="left"/>
        </w:tabs>
        <w:rPr>
          <w:sz w:val="20"/>
          <w:szCs w:val="20"/>
          <w:color w:val="auto"/>
        </w:rPr>
      </w:pPr>
      <w:r>
        <w:rPr>
          <w:rFonts w:ascii="Times New Roman" w:cs="Times New Roman" w:eastAsia="Times New Roman" w:hAnsi="Times New Roman"/>
          <w:sz w:val="14"/>
          <w:szCs w:val="14"/>
          <w:i w:val="1"/>
          <w:iCs w:val="1"/>
          <w:color w:val="auto"/>
        </w:rPr>
        <w:t>(In thousands of U.S. Dollars)</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179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Unamortized discounts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33590" cy="179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 net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20"/>
                <w:szCs w:val="20"/>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68"/>
        </w:trPr>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6"/>
        </w:trPr>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5"/>
        </w:trPr>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228,888</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228,136</w:t>
            </w:r>
          </w:p>
        </w:tc>
      </w:tr>
      <w:tr>
        <w:trPr>
          <w:trHeight w:val="26"/>
        </w:trPr>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40" w:space="720"/>
            <w:col w:w="3280"/>
          </w:cols>
          <w:pgMar w:left="320" w:top="362"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35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4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3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6"/>
        </w:trPr>
        <w:tc>
          <w:tcPr>
            <w:tcW w:w="44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35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40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230,474</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151"/>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44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0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on the Condensed Consolidated Balance Sheets, net of initial purchasers’ discounts and commissions and other debt issuance costs, with interest expense reflecting the cash coupon plus the amortization of the discounts and capitalized costs.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2025, the Federal Economic Development Loan (as defined and described in Note 13 to the Company’s audited Consolidated Financial Statements in its 2024 Form 10-K) had a carrying value of $1.6 million, net of unaccreted interest benefit and is recorded within Convertible Notes and Other Borrowings, Net on the Company’s Condensed Consolidated Balance Sheets.</w:t>
      </w:r>
    </w:p>
    <w:p>
      <w:pPr>
        <w:spacing w:after="0" w:line="200" w:lineRule="exact"/>
        <w:rPr>
          <w:sz w:val="20"/>
          <w:szCs w:val="20"/>
          <w:color w:val="auto"/>
        </w:rPr>
      </w:pPr>
    </w:p>
    <w:p>
      <w:pPr>
        <w:ind w:left="200" w:right="7560" w:hanging="193"/>
        <w:spacing w:after="0" w:line="530" w:lineRule="auto"/>
        <w:tabs>
          <w:tab w:leader="none" w:pos="18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b w:val="1"/>
          <w:bCs w:val="1"/>
          <w:i w:val="1"/>
          <w:iCs w:val="1"/>
          <w:color w:val="auto"/>
        </w:rPr>
        <w:t>Commitments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guarantees</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13"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On October 24, 2024, the Bombay High Court announced the dismissal of the Company’s application, and the Court issued a written order of dismissal on November 14, 2024. On December 13, 2024, the Company filed an appeal of this order, and the Company fully intends to continue pursuing its rights and seeking to enforce the arbitration award.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No amounts have been recognized in connection with this matter.</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on the Condensed Consolidated Balance Sheets, was $nil as of June 30, 2025 and $0.1 million as of December 31, 2024.</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on the Company’s Condensed Consolidated Balance Sheets as of June 30, 2025 and December 31, 2024, with respect to this indemnity.</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253"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99" w:lineRule="exact"/>
        <w:rPr>
          <w:sz w:val="20"/>
          <w:szCs w:val="20"/>
          <w:color w:val="auto"/>
        </w:rPr>
      </w:pPr>
    </w:p>
    <w:p>
      <w:pPr>
        <w:ind w:left="200" w:right="4980" w:hanging="193"/>
        <w:spacing w:after="0" w:line="530" w:lineRule="auto"/>
        <w:tabs>
          <w:tab w:leader="none" w:pos="18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Condensed Consolidated Statements of Operations – Supplemental Information </w:t>
      </w:r>
      <w:r>
        <w:rPr>
          <w:rFonts w:ascii="Times New Roman" w:cs="Times New Roman" w:eastAsia="Times New Roman" w:hAnsi="Times New Roman"/>
          <w:sz w:val="18"/>
          <w:szCs w:val="18"/>
          <w:b w:val="1"/>
          <w:bCs w:val="1"/>
          <w:i w:val="1"/>
          <w:iCs w:val="1"/>
          <w:color w:val="auto"/>
        </w:rPr>
        <w:t>Selling Expenses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the three and six months ended June 30,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409</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489</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jc w:val="both"/>
        <w:ind w:left="340" w:right="20" w:hanging="315"/>
        <w:spacing w:after="0" w:line="27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257</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655</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676</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20" w:hanging="315"/>
        <w:spacing w:after="0" w:line="259" w:lineRule="auto"/>
        <w:tabs>
          <w:tab w:leader="none" w:pos="3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ind w:left="340" w:right="140" w:hanging="315"/>
        <w:spacing w:after="0" w:line="269" w:lineRule="auto"/>
        <w:tabs>
          <w:tab w:leader="none" w:pos="3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and six months ended June 30, 2025 is a foreign currency net gain of $0.2 million and loss of $0.2 million, respectively (2024 — net losses of $0.2 million and $0.5 million, respectively) resulting from changes in exchange rates related to foreign currency denominated monetary assets and liabilities. See Note 15 for additional information.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recognized $3.8 million in benefits received from the Internal Revenue Service under the Employee Retention Credit (“ERC”) program which provides for a refundable tax credit for eligible businesses that had employees and were affected during the COVID-19 pandemic. The ERC has been recognized as a reduction to Selling, General and Administrative Expenses ($2.5 million) and Costs and Expenses Applicable to Revenues ($1.3 million).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accounting policy for the Company’s JRSAs is disclosed in Note 2 of the Company’s audited Consolidated Financial Statements in its 2024 Form 10-</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3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JRSAs are recorded within Revenues — Technology Sales (for hybrid JRSAs) and Revenues — Technology Rentals (for traditional JRSAs). For the three and six months ended June 30, 2025, such revenues totaled $18.7 million and $37.9 million, respectively (2024 — $13.3 million and $32.5 million, respectively).</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Remastering and Distribution</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earns revenue through the digital remastering of films and other content into IMAX formats for distribution to the IMAX network (“IMAX Film Remastering”). The accounting policy for IMAX Film Remastering and distribution arrangements is disclosed in Note 2 of the Company’s audited Consolidated Financial Statements in its 2024 Form 10-K.</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Film Remastering and distribution arrangements are included in Revenues – Image Enhancement and Maintenance Services. For the three and six months ended June 30, 2025, such revenues totaled $28.7 million and $60.4 million, respectively (2024 — $21.3 million and $51.0 million, respectively). See Note 12 for a disaggregated presentation of the Company’s revenues.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accounting policies relating to co-produced film arrangements are disclosed in Notes 2 and 3 of the Company’s audited Consolidated Financial Statements in its 2024 Form 10-K.</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2025, the Company is party to one co-produced film arrangement, which represented the VIE total assets balance of $1.8 million and liabilities balance of $0.4 million, and four other co-produced film arrangements, the terms of which are similar.</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2025, an expense of $0.1 million and $0.2 million, respectively (2024 — $2.9 million and $3.0 million, respectively) attributable to transactions between the Company and other parties involved in the production of the films have been included in Costs and Expenses Applicable to Revenues ― Image Enhancement and Maintenance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Cash Flows – Supplemental Information</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Pr>
          <w:p>
            <w:pPr>
              <w:spacing w:after="0"/>
              <w:rPr>
                <w:sz w:val="21"/>
                <w:szCs w:val="21"/>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accruals related to:</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JRSAs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1"/>
                <w:szCs w:val="21"/>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53" w:lineRule="exact"/>
        <w:rPr>
          <w:sz w:val="20"/>
          <w:szCs w:val="20"/>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June 30, 2025, the Company recorded an income tax expense of $1.2 million (2024 — tax benefit of $4.0 million). The Company’s effective tax rate of 8.9% for the three months ended June 30, 2025, reflects the geographic allocation of income earned in taxing jurisdictions and reflects a decrease in the valuation allowance.</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2025, the Company recorded an income tax expense of $8.5 million (2024 — tax expense of $1.2 million). The Company’s effective tax rate of 29.4% for the six months ended June 30, 2025, reflects the geographic allocation of income earned in taxing jurisdictions and also reflects an increase in the valuation allowance, withholding taxes and a tax benefit related to share-based compensation.</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On July 4, 2025, the One Big Beautiful Bill Act (the “Act”) was signed into law, introducing significant U.S. tax changes. Key provisions that may impact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IMAX are Interest Deductibility (IRC §163(j)), Bonus Depreciation and Section §179. The Company is currently evaluating the Act’s potential impact on its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and will update its assessment as further guidance becomes available.</w:t>
      </w:r>
    </w:p>
    <w:p>
      <w:pPr>
        <w:spacing w:after="0" w:line="23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2025, the Company’s Condensed Consolidated Balance Sheets included net deferred income tax assets of $13.6 million (December 31, 2024 — $14.5 million). Realization of net deferred tax assets is dependent upon generation of sufficient taxable income in future years to obtain benefit from the reversal of temporary differences, net operating loss carryforwards and tax credit carryforwards. The amount of net deferred tax assets considered realizable is subject to adjustment in future periods if estimates of future taxable income change.</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2025, the Company’s Condensed Consolidated Balance Sheets also included deferred tax liabilities of $12.5 million (December 31, 2024</w:t>
      </w:r>
    </w:p>
    <w:p>
      <w:pPr>
        <w:spacing w:after="0" w:line="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$12.5 million) primarily related to foreign withholding taxes associated with the remaining balance of non-repatriated historical earnings that will not be indefinitely reinvested outside of Canada.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Capital Stock and Reserves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2025, share-based compensation expense totaled $7.4 million and $12.6 million, respectively (2024 — $6.9 million and $11.5 million, respectively) and is reflected in the following accounts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Company’s share-based compensation expense included restricted share units to non-employees of $1.7 million for each such period, of which $1.7 million granted during the six month period vested immediately (2024 — $1.7 million for each such period).</w:t>
      </w: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for the six months ended June 30, 2025 and 2024: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22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1,950,169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2,720,540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1,950,169</w:t>
            </w:r>
          </w:p>
        </w:tc>
        <w:tc>
          <w:tcPr>
            <w:tcW w:w="1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2,720,540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 options are no longer granted under the Company’s previously approved SOP.</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 (“RSU”) Summary</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Corporation Second Amended and Restated Long-Term Incentive Plan (as may be amended, “IMAX LTIP”) for the six months ended June 30, 2025 and 2024:</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1,465,977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1,286,830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542,555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946,507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(712,092)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1,270,847</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1,512,944</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(“PSU”) Summary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these targets are assessed over a three-year performance period, with vesting ranging from 0% to 175% of the initial Adjusted EBITDA PSU award or 150% of the initial TSR PSU award, depending upon actual performance.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grant date fair value for Adjusted EBITDA PSUs is equal to the closing price of the Company’s common shares on the date of grant or the average closing price of the Company’s common shares for five days prior to the date of grant. The grant date fair value for TSR PSUs is determined using a Monte Carlo Model, influenced by share price and various assumptions, such as, market conditions and expected share price volatility over the term of the awards.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compensation expense attributable for each type of PSUs is recognized on a straight-line basis over the requisite service period. If, as a result of management’s assessment, it is projected that a greater or lesser number of PSUs will vest than previously anticipated, a life-to-date adjustment to increase or decrease compensation expense is recorded in the period that such determination is made, respectively. The expense recognized in the six months ended June 30, 2025 and 2024 includes adjustments reflecting management’s estimate of the number of Adjusted EBITDA PSUs expected to vest.</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six months ended June 30, 2025 and 2024: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201"/>
        </w:trPr>
        <w:tc>
          <w:tcPr>
            <w:tcW w:w="4600" w:type="dxa"/>
            <w:vAlign w:val="bottom"/>
          </w:tcPr>
          <w:p>
            <w:pPr>
              <w:spacing w:after="0"/>
              <w:rPr>
                <w:sz w:val="17"/>
                <w:szCs w:val="17"/>
                <w:color w:val="auto"/>
              </w:rPr>
            </w:pPr>
          </w:p>
        </w:tc>
        <w:tc>
          <w:tcPr>
            <w:tcW w:w="22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7"/>
                <w:szCs w:val="17"/>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68"/>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551,084</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580,336</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(463,212)</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1,161,050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1,100,967</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340" w:right="80" w:hanging="315"/>
        <w:spacing w:after="0" w:line="299" w:lineRule="auto"/>
        <w:tabs>
          <w:tab w:leader="none" w:pos="332"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six months ended June 30, 2025, the balance of shares granted includes 176,751 additional shares, at a weighted average grant date fair value per share of $19.53, as PSUs granted in 2022 with Adjusted EBITDA targets vested at 175% on account of full achievement of the targets and TSR targets vested at 123.5%, which reflects actual performance.</w:t>
      </w:r>
    </w:p>
    <w:p>
      <w:pPr>
        <w:spacing w:after="0" w:line="302"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2025, the maximum number of common shares that may be issued with respect to PSUs outstanding was 1,950,452, assuming full achievement of the Adjusted EBITDA and TSR targets.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through June 30, 2026 and increased to a total share repurchase authority of $400.0 million. In June 2025, the Company’s Board of Directors approved a 12-month extension to its share repurchase program through June 30, 2027 and an increase of $100.0 million in the Company’s share repurchase program authorization. With the increase of $100 million, the Company’s total share repurchase authority is $500.0 million under the current share repurchase program. As of June 30, 2025, the Company had $250.7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did not have any repurchases of common shares. During the three and six months ended June 30, 2024, the Company repurchased 7,646 and 1,166,370 common shares, respectively, at an average price of $14.98 and $13.99 per share, respectively, for a total of $0.1 million and $16.3 million, respectively, excluding commissions. During the six months ended June 30, 2025 and 2024, there were no shares purchases in the administration of employee share-based plans.</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2025 and December 31, 2024, the IMAX LTIP trustee did not hold any shares. Any shares held with the trustee are recorded at cost and are reported as a reduction against Capital Stock on the Company’s Condensed Consolidated Balance Sheets.</w:t>
      </w:r>
    </w:p>
    <w:p>
      <w:pPr>
        <w:spacing w:after="0" w:line="18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2024, IMAX China’s shareholders granted its Board of Directors a general mandate authorizing IMAX China’s Board of Directors, subject to applicable laws, to repurchase shares of IMAX China not to exceed 10% of the total number of issued shares as of June 7, 2024 (34,000,845 shares). This program expired on the date of the 2025 Annual General Meeting of IMAX China on June 12, 2025. During the 2025 Annual General Meeting, shareholders granted its Board of Directors a general mandate authorizing the Board of Directors of IMAX China, subject to applicable laws, to repurchase shares of IMAX China not to exceed 10% of the total number of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2025, IMAX China repurchased 1,495,900 common shares, at an average price of HKD 7.56 per share ($0.96 per share) for a total of HKD $11.3 million ($1.4 million), excluding commissions. During the three and six months ended June 30, 2024, IMAX China repurchased 119,000 common shares, at an average price of HKD 7.43 per share ($0.95 per share) for a total of HKD 0.9 million ($0.1 million).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860" w:type="dxa"/>
            <w:vAlign w:val="bottom"/>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40" w:type="dxa"/>
            <w:vAlign w:val="bottom"/>
            <w:vMerge w:val="continue"/>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54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w:t>
            </w:r>
          </w:p>
        </w:tc>
        <w:tc>
          <w:tcPr>
            <w:tcW w:w="0" w:type="dxa"/>
            <w:vAlign w:val="bottom"/>
          </w:tcPr>
          <w:p>
            <w:pPr>
              <w:spacing w:after="0"/>
              <w:rPr>
                <w:sz w:val="1"/>
                <w:szCs w:val="1"/>
                <w:color w:val="auto"/>
              </w:rPr>
            </w:pPr>
          </w:p>
        </w:tc>
      </w:tr>
      <w:tr>
        <w:trPr>
          <w:trHeight w:val="24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issued (repurchased),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6"/>
        </w:trPr>
        <w:tc>
          <w:tcPr>
            <w:tcW w:w="5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52,568</w:t>
            </w:r>
          </w:p>
        </w:tc>
        <w:tc>
          <w:tcPr>
            <w:tcW w:w="0" w:type="dxa"/>
            <w:vAlign w:val="bottom"/>
          </w:tcPr>
          <w:p>
            <w:pPr>
              <w:spacing w:after="0"/>
              <w:rPr>
                <w:sz w:val="1"/>
                <w:szCs w:val="1"/>
                <w:color w:val="auto"/>
              </w:rPr>
            </w:pPr>
          </w:p>
        </w:tc>
      </w:tr>
      <w:tr>
        <w:trPr>
          <w:trHeight w:val="268"/>
        </w:trPr>
        <w:tc>
          <w:tcPr>
            <w:tcW w:w="5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2025, the calculation of diluted weighted average shares outstanding excludes 929,825 and 968,984 shares, respectively (2024 — 3,118,725 and 3,716,606 shares, respectively) that are issuable upon the vesting or exercise of share-based compensation including: (i) $nil RSUs (2024 — 355,337 and 664,720 RSUs, respectively), (ii) 86,784 and 125,943</w:t>
      </w:r>
    </w:p>
    <w:p>
      <w:pPr>
        <w:sectPr>
          <w:pgSz w:w="11900" w:h="16838" w:orient="portrait"/>
          <w:cols w:equalWidth="0" w:num="1">
            <w:col w:w="11240"/>
          </w:cols>
          <w:pgMar w:left="320" w:top="362"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PSUs, respectively (2024 — 42,848 and 331,346 PSUs, respectively) and (iii) 843,041 stock options, respectively (2024 — 2,720,540 stock options, respectively), as the effect would be anti-dilutive.</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three and six months ended June 30, 2025 and 2024 also excludes any shares potentially issuable upon the conversion of the Convertible Notes as the average market price of the Company’s common shares during the period of time they were outstanding was less than the conversion price of the Convertible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statutory surplus reserve of RMB 37.7 million ($5.8 million) has reached 50% of the Company’s PRC subsidiaries’ registered capital, and as such, no further contributions to the reserve are required.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Company’s Revenues by reportable segment and revenue stream type for the three and six months ended June 30, 2025 and 2024:</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33,965</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89,604</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63,807</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63,807</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68,214</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99,348</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174,446</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101,607</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101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50,179</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85,974</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52,189</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99,353</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163,137</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102,537</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2025, revenues earned from Technology Sales include variable consideration of $3.1 million and $6.4 million, respectively (2024 — $7.7 million and $9.4 million, respectively).</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revenues earned from leasing arrangements total $19.1 million and $38.5 million, respectively (2024 — $13.3 million and $32.5 million, respectively), including $19.1 million and $38.4 million, respectively, in Revenues ― Technology Rentals (2024 — $13.9 million and $32.5 million, respectively), and $0.1 million in the three and six months ended June 30, 2025, respectively, in Revenues ― Technology Sales (2024 — a reversal of $0.7 million and $nil, respectively).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June 30, 2025, $21.6 million of consideration</w:t>
      </w:r>
    </w:p>
    <w:p>
      <w:pPr>
        <w:sectPr>
          <w:pgSz w:w="11900" w:h="16838" w:orient="portrait"/>
          <w:cols w:equalWidth="0" w:num="1">
            <w:col w:w="11240"/>
          </w:cols>
          <w:pgMar w:left="320" w:top="36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been deferred in relation to outstanding maintenance services to be provided on existing maintenance contracts (December 31, 2024 — $26.5 million).</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and six months ended June 30, 2025, $10.8 million and $19.8 million of revenue, respectively, was recognized from the $52.7 million balance of deferred revenue as of December 31, 2024. During the three and six months ended June 30, 2024, $12.1 million and $24.2 million of revenue, respectively, was recognized from the $67.1 million balance of deferred revenue as of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of the 2024 Form 10-K. Intercompany profit or loss is not included in the evaluation of performance and allocation of resources.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three months ended June 30, 2025 and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25,783</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89,604</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85,974</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52,609</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41,921</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53,602</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jc w:val="both"/>
        <w:ind w:left="340" w:right="20" w:hanging="315"/>
        <w:spacing w:after="0" w:line="269" w:lineRule="auto"/>
        <w:tabs>
          <w:tab w:leader="none" w:pos="3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12% of total Revenues for the three months ended June 30, 2025 (2024 — 14%) and one single customer accounted for more than 10% of the Company’s total Accounts Receivable balance as of June 30, 2025. No single customer accounted for more than 10% of the Company’s total Accounts Receivable balance as of December 31, 2024.</w:t>
      </w: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six months ended June 30, 2025 and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45,985</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38,237</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59,264</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49,367</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174,446</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105,249</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87,604</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178,351</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106,778</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99" w:lineRule="auto"/>
        <w:tabs>
          <w:tab w:leader="none" w:pos="332"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represented 10% of total Revenues for the six months ended June 30, 2025 (2024 — 13%). One single customer comprised of more than 10% of the Company’s total Accounts Receivable as of June 30, 2025. No single customer comprised of more than 10% of the Company’s total Accounts Receivable as of December 31, 2024.</w:t>
      </w:r>
    </w:p>
    <w:p>
      <w:pPr>
        <w:spacing w:after="0" w:line="30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Content Solutions segment that is made available to the CODM as part of the Company’s annual and quarterly financial reporting requirements in accordance with U.S. GAAP:</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360" w:type="dxa"/>
            <w:vAlign w:val="bottom"/>
          </w:tcPr>
          <w:p>
            <w:pPr>
              <w:spacing w:after="0"/>
              <w:rPr>
                <w:sz w:val="20"/>
                <w:szCs w:val="20"/>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20"/>
                <w:szCs w:val="20"/>
                <w:color w:val="auto"/>
              </w:rPr>
            </w:pPr>
          </w:p>
        </w:tc>
        <w:tc>
          <w:tcPr>
            <w:tcW w:w="28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60" w:type="dxa"/>
            <w:vAlign w:val="bottom"/>
            <w:tcBorders>
              <w:bottom w:val="single" w:sz="8" w:color="B6B6B6"/>
            </w:tcBorders>
          </w:tcPr>
          <w:p>
            <w:pPr>
              <w:spacing w:after="0"/>
              <w:rPr>
                <w:sz w:val="3"/>
                <w:szCs w:val="3"/>
                <w:color w:val="auto"/>
              </w:rPr>
            </w:pPr>
          </w:p>
        </w:tc>
        <w:tc>
          <w:tcPr>
            <w:tcW w:w="1180" w:type="dxa"/>
            <w:vAlign w:val="bottom"/>
            <w:tcBorders>
              <w:bottom w:val="single" w:sz="8" w:color="B6B6B6"/>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1180" w:type="dxa"/>
            <w:vAlign w:val="bottom"/>
            <w:tcBorders>
              <w:bottom w:val="single" w:sz="8" w:color="B6B6B6"/>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1180" w:type="dxa"/>
            <w:vAlign w:val="bottom"/>
            <w:tcBorders>
              <w:bottom w:val="single" w:sz="8" w:color="B6B6B6"/>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B6B6B6"/>
            </w:tcBorders>
          </w:tcPr>
          <w:p>
            <w:pPr>
              <w:spacing w:after="0"/>
              <w:rPr>
                <w:sz w:val="3"/>
                <w:szCs w:val="3"/>
                <w:color w:val="auto"/>
              </w:rPr>
            </w:pPr>
          </w:p>
        </w:tc>
        <w:tc>
          <w:tcPr>
            <w:tcW w:w="12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asset amortization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Co-produced film participation expenses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45,985</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film distribution, post production costs, production costs, and network connectivity fees.</w:t>
      </w:r>
    </w:p>
    <w:p>
      <w:pPr>
        <w:spacing w:after="0" w:line="36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380" w:type="dxa"/>
            <w:vAlign w:val="bottom"/>
          </w:tcPr>
          <w:p>
            <w:pPr>
              <w:spacing w:after="0"/>
              <w:rPr>
                <w:sz w:val="20"/>
                <w:szCs w:val="20"/>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20"/>
                <w:szCs w:val="20"/>
                <w:color w:val="auto"/>
              </w:rPr>
            </w:pPr>
          </w:p>
        </w:tc>
        <w:tc>
          <w:tcPr>
            <w:tcW w:w="28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118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118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1180" w:type="dxa"/>
            <w:vAlign w:val="bottom"/>
            <w:tcBorders>
              <w:bottom w:val="single" w:sz="8" w:color="494949"/>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1180" w:type="dxa"/>
            <w:vAlign w:val="bottom"/>
            <w:tcBorders>
              <w:bottom w:val="single" w:sz="8" w:color="494949"/>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equipment supporting JRSAs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 of equipment supporting JRSAs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 of inventory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34,342</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30,207</w:t>
            </w:r>
          </w:p>
        </w:tc>
        <w:tc>
          <w:tcPr>
            <w:tcW w:w="0" w:type="dxa"/>
            <w:vAlign w:val="bottom"/>
          </w:tcPr>
          <w:p>
            <w:pPr>
              <w:spacing w:after="0"/>
              <w:rPr>
                <w:sz w:val="1"/>
                <w:szCs w:val="1"/>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44,681</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59,264</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40" w:right="120" w:hanging="315"/>
        <w:spacing w:after="0" w:line="279" w:lineRule="auto"/>
        <w:tabs>
          <w:tab w:leader="none" w:pos="332"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the manufacturing and build of IMAX Systems recognized in the period, maintenance and warranty costs, and other product related costs. Also included is a recovery of $0.5 million for insurance proceeds received during the period, associated with inventory costs that were previously written off. The total proceeds received were $0.7 million, and the incremental gain of $0.2 million was recognized in selling, general and administrative expenses.</w:t>
      </w: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and six months ended June 30, 2025 and 2024: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gridSpan w:val="3"/>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00" w:type="dxa"/>
            <w:vAlign w:val="bottom"/>
            <w:gridSpan w:val="3"/>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44,203</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91,684</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178,351</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United States, Greater China (which includes the mainland of the People’s Republic of China, Hong Kong, Macau, and Taiwan), Western Europe, and Asia (excluding Greater China) each comprise greater than 10% of the Company’s total revenues for the three and six months ended June 30,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Employee’s Pension and Postretirement Benefits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Gelfond. Under the terms of his employment agreement, as amended, the total benefit payable to Mr. Gelfond under the SERP is fixed at $20.3 million.</w:t>
      </w:r>
    </w:p>
    <w:p>
      <w:pPr>
        <w:spacing w:after="0" w:line="23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2025, the Company’s projected benefit obligation under the SERP was $19.4 million (December 31, 2024 — $19.0 million). For the three and six months ended June 30, 2025, the Company recorded interest costs of $0.2 million and $0.4 million, respectively, (2024 — $0.2 million and $0.4 million, respectively) related to the SERP. The Company expects to recognize additional interest costs of $0.4 million related to the SERP during the remainder of 2025. No contributions are expected to be made to the SERP in 2025.</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2025, the Company’s postretirement benefits obligation under this plan was $0.5 million (December 31, 2024 — $0.5 million). For the three and six months ended June 30, 2025, the Company has recorded an expense of less than $0.1 million, respectively (2024 — less than $0.1 million, respectively) related to this plan.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June 30, 2025, the Company’s postretirement benefits obligation under this plan was $0.8 million (December 31, 2024 — $0.8 million). For the three and six months ended June 30, 2025, the Company has recorded expense of less than $0.1 million, respectively, (2024 — less than $0.1 million, respectively) related to this plan.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2025, the benefit obligation related to the Retirement Plan was $4.3 million (December 31, 2024 — $4.2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209"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of June 30, 2025, fair value of the COLI asset was $3.7 million (December 31, 2024</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$3.6 million). Gains and losses resulting from changes in the cash surrender value of the COLI asset are recognized in the Condensed Consolidated Statements of Operations within Realized and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Company’s cash is invested with various major financial institutions. The Company’s $109.3 million balance of cash and cash equivalents as of June 30, 2025 (December 31, 2024 — $100.6 million) included $100.9 million in cash held outside of Canada (December 31, 2024 — $85.4 million), of which $61.5 million was held in the People’s Republic of China (“PRC”) (December 31, 2024 — $47.5 million).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Variable Consideration, Accounts Payable and Accrued Liabilities due within one year approximate their fair values due to the short-term maturity of these instruments. Including these instruments, the Company’s financial instruments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Pr>
          <w:p>
            <w:pPr>
              <w:spacing w:after="0"/>
              <w:rPr>
                <w:sz w:val="16"/>
                <w:szCs w:val="16"/>
                <w:color w:val="auto"/>
              </w:rPr>
            </w:pPr>
          </w:p>
        </w:tc>
        <w:tc>
          <w:tcPr>
            <w:tcW w:w="308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38"/>
        </w:trPr>
        <w:tc>
          <w:tcPr>
            <w:tcW w:w="4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83,990</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81,876</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310"/>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(234,009)</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prices in active markets.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4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89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21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June 30, 2025 (the “Foreign Currency Hedges”), with settlement dates throughout 2025 and 2026.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(“AOCI”) and reclassified to the Condensed Consolidated Statements of Operations when the forecasted transaction occurs. Any ineffective portion is recognized immediately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derivatives in foreign exchange contracts: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200" w:type="dxa"/>
            <w:vAlign w:val="bottom"/>
            <w:tcBorders>
              <w:bottom w:val="single" w:sz="8" w:color="CCEEFF"/>
            </w:tcBorders>
          </w:tcPr>
          <w:p>
            <w:pPr>
              <w:spacing w:after="0"/>
              <w:rPr>
                <w:sz w:val="3"/>
                <w:szCs w:val="3"/>
                <w:color w:val="auto"/>
              </w:rPr>
            </w:pPr>
          </w:p>
        </w:tc>
        <w:tc>
          <w:tcPr>
            <w:tcW w:w="38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51,324</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48,376</w:t>
            </w:r>
          </w:p>
        </w:tc>
      </w:tr>
      <w:tr>
        <w:trPr>
          <w:trHeight w:val="536"/>
        </w:trPr>
        <w:tc>
          <w:tcPr>
            <w:tcW w:w="20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8"/>
        </w:trPr>
        <w:tc>
          <w:tcPr>
            <w:tcW w:w="20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20" w:type="dxa"/>
            <w:vAlign w:val="bottom"/>
          </w:tcPr>
          <w:p>
            <w:pPr>
              <w:spacing w:after="0"/>
              <w:rPr>
                <w:sz w:val="19"/>
                <w:szCs w:val="19"/>
                <w:color w:val="auto"/>
              </w:rPr>
            </w:pPr>
          </w:p>
        </w:tc>
        <w:tc>
          <w:tcPr>
            <w:tcW w:w="12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40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2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35"/>
        </w:trPr>
        <w:tc>
          <w:tcPr>
            <w:tcW w:w="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8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2280" w:type="dxa"/>
            <w:vAlign w:val="bottom"/>
            <w:tcBorders>
              <w:bottom w:val="single" w:sz="8" w:color="CCEEFF"/>
            </w:tcBorders>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3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Derivative Gain (Loss)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in OCI</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551"/>
        </w:trPr>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tcPr>
          <w:p>
            <w:pPr>
              <w:spacing w:after="0"/>
              <w:rPr>
                <w:sz w:val="3"/>
                <w:szCs w:val="3"/>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9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Selling, general and</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6"/>
        </w:trPr>
        <w:tc>
          <w:tcPr>
            <w:tcW w:w="2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estimated net amount of the existing gain as of June 30, 2025 is $1.4 million, which is expected to be reclassified to the Condensed Consolidated Statements of Operations within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Non-Controlling Interests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As of June 30, 2025, the Company indirectly owned 71.72% of the outstanding equity interest in IMAX China, whose shares trade on the Hong Kong Stock Exchange (December 31, 2024 — 71.40%). IMAX China remains a consolidated subsidiary of the Company. As of June 30, 2025, the balance of the Company’s non-controlling interest in IMAX China was $84.0 million (December 31, 2024 — $78.1 million). For the three and six months ended June 30, 2025, the net income attributable to the non-controlling interest in IMAX China is $1.0 million and $6.8 million, respectively (2024 — $1.5 million and $3.6 million,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and Other Charges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the three and six months ended June 30, 2025, the Company incurred $0.8 million for each such period (2024 — $nil during each such period) in Restructuring and other charges in the Consolidated Statements of Operations. These charges are associated with continued strategic initiatives aimed at enhancing operational efficiency, reducing costs, and optimizing the Company’s organization structure. Specifically, the Company incurred $0.5 million in connection with the implementation of its plan to optimize its organizational structure, including the elimination of redundant roles, addressing spans and layers to capture efficiencies and centralize</w:t>
      </w:r>
    </w:p>
    <w:p>
      <w:pPr>
        <w:sectPr>
          <w:pgSz w:w="11900" w:h="16838" w:orient="portrait"/>
          <w:cols w:equalWidth="0" w:num="1">
            <w:col w:w="11240"/>
          </w:cols>
          <w:pgMar w:left="320" w:top="36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operational roles. Additionally, the Company incurred $0.3 million of non-recurring fees relating to the 2024 internal asset sale.</w:t>
      </w:r>
    </w:p>
    <w:p>
      <w:pPr>
        <w:spacing w:after="0" w:line="249"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2025, the Company’s liability was $1.4 million (December 31, 2024 — $1.4 million) on the Consolidated Balance Sheets within Accrued and other liabilities related to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2"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(“MD&amp;A”) for IMAX Corporation (together with its consolidated subsidiaries, unless the context requires otherwise, “IMAX” or the “Company”) for the three and six months ended June 30, 2025 and 2024. This MD&amp;A should be read in conjunction with Note 13, “Segment Reporting,” in the accompanying Condensed Consolidated Financial Statements in Item 1 as well as the Company’s audited consolidated financial statements and related notes and the discussion under the heading “Management’s Discussion and Analysis of Financial Condition and Results of Operations” for the fiscal year ended December 31, 2024 included in the Company’s 2024 Annual Report on Form 10-K (the “2024 Form 10-K”).</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2025, the Company indirectly owned 71.72% of the outstanding equity interest in IMAX China Holding, Inc. (“IMAX China”), whose shares trade on the Hong Kong Stock Exchange. IMAX China is a consolidated subsidiary of the Company. For the six months ended June 30, 2025, net income attributable to IMAX China is $23.7 million, of which $17.0 million is attributable to the shareholders of the Company (2024 — $12.8 million and $9.1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3" w:lineRule="exact"/>
        <w:rPr>
          <w:sz w:val="20"/>
          <w:szCs w:val="20"/>
          <w:color w:val="auto"/>
        </w:rPr>
      </w:pPr>
    </w:p>
    <w:p>
      <w:pPr>
        <w:jc w:val="both"/>
        <w:ind w:firstLine="193"/>
        <w:spacing w:after="0" w:line="249"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U.S. Private Securities Litigation Reform Act of 1995 or “forward-looking information” within the meaning of Canadian securities laws. These forward-looking statements include, but are not limited to, statements regarding business and technology strategies and measures to implement strategies, statements about the Company’s belief and expectations, competitive strengths, goals, market opportunity and penetration, including opportunities in and expected growth from international markets, momentum and runway for, expansion and growth of business, network, operations and technology, future capital expenditures (including the amount and nature thereof), the Company’s technological capabilities and the differentiation thereof, brand equity and brand awareness and the benefits thereof, industry prospects and consumer behavior, future industry developments, including expected releases and the timing and effects thereof, plans and references to the future success of the Company and expectations regarding its future operating, financial and technological results, including its box office guidance for 2025.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Canada, and China, including with respect to escalating and uncertain tariffs and other trade regulations, as well as economic and trade tensions, trade wars, and geopolitical conflicts and the effects thereof; risks related to the Company’s growth and operations in China; industry conditions in China affecting both the Company and its partners; risks related to the failure of the Company’s exhibitors being able to fulfill their contractual payment obligations; risks related to the Company’s failure to attract and retain its employee population; the performance of IMAX remastered films and other films released to the IMAX network; the signing of IMAX System agreements; conditions, changes and developments in the commercial exhibition industry; risks related to the Company’s inability to enter into new sales and lease agreements adversely affecting revenue; risks related to the Company’s operating results and cash flow increasing the volatility of the Company’s share price; risks related to currency fluctuations and foreign exchange controls; the potential impact of increased competition in the markets within which the Company operates, including competitive actions by other companies; the failure to respond to change and advancements in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and to avoid infringing, misappropriating, or violating the intellectual property rights of others; risks associated with the Company’s use of artificial intelligence (“AI”) and exploration of additional use cases of AI;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sustained inflationary pressure; risks related to political, economic and social instability; the failure to convert system backlog into revenue and cash flows;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713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20" w:right="740"/>
        <w:spacing w:after="0" w:line="217"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3D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IMAX StreamSmart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34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 website at www.sedarplus.ca and through the Company’s website at www.imax.com or by calling the Company’s Investor Relations Department at 212-821-0154.</w:t>
      </w:r>
    </w:p>
    <w:p>
      <w:pPr>
        <w:spacing w:after="0" w:line="20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filing, except where expressly indicated. All references to the Company’s website are intended to be inactive textual references only.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spacing w:after="0" w:line="204" w:lineRule="exact"/>
        <w:rPr>
          <w:sz w:val="20"/>
          <w:szCs w:val="20"/>
          <w:color w:val="auto"/>
        </w:rPr>
      </w:pPr>
    </w:p>
    <w:p>
      <w:pPr>
        <w:jc w:val="both"/>
        <w:ind w:firstLine="193"/>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June 30, 2025, there were 1,821 IMAX Systems in 89 countries and territories, including 1,750 commercial multiplexes, 11 commercial destinations, and 60 institutional locations in the Company’s global network. This compares to 1,780 IMAX Systems in 89 countries and territories as of June 30, 2024, including 1,705 commercial multiplexes, 12 commercial destinations, and 63 institutional locations in the Company’s global network. (Refer to the table under “IMAX Network and Backlog” for additional information on the composition of the IMAX network.)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49" w:lineRule="exact"/>
        <w:rPr>
          <w:sz w:val="20"/>
          <w:szCs w:val="20"/>
          <w:color w:val="auto"/>
        </w:rPr>
      </w:pPr>
    </w:p>
    <w:p>
      <w:pPr>
        <w:ind w:left="780" w:right="2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8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so that the screen extends to the edge of a viewer’s peripheral vision and creates more realistic images;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auditorium equipped with an IMAX System;</w:t>
      </w:r>
    </w:p>
    <w:p>
      <w:pPr>
        <w:spacing w:after="0" w:line="189"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than conventional cinema experiences;</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48"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believes that these components cause audiences in IMAX locations to feel as if they are a part of the on-screen action, creating a more intense, immersive, and awe-inspiring experience than a conventional cinematic format.</w:t>
      </w:r>
    </w:p>
    <w:p>
      <w:pPr>
        <w:spacing w:after="0" w:line="187"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tends to generate incremental box office receipts (“box office”) for the Company’s exhibitor customers and for the movie studios releasing their films to the IMAX network. The incremental box office generated by IMAX films combined with IMAX’s leading global network footprint and scale has helped establish IMAX as a key premium distribution and marketing platform for Hollywood and foreign local language movie studios.</w:t>
      </w:r>
    </w:p>
    <w:p>
      <w:pPr>
        <w:spacing w:after="0" w:line="211" w:lineRule="exact"/>
        <w:rPr>
          <w:sz w:val="20"/>
          <w:szCs w:val="20"/>
          <w:color w:val="auto"/>
        </w:rPr>
      </w:pPr>
    </w:p>
    <w:p>
      <w:pPr>
        <w:jc w:val="both"/>
        <w:ind w:firstLine="193"/>
        <w:spacing w:after="0" w:line="241" w:lineRule="auto"/>
        <w:rPr>
          <w:sz w:val="20"/>
          <w:szCs w:val="20"/>
          <w:color w:val="auto"/>
        </w:rPr>
      </w:pPr>
      <w:r>
        <w:rPr>
          <w:rFonts w:ascii="Times New Roman" w:cs="Times New Roman" w:eastAsia="Times New Roman" w:hAnsi="Times New Roman"/>
          <w:sz w:val="18"/>
          <w:szCs w:val="18"/>
          <w:color w:val="auto"/>
        </w:rPr>
        <w:t xml:space="preserve">The Company achieved a box office record in the first half of 2025 of $579.2 million, including booking fees, a 24% increase over the prior year comparative period, from 54 new films and other content released during the period, highlighted by the performance of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a Chinese local language animation film, and strong performance from a number of Filmed for IMAX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releases including three titles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Mission: Impossible - The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Reckoning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where IMAX delivered approximately 20% or more of the opening weekend domestic box office contributing to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quarter year over year growth in global box office market share to 3.6%, with a footprint of less than 1% of screens. Prior to these three titles there were only five Hollywood movies in the Company’s history where IMAX accounted for over 20% of the opening weekend’s domestic box office.</w:t>
      </w:r>
    </w:p>
    <w:p>
      <w:pPr>
        <w:spacing w:after="0" w:line="22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to improve various aspects of its business. Furthermore, the Company is actively exploring other global use cases for AI to save costs and to improve its products, operations, and efficiency.</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U.S. government has implemented substantial and rapidly evolving changes to U.S. trade policies, including increased tariffs on imports. These actions have resulted in retaliatory measures and uncertainty in global trade relationships. For a description of these risks, see “Risk Factors —The Company’s business may be materially adversely affected by the imposition of tariffs and other trade barriers and retaliatory countermeasures implemented by the United States and other governments.” in Part II, Item 1A of this Form 10-Q.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are disclosed within All Other (See Note 13 of Notes to Condensed Consolidated Financial Statements in Part I, Item 1).</w:t>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Content Solutions segment earns revenue from Film Remastering, including the distribution of this content across the IMAX global network. To a lesser extent, the Content Solutions segment also earns revenue from the distribution of large-format documentary films and IMAX events and experiences, including music, gaming, and sports, as well as the provision of film post-production services.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from a movie studio in exchange for converting a commercial film into the IMAX format and distributing it through the IMAX network. The fee earned by the Company in a typical IMAX Film Remastering and distribution arrangement averages approximately 12.5% of box office (i.e., gross box office (“GBO”) less applicable sales taxes), except for within Greater China, where the Company often receives a lower percentage of net box office due to tax.</w:t>
      </w:r>
    </w:p>
    <w:p>
      <w:pPr>
        <w:spacing w:after="0" w:line="210"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quality and/or resolution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 locations is remastered into a unique IMAX digital audio format. IMAX sound systems use proprietary loudspeaker systems, designs and proprietary surround sound configurations to ensure every seat in an auditorium is an optimal listening position.</w:t>
      </w:r>
    </w:p>
    <w:p>
      <w:pPr>
        <w:spacing w:after="0" w:line="214" w:lineRule="exact"/>
        <w:rPr>
          <w:sz w:val="20"/>
          <w:szCs w:val="20"/>
          <w:color w:val="auto"/>
        </w:rPr>
      </w:pPr>
    </w:p>
    <w:p>
      <w:pPr>
        <w:jc w:val="both"/>
        <w:ind w:firstLine="193"/>
        <w:spacing w:after="0" w:line="244"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Company’s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enables filmmakers to craft films from their inception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provides incremental and bespoke marketing support. The box office metrics demonstrate audiences respond extremely favorable to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titles, resulting in a higher market share for IMAX.</w:t>
      </w:r>
    </w:p>
    <w:p>
      <w:pPr>
        <w:spacing w:after="0" w:line="157"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that growth in international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China, Japan, India, France, and South Korea. As the popularity of local language films has continued to increase, the Company has extended its content strategy to distribute local language content beyond native markets. For the first six months in 2025, local language films exhibited across the Company’s global network generated over $222 million in box office, representing 38% of the Company’s global box office, including the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which became the highest grossing IMAX release of all time in China.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firstLine="193"/>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number of new films and other content that were released to the Company’s global network during the three and six months ended June 30, 2025 and 2024:</w:t>
      </w: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30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2300" w:type="dxa"/>
            <w:vAlign w:val="bottom"/>
            <w:gridSpan w:val="3"/>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4620" w:type="dxa"/>
            <w:vAlign w:val="bottom"/>
          </w:tcPr>
          <w:p>
            <w:pPr>
              <w:spacing w:after="0"/>
              <w:rPr>
                <w:sz w:val="15"/>
                <w:szCs w:val="15"/>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2"/>
        </w:trPr>
        <w:tc>
          <w:tcPr>
            <w:tcW w:w="46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Saudi Arabia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Egypt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Vietnam</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5"/>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5"/>
        </w:trPr>
        <w:tc>
          <w:tcPr>
            <w:tcW w:w="46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
        </w:trPr>
        <w:tc>
          <w:tcPr>
            <w:tcW w:w="46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and six months ended June 30, 2025, the films released to the Company’s global network include six and seven with IMAX DNA (2024 — two).</w:t>
      </w:r>
    </w:p>
    <w:p>
      <w:pPr>
        <w:spacing w:after="0" w:line="36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three and six months ended June 30, 2025 that generated the highest IMAX box office totals were Chinese local language film </w:t>
      </w:r>
      <w:r>
        <w:rPr>
          <w:rFonts w:ascii="Times New Roman" w:cs="Times New Roman" w:eastAsia="Times New Roman" w:hAnsi="Times New Roman"/>
          <w:sz w:val="18"/>
          <w:szCs w:val="18"/>
          <w:i w:val="1"/>
          <w:iCs w:val="1"/>
          <w:color w:val="auto"/>
        </w:rPr>
        <w:t>Ne Zha 2, Mission: Impossible - The Final Reckoning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In addition, during the three and six months ended June 30, 2025, a number of alternative content films and events were distributed, including </w:t>
      </w:r>
      <w:r>
        <w:rPr>
          <w:rFonts w:ascii="Times New Roman" w:cs="Times New Roman" w:eastAsia="Times New Roman" w:hAnsi="Times New Roman"/>
          <w:sz w:val="18"/>
          <w:szCs w:val="18"/>
          <w:i w:val="1"/>
          <w:iCs w:val="1"/>
          <w:color w:val="auto"/>
        </w:rPr>
        <w:t>Becoming Led Zeppelin, Pink Floyd at Pompeii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MCMLXXII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One to One: John &amp; Yoko.</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to the 54 IMAX films and alternative content experiences released on the Company’s global network during the six months ended June 30, 2025, the Company has announced the following additional 30 new films and alternative content experiences to be released throughout the remainder of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040" w:type="dxa"/>
            <w:vAlign w:val="bottom"/>
          </w:tcPr>
          <w:p>
            <w:pPr>
              <w:spacing w:after="0"/>
              <w:rPr>
                <w:sz w:val="13"/>
                <w:szCs w:val="13"/>
                <w:color w:val="auto"/>
              </w:rPr>
            </w:pPr>
          </w:p>
        </w:tc>
      </w:tr>
      <w:tr>
        <w:trPr>
          <w:trHeight w:val="201"/>
        </w:trPr>
        <w:tc>
          <w:tcPr>
            <w:tcW w:w="44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Release Date</w:t>
            </w:r>
            <w:r>
              <w:rPr>
                <w:rFonts w:ascii="Times New Roman" w:cs="Times New Roman" w:eastAsia="Times New Roman" w:hAnsi="Times New Roman"/>
                <w:sz w:val="9"/>
                <w:szCs w:val="9"/>
                <w:b w:val="1"/>
                <w:bCs w:val="1"/>
                <w:color w:val="auto"/>
              </w:rPr>
              <w:t>(1)</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38"/>
        </w:trPr>
        <w:tc>
          <w:tcPr>
            <w:tcW w:w="44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4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9"/>
              </w:rPr>
              <w:t>Jurassic World: Rebirth</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rPr>
              <w:t>Superman</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5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7"/>
              </w:rPr>
              <w:t>Curious Tales of A Temple</w:t>
            </w:r>
            <w:r>
              <w:rPr>
                <w:rFonts w:ascii="Times New Roman" w:cs="Times New Roman" w:eastAsia="Times New Roman" w:hAnsi="Times New Roman"/>
                <w:sz w:val="20"/>
                <w:szCs w:val="20"/>
                <w:i w:val="1"/>
                <w:iCs w:val="1"/>
                <w:color w:val="auto"/>
                <w:w w:val="97"/>
                <w:vertAlign w:val="superscript"/>
              </w:rPr>
              <w:t>(2)</w:t>
            </w:r>
          </w:p>
        </w:tc>
        <w:tc>
          <w:tcPr>
            <w:tcW w:w="28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6"/>
              </w:rPr>
              <w:t>Wanda</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9"/>
              </w:rPr>
              <w:t>Demon Slayer: Kimetsu No Yaiba The Movie: Infinity Castle</w:t>
            </w:r>
            <w:r>
              <w:rPr>
                <w:rFonts w:ascii="Times New Roman" w:cs="Times New Roman" w:eastAsia="Times New Roman" w:hAnsi="Times New Roman"/>
                <w:sz w:val="20"/>
                <w:szCs w:val="20"/>
                <w:i w:val="1"/>
                <w:iCs w:val="1"/>
                <w:color w:val="auto"/>
                <w:w w:val="99"/>
                <w:vertAlign w:val="superscript"/>
              </w:rPr>
              <w:t>(2)</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Toho/Sony Pictures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5"/>
              </w:rPr>
              <w:t>You are the Best</w:t>
            </w:r>
            <w:r>
              <w:rPr>
                <w:rFonts w:ascii="Times New Roman" w:cs="Times New Roman" w:eastAsia="Times New Roman" w:hAnsi="Times New Roman"/>
                <w:sz w:val="20"/>
                <w:szCs w:val="20"/>
                <w:i w:val="1"/>
                <w:iCs w:val="1"/>
                <w:color w:val="auto"/>
                <w:w w:val="95"/>
                <w:vertAlign w:val="superscript"/>
              </w:rPr>
              <w:t>(2)</w:t>
            </w:r>
          </w:p>
        </w:tc>
        <w:tc>
          <w:tcPr>
            <w:tcW w:w="28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Lian Ray</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6"/>
              </w:rPr>
              <w:t>The Lychee Road</w:t>
            </w:r>
            <w:r>
              <w:rPr>
                <w:rFonts w:ascii="Times New Roman" w:cs="Times New Roman" w:eastAsia="Times New Roman" w:hAnsi="Times New Roman"/>
                <w:sz w:val="20"/>
                <w:szCs w:val="20"/>
                <w:i w:val="1"/>
                <w:iCs w:val="1"/>
                <w:color w:val="auto"/>
                <w:w w:val="96"/>
                <w:vertAlign w:val="superscript"/>
              </w:rPr>
              <w:t>(2)</w:t>
            </w:r>
          </w:p>
        </w:tc>
        <w:tc>
          <w:tcPr>
            <w:tcW w:w="282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Maoyan</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9"/>
              </w:rPr>
              <w:t>The Prophet: Omniscient Reader</w:t>
            </w:r>
            <w:r>
              <w:rPr>
                <w:rFonts w:ascii="Times New Roman" w:cs="Times New Roman" w:eastAsia="Times New Roman" w:hAnsi="Times New Roman"/>
                <w:sz w:val="20"/>
                <w:szCs w:val="20"/>
                <w:i w:val="1"/>
                <w:iCs w:val="1"/>
                <w:color w:val="auto"/>
                <w:w w:val="99"/>
                <w:vertAlign w:val="superscript"/>
              </w:rPr>
              <w:t>(2)</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Lotte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460" w:type="dxa"/>
            <w:vAlign w:val="bottom"/>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rPr>
              <w:t>The Fantastic Four: First Steps</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Marvel Studios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5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8"/>
              </w:rPr>
              <w:t>Dead to Rights</w:t>
            </w:r>
            <w:r>
              <w:rPr>
                <w:rFonts w:ascii="Times New Roman" w:cs="Times New Roman" w:eastAsia="Times New Roman" w:hAnsi="Times New Roman"/>
                <w:sz w:val="20"/>
                <w:szCs w:val="20"/>
                <w:i w:val="1"/>
                <w:iCs w:val="1"/>
                <w:color w:val="auto"/>
                <w:w w:val="98"/>
                <w:vertAlign w:val="superscript"/>
              </w:rPr>
              <w:t>(2)</w:t>
            </w:r>
          </w:p>
        </w:tc>
        <w:tc>
          <w:tcPr>
            <w:tcW w:w="28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Super Lion</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6"/>
              </w:rPr>
              <w:t>Tokyo Mer 2</w:t>
            </w:r>
            <w:r>
              <w:rPr>
                <w:rFonts w:ascii="Times New Roman" w:cs="Times New Roman" w:eastAsia="Times New Roman" w:hAnsi="Times New Roman"/>
                <w:sz w:val="20"/>
                <w:szCs w:val="20"/>
                <w:i w:val="1"/>
                <w:iCs w:val="1"/>
                <w:color w:val="auto"/>
                <w:w w:val="96"/>
                <w:vertAlign w:val="superscript"/>
              </w:rPr>
              <w:t>(2)</w:t>
            </w:r>
          </w:p>
        </w:tc>
        <w:tc>
          <w:tcPr>
            <w:tcW w:w="282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4"/>
              </w:rPr>
              <w:t>Toho</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7"/>
              </w:rPr>
              <w:t>NOBODY</w:t>
            </w:r>
            <w:r>
              <w:rPr>
                <w:rFonts w:ascii="Times New Roman" w:cs="Times New Roman" w:eastAsia="Times New Roman" w:hAnsi="Times New Roman"/>
                <w:sz w:val="20"/>
                <w:szCs w:val="20"/>
                <w:i w:val="1"/>
                <w:iCs w:val="1"/>
                <w:color w:val="auto"/>
                <w:w w:val="97"/>
                <w:vertAlign w:val="superscript"/>
              </w:rPr>
              <w:t>(2)</w:t>
            </w:r>
          </w:p>
        </w:tc>
        <w:tc>
          <w:tcPr>
            <w:tcW w:w="28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Maoyan</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8"/>
              </w:rPr>
              <w:t>Weapons</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rPr>
              <w:t>The Grateful Dead Movie</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Rhino Entertainment/Trafalgar</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rPr>
              <w:t>Black Swan: 15th Anniversary Exclusive</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Searchlight Pictures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6"/>
              </w:rPr>
              <w:t>Dongji Rescue</w:t>
            </w:r>
            <w:r>
              <w:rPr>
                <w:rFonts w:ascii="Times New Roman" w:cs="Times New Roman" w:eastAsia="Times New Roman" w:hAnsi="Times New Roman"/>
                <w:sz w:val="20"/>
                <w:szCs w:val="20"/>
                <w:i w:val="1"/>
                <w:iCs w:val="1"/>
                <w:color w:val="auto"/>
                <w:w w:val="96"/>
                <w:vertAlign w:val="superscript"/>
              </w:rPr>
              <w:t>(2)</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Alibaba</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41"/>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0"/>
              </w:rPr>
              <w:t>War 2</w:t>
            </w:r>
            <w:r>
              <w:rPr>
                <w:rFonts w:ascii="Times New Roman" w:cs="Times New Roman" w:eastAsia="Times New Roman" w:hAnsi="Times New Roman"/>
                <w:sz w:val="20"/>
                <w:szCs w:val="20"/>
                <w:i w:val="1"/>
                <w:iCs w:val="1"/>
                <w:color w:val="auto"/>
                <w:w w:val="90"/>
                <w:vertAlign w:val="superscript"/>
              </w:rPr>
              <w:t>(2)</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Yash Raj Films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9"/>
              </w:rPr>
              <w:t>Das Kanu Des Manitu</w:t>
            </w:r>
            <w:r>
              <w:rPr>
                <w:rFonts w:ascii="Times New Roman" w:cs="Times New Roman" w:eastAsia="Times New Roman" w:hAnsi="Times New Roman"/>
                <w:sz w:val="20"/>
                <w:szCs w:val="20"/>
                <w:i w:val="1"/>
                <w:iCs w:val="1"/>
                <w:color w:val="auto"/>
                <w:w w:val="99"/>
                <w:vertAlign w:val="superscript"/>
              </w:rPr>
              <w:t>(2)</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Constantin Films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6"/>
              </w:rPr>
              <w:t>The Shadow’s Edge</w:t>
            </w:r>
            <w:r>
              <w:rPr>
                <w:rFonts w:ascii="Times New Roman" w:cs="Times New Roman" w:eastAsia="Times New Roman" w:hAnsi="Times New Roman"/>
                <w:sz w:val="20"/>
                <w:szCs w:val="20"/>
                <w:i w:val="1"/>
                <w:iCs w:val="1"/>
                <w:color w:val="auto"/>
                <w:w w:val="96"/>
                <w:vertAlign w:val="superscript"/>
              </w:rPr>
              <w:t>(2)</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Alibaba</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9"/>
              </w:rPr>
              <w:t>Prince - Sign O’ The Times</w:t>
            </w:r>
          </w:p>
        </w:tc>
        <w:tc>
          <w:tcPr>
            <w:tcW w:w="28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Mercury Studios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460" w:type="dxa"/>
            <w:vAlign w:val="bottom"/>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rPr>
              <w:t>Jaws: 50th Anniversary</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4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9"/>
              </w:rPr>
              <w:t>The Conjuring: Last Rites</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2"/>
        </w:trPr>
        <w:tc>
          <w:tcPr>
            <w:tcW w:w="4460" w:type="dxa"/>
            <w:vAlign w:val="bottom"/>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rPr>
              <w:t>Him</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00" w:lineRule="exact"/>
        <w:rPr>
          <w:sz w:val="20"/>
          <w:szCs w:val="20"/>
          <w:color w:val="auto"/>
        </w:rPr>
      </w:pPr>
    </w:p>
    <w:p>
      <w:pPr>
        <w:sectPr>
          <w:pgSz w:w="11900" w:h="16838" w:orient="portrait"/>
          <w:cols w:equalWidth="0" w:num="1">
            <w:col w:w="11240"/>
          </w:cols>
          <w:pgMar w:left="320" w:top="363"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i w:val="1"/>
                <w:iCs w:val="1"/>
                <w:color w:val="auto"/>
                <w:w w:val="99"/>
              </w:rPr>
              <w:t>One Battle After Another</w:t>
            </w:r>
          </w:p>
        </w:tc>
        <w:tc>
          <w:tcPr>
            <w:tcW w:w="312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rPr>
              <w:t>Warner Bros. Pictures</w:t>
            </w:r>
          </w:p>
        </w:tc>
        <w:tc>
          <w:tcPr>
            <w:tcW w:w="206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September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020" w:type="dxa"/>
            <w:vAlign w:val="bottom"/>
          </w:tcPr>
          <w:p>
            <w:pPr>
              <w:jc w:val="center"/>
              <w:ind w:left="100"/>
              <w:spacing w:after="0"/>
              <w:rPr>
                <w:sz w:val="20"/>
                <w:szCs w:val="20"/>
                <w:color w:val="auto"/>
              </w:rPr>
            </w:pPr>
            <w:r>
              <w:rPr>
                <w:rFonts w:ascii="Times New Roman" w:cs="Times New Roman" w:eastAsia="Times New Roman" w:hAnsi="Times New Roman"/>
                <w:sz w:val="16"/>
                <w:szCs w:val="16"/>
                <w:i w:val="1"/>
                <w:iCs w:val="1"/>
                <w:color w:val="auto"/>
                <w:w w:val="97"/>
              </w:rPr>
              <w:t>Tron: Ares</w:t>
            </w:r>
          </w:p>
        </w:tc>
        <w:tc>
          <w:tcPr>
            <w:tcW w:w="3120" w:type="dxa"/>
            <w:vAlign w:val="bottom"/>
          </w:tcPr>
          <w:p>
            <w:pPr>
              <w:jc w:val="center"/>
              <w:ind w:left="44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6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51"/>
        </w:trPr>
        <w:tc>
          <w:tcPr>
            <w:tcW w:w="40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i w:val="1"/>
                <w:iCs w:val="1"/>
                <w:color w:val="auto"/>
              </w:rPr>
              <w:t>Mortal Kombat 2</w:t>
            </w:r>
          </w:p>
        </w:tc>
        <w:tc>
          <w:tcPr>
            <w:tcW w:w="312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rPr>
              <w:t>Warner Bros. Pictures</w:t>
            </w:r>
          </w:p>
        </w:tc>
        <w:tc>
          <w:tcPr>
            <w:tcW w:w="206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32"/>
        </w:trPr>
        <w:tc>
          <w:tcPr>
            <w:tcW w:w="4020" w:type="dxa"/>
            <w:vAlign w:val="bottom"/>
          </w:tcPr>
          <w:p>
            <w:pPr>
              <w:jc w:val="center"/>
              <w:ind w:left="100"/>
              <w:spacing w:after="0"/>
              <w:rPr>
                <w:sz w:val="20"/>
                <w:szCs w:val="20"/>
                <w:color w:val="auto"/>
              </w:rPr>
            </w:pPr>
            <w:r>
              <w:rPr>
                <w:rFonts w:ascii="Times New Roman" w:cs="Times New Roman" w:eastAsia="Times New Roman" w:hAnsi="Times New Roman"/>
                <w:sz w:val="16"/>
                <w:szCs w:val="16"/>
                <w:i w:val="1"/>
                <w:iCs w:val="1"/>
                <w:color w:val="auto"/>
              </w:rPr>
              <w:t>Predator: Badlands</w:t>
            </w:r>
          </w:p>
        </w:tc>
        <w:tc>
          <w:tcPr>
            <w:tcW w:w="3120" w:type="dxa"/>
            <w:vAlign w:val="bottom"/>
          </w:tcPr>
          <w:p>
            <w:pPr>
              <w:jc w:val="center"/>
              <w:ind w:left="44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6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0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i w:val="1"/>
                <w:iCs w:val="1"/>
                <w:color w:val="auto"/>
              </w:rPr>
              <w:t>The Running Man</w:t>
            </w:r>
          </w:p>
        </w:tc>
        <w:tc>
          <w:tcPr>
            <w:tcW w:w="312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rPr>
              <w:t>Paramount Pictures</w:t>
            </w:r>
          </w:p>
        </w:tc>
        <w:tc>
          <w:tcPr>
            <w:tcW w:w="206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020" w:type="dxa"/>
            <w:vAlign w:val="bottom"/>
          </w:tcPr>
          <w:p>
            <w:pPr>
              <w:jc w:val="center"/>
              <w:ind w:left="100"/>
              <w:spacing w:after="0"/>
              <w:rPr>
                <w:sz w:val="20"/>
                <w:szCs w:val="20"/>
                <w:color w:val="auto"/>
              </w:rPr>
            </w:pPr>
            <w:r>
              <w:rPr>
                <w:rFonts w:ascii="Times New Roman" w:cs="Times New Roman" w:eastAsia="Times New Roman" w:hAnsi="Times New Roman"/>
                <w:sz w:val="16"/>
                <w:szCs w:val="16"/>
                <w:i w:val="1"/>
                <w:iCs w:val="1"/>
                <w:color w:val="auto"/>
                <w:w w:val="99"/>
              </w:rPr>
              <w:t>Wicked: For Good</w:t>
            </w:r>
          </w:p>
        </w:tc>
        <w:tc>
          <w:tcPr>
            <w:tcW w:w="312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rPr>
              <w:t>Universal Pictures</w:t>
            </w:r>
          </w:p>
        </w:tc>
        <w:tc>
          <w:tcPr>
            <w:tcW w:w="206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0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i w:val="1"/>
                <w:iCs w:val="1"/>
                <w:color w:val="auto"/>
              </w:rPr>
              <w:t>Zootopia 2</w:t>
            </w:r>
          </w:p>
        </w:tc>
        <w:tc>
          <w:tcPr>
            <w:tcW w:w="3120" w:type="dxa"/>
            <w:vAlign w:val="bottom"/>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6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2"/>
        </w:trPr>
        <w:tc>
          <w:tcPr>
            <w:tcW w:w="4020" w:type="dxa"/>
            <w:vAlign w:val="bottom"/>
          </w:tcPr>
          <w:p>
            <w:pPr>
              <w:jc w:val="center"/>
              <w:ind w:left="100"/>
              <w:spacing w:after="0"/>
              <w:rPr>
                <w:sz w:val="20"/>
                <w:szCs w:val="20"/>
                <w:color w:val="auto"/>
              </w:rPr>
            </w:pPr>
            <w:r>
              <w:rPr>
                <w:rFonts w:ascii="Times New Roman" w:cs="Times New Roman" w:eastAsia="Times New Roman" w:hAnsi="Times New Roman"/>
                <w:sz w:val="16"/>
                <w:szCs w:val="16"/>
                <w:i w:val="1"/>
                <w:iCs w:val="1"/>
                <w:color w:val="auto"/>
                <w:w w:val="99"/>
              </w:rPr>
              <w:t>Avatar: Fire and Ash</w:t>
            </w:r>
          </w:p>
        </w:tc>
        <w:tc>
          <w:tcPr>
            <w:tcW w:w="3120" w:type="dxa"/>
            <w:vAlign w:val="bottom"/>
          </w:tcPr>
          <w:p>
            <w:pPr>
              <w:jc w:val="center"/>
              <w:ind w:left="44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December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115" w:lineRule="exact"/>
        <w:rPr>
          <w:sz w:val="20"/>
          <w:szCs w:val="20"/>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Denotes local language release.</w:t>
      </w:r>
    </w:p>
    <w:p>
      <w:pPr>
        <w:spacing w:after="0" w:line="364" w:lineRule="exact"/>
        <w:rPr>
          <w:sz w:val="20"/>
          <w:szCs w:val="20"/>
          <w:color w:val="auto"/>
        </w:rPr>
      </w:pPr>
    </w:p>
    <w:p>
      <w:pPr>
        <w:jc w:val="both"/>
        <w:ind w:firstLine="193"/>
        <w:spacing w:after="0" w:line="242"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throughout 2025. The Company has announced that a record number of over 14 Filmed for IMAX titles will be released in 2025. The Company’s Hollywood film slate beyond 2025 is building, including major films such as: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Avengers: Doomsday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Mandalorian and Grogu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Dune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Avengers: Secret Wars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Project Hail Mary, Toy Story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Supergirl Woman of Tomorrow, Moana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Batman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Frozen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Dynamic Duo. </w:t>
      </w:r>
      <w:r>
        <w:rPr>
          <w:rFonts w:ascii="Times New Roman" w:cs="Times New Roman" w:eastAsia="Times New Roman" w:hAnsi="Times New Roman"/>
          <w:sz w:val="18"/>
          <w:szCs w:val="18"/>
          <w:color w:val="auto"/>
        </w:rPr>
        <w:t>Additionally,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2025, the Company announced an agreement with Netflix, Inc. to debut Academy Award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-nominated director Greta Gerwig’s upcoming film, </w:t>
      </w:r>
      <w:r>
        <w:rPr>
          <w:rFonts w:ascii="Times New Roman" w:cs="Times New Roman" w:eastAsia="Times New Roman" w:hAnsi="Times New Roman"/>
          <w:sz w:val="18"/>
          <w:szCs w:val="18"/>
          <w:i w:val="1"/>
          <w:iCs w:val="1"/>
          <w:color w:val="auto"/>
        </w:rPr>
        <w:t>Narnia</w:t>
      </w:r>
      <w:r>
        <w:rPr>
          <w:rFonts w:ascii="Times New Roman" w:cs="Times New Roman" w:eastAsia="Times New Roman" w:hAnsi="Times New Roman"/>
          <w:sz w:val="18"/>
          <w:szCs w:val="18"/>
          <w:color w:val="auto"/>
        </w:rPr>
        <w:t>, exclusively across the IMAX network with a two-week run beginning Thanksgiving 2026.</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1"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 distributes large-format documentary feature films through its global commercial network and institutional theaters. Traditionally, the Company receives as its distribution fee either a fixed amount or a fixed percentage of the theater box office and, following the recoupment of its costs, is typically entitled to receive an additional percentage of gross revenues as participation revenues. In 2025, the Company released the institutional 3D version of </w:t>
      </w:r>
      <w:r>
        <w:rPr>
          <w:rFonts w:ascii="Times New Roman" w:cs="Times New Roman" w:eastAsia="Times New Roman" w:hAnsi="Times New Roman"/>
          <w:sz w:val="18"/>
          <w:szCs w:val="18"/>
          <w:i w:val="1"/>
          <w:iCs w:val="1"/>
          <w:color w:val="auto"/>
        </w:rPr>
        <w:t>Blue Angels</w:t>
      </w:r>
      <w:r>
        <w:rPr>
          <w:rFonts w:ascii="Times New Roman" w:cs="Times New Roman" w:eastAsia="Times New Roman" w:hAnsi="Times New Roman"/>
          <w:sz w:val="18"/>
          <w:szCs w:val="18"/>
          <w:color w:val="auto"/>
        </w:rPr>
        <w:t xml:space="preserve"> across select IMAX locations in North America, Europe, and Australia. Upcoming documentaries, which are currently in production, include </w:t>
      </w:r>
      <w:r>
        <w:rPr>
          <w:rFonts w:ascii="Times New Roman" w:cs="Times New Roman" w:eastAsia="Times New Roman" w:hAnsi="Times New Roman"/>
          <w:sz w:val="18"/>
          <w:szCs w:val="18"/>
          <w:i w:val="1"/>
          <w:iCs w:val="1"/>
          <w:color w:val="auto"/>
        </w:rPr>
        <w:t>The Lost Wolves of Yellowstone</w:t>
      </w:r>
      <w:r>
        <w:rPr>
          <w:rFonts w:ascii="Times New Roman" w:cs="Times New Roman" w:eastAsia="Times New Roman" w:hAnsi="Times New Roman"/>
          <w:sz w:val="18"/>
          <w:szCs w:val="18"/>
          <w:color w:val="auto"/>
        </w:rPr>
        <w:t>, which is expected to be released in 2025.</w:t>
      </w:r>
      <w:r>
        <w:rPr>
          <w:rFonts w:ascii="Times New Roman" w:cs="Times New Roman" w:eastAsia="Times New Roman" w:hAnsi="Times New Roman"/>
          <w:sz w:val="18"/>
          <w:szCs w:val="18"/>
          <w:i w:val="1"/>
          <w:iCs w:val="1"/>
          <w:color w:val="auto"/>
        </w:rPr>
        <w:t xml:space="preserve"> Stormbound</w:t>
      </w:r>
      <w:r>
        <w:rPr>
          <w:rFonts w:ascii="Times New Roman" w:cs="Times New Roman" w:eastAsia="Times New Roman" w:hAnsi="Times New Roman"/>
          <w:sz w:val="18"/>
          <w:szCs w:val="18"/>
          <w:color w:val="auto"/>
        </w:rPr>
        <w:t>, a feature documentary produced by Academy Award-winning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producer, Adam McKay, </w:t>
      </w:r>
      <w:r>
        <w:rPr>
          <w:rFonts w:ascii="Times New Roman" w:cs="Times New Roman" w:eastAsia="Times New Roman" w:hAnsi="Times New Roman"/>
          <w:sz w:val="18"/>
          <w:szCs w:val="18"/>
          <w:i w:val="1"/>
          <w:iCs w:val="1"/>
          <w:color w:val="auto"/>
        </w:rPr>
        <w:t>Patrouille de France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Elephant Odyssey</w:t>
      </w:r>
      <w:r>
        <w:rPr>
          <w:rFonts w:ascii="Times New Roman" w:cs="Times New Roman" w:eastAsia="Times New Roman" w:hAnsi="Times New Roman"/>
          <w:sz w:val="18"/>
          <w:szCs w:val="18"/>
          <w:color w:val="auto"/>
        </w:rPr>
        <w:t>, a documentary in collaboration with Beach House Pictures Pte Ltd and China International Communications Group, are expected to be released in 2026.</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continues to believe that the IMAX network is a valuable global platform to launch and distribute original content, including documentaries. The ownership rights to such films may be held by the film sponsors, the film investors and/or the Company. As of June 30, 2025, the Company had distribution rights with respect to approximately 65 films, which cover subjects such as space, wildlife, music, sports, history and natural wonders.</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June 30, 2025, the Company had a footprint of 266 connected locations in the IMAX network across North America, Europe, Africa, Australia, and Asia configured with connectivity to deliver live and interactive events with low latency and superior sight and sound.</w:t>
      </w:r>
    </w:p>
    <w:p>
      <w:pPr>
        <w:spacing w:after="0" w:line="202" w:lineRule="exact"/>
        <w:rPr>
          <w:sz w:val="20"/>
          <w:szCs w:val="20"/>
          <w:color w:val="auto"/>
        </w:rPr>
      </w:pPr>
    </w:p>
    <w:p>
      <w:pPr>
        <w:jc w:val="both"/>
        <w:ind w:firstLine="193"/>
        <w:spacing w:after="0" w:line="273" w:lineRule="auto"/>
        <w:rPr>
          <w:sz w:val="20"/>
          <w:szCs w:val="20"/>
          <w:color w:val="auto"/>
        </w:rPr>
      </w:pPr>
      <w:r>
        <w:rPr>
          <w:rFonts w:ascii="Times New Roman" w:cs="Times New Roman" w:eastAsia="Times New Roman" w:hAnsi="Times New Roman"/>
          <w:sz w:val="17"/>
          <w:szCs w:val="17"/>
          <w:color w:val="auto"/>
        </w:rPr>
        <w:t xml:space="preserve">In the six months ended June 30, 2025, the Company partnered with Sony Pictures for the exclusive release of </w:t>
      </w:r>
      <w:r>
        <w:rPr>
          <w:rFonts w:ascii="Times New Roman" w:cs="Times New Roman" w:eastAsia="Times New Roman" w:hAnsi="Times New Roman"/>
          <w:sz w:val="17"/>
          <w:szCs w:val="17"/>
          <w:i w:val="1"/>
          <w:iCs w:val="1"/>
          <w:color w:val="auto"/>
        </w:rPr>
        <w:t>Becoming Led Zeppelin,</w:t>
      </w:r>
      <w:r>
        <w:rPr>
          <w:rFonts w:ascii="Times New Roman" w:cs="Times New Roman" w:eastAsia="Times New Roman" w:hAnsi="Times New Roman"/>
          <w:sz w:val="17"/>
          <w:szCs w:val="17"/>
          <w:color w:val="auto"/>
        </w:rPr>
        <w:t xml:space="preserve"> Magnolia Pictures for the exclusive release of </w:t>
      </w:r>
      <w:r>
        <w:rPr>
          <w:rFonts w:ascii="Times New Roman" w:cs="Times New Roman" w:eastAsia="Times New Roman" w:hAnsi="Times New Roman"/>
          <w:sz w:val="17"/>
          <w:szCs w:val="17"/>
          <w:i w:val="1"/>
          <w:iCs w:val="1"/>
          <w:color w:val="auto"/>
        </w:rPr>
        <w:t>One to One: John &amp; Yoko</w:t>
      </w:r>
      <w:r>
        <w:rPr>
          <w:rFonts w:ascii="Times New Roman" w:cs="Times New Roman" w:eastAsia="Times New Roman" w:hAnsi="Times New Roman"/>
          <w:sz w:val="17"/>
          <w:szCs w:val="17"/>
          <w:color w:val="auto"/>
        </w:rPr>
        <w:t xml:space="preserve"> and Trafalgar Releasing for the exclusive release of </w:t>
      </w:r>
      <w:r>
        <w:rPr>
          <w:rFonts w:ascii="Times New Roman" w:cs="Times New Roman" w:eastAsia="Times New Roman" w:hAnsi="Times New Roman"/>
          <w:sz w:val="17"/>
          <w:szCs w:val="17"/>
          <w:i w:val="1"/>
          <w:iCs w:val="1"/>
          <w:color w:val="auto"/>
        </w:rPr>
        <w:t>Pink Floyd at Pompeii - MCMLXXII,</w:t>
      </w:r>
      <w:r>
        <w:rPr>
          <w:rFonts w:ascii="Times New Roman" w:cs="Times New Roman" w:eastAsia="Times New Roman" w:hAnsi="Times New Roman"/>
          <w:sz w:val="17"/>
          <w:szCs w:val="17"/>
          <w:color w:val="auto"/>
        </w:rPr>
        <w:t xml:space="preserve"> NBC Universal for the </w:t>
      </w:r>
      <w:r>
        <w:rPr>
          <w:rFonts w:ascii="Times New Roman" w:cs="Times New Roman" w:eastAsia="Times New Roman" w:hAnsi="Times New Roman"/>
          <w:sz w:val="17"/>
          <w:szCs w:val="17"/>
          <w:i w:val="1"/>
          <w:iCs w:val="1"/>
          <w:color w:val="auto"/>
        </w:rPr>
        <w:t>SNL50 The Homecoming Concert</w:t>
      </w:r>
      <w:r>
        <w:rPr>
          <w:rFonts w:ascii="Times New Roman" w:cs="Times New Roman" w:eastAsia="Times New Roman" w:hAnsi="Times New Roman"/>
          <w:sz w:val="17"/>
          <w:szCs w:val="17"/>
          <w:color w:val="auto"/>
        </w:rPr>
        <w:t xml:space="preserve"> in select IMAX North American locations and DAZN for the </w:t>
      </w:r>
      <w:r>
        <w:rPr>
          <w:rFonts w:ascii="Times New Roman" w:cs="Times New Roman" w:eastAsia="Times New Roman" w:hAnsi="Times New Roman"/>
          <w:sz w:val="17"/>
          <w:szCs w:val="17"/>
          <w:i w:val="1"/>
          <w:iCs w:val="1"/>
          <w:color w:val="auto"/>
        </w:rPr>
        <w:t>PSG v Marseille Le Classique Match</w:t>
      </w:r>
      <w:r>
        <w:rPr>
          <w:rFonts w:ascii="Times New Roman" w:cs="Times New Roman" w:eastAsia="Times New Roman" w:hAnsi="Times New Roman"/>
          <w:sz w:val="17"/>
          <w:szCs w:val="17"/>
          <w:color w:val="auto"/>
        </w:rPr>
        <w:t xml:space="preserve"> in select IMAX locations across France. In addition, the Company continued its partnership with A24 for one-night-only IMAX releases of classic A24 titles, including </w:t>
      </w:r>
      <w:r>
        <w:rPr>
          <w:rFonts w:ascii="Times New Roman" w:cs="Times New Roman" w:eastAsia="Times New Roman" w:hAnsi="Times New Roman"/>
          <w:sz w:val="17"/>
          <w:szCs w:val="17"/>
          <w:i w:val="1"/>
          <w:iCs w:val="1"/>
          <w:color w:val="auto"/>
        </w:rPr>
        <w:t>Talk to 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Moonlight,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Spring Breakers.</w:t>
      </w:r>
      <w:r>
        <w:rPr>
          <w:rFonts w:ascii="Times New Roman" w:cs="Times New Roman" w:eastAsia="Times New Roman" w:hAnsi="Times New Roman"/>
          <w:sz w:val="17"/>
          <w:szCs w:val="17"/>
          <w:color w:val="auto"/>
        </w:rPr>
        <w:t xml:space="preserve"> The Company collaborated with Fandango Media for the </w:t>
      </w:r>
      <w:r>
        <w:rPr>
          <w:rFonts w:ascii="Times New Roman" w:cs="Times New Roman" w:eastAsia="Times New Roman" w:hAnsi="Times New Roman"/>
          <w:sz w:val="17"/>
          <w:szCs w:val="17"/>
          <w:i w:val="1"/>
          <w:iCs w:val="1"/>
          <w:color w:val="auto"/>
        </w:rPr>
        <w:t>Fortnite Championship Series: Pro-Am</w:t>
      </w:r>
      <w:r>
        <w:rPr>
          <w:rFonts w:ascii="Times New Roman" w:cs="Times New Roman" w:eastAsia="Times New Roman" w:hAnsi="Times New Roman"/>
          <w:sz w:val="17"/>
          <w:szCs w:val="17"/>
          <w:color w:val="auto"/>
        </w:rPr>
        <w:t xml:space="preserve"> screening in eight North American IMAX locations and with Wanda Film for the </w:t>
      </w:r>
      <w:r>
        <w:rPr>
          <w:rFonts w:ascii="Times New Roman" w:cs="Times New Roman" w:eastAsia="Times New Roman" w:hAnsi="Times New Roman"/>
          <w:sz w:val="17"/>
          <w:szCs w:val="17"/>
          <w:i w:val="1"/>
          <w:iCs w:val="1"/>
          <w:color w:val="auto"/>
        </w:rPr>
        <w:t>F1 Spanish Grand Prix</w:t>
      </w:r>
      <w:r>
        <w:rPr>
          <w:rFonts w:ascii="Times New Roman" w:cs="Times New Roman" w:eastAsia="Times New Roman" w:hAnsi="Times New Roman"/>
          <w:sz w:val="17"/>
          <w:szCs w:val="17"/>
          <w:color w:val="auto"/>
        </w:rPr>
        <w:t xml:space="preserve"> screening across six IMAX locations in China.</w:t>
      </w:r>
    </w:p>
    <w:p>
      <w:pPr>
        <w:spacing w:after="0" w:line="196"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provides IMAX film and digital cameras to content creators under the IMAX certified camera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251"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1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provides IMAX Systems to exhibitors through joint revenue sharing arrangements (“JRSAs”).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JRSAs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JRSAs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June 30, 2025, the Company had 899 locations under JRSAs in its global commercial multiplex network. The Company also had contracts in backlog for 336 systems under JRSAs as of June 30, 2025, including 138 upgrades to existing locations and 198 new locations.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Enhanced | Streaming and Consumer Technology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IMAX’s Streaming and Consumer Technology (“SCT”) segment now offers a single unified program: IMAX Enhanced. This umbrella program builds on IMAX’s brand and proprietary VisionScience™ technology to deliver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to fans across streaming platforms and consumer devices. The new ‘IMAX Enhanced’ program for partners includes three core elements:</w:t>
      </w:r>
    </w:p>
    <w:p>
      <w:pPr>
        <w:spacing w:after="0" w:line="204" w:lineRule="exact"/>
        <w:rPr>
          <w:sz w:val="20"/>
          <w:szCs w:val="20"/>
          <w:color w:val="auto"/>
        </w:rPr>
      </w:pPr>
    </w:p>
    <w:p>
      <w:pPr>
        <w:ind w:left="660" w:right="20" w:hanging="331"/>
        <w:spacing w:after="0" w:line="27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Live: Real-time enhancement for sports, concerts, and events using SCT’s proprietary technology to measure, enhance, optimize, and validate premium color, contrast, and clarity at the speed of live.</w:t>
      </w:r>
    </w:p>
    <w:p>
      <w:pPr>
        <w:spacing w:after="0" w:line="189"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On-Demand: Quality preservation and optimization for films and series to preserve creative intent with IMAX-calibrated fidelity and remastering, offering viewers a differentiated, premium IMAX-assured experience. IMAX Enhanced on-demand content is currently available for fan-favorite titles across leading services such as Disney+, Sony Pictures Core, and Tencent Video.</w:t>
      </w:r>
    </w:p>
    <w:p>
      <w:pPr>
        <w:spacing w:after="0" w:line="204" w:lineRule="exact"/>
        <w:rPr>
          <w:rFonts w:ascii="Times New Roman" w:cs="Times New Roman" w:eastAsia="Times New Roman" w:hAnsi="Times New Roman"/>
          <w:sz w:val="18"/>
          <w:szCs w:val="18"/>
          <w:color w:val="auto"/>
        </w:rPr>
      </w:pPr>
    </w:p>
    <w:p>
      <w:pPr>
        <w:jc w:val="both"/>
        <w:ind w:left="660" w:hanging="331"/>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Certification &amp; Calibration: Establishes IMAX quality standards for consumer devices to ensure playback meets IMAX benchmarks. It assures that the enhancement and preservation of quality applied upstream for both Live and On-Demand workflows is maintained faithfully and experienced as intended on consumer devices. As of June 30, 2025, over 15 million IMAX Enhanced certified devices are in-market with partners including Sony Electronics, Hisense, TCL, LG, and Philips.</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SCT products previously branded as StreamSmart™ (encoding optimization) and StreamAware™ (quality assurance and monitoring) have now been fully streamlined and integrated into the IMAX Enhanced program, improving operational efficiency, reducing overhead, and enabling partners to deliver differentiated, premium, and monetizable viewing experiences validated through IMAX’s proprietary approach to visual quality.</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IMAX’s Streaming and Consumer Technology is part of the Company’s next evolutionary step to extend the IMAX brand and technology into new use cases and programming, including live events, series, and fully leveraging consumer electronics to deliver premium experiences for fans at home.</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All Other also includes revenues from sources including one owned and operated IMAX System in Sacramento, California; a commercial arrangement with one theater resulting in the sharing of profits and losses; the provision of management services to three other theaters; and offering production advice and technical assistance to both documentary and Hollywood filmmakers.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1" w:lineRule="exact"/>
        <w:rPr>
          <w:sz w:val="20"/>
          <w:szCs w:val="20"/>
          <w:color w:val="auto"/>
        </w:rPr>
      </w:pPr>
    </w:p>
    <w:p>
      <w:pPr>
        <w:ind w:firstLine="193"/>
        <w:spacing w:after="0" w:line="309" w:lineRule="auto"/>
        <w:rPr>
          <w:sz w:val="20"/>
          <w:szCs w:val="20"/>
          <w:color w:val="auto"/>
        </w:rPr>
      </w:pPr>
      <w:r>
        <w:rPr>
          <w:rFonts w:ascii="Times New Roman" w:cs="Times New Roman" w:eastAsia="Times New Roman" w:hAnsi="Times New Roman"/>
          <w:sz w:val="17"/>
          <w:szCs w:val="17"/>
          <w:color w:val="auto"/>
        </w:rPr>
        <w:t>The following table provides detailed information about the IMAX network by type and geographic location as of June 30, 2025 and 2024. For additional information regarding the composition of the IMAX network, see “Marketing and Customers” in Part I, Item 1 of the Company’s 2024 Form 10-K.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r>
      <w:tr>
        <w:trPr>
          <w:trHeight w:val="38"/>
        </w:trPr>
        <w:tc>
          <w:tcPr>
            <w:tcW w:w="202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0"/>
        </w:trPr>
        <w:tc>
          <w:tcPr>
            <w:tcW w:w="20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7"/>
        </w:trPr>
        <w:tc>
          <w:tcPr>
            <w:tcW w:w="2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Destination</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0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4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6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6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62"/>
        </w:trPr>
        <w:tc>
          <w:tcPr>
            <w:tcW w:w="20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0"/>
        </w:trPr>
        <w:tc>
          <w:tcPr>
            <w:tcW w:w="2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6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“Risk Factors – The Company may not convert all of its backlog into revenue and cash flows,” and “Risk Factors – General political, social and economic conditions can affect the Company’s business by reducing both revenues generated from existing IMAX Systems and the demand for new IMAX Systems” in Part I, Item 1A of the Company’s 2024 Form 10-K.)</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of which there are 1,750 IMAX Systems operating as of June 30, 2025, representing a market penetration of only 48%. The Company believes that the majority of its future growth will come from international markets. As of June 30, 2025,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2024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Systems operating in multiplex locations by arrangement type and geographic location as of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714</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locations.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678</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1" w:lineRule="exact"/>
        <w:rPr>
          <w:sz w:val="20"/>
          <w:szCs w:val="20"/>
          <w:color w:val="auto"/>
        </w:rPr>
      </w:pPr>
    </w:p>
    <w:p>
      <w:pPr>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501 includes 256 new IMAX Laser Systems and 145 upgrades of existing locations to IMAX Laser Systems.</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501 includes 356 new system backlog and 145 upgrade system backlog.</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504 includes 261 new IMAX Laser Systems and 69 upgrades of existing locations to IMAX Laser Systems.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504 includes 373 new system backlog and 131 upgrade system backlog.</w:t>
      </w:r>
    </w:p>
    <w:p>
      <w:pPr>
        <w:spacing w:after="0" w:line="35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signed contracts. The Company believes that the contractual obligations for IMAX System installations that are listed in backlog are valid and binding commitments. From time to time, in the normal course of its business, the Company will have customers who are unable to proceed with an IMAX System installation for a variety of reasons, including the inability to obtain certain consents, approvals or financing.</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Approximately 74% of IMAX System arrangements in backlog as of June 30, 2025 are scheduled to be installed in international markets (2024 — 82%).</w:t>
      </w:r>
    </w:p>
    <w:p>
      <w:pPr>
        <w:spacing w:after="0" w:line="24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(See “Risk Factors – The Company may not convert all of its backlog into revenue and cash flows.” in Part I, Item 1A of the Company’s 2024 Form 10-K.)</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1"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three and six months ended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center"/>
              <w:ind w:lef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jc w:val="center"/>
              <w:ind w:lef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Signings: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62"/>
        </w:trPr>
        <w:tc>
          <w:tcPr>
            <w:tcW w:w="46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(2)</w:t>
            </w:r>
          </w:p>
        </w:tc>
        <w:tc>
          <w:tcPr>
            <w:tcW w:w="9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220" w:hanging="195"/>
        <w:spacing w:after="0"/>
        <w:tabs>
          <w:tab w:leader="none" w:pos="22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220" w:hanging="195"/>
        <w:spacing w:after="0"/>
        <w:tabs>
          <w:tab w:leader="none" w:pos="22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two and 60 IMAX System upgrades for the three and six months ended June 30, 2025, respectively (2024 ― 68 upgrades).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5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8"/>
        </w:trPr>
        <w:tc>
          <w:tcPr>
            <w:tcW w:w="462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136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2"/>
        </w:trPr>
        <w:tc>
          <w:tcPr>
            <w:tcW w:w="556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40" w:right="20" w:hanging="315"/>
        <w:spacing w:after="0" w:line="266" w:lineRule="auto"/>
        <w:tabs>
          <w:tab w:leader="none" w:pos="332"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Zero and three IMAX Systems were relocated from their original location for the three and six months ended June 30, 2025, respectively (2024 ― one and two relocations, respectively). When a system is relocated, the amount of revenue earned by the Company may vary from transaction-to-transaction and is usually less than the amount earned for a new sale. In certain situations when a system is relocated, the original location is upgraded to an IMAX Laser System.</w:t>
      </w:r>
    </w:p>
    <w:p>
      <w:pPr>
        <w:ind w:left="340" w:hanging="315"/>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18 and 25 IMAX System upgrades for the three and six months ended June 30, 2025, respectively (2024 ― eight and 11 upgrades,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films and alternative content to be exhibited across the IMAX network; (ii) the signing, installation, and financial performance of IMAX System arrangements; (iii) the success of the Company’s investments in business evolution and brand extensions into streaming and consumer technology; (iv) revenues and gross margins earned by the Company’s segments; (v) consolidated earnings (loss)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and (viii) short- and long-term cash flow projections.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2025 and 2024</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three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3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r>
              <w:rPr>
                <w:rFonts w:ascii="Times New Roman" w:cs="Times New Roman" w:eastAsia="Times New Roman" w:hAnsi="Times New Roman"/>
                <w:sz w:val="23"/>
                <w:szCs w:val="23"/>
                <w:color w:val="auto"/>
                <w:vertAlign w:val="superscript"/>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4"/>
                <w:szCs w:val="24"/>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months ended June 30, 2025, the Company’s revenues and gross margin increased by $2.7 million, or 3%, and $9.7 million, or 22%, respectively, when compared to same period in 2024 principally due to a higher number of installations and stronger IMAX box office performance driven by the Hollywood film slate.</w:t>
      </w:r>
    </w:p>
    <w:p>
      <w:pPr>
        <w:spacing w:after="0" w:line="204" w:lineRule="exact"/>
        <w:rPr>
          <w:sz w:val="20"/>
          <w:szCs w:val="20"/>
          <w:color w:val="auto"/>
        </w:rPr>
      </w:pPr>
    </w:p>
    <w:p>
      <w:pPr>
        <w:jc w:val="both"/>
        <w:ind w:firstLine="193"/>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three months ended June 30, 2025 and 2024:</w:t>
      </w: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3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4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6"/>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89,604</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41,921</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8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91,684</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53,602</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timing of documentary downstream sales, the length of play across the IMAX network, the box office share take rates under the Company’s Film Remastering and distribution arrangements, the level of marketing spend associated with the releases in the year, and fluctuations in the value of foreign currencies versus the U.S. Dollar.</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For the three months ended June 30, 2025, Content Solutions segment revenues and gross margin decreased by $1.1 million, or 3%, and increased by $6.3 million, or 39%, respectively, when compared to the same period in 2024. The decrease in revenue compared to the prior period was primarily driven by revenue earned from the completion of the sale of the worldwide commercial and streaming rights of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to Amazon Content in the second quarter of 2024.</w:t>
      </w:r>
    </w:p>
    <w:p>
      <w:pPr>
        <w:spacing w:after="0" w:line="209"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 xml:space="preserve">The documentary sale impact on revenue was mostly offset in the second quarter of 2025 by stronger IMAX box office performance year over year. In the second quarter of 2025, box office generated by IMAX films, including booking fees, totaled $281.1 million, an $81.3 million, or 41% increase versus the prior year comparative period of $199.8 million. The growth was primarily driven by the stronger IMAX box office performance of the IMAX Hollywood film slate during the quarter, compared to the second quarter of 2024 box office performance which had fewer large blockbusters due to the Hollywood strikes. In the second quarter of 2025, IMAX box office was generated by the exhibition of 22 films and other content (21 new films and 1 film originally released in a prior year), including the following Hollywood titles,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 xml:space="preserve"> ($75 million),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($40 million), </w:t>
      </w:r>
      <w:r>
        <w:rPr>
          <w:rFonts w:ascii="Times New Roman" w:cs="Times New Roman" w:eastAsia="Times New Roman" w:hAnsi="Times New Roman"/>
          <w:sz w:val="18"/>
          <w:szCs w:val="18"/>
          <w:i w:val="1"/>
          <w:iCs w:val="1"/>
          <w:color w:val="auto"/>
        </w:rPr>
        <w:t>F1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Movie </w:t>
      </w:r>
      <w:r>
        <w:rPr>
          <w:rFonts w:ascii="Times New Roman" w:cs="Times New Roman" w:eastAsia="Times New Roman" w:hAnsi="Times New Roman"/>
          <w:sz w:val="18"/>
          <w:szCs w:val="18"/>
          <w:color w:val="auto"/>
        </w:rPr>
        <w:t>($32 million) and</w:t>
      </w:r>
      <w:r>
        <w:rPr>
          <w:rFonts w:ascii="Times New Roman" w:cs="Times New Roman" w:eastAsia="Times New Roman" w:hAnsi="Times New Roman"/>
          <w:sz w:val="18"/>
          <w:szCs w:val="18"/>
          <w:i w:val="1"/>
          <w:iCs w:val="1"/>
          <w:color w:val="auto"/>
        </w:rPr>
        <w:t xml:space="preserve"> Thunderbolts </w:t>
      </w:r>
      <w:r>
        <w:rPr>
          <w:rFonts w:ascii="Times New Roman" w:cs="Times New Roman" w:eastAsia="Times New Roman" w:hAnsi="Times New Roman"/>
          <w:sz w:val="18"/>
          <w:szCs w:val="18"/>
          <w:color w:val="auto"/>
        </w:rPr>
        <w:t>($31 million). In the second quarter of 2025, local language films exhibited across the Company’s global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$19.8 million in box office, representing 7% of its global box office. In the second quarter of 2024, IMAX box office was generated by the exhibition of 34 films (27 new films and 7 films originally released in a prior year).</w:t>
      </w:r>
    </w:p>
    <w:p>
      <w:pPr>
        <w:spacing w:after="0" w:line="21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 xml:space="preserve">In the second quarter of 2025, the Company released six movies that were filmed with IMAX proprietary cameras (Filmed For IMAX):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Thunderbolts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Final Destination: Bloodlines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Mission: Impossible - The Final Reckoning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 To Train Your Dragon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F1 The Movie</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movies traditionally perform disproportionately well at the box office, and for three of these films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IMAX delivered approximately 20% or more of the opening weekend domestic box office, despite accounting for only 1% of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screens.</w:t>
      </w:r>
    </w:p>
    <w:p>
      <w:pPr>
        <w:sectPr>
          <w:pgSz w:w="11900" w:h="16838" w:orient="portrait"/>
          <w:cols w:equalWidth="0" w:num="1">
            <w:col w:w="11240"/>
          </w:cols>
          <w:pgMar w:left="320" w:top="36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(documentaries, live, alternative and other) exhibited in the period. The costs associated with films and other content can include production, post-production, distribution and marketing, which are expensed as incurred. For the three months ended June 30, 2025, gross margin percent was 66% compared to 46% in the prior year period. The increase in gross margin was driven by higher level of IMAX box office and a lower mix of self-produced content compared to the prior period.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JRSAs as revenue is recognized over the lease term, during the three months ended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30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2025, Technology Products and Services segment revenue increased by $4.7 million, or 9%, while gross margin increased by $4.4 million, or 17%, when compared to the same period in 2024. The higher level of revenue is primarily driven by a higher level of rental revenues, which is box office driven. Rental revenues increased by $5.1 million, as IMAX GBO earned from the Company’s JRSAs increased by $24.1 million in the second quarter of 2025 when compared to the prior year comparative period, from $101.0 million to $125.1 million. Also contributing to the increase in revenue was the higher number of systems recognized under sales and sales-type lease arrangements, per the table above.</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increase in revenues described above were partially offset by a $4.7 million decrease in revenue contribution from the impact of amendments, renewals and other agreements to existing IMAX Systems arrangements.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June 30, 2025, gross margin percent was 54% compared to 51% in the prior period, which primarily reflects the higher level of revenues generated from stronger IMAX box office performance,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June 30, 2025, All Other revenue and gross margin decreased by $0.9 million and $1.0 million, respectively, when compared to the same period in 2024. All Other primarily reflects the results of the Company’s Streaming and Consumer Technology business.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three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35,302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87"/>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28,440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31,058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120" w:hanging="315"/>
        <w:spacing w:after="0" w:line="279" w:lineRule="auto"/>
        <w:tabs>
          <w:tab w:leader="none" w:pos="332"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Costs and Expenses Applicable to Revenues, and Research and Development. (Refer to “Capital Stock and Reserves — Share-Based Compensation” in Note 11 of Notes to Condensed Consolidated Financial Statements in Part I, Item 1.)</w:t>
      </w:r>
    </w:p>
    <w:p>
      <w:pPr>
        <w:spacing w:after="0" w:line="32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second quarter of 2025, the lower level of Selling, General and Administrative Expenses year-over-year reflects management’s continued focus on operational efficiencies, including workforce reductions. Additionally, in the period, the Company recognized $2.5 million in benefits resulting from an Employee Retention Credit as a reduction to Selling, General and Administrative expenses, partially offset by higher annual incentive compensation costs.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Research and Development expenses were $1.5 million, compared to an expense of $2.0 million during the same period in the prior year. The reduction year-over-year was primarily driven by the capitalization of film camera costs in accordance with the achievement of technological feasibility in 2024. The Company continues to expense its investment in other projects, including in the development of new Streaming and Technology product offerings and improvements to its existing IMAX System product suite.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(Reversal) Expense, Net</w:t>
      </w:r>
    </w:p>
    <w:p>
      <w:pPr>
        <w:spacing w:after="0" w:line="253"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June 30, 2025, the Company recorded a credit loss reversal of $0.2 million, as compared to a credit loss expense of $0.1 million recognized in the prior year.</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Stronger box office performance in the year has contributed to a notable improvement in collections. The resurgence in theatrical attendance, driven by a robust film slate, has increased and accelerated cash inflows from studio and exhibitor customers. This trend reflects both the sustained consumer demand for premium cinematic experiences and the effectiveness of our strategic initiatives in global distribution and exhibition.</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253" w:lineRule="exact"/>
        <w:rPr>
          <w:sz w:val="20"/>
          <w:szCs w:val="20"/>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June 30, 2025, interest expense was $1.9 million, representing an decrease of $0.4 million, or 16% when compared to interest expense of $2.3 million during the same period of the prior year primarily due to a lower level of borrowings under the Credit Facility in the current period. For the three months ended June 30, 2025 and 2023, interest income was $1.1 million and $0.6 million, respectively.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June 30, 2025, the Company recorded an income tax expense of $1.2 million (2024 — tax benefit of $4.0 million). The Company’s effective tax rate of 8.9% for the three months ended June 30, 2025, reflects the geographic allocation of income earned in taxing jurisdictions and reflects a decrease in the valuation allowance.</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 completed an internal asset sale to more closely align its intellectual property ownership with its operations. In order to effect this internal asset sale, transactions between entities within the group resulted in capital gains for tax purposes. The tax expense related to the capital gain was partially offset by the reversal of the valuation allowance. Net deferred tax assets were also recorded on the transaction, resulting in a net tax benefit of $7.7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June 30, 2025, the net income attributable to non-controlling interests of the Company’s subsidiaries was $1.0 million, a decrease of $0.5 million, when compared to the same period in 2024, primarily due to lower revenues recognized from sales arrangements and renewals in Greater China.</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2025, the Company recorded $0.8 million (2024 — $nil) of restructuring and other charges. These charges are associated with continued strategic initiatives aimed at enhancing operational efficiency, reducing costs, and optimizing the Company’s organization structure. Specifically, the Company incurred $0.5 million in connection with the continued implementation of its plan to optimize its organizational structure, including the elimination of redundant roles, addressing spans and layers to capture efficiencies and centralize certain operational roles. Additionally, the Company incurred $0.3 million of non-recurring fees relating to the 2024 internal asset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2025 and 2024</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six months ended June 30,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2025, the Company’s revenues and gross margin increased by $10.3 million, or 6%, and $16.0 million, or 18%, respectively, when compared to same period in 2024, principally due to a higher number of installations and stronger IMAX box office performance driven by a record Chinese New Year period and the summer Hollywood box office.</w:t>
      </w:r>
    </w:p>
    <w:p>
      <w:pPr>
        <w:spacing w:after="0" w:line="204" w:lineRule="exact"/>
        <w:rPr>
          <w:sz w:val="20"/>
          <w:szCs w:val="20"/>
          <w:color w:val="auto"/>
        </w:rPr>
      </w:pPr>
    </w:p>
    <w:p>
      <w:pPr>
        <w:ind w:firstLine="193"/>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six months ended June 30, 2025 and 2024:</w:t>
      </w: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3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2"/>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49,367</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6"/>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174,446</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105,249</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87,604</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tcPr>
          <w:p>
            <w:pPr>
              <w:ind w:left="14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8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178,351</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106,778</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timing of documentary downstream sales, the length of play across the IMAX network, the box office share take rates under the Company’s Film Remastering and distribution arrangements, the level of marketing spend associated with the releases in the year, and fluctuations in the value of foreign currencies versus the U.S. Dollar.</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For the six months ended June 30, 2025, Content Solutions segment revenues and gross margin decreased by $0.9 million, or 1%, and increased by $7.7 million, or 20%, respectively, when compared to the same period in 2024. The decrease in revenue compared to the prior period is primarily driven by revenue earned from the completion of the sale of the worldwide commercial and streaming rights of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to Amazon Content in the first half of 2024.</w:t>
      </w:r>
    </w:p>
    <w:p>
      <w:pPr>
        <w:spacing w:after="0" w:line="207"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 xml:space="preserve">The positive impact of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documentary in 2024 on revenue was mostly offset by higher box office generated across the IMAX network for the six months ended June 30, 2025, when compared to the prior year period. In the six months ended June 30, 2025, box office generated by IMAX films, including booking fees, totaled $579.2 million, a $112.1 million, or 24%, increase versus the prior year comparative period of $467.2 million. This growth was primarily driven by the stronger IMAX box office performance of the IMAX local language film slate in 2025. During the six months ended June 30, 2025, IMAX box office was generated by the exhibition of 56 films and other content (54 new films and 2 re-releases), including the following Hollywood titles,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 xml:space="preserve"> ($75 million),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($39 million),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($31 million) and </w:t>
      </w:r>
      <w:r>
        <w:rPr>
          <w:rFonts w:ascii="Times New Roman" w:cs="Times New Roman" w:eastAsia="Times New Roman" w:hAnsi="Times New Roman"/>
          <w:sz w:val="18"/>
          <w:szCs w:val="18"/>
          <w:i w:val="1"/>
          <w:iCs w:val="1"/>
          <w:color w:val="auto"/>
        </w:rPr>
        <w:t>Thunderbolts</w:t>
      </w:r>
      <w:r>
        <w:rPr>
          <w:rFonts w:ascii="Times New Roman" w:cs="Times New Roman" w:eastAsia="Times New Roman" w:hAnsi="Times New Roman"/>
          <w:sz w:val="18"/>
          <w:szCs w:val="18"/>
          <w:color w:val="auto"/>
        </w:rPr>
        <w:t xml:space="preserve"> ($31 million). In addition, in the six months ended June 30, 2025, local language films exhibited across the Company’s global network generated over $222 million in box office, representing 38% of its global box office. The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became the highest grossing IMAX release of all time in China ($166 million, including booking fees) and contributed to the highest grossing Chinese New Year in the Company’s history. In the six months ended June 30, 2024, IMAX box office was generated by the exhibition of 60 films (46 new films and 14 films originally released in a prior year).</w:t>
      </w:r>
    </w:p>
    <w:p>
      <w:pPr>
        <w:spacing w:after="0" w:line="213"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 xml:space="preserve">In the first half of 2025, the Company released six movies that were filmed with IMAX proprietary cameras (Filmed For IMAX):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Thunderbolts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Final Destination: Bloodlines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Mission: Impossible - The Final Reckoning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 To Train Your Dragon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F1 The Movie. </w:t>
      </w:r>
      <w:r>
        <w:rPr>
          <w:rFonts w:ascii="Times New Roman" w:cs="Times New Roman" w:eastAsia="Times New Roman" w:hAnsi="Times New Roman"/>
          <w:sz w:val="18"/>
          <w:szCs w:val="18"/>
          <w:color w:val="auto"/>
        </w:rPr>
        <w:t>Filmed For IMAX movies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traditionally perform disproportionately well at the box office, and for three of these films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Movie</w:t>
      </w:r>
      <w:r>
        <w:rPr>
          <w:rFonts w:ascii="Times New Roman" w:cs="Times New Roman" w:eastAsia="Times New Roman" w:hAnsi="Times New Roman"/>
          <w:sz w:val="18"/>
          <w:szCs w:val="18"/>
          <w:color w:val="auto"/>
        </w:rPr>
        <w:t>), IMAX delivered approximately 20% or more of the opening weekend domestic box office, despite accounting for only 1% of available screens.</w:t>
      </w:r>
    </w:p>
    <w:p>
      <w:pPr>
        <w:spacing w:after="0" w:line="20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six months ended June 30, 2025, gross margin percent was 67% compared to 55% in the prior quarter period. This increase was driven by a higher level of IMAX box office, a lower mix of self-produced content expensed compared to the prior period.</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joint revenue sharing arrangements as revenue is recognized over the lease term, during the six months ended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Included in the table above are three IMAX Systems that were relocated from their original locations (2024 ― two IMAX Systems). When a system under a sale or sales-type lease arrangement is relocated, the amount of revenue earned by the Company may vary from transaction to transaction and is usually less than the amount earned for a new sale. In certain situations when a system is relocated, the original location is upgraded to an IMAX Laser System.</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2025, Technology Products and Services segment revenue and gross margin increased by $12.2 million, or 13%, and $9.9 million, or 20%, respectively, when compared to the same period in the prior year. The higher level of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primarily driven by a higher level of rental revenues, which is box office dependent. Rental revenues increased by $5.2 million, driven by IMAX GBO from joint revenue sharing arrangements which increased by $38.8 million in the six months ended June 30, 2025 when compared to the prior year comparative period, from $226.4 million to $265.2 million. Also contributing to the increase in revenue was the number of systems recognized under sales and sales-type lease arrangements, per the table above.</w:t>
      </w:r>
    </w:p>
    <w:p>
      <w:pPr>
        <w:spacing w:after="0" w:line="20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increases in revenue were partially offset by a $4.2 million decrease in revenue contribution from the impact of amendments, renewals and other agreements to existing IMAX Systems arrangements.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2025, gross margin percent was 56% compared to 52% in the prior period, which primarily reflects the higher level of revenues,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2025, All Other revenue and gross margin decreased by $1.0 million, and $1.7 million, respectively, when compared to the same period in 2024. All Other primarily reflects the results of the Company’s Streaming and Consumer Technology business.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six months ended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center"/>
              <w:ind w:left="140"/>
              <w:spacing w:after="0"/>
              <w:rPr>
                <w:sz w:val="20"/>
                <w:szCs w:val="20"/>
                <w:color w:val="auto"/>
              </w:rPr>
            </w:pPr>
            <w:r>
              <w:rPr>
                <w:rFonts w:ascii="Times New Roman" w:cs="Times New Roman" w:eastAsia="Times New Roman" w:hAnsi="Times New Roman"/>
                <w:sz w:val="18"/>
                <w:szCs w:val="18"/>
                <w:color w:val="auto"/>
                <w:w w:val="96"/>
              </w:rPr>
              <w:t>68,764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6"/>
              </w:rPr>
              <w:t>68,821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w w:val="97"/>
              </w:rPr>
              <w:t>(11,582)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7"/>
              </w:rPr>
              <w:t>(10,843)</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87"/>
        </w:trPr>
        <w:tc>
          <w:tcPr>
            <w:tcW w:w="6140" w:type="dxa"/>
            <w:vAlign w:val="bottom"/>
            <w:tcBorders>
              <w:bottom w:val="single" w:sz="8" w:color="CCEEFF"/>
            </w:tcBorders>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Adjusted Selling, general and administrative expenses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140"/>
              <w:spacing w:after="0"/>
              <w:rPr>
                <w:sz w:val="20"/>
                <w:szCs w:val="20"/>
                <w:color w:val="auto"/>
              </w:rPr>
            </w:pPr>
            <w:r>
              <w:rPr>
                <w:rFonts w:ascii="Times New Roman" w:cs="Times New Roman" w:eastAsia="Times New Roman" w:hAnsi="Times New Roman"/>
                <w:sz w:val="18"/>
                <w:szCs w:val="18"/>
                <w:color w:val="auto"/>
                <w:w w:val="96"/>
              </w:rPr>
              <w:t>57,182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6"/>
              </w:rPr>
              <w:t>57,978</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 and Expenses Applicable to Revenue, and Research and Development. (Refer to “Capital Stock and Reserves — Share-Based Compensation” in Note 11 of Notes to Condensed Consolidated Financial Statements in Part I, Item 1.)</w:t>
      </w:r>
    </w:p>
    <w:p>
      <w:pPr>
        <w:ind w:left="340" w:hanging="315"/>
        <w:spacing w:after="0"/>
        <w:tabs>
          <w:tab w:leader="none" w:pos="3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6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the lower level of Selling, General and Administrative Expenses year-over-year reflects management’s continued focus on operational efficiencies, including workforce reductions. Additionally, in the period, the Company recognized $2.5 million in benefits resulting from an Employee Retention Credit as a reduction to Selling, General and Administrative expenses, partially offset by higher annual incentive compensation costs.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Research and Development expenses were $2.9 million, representing a decrease of $1.4 million, or 32%, when compared to Research and Development expenses of $4.2 million during the same period in the prior year. The reduction year-over-year was primarily driven by the capitalization of film camera costs in accordance with the achievement of technological feasibility in 2024. The Company continues to expense its investment in other projects, including in the development of new Streaming and Technology product offerings and improvements to its existing IMAX System product suite.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(Reversal) Expense, Net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2025, the Company recorded a credit loss reversal of $0.3 million, as compared to a credit loss expense of $0.2 million recognized in the prior year.</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Stronger box office performance in the year has contributed to a notable improvement in collections. The resurgence in theatrical attendance, driven by a robust film slate, has increased and accelerated cash inflows from studio and exhibitor customers. This trend reflects both the sustained consumer demand for premium cinematic experiences and the effectiveness of our strategic initiatives in global distribution and exhibition.</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ectPr>
          <w:pgSz w:w="11900" w:h="16838" w:orient="portrait"/>
          <w:cols w:equalWidth="0" w:num="1">
            <w:col w:w="11240"/>
          </w:cols>
          <w:pgMar w:left="320" w:top="36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2025, interest expense was $3.7 million, representing a decrease of $0.5 million, or 12%, as compared to $4.2 million during the same period of the prior year primarily due to a lower level of borrowings under the Credit Facility in the current period. For the six months ended June 30, 2025 and 2024, interest income was $1.7 million and $1.1 million, respectively.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2025, the Company recorded an income tax expense of $8.5 million (2024 — tax expense of $1.2 million). The Company’s effective tax rate of 29.4% for the six months ended June 30, 2025, reflects the geographic allocation of income earned in taxing jurisdictions and also reflects an increase in the valuation allowance, withholding taxes and a tax benefit related to share-based compensation.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2025, the net income attributable to non-controlling interests of the Company’s subsidiaries was $6.8 million, an increase of $3.2 million, when compared to the same period in 2024, which reflects a higher level of IMAX box office earned in Greater China.</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the Company recorded $0.8 million (2024 — $nil) of restructuring and other charges. These charges are associated with continued strategic initiatives aimed at enhancing operational efficiency, reducing costs, and optimizing the Company’s organization structure. Specifically, the Company incurred $0.5 million in connection with the implementation of its plan to optimize its organizational structure, including the elimination of redundant roles, addressing spans and layers to capture efficiencies and centralize certain operational roles. Additionally, the Company incurred $0.3 million of non-recurring fees relating to the 2024 internal asset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SIX MONTHS ENDED JUNE 30, 2025 AND 2024</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discussion below summarizes our cash flows from operating, investing, and financing activities as reflected in the Condensed Consolidated Statements of Cash Flows for the six months ended June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140" w:type="dxa"/>
            <w:vAlign w:val="bottom"/>
          </w:tcPr>
          <w:p>
            <w:pPr>
              <w:spacing w:after="0"/>
              <w:rPr>
                <w:sz w:val="21"/>
                <w:szCs w:val="21"/>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8,659</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15,352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Net cash provided by the Company’s operating activities increased $6.1 million in the six months ended June 30, 2025, compared to the corresponding prior year period, primarily due to an increase in the net income earned in the current period. This increase was partially offset by an decrease in cash provided by working capital expenditures. (Refer to Note 9 to Condensed Consolidated Financial Statements in Item 1. for more information on the Company’s change in other operating assets and liabilities.)</w:t>
      </w:r>
    </w:p>
    <w:p>
      <w:pPr>
        <w:spacing w:after="0" w:line="209"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Net cash used in investing activities increased $6.4 million in the six months ended June 30, 2025, compared to the corresponding prior year period, primarily due to an increase in the level of investment in equipment contributed to the Company’s JRSAs with exhibitor customers and capital expenditures. In the six months ended June 30, 2025, the Company installed 31 systems under JRSAs compared to 23 systems in the prior year comparative period.</w:t>
      </w:r>
    </w:p>
    <w:p>
      <w:pPr>
        <w:spacing w:after="0" w:line="186"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Net cash provided by financing activities decreased $6.1 million in the six months ended June 30, 2025, compared to the corresponding prior year period, mainly driven by a decrease in net borrowings under the revolving credit facilities, an increase in cash paid for taxes withheld on employee stock awards vested, offset by a decease in share repurchases.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June 30, 2025, the Company’s principal sources of liquidity included: (i) its balances of cash and cash equivalents of $109.3 million; (ii) the anticipated collection of trade accounts receivable, which includes amounts owed under JRSAs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21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addition, as of June 30, 2025, the Company had $252.0 million in available borrowing capacity under its Sixth Amended and Restated Credit Agreement (the “Credit Agreement”), $26.5 million in available borrowing capacity under the IMAX (Shanghai) Multimedia Technology Co., Ltd. (“IMAX Shanghai”) revolving credit facility with the Bank of China (the “Bank of China Facility”), and $27.9 million in available borrowing capacity under IMAX Shanghai’s revolving credit facility with HSBC Bank (China) Company Limited, Shanghai Branch (the “HSBC China Facility”). On July 14, 2025, the Company entered into the New Credit Agreement, which increases the Company’s borrowing capacity to $375.0 million. (Refer to “Borrowings — Revolving Credit Facility Borrowings, Net” in Note 6 of Notes to Condensed Consolidated Financial Statements in Part I, Item 1 for a description of the material terms of the Credit Agreement, the Bank of China Facility, and the HSBC Facility.)</w:t>
      </w:r>
    </w:p>
    <w:p>
      <w:pPr>
        <w:spacing w:after="0" w:line="215"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7"/>
          <w:szCs w:val="17"/>
          <w:color w:val="auto"/>
        </w:rPr>
        <w:t>The Company’s $109.3 million balance of cash and cash equivalents as of June 30, 2025 (December 31, 2024 — $100.6 million) included $100.9 million in cash held outside of Canada (December 31, 2024 — $85.4 million), of which $61.5 million was held in the People’s Republic of China (the “PRC”) (December 31, 2024 — $47.5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six months ended June 30, 2025, no historical earnings from a subsidiary in the PRC were distributed (2024</w:t>
      </w:r>
    </w:p>
    <w:p>
      <w:pPr>
        <w:spacing w:after="0" w:line="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 $nil) and, as a result, no foreign withholding taxes were paid to the relevant tax authorities (2024 — $nil). As of June 30, 2025, the Company’s Condensed Consolidated Balance Sheets included a deferred tax liability of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1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2024 Form 10-K as supplemented by “Risk Factors” in Part II, Item 1A of this Form 10-Q).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also has certain significant contractual obligations and commitments that have been disclosed in “Contractual Obligations” in Part II, Item 7 of the Company’s 2024 Form 10-K. There are no material changes to these obligations and commitments as of June 30, 2025.</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refer to the section entitled “Critical Accounting Estimates” in Item 7 “Management’s Discussion and Analysis of Financial Condition and Results of Operations” of the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2 of Notes to Condensed Consolidated Financial Statements in Part I, Item 1 for a discussion of recently issued accounting standards and their impact on the Company’s Condensed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204" w:lineRule="exact"/>
        <w:rPr>
          <w:sz w:val="20"/>
          <w:szCs w:val="20"/>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 and</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Selling, general and administrative expenses.</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restructuring and other charges; and (iv) employee retention credits, and as well as the related tax impact of these adjustments.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diluted share are presented in the tables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tcBorders>
              <w:bottom w:val="single" w:sz="8" w:color="CCEEFF"/>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2"/>
        </w:trPr>
        <w:tc>
          <w:tcPr>
            <w:tcW w:w="54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2"/>
        </w:trPr>
        <w:tc>
          <w:tcPr>
            <w:tcW w:w="54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restructuring and other charges; and (iv) write-downs, net of recoveries, including asset impairments and credit loss expense or reversal.</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GAAP measure, to EBITDA and Adjusted EBITDA per Credit Facility are presented in the tables below: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922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6"/>
                <w:szCs w:val="16"/>
                <w:color w:val="auto"/>
              </w:rPr>
            </w:pPr>
          </w:p>
        </w:tc>
        <w:tc>
          <w:tcPr>
            <w:tcW w:w="13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30, 2025</w:t>
            </w:r>
          </w:p>
        </w:tc>
      </w:tr>
      <w:tr>
        <w:trPr>
          <w:trHeight w:val="38"/>
        </w:trPr>
        <w:tc>
          <w:tcPr>
            <w:tcW w:w="92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38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w:t>
            </w:r>
          </w:p>
        </w:tc>
      </w:tr>
      <w:tr>
        <w:trPr>
          <w:trHeight w:val="24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
        </w:trPr>
        <w:tc>
          <w:tcPr>
            <w:tcW w:w="9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6"/>
        </w:trPr>
        <w:tc>
          <w:tcPr>
            <w:tcW w:w="9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r>
      <w:tr>
        <w:trPr>
          <w:trHeight w:val="268"/>
        </w:trPr>
        <w:tc>
          <w:tcPr>
            <w:tcW w:w="9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2"/>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30,142</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6"/>
        </w:trPr>
        <w:tc>
          <w:tcPr>
            <w:tcW w:w="9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6"/>
        </w:trPr>
        <w:tc>
          <w:tcPr>
            <w:tcW w:w="9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5"/>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3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39,058</w:t>
            </w:r>
          </w:p>
        </w:tc>
      </w:tr>
      <w:tr>
        <w:trPr>
          <w:trHeight w:val="26"/>
        </w:trPr>
        <w:tc>
          <w:tcPr>
            <w:tcW w:w="9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3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6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36,686</w:t>
            </w: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540" w:hanging="322"/>
        <w:spacing w:after="0"/>
        <w:tabs>
          <w:tab w:leader="none" w:pos="5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June</w:t>
            </w:r>
          </w:p>
        </w:tc>
      </w:tr>
      <w:tr>
        <w:trPr>
          <w:trHeight w:val="20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7"/>
                <w:szCs w:val="17"/>
                <w:color w:val="auto"/>
              </w:rPr>
            </w:pPr>
          </w:p>
        </w:tc>
        <w:tc>
          <w:tcPr>
            <w:tcW w:w="14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30, 2025</w:t>
            </w:r>
          </w:p>
        </w:tc>
      </w:tr>
      <w:tr>
        <w:trPr>
          <w:trHeight w:val="38"/>
        </w:trPr>
        <w:tc>
          <w:tcPr>
            <w:tcW w:w="92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42,594</w:t>
            </w:r>
          </w:p>
        </w:tc>
      </w:tr>
      <w:tr>
        <w:trPr>
          <w:trHeight w:val="242"/>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
        </w:trPr>
        <w:tc>
          <w:tcPr>
            <w:tcW w:w="9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6"/>
        </w:trPr>
        <w:tc>
          <w:tcPr>
            <w:tcW w:w="9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w:t>
            </w:r>
          </w:p>
        </w:tc>
      </w:tr>
      <w:tr>
        <w:trPr>
          <w:trHeight w:val="268"/>
        </w:trPr>
        <w:tc>
          <w:tcPr>
            <w:tcW w:w="9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42"/>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122,069</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w:t>
            </w:r>
          </w:p>
        </w:tc>
      </w:tr>
      <w:tr>
        <w:trPr>
          <w:trHeight w:val="26"/>
        </w:trPr>
        <w:tc>
          <w:tcPr>
            <w:tcW w:w="9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6"/>
        </w:trPr>
        <w:tc>
          <w:tcPr>
            <w:tcW w:w="9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3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151,917</w:t>
            </w:r>
          </w:p>
        </w:tc>
      </w:tr>
      <w:tr>
        <w:trPr>
          <w:trHeight w:val="26"/>
        </w:trPr>
        <w:tc>
          <w:tcPr>
            <w:tcW w:w="9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w:t>
            </w:r>
          </w:p>
        </w:tc>
      </w:tr>
      <w:tr>
        <w:trPr>
          <w:trHeight w:val="262"/>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134,513</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hanging="314"/>
        <w:spacing w:after="0"/>
        <w:tabs>
          <w:tab w:leader="none" w:pos="500"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also adjusts Selling, General and Administrative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GAAP measure presented in the Condensed Consolidated Statement of Operations in Part I, Item 1, to Adjusted Selling, General and Administrative Expenses is 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6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35,302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37,564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center"/>
              <w:ind w:left="160"/>
              <w:spacing w:after="0"/>
              <w:rPr>
                <w:sz w:val="20"/>
                <w:szCs w:val="20"/>
                <w:color w:val="auto"/>
              </w:rPr>
            </w:pPr>
            <w:r>
              <w:rPr>
                <w:rFonts w:ascii="Times New Roman" w:cs="Times New Roman" w:eastAsia="Times New Roman" w:hAnsi="Times New Roman"/>
                <w:sz w:val="18"/>
                <w:szCs w:val="18"/>
                <w:color w:val="auto"/>
                <w:w w:val="96"/>
              </w:rPr>
              <w:t>68,764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280" w:type="dxa"/>
            <w:vAlign w:val="bottom"/>
          </w:tcPr>
          <w:p>
            <w:pPr>
              <w:spacing w:after="0"/>
              <w:rPr>
                <w:sz w:val="21"/>
                <w:szCs w:val="21"/>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(6,862)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(6,506)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140"/>
              <w:spacing w:after="0"/>
              <w:rPr>
                <w:sz w:val="20"/>
                <w:szCs w:val="20"/>
                <w:color w:val="auto"/>
              </w:rPr>
            </w:pPr>
            <w:r>
              <w:rPr>
                <w:rFonts w:ascii="Times New Roman" w:cs="Times New Roman" w:eastAsia="Times New Roman" w:hAnsi="Times New Roman"/>
                <w:sz w:val="18"/>
                <w:szCs w:val="18"/>
                <w:color w:val="auto"/>
              </w:rPr>
              <w:t>(11,582)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28,440</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31,058</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160"/>
              <w:spacing w:after="0"/>
              <w:rPr>
                <w:sz w:val="20"/>
                <w:szCs w:val="20"/>
                <w:color w:val="auto"/>
              </w:rPr>
            </w:pPr>
            <w:r>
              <w:rPr>
                <w:rFonts w:ascii="Times New Roman" w:cs="Times New Roman" w:eastAsia="Times New Roman" w:hAnsi="Times New Roman"/>
                <w:sz w:val="18"/>
                <w:szCs w:val="18"/>
                <w:color w:val="auto"/>
                <w:w w:val="96"/>
              </w:rPr>
              <w:t>57,182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both"/>
        <w:ind w:right="100" w:firstLine="193"/>
        <w:spacing w:after="0" w:line="263"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3" w:lineRule="exact"/>
        <w:rPr>
          <w:sz w:val="20"/>
          <w:szCs w:val="20"/>
          <w:color w:val="auto"/>
        </w:rPr>
      </w:pPr>
    </w:p>
    <w:p>
      <w:pPr>
        <w:jc w:val="both"/>
        <w:ind w:right="100" w:firstLine="193"/>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3" w:lineRule="exact"/>
        <w:rPr>
          <w:sz w:val="20"/>
          <w:szCs w:val="20"/>
          <w:color w:val="auto"/>
        </w:rPr>
      </w:pPr>
    </w:p>
    <w:p>
      <w:pPr>
        <w:jc w:val="both"/>
        <w:ind w:right="100" w:firstLine="193"/>
        <w:spacing w:after="0" w:line="252"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89 different countries, and therefore unfavorable exchange rates between applicable local currencies and the U.S. Dollar could have an impact on the GBO generated by the Company’s exhibitor customers and its revenues. For example, the impact of changes in foreign currency valuations versus the U.S. Dollar led to a decrease in IMAX GBO of approximately $64 million as compared to those in 2019.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16" w:lineRule="exact"/>
        <w:rPr>
          <w:sz w:val="20"/>
          <w:szCs w:val="20"/>
          <w:color w:val="auto"/>
        </w:rPr>
      </w:pPr>
    </w:p>
    <w:p>
      <w:pPr>
        <w:jc w:val="both"/>
        <w:ind w:right="100" w:firstLine="193"/>
        <w:spacing w:after="0" w:line="263"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4" w:lineRule="exact"/>
        <w:rPr>
          <w:sz w:val="20"/>
          <w:szCs w:val="20"/>
          <w:color w:val="auto"/>
        </w:rPr>
      </w:pPr>
    </w:p>
    <w:p>
      <w:pPr>
        <w:jc w:val="both"/>
        <w:ind w:right="100" w:firstLine="193"/>
        <w:spacing w:after="0" w:line="253"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436.6 million ($61.0 million) in cash and cash equivalents as of June 30, 2025 (December 31, 2024 — RMB 341.1 million or $47.5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 of this Form 10-Q.)</w:t>
      </w:r>
    </w:p>
    <w:p>
      <w:pPr>
        <w:spacing w:after="0" w:line="215" w:lineRule="exact"/>
        <w:rPr>
          <w:sz w:val="20"/>
          <w:szCs w:val="20"/>
          <w:color w:val="auto"/>
        </w:rPr>
      </w:pPr>
    </w:p>
    <w:p>
      <w:pPr>
        <w:jc w:val="both"/>
        <w:ind w:right="100" w:firstLine="193"/>
        <w:spacing w:after="0" w:line="258" w:lineRule="auto"/>
        <w:rPr>
          <w:sz w:val="20"/>
          <w:szCs w:val="20"/>
          <w:color w:val="auto"/>
        </w:rPr>
      </w:pPr>
      <w:r>
        <w:rPr>
          <w:rFonts w:ascii="Times New Roman" w:cs="Times New Roman" w:eastAsia="Times New Roman" w:hAnsi="Times New Roman"/>
          <w:sz w:val="18"/>
          <w:szCs w:val="18"/>
          <w:color w:val="auto"/>
        </w:rPr>
        <w:t>Management also monitors the macroeconomic environment as part of its continuous assessment of credit risk. This includes consideration of developments in the U.S. and global banking sectors,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209" w:lineRule="exact"/>
        <w:rPr>
          <w:sz w:val="20"/>
          <w:szCs w:val="20"/>
          <w:color w:val="auto"/>
        </w:rPr>
      </w:pPr>
    </w:p>
    <w:p>
      <w:pPr>
        <w:jc w:val="both"/>
        <w:ind w:right="100" w:firstLine="193"/>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a foreign exchange net gain of $0.2 million and net loss of $0.2 million respectively, resulting from changes in exchange rates related to foreign currency denominated monetary assets and liabilities (2024 — net losses of $0.2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9" w:lineRule="auto"/>
        <w:rPr>
          <w:sz w:val="20"/>
          <w:szCs w:val="20"/>
          <w:color w:val="auto"/>
        </w:rPr>
      </w:pPr>
      <w:r>
        <w:rPr>
          <w:rFonts w:ascii="Times New Roman" w:cs="Times New Roman" w:eastAsia="Times New Roman" w:hAnsi="Times New Roman"/>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June 30, 2025, with settlement dates throughout 2025 and 2026.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200"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June 30, 2025 was $51.3 million (December 31, 2024 — $48.4 million). Gains of $2.5 million and $1.8 million were recorded to Other Comprehensive Income with respect to the change in fair value of these contracts for the three and six months ended June 30, 2025, respectively (2024 — losses of $0.4 million and $1.3 million, respectively). Losses of $0.3 million and $1.6 million were reclassified from Accumulated Other Comprehensive Loss to Selling, General and Administrative Expenses for the three and six months ended June 30, 2025, respectively (2024 — loss of $0.1 million and $0.1 million, respectively). The Company currently does not hold any derivatives which are not designated as hedging instruments.</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June 30, 2025, the Company’s Financing Receivables and working capital items denominated in Canadian Dollars, RMB, Japanese Yen, Euros and other foreign currencies translated into U.S. Dollars was $167.8 million. Assuming a 10% appreciation or depreciation in foreign currency exchange rates from the quoted foreign currency exchange rates as of June 30, 2025, the potential change in the fair value of foreign currency-denominated financing receivables and working capital items would have been $16.8 million. A significant portion of the Company’s Selling, General, and Administrative Expenses is denominated in Canadian Dollars. Assuming a 1% change appreciation or depreciation in foreign currency exchange rates as of June 30, 2025, the potential change in the amount of Selling, General, and Administrative Expenses would be $0.1 million.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2025, the Company had drawn down $48.0 million on its Credit Facility (December 31, 2024 — $37.0 million), and $nil on its HSBC China Facility (December 31, 2024 — $nil) and $nil on its Bank of China Facility (December 31, 2024 — $nil), which are subject to variable effective interest rates.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had variable rate debt instruments representing 10% and 8% of its total liabilities as of June 30, 2025 and December 31, 2024, respectively. If the interest rates available to the Company increased by 10%, the Company’s interest expense would increase by $0.3 million and interest income from cash would increase by $0.3 million. These amounts are determined by considering the impact of the hypothetical interest rates on the Company’s variable rate debt and cash balances as of June 30, 2025.</w:t>
      </w: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Rules 13a-15(e) or 15d-15(e) of the Exchange Act) as of June 30, 2025 and has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7 of Notes to Condensed Consolidated Financial Statements in Part I, Item 1 for information regarding legal proceedings involving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This Form 10-Q should be read together with, and supplement, the risk factors in Item 1A “Risk Factors” in the Company’s 2024 Form 10-K, which describes various risks and uncertainties to which the Company is or may become subject. The risk factor below updates certain risk factors included in the Company’s 2024 Form 10-K in light of recent events. The below risk factor and the risk factors included in the Company’s 2024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206" w:lineRule="exact"/>
        <w:rPr>
          <w:sz w:val="20"/>
          <w:szCs w:val="20"/>
          <w:color w:val="auto"/>
        </w:rPr>
      </w:pPr>
    </w:p>
    <w:p>
      <w:pPr>
        <w:jc w:val="both"/>
        <w:ind w:firstLine="193"/>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may be materially adversely affected by the imposition of tariffs and other trade barriers and retaliatory countermeasures implemented by the United States and other governments.</w:t>
      </w:r>
    </w:p>
    <w:p>
      <w:pPr>
        <w:spacing w:after="0" w:line="186"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Recently, the U.S. government has implemented substantial and rapidly evolving changes to U.S. trade policies, including increased tariffs and changes in U.S. participation in multilateral trade agreements, while other countries, China and Canada in particular, have undertaken retaliatory measures in response to such changes. These changes could adversely impact the Company’s operations, costs and expenses applicable to revenues, and cash flows. While the Company does not believe these changes will materially impact its results for 2025, there can be no guarantees that further changes to U.S. trade policy and/or retaliatory actions by other countries will not occur.</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Additionally, uncertainty about global trade relationships has and may continue to increase market volatility, currency exchange rate fluctuation, and economic instability, which may adversely impact the Company’s results of operations. Furthermore, any resulting downturn or increase in geopolitical tensions may adversely impact consumers’ discretionary income and/or adversely affect consumer purchasing behavior, which could have a material adverse effect on box office receipts and on our results of operations and financial condition.</w:t>
      </w:r>
    </w:p>
    <w:p>
      <w:pPr>
        <w:spacing w:after="0" w:line="209"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extent and duration of increased tariffs, retaliatory actions, and the resulting impact of both on general economic conditions around the world and on the global filmed entertainment industry in particular, are uncertain and depend on numerous factors, such as the responses of and negotiations among the affected countries. As such, we cannot predict the impact to our business from any future changes to the trading relationships between the U.S. and other countries or the impact of new laws or regulations adopted by the U.S. or other countries. Furthermore, any adverse development in these areas could exacerbate risks discussed in “Risk Factors – The Company conducts business internationally, which exposes it to uncertainties and risks that could negatively affect its operations, sales, and future growth prospects,” “Risk Factors –The Company faces risks in connection with its significant presence in China and the continued expansion of its business there,” and “Risk Factors –General political, social and economic conditions can affect the Company’s business by reducing both revenues generated from existing IMAX Systems and the demand for new IMAX Systems” in Part I, Item 1A of the Company’s 2024 Form 10-K.</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2022 and increased in the total share repurchase authority to $400.0 million. In 2023, the Board of Directors approved a 36-month extension to the share repurchase program through June 30, 2026. On June 12, 2025, the Company announced an increase of $100.0 million in the Company’s share repurchase program along with a one-year extension through June 30, 2027. As of June 30, 2025, the Company had $250.7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w:t>
      </w:r>
    </w:p>
    <w:p>
      <w:pPr>
        <w:spacing w:after="0" w:line="212"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months ended June 30, 2025, the Company did not repurchase any common shares under the Company’s publicly announced program, and there are no other programs under which the Company repurchases shares.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June 30, 2025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r>
      <w:tr>
        <w:trPr>
          <w:trHeight w:val="161"/>
        </w:trPr>
        <w:tc>
          <w:tcPr>
            <w:tcW w:w="4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4"/>
        </w:trPr>
        <w:tc>
          <w:tcPr>
            <w:tcW w:w="460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87"/>
        </w:trPr>
        <w:tc>
          <w:tcPr>
            <w:tcW w:w="460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38"/>
        </w:trPr>
        <w:tc>
          <w:tcPr>
            <w:tcW w:w="46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 2025</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150,720,352</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through May 31, 2025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150,720,352</w:t>
            </w:r>
          </w:p>
        </w:tc>
      </w:tr>
      <w:tr>
        <w:trPr>
          <w:trHeight w:val="26"/>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 2025</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250,720,352</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(1) On June 12, 2025, the Company announced an increase of $100.0 million in the Company’s share repurchase program.</w:t>
      </w:r>
    </w:p>
    <w:p>
      <w:pPr>
        <w:spacing w:after="0" w:line="368"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2024, IMAX China’s shareholders granted its Board of Directors a general mandate authorizing the Board of Directors of IMAX China, subject to applicable laws, to repurchase shares of IMAX China not to exceed 10% of the total number of issued shares as of June 7, 2024 (34,000,845 shares). This program expired on the date of the 2025 Annual General Meeting of IMAX China on June 12, 2025. During the 2025 Annual General Meeting of IMAX China, shareholders granted its Board of Directors a general mandate authorizing the Board of Directors of IMAX China, subject to applicable laws, to repurchase shares of IMAX China not to exceed 10% of the total number of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June 30, 2025, IMAX China repurchased 1,495,900 shares.</w:t>
      </w:r>
    </w:p>
    <w:p>
      <w:pPr>
        <w:spacing w:after="0" w:line="212"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6 of Notes to Condensed Consolidated Financial Statements in Part I, Item 1 for a summary of the material terms and conditions of the Company’s revolving credit facility, which include a limitation of the amount of permitted share repurchases.)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780" w:hanging="387"/>
        <w:spacing w:after="0"/>
        <w:tabs>
          <w:tab w:leader="none" w:pos="7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4"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On June 11, 2025, Robert D. Lister, the Company’s Chief Legal Officer &amp; Senior Executive Vice President, entered into a Rule 10b5-1 trading arrangement (as defined in Item 408 of Regulation S-K under the Exchange Act (“Item 408”) and such arrangement, the “Plan”) for the sale of up to 70,143 common shares of the Company. This total includes 50,143 previously granted stock options that are due to expire on March 7, 2026. Sales under this Plan may commence on September 15, 2025, after the completion of the required cooling off period under Rule 10b5-1. The Plan will terminate on March 6, 2026, or earlier if all shares under the Plan have been sold. This trading arrangement is intended to satisfy the affirmative defense of Rule 10b5-1(c). No other Rule 10b5-1 or non-Rule 10b5-1 trading arrangements (as defined in Item 408) were adopted or terminated by any directors or officers of the Company during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9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48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6"/>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5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Employment Agreement, dated as of March 13, 2025, between IMAX Corporation and Jose Zlatar</w:t>
            </w:r>
          </w:p>
        </w:tc>
        <w:tc>
          <w:tcPr>
            <w:tcW w:w="0" w:type="dxa"/>
            <w:vAlign w:val="bottom"/>
          </w:tcPr>
          <w:p>
            <w:pPr>
              <w:spacing w:after="0"/>
              <w:rPr>
                <w:sz w:val="1"/>
                <w:szCs w:val="1"/>
                <w:color w:val="auto"/>
              </w:rPr>
            </w:pPr>
          </w:p>
        </w:tc>
      </w:tr>
      <w:tr>
        <w:trPr>
          <w:trHeight w:val="181"/>
        </w:trPr>
        <w:tc>
          <w:tcPr>
            <w:tcW w:w="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Employment Agreement, dated as of January 12, 2024, between IMAX Corporation and Anne Globe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Amendment to Employment Terms, dated as of May 20, 2025, between IMAX Corporation and Jose Zlatar</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Amendment to Employment Terms, dated as of May 20, 2025, between IMAX Corporation and Anne Globe</w:t>
            </w:r>
          </w:p>
        </w:tc>
        <w:tc>
          <w:tcPr>
            <w:tcW w:w="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Amendment to Employment Terms, dated as of May 20, 2025, between IMAX Corporation and Mark Welton</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2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Amendment to Employment Terms, dated as of May 20, 2025, between IMAX Corporation and Natasha Fernandes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July 24, 2025, by Richard L. Gelfond</w:t>
            </w:r>
          </w:p>
        </w:tc>
        <w:tc>
          <w:tcPr>
            <w:tcW w:w="0" w:type="dxa"/>
            <w:vAlign w:val="bottom"/>
          </w:tcPr>
          <w:p>
            <w:pPr>
              <w:spacing w:after="0"/>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July 24, 2025, by Natasha Fernandes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40" w:type="dxa"/>
            <w:vAlign w:val="bottom"/>
            <w:gridSpan w:val="7"/>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July 24, 2025, by Richard L. Gelfond</w:t>
            </w:r>
          </w:p>
        </w:tc>
        <w:tc>
          <w:tcPr>
            <w:tcW w:w="0" w:type="dxa"/>
            <w:vAlign w:val="bottom"/>
          </w:tcPr>
          <w:p>
            <w:pPr>
              <w:spacing w:after="0"/>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July 24, 2025, by Natasha Fernandes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40" w:type="dxa"/>
            <w:vAlign w:val="bottom"/>
            <w:gridSpan w:val="7"/>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 PRE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362"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0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5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25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6"/>
        </w:trPr>
        <w:tc>
          <w:tcPr>
            <w:tcW w:w="3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68"/>
        </w:trPr>
        <w:tc>
          <w:tcPr>
            <w:tcW w:w="3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Executive Vice President</w:t>
            </w:r>
          </w:p>
        </w:tc>
      </w:tr>
      <w:tr>
        <w:trPr>
          <w:trHeight w:val="268"/>
        </w:trPr>
        <w:tc>
          <w:tcPr>
            <w:tcW w:w="3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25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 ZLATAR</w:t>
            </w:r>
          </w:p>
        </w:tc>
      </w:tr>
      <w:tr>
        <w:trPr>
          <w:trHeight w:val="26"/>
        </w:trPr>
        <w:tc>
          <w:tcPr>
            <w:tcW w:w="3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Zlatar</w:t>
            </w:r>
          </w:p>
        </w:tc>
      </w:tr>
      <w:tr>
        <w:trPr>
          <w:trHeight w:val="268"/>
        </w:trPr>
        <w:tc>
          <w:tcPr>
            <w:tcW w:w="3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Finance &amp; Controller</w:t>
            </w:r>
          </w:p>
        </w:tc>
      </w:tr>
      <w:tr>
        <w:trPr>
          <w:trHeight w:val="268"/>
        </w:trPr>
        <w:tc>
          <w:tcPr>
            <w:tcW w:w="3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36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THE EXHIBIT BECAUSE IT IS BOTH NOT MATERIAL AND IS THE TYPE THAT THE REGISTRANT TREATS AS PRIVATE OR CONFIDENTIAL. [***] INDICATES THAT INFORMATION HAS BEEN REDACTED.</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March 13, 2025</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Revised, Strictly Private &amp; Confidential</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Jose Zlatar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Dear Jose,</w:t>
      </w:r>
    </w:p>
    <w:p>
      <w:pPr>
        <w:spacing w:after="0" w:line="222" w:lineRule="exact"/>
        <w:rPr>
          <w:sz w:val="20"/>
          <w:szCs w:val="20"/>
          <w:color w:val="auto"/>
        </w:rPr>
      </w:pPr>
    </w:p>
    <w:p>
      <w:pPr>
        <w:jc w:val="both"/>
        <w:ind w:left="320" w:right="320"/>
        <w:spacing w:after="0" w:line="257" w:lineRule="auto"/>
        <w:rPr>
          <w:sz w:val="20"/>
          <w:szCs w:val="20"/>
          <w:color w:val="auto"/>
        </w:rPr>
      </w:pPr>
      <w:r>
        <w:rPr>
          <w:rFonts w:ascii="Times New Roman" w:cs="Times New Roman" w:eastAsia="Times New Roman" w:hAnsi="Times New Roman"/>
          <w:sz w:val="20"/>
          <w:szCs w:val="20"/>
          <w:color w:val="auto"/>
        </w:rPr>
        <w:t>This employment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will confirm our offer to you to join IMAX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IMAX</w:t>
      </w:r>
      <w:r>
        <w:rPr>
          <w:rFonts w:ascii="Times New Roman" w:cs="Times New Roman" w:eastAsia="Times New Roman" w:hAnsi="Times New Roman"/>
          <w:sz w:val="20"/>
          <w:szCs w:val="20"/>
          <w:color w:val="auto"/>
        </w:rPr>
        <w:t>”) in the position of SVP, Finance starting on February 27, 2025 (such date, or the date that you actually commence employment at the Company,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and continuing indefinitely until your employment is terminated in accordance with the “Termination” section below. The terms and conditions of your employment will be as follows:</w:t>
      </w:r>
    </w:p>
    <w:p>
      <w:pPr>
        <w:spacing w:after="0" w:line="279" w:lineRule="exact"/>
        <w:rPr>
          <w:sz w:val="20"/>
          <w:szCs w:val="20"/>
          <w:color w:val="auto"/>
        </w:rPr>
      </w:pPr>
    </w:p>
    <w:p>
      <w:pPr>
        <w:ind w:left="320"/>
        <w:spacing w:after="0"/>
        <w:tabs>
          <w:tab w:leader="none" w:pos="1200" w:val="left"/>
        </w:tabs>
        <w:rPr>
          <w:sz w:val="20"/>
          <w:szCs w:val="20"/>
          <w:color w:val="auto"/>
        </w:rPr>
      </w:pPr>
      <w:r>
        <w:rPr>
          <w:rFonts w:ascii="Times New Roman" w:cs="Times New Roman" w:eastAsia="Times New Roman" w:hAnsi="Times New Roman"/>
          <w:sz w:val="20"/>
          <w:szCs w:val="20"/>
          <w:color w:val="auto"/>
        </w:rPr>
        <w:t>Position:</w:t>
      </w:r>
      <w:r>
        <w:rPr>
          <w:sz w:val="20"/>
          <w:szCs w:val="20"/>
          <w:color w:val="auto"/>
        </w:rPr>
        <w:tab/>
      </w:r>
      <w:r>
        <w:rPr>
          <w:rFonts w:ascii="Times New Roman" w:cs="Times New Roman" w:eastAsia="Times New Roman" w:hAnsi="Times New Roman"/>
          <w:sz w:val="19"/>
          <w:szCs w:val="19"/>
          <w:color w:val="auto"/>
        </w:rPr>
        <w:t>SVP, Finance Employment Type: Regular, Full-Time</w:t>
      </w:r>
    </w:p>
    <w:p>
      <w:pPr>
        <w:spacing w:after="0" w:line="105"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20"/>
          <w:szCs w:val="20"/>
          <w:color w:val="auto"/>
        </w:rPr>
        <w:t>Reporting to:</w:t>
      </w:r>
      <w:r>
        <w:rPr>
          <w:sz w:val="20"/>
          <w:szCs w:val="20"/>
          <w:color w:val="auto"/>
        </w:rPr>
        <w:tab/>
      </w:r>
      <w:r>
        <w:rPr>
          <w:rFonts w:ascii="Times New Roman" w:cs="Times New Roman" w:eastAsia="Times New Roman" w:hAnsi="Times New Roman"/>
          <w:sz w:val="19"/>
          <w:szCs w:val="19"/>
          <w:color w:val="auto"/>
        </w:rPr>
        <w:t>Natasha Fernandes – Chief Financial Officer</w:t>
      </w:r>
    </w:p>
    <w:p>
      <w:pPr>
        <w:spacing w:after="0" w:line="226" w:lineRule="exact"/>
        <w:rPr>
          <w:sz w:val="20"/>
          <w:szCs w:val="20"/>
          <w:color w:val="auto"/>
        </w:rPr>
      </w:pPr>
    </w:p>
    <w:p>
      <w:pPr>
        <w:ind w:left="320"/>
        <w:spacing w:after="0"/>
        <w:tabs>
          <w:tab w:leader="none" w:pos="1260" w:val="left"/>
        </w:tabs>
        <w:rPr>
          <w:sz w:val="20"/>
          <w:szCs w:val="20"/>
          <w:color w:val="auto"/>
        </w:rPr>
      </w:pPr>
      <w:r>
        <w:rPr>
          <w:rFonts w:ascii="Times New Roman" w:cs="Times New Roman" w:eastAsia="Times New Roman" w:hAnsi="Times New Roman"/>
          <w:sz w:val="20"/>
          <w:szCs w:val="20"/>
          <w:color w:val="auto"/>
        </w:rPr>
        <w:t>Location:</w:t>
      </w:r>
      <w:r>
        <w:rPr>
          <w:sz w:val="20"/>
          <w:szCs w:val="20"/>
          <w:color w:val="auto"/>
        </w:rPr>
        <w:tab/>
      </w:r>
      <w:r>
        <w:rPr>
          <w:rFonts w:ascii="Times New Roman" w:cs="Times New Roman" w:eastAsia="Times New Roman" w:hAnsi="Times New Roman"/>
          <w:sz w:val="19"/>
          <w:szCs w:val="19"/>
          <w:color w:val="auto"/>
        </w:rPr>
        <w:t>Sheridan Park</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2525 Speakman Dr. Mississauga, ON L5K 1B1 Canada</w:t>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i w:val="1"/>
          <w:iCs w:val="1"/>
          <w:color w:val="auto"/>
        </w:rPr>
        <w:t>Domestic and international travel may be required.</w:t>
      </w:r>
    </w:p>
    <w:p>
      <w:pPr>
        <w:spacing w:after="0" w:line="210" w:lineRule="exact"/>
        <w:rPr>
          <w:sz w:val="20"/>
          <w:szCs w:val="20"/>
          <w:color w:val="auto"/>
        </w:rPr>
      </w:pPr>
    </w:p>
    <w:p>
      <w:pPr>
        <w:ind w:left="320"/>
        <w:spacing w:after="0"/>
        <w:tabs>
          <w:tab w:leader="none" w:pos="1700" w:val="left"/>
        </w:tabs>
        <w:rPr>
          <w:sz w:val="20"/>
          <w:szCs w:val="20"/>
          <w:color w:val="auto"/>
        </w:rPr>
      </w:pPr>
      <w:r>
        <w:rPr>
          <w:rFonts w:ascii="Times New Roman" w:cs="Times New Roman" w:eastAsia="Times New Roman" w:hAnsi="Times New Roman"/>
          <w:sz w:val="20"/>
          <w:szCs w:val="20"/>
          <w:color w:val="auto"/>
        </w:rPr>
        <w:t>Effective Date:</w:t>
      </w:r>
      <w:r>
        <w:rPr>
          <w:sz w:val="20"/>
          <w:szCs w:val="20"/>
          <w:color w:val="auto"/>
        </w:rPr>
        <w:tab/>
      </w:r>
      <w:r>
        <w:rPr>
          <w:rFonts w:ascii="Times New Roman" w:cs="Times New Roman" w:eastAsia="Times New Roman" w:hAnsi="Times New Roman"/>
          <w:sz w:val="19"/>
          <w:szCs w:val="19"/>
          <w:color w:val="auto"/>
        </w:rPr>
        <w:t>02/27/2025</w:t>
      </w:r>
    </w:p>
    <w:p>
      <w:pPr>
        <w:spacing w:after="0" w:line="235" w:lineRule="exact"/>
        <w:rPr>
          <w:sz w:val="20"/>
          <w:szCs w:val="20"/>
          <w:color w:val="auto"/>
        </w:rPr>
      </w:pPr>
    </w:p>
    <w:p>
      <w:pPr>
        <w:ind w:left="1120" w:right="400" w:hanging="1930"/>
        <w:spacing w:after="0" w:line="270" w:lineRule="auto"/>
        <w:tabs>
          <w:tab w:leader="none" w:pos="1100" w:val="left"/>
        </w:tabs>
        <w:rPr>
          <w:sz w:val="20"/>
          <w:szCs w:val="20"/>
          <w:color w:val="auto"/>
        </w:rPr>
      </w:pPr>
      <w:r>
        <w:rPr>
          <w:rFonts w:ascii="Times New Roman" w:cs="Times New Roman" w:eastAsia="Times New Roman" w:hAnsi="Times New Roman"/>
          <w:sz w:val="20"/>
          <w:szCs w:val="20"/>
          <w:color w:val="auto"/>
        </w:rPr>
        <w:t>Salary:</w:t>
        <w:tab/>
        <w:t>$275,000.00 CAD per annum, less applicable deductions and withholdings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You will be paid pursuant to IMAX’s normal payroll practices.</w:t>
      </w:r>
    </w:p>
    <w:p>
      <w:pPr>
        <w:spacing w:after="0" w:line="193" w:lineRule="exact"/>
        <w:rPr>
          <w:sz w:val="20"/>
          <w:szCs w:val="20"/>
          <w:color w:val="auto"/>
        </w:rPr>
      </w:pPr>
    </w:p>
    <w:p>
      <w:pPr>
        <w:ind w:left="2260" w:right="380"/>
        <w:spacing w:after="0" w:line="249" w:lineRule="auto"/>
        <w:rPr>
          <w:sz w:val="20"/>
          <w:szCs w:val="20"/>
          <w:color w:val="auto"/>
        </w:rPr>
      </w:pPr>
      <w:r>
        <w:rPr>
          <w:rFonts w:ascii="Times New Roman" w:cs="Times New Roman" w:eastAsia="Times New Roman" w:hAnsi="Times New Roman"/>
          <w:sz w:val="20"/>
          <w:szCs w:val="20"/>
          <w:color w:val="auto"/>
        </w:rPr>
        <w:t>In this Agreement, “</w:t>
      </w:r>
      <w:r>
        <w:rPr>
          <w:rFonts w:ascii="Times New Roman" w:cs="Times New Roman" w:eastAsia="Times New Roman" w:hAnsi="Times New Roman"/>
          <w:sz w:val="20"/>
          <w:szCs w:val="20"/>
          <w:b w:val="1"/>
          <w:bCs w:val="1"/>
          <w:color w:val="auto"/>
        </w:rPr>
        <w:t>Actively Employed</w:t>
      </w:r>
      <w:r>
        <w:rPr>
          <w:rFonts w:ascii="Times New Roman" w:cs="Times New Roman" w:eastAsia="Times New Roman" w:hAnsi="Times New Roman"/>
          <w:sz w:val="20"/>
          <w:szCs w:val="20"/>
          <w:color w:val="auto"/>
        </w:rPr>
        <w:t>” means the period following the Effective Date during which you perform work for the Company, until your employment is terminated for any reason or you resign. “</w:t>
      </w:r>
      <w:r>
        <w:rPr>
          <w:rFonts w:ascii="Times New Roman" w:cs="Times New Roman" w:eastAsia="Times New Roman" w:hAnsi="Times New Roman"/>
          <w:sz w:val="20"/>
          <w:szCs w:val="20"/>
          <w:b w:val="1"/>
          <w:bCs w:val="1"/>
          <w:color w:val="auto"/>
        </w:rPr>
        <w:t>Actively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Employed</w:t>
      </w:r>
      <w:r>
        <w:rPr>
          <w:rFonts w:ascii="Times New Roman" w:cs="Times New Roman" w:eastAsia="Times New Roman" w:hAnsi="Times New Roman"/>
          <w:sz w:val="20"/>
          <w:szCs w:val="20"/>
          <w:color w:val="auto"/>
        </w:rPr>
        <w:t>” shall be deemed to include (i) any period of vacation, disability, or other leave permitted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legislation, and (ii) the minimum termination notice period required to be provided to you in accordance with the </w:t>
      </w:r>
      <w:r>
        <w:rPr>
          <w:rFonts w:ascii="Times New Roman" w:cs="Times New Roman" w:eastAsia="Times New Roman" w:hAnsi="Times New Roman"/>
          <w:sz w:val="20"/>
          <w:szCs w:val="20"/>
          <w:i w:val="1"/>
          <w:iCs w:val="1"/>
          <w:color w:val="auto"/>
        </w:rPr>
        <w:t>Employment Standards Act, 2000</w:t>
      </w:r>
      <w:r>
        <w:rPr>
          <w:rFonts w:ascii="Times New Roman" w:cs="Times New Roman" w:eastAsia="Times New Roman" w:hAnsi="Times New Roman"/>
          <w:sz w:val="20"/>
          <w:szCs w:val="20"/>
          <w:color w:val="auto"/>
        </w:rPr>
        <w:t xml:space="preserve"> (as may be amended from time to time) (the “</w:t>
      </w:r>
      <w:r>
        <w:rPr>
          <w:rFonts w:ascii="Times New Roman" w:cs="Times New Roman" w:eastAsia="Times New Roman" w:hAnsi="Times New Roman"/>
          <w:sz w:val="20"/>
          <w:szCs w:val="20"/>
          <w:b w:val="1"/>
          <w:bCs w:val="1"/>
          <w:color w:val="auto"/>
        </w:rPr>
        <w:t>ESA</w:t>
      </w:r>
      <w:r>
        <w:rPr>
          <w:rFonts w:ascii="Times New Roman" w:cs="Times New Roman" w:eastAsia="Times New Roman" w:hAnsi="Times New Roman"/>
          <w:sz w:val="20"/>
          <w:szCs w:val="20"/>
          <w:color w:val="auto"/>
        </w:rPr>
        <w:t>”), if any. For certainty, “</w:t>
      </w:r>
      <w:r>
        <w:rPr>
          <w:rFonts w:ascii="Times New Roman" w:cs="Times New Roman" w:eastAsia="Times New Roman" w:hAnsi="Times New Roman"/>
          <w:sz w:val="20"/>
          <w:szCs w:val="20"/>
          <w:b w:val="1"/>
          <w:bCs w:val="1"/>
          <w:color w:val="auto"/>
        </w:rPr>
        <w:t>Actively Employed</w:t>
      </w:r>
      <w:r>
        <w:rPr>
          <w:rFonts w:ascii="Times New Roman" w:cs="Times New Roman" w:eastAsia="Times New Roman" w:hAnsi="Times New Roman"/>
          <w:sz w:val="20"/>
          <w:szCs w:val="20"/>
          <w:color w:val="auto"/>
        </w:rPr>
        <w:t>” shall be deemed to exclude any other period that follows or ought to have followed the later of (i) the end of the minimum termination notice period as is required to by provided to you in accordance with the ESA (if any), or (ii) your last day of performing work for the Company (including any period of vacation, disability, or other leave permitted by legislation) whether that period arises from a contractual or common law right.</w:t>
      </w:r>
    </w:p>
    <w:p>
      <w:pPr>
        <w:spacing w:after="0" w:line="201" w:lineRule="exact"/>
        <w:rPr>
          <w:sz w:val="20"/>
          <w:szCs w:val="20"/>
          <w:color w:val="auto"/>
        </w:rPr>
      </w:pPr>
    </w:p>
    <w:p>
      <w:pPr>
        <w:jc w:val="both"/>
        <w:ind w:left="2260" w:right="320" w:hanging="1930"/>
        <w:spacing w:after="0" w:line="261" w:lineRule="auto"/>
        <w:rPr>
          <w:sz w:val="20"/>
          <w:szCs w:val="20"/>
          <w:color w:val="auto"/>
        </w:rPr>
      </w:pPr>
      <w:r>
        <w:rPr>
          <w:rFonts w:ascii="Times New Roman" w:cs="Times New Roman" w:eastAsia="Times New Roman" w:hAnsi="Times New Roman"/>
          <w:sz w:val="20"/>
          <w:szCs w:val="20"/>
          <w:color w:val="auto"/>
        </w:rPr>
        <w:t>One-Time Equity Grant: Subject to the approval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you will be eligible to receive a one-time equity award in the form of restricted share units of IMAX common shares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pursuant to the IMAX Corporation Second</w:t>
      </w:r>
    </w:p>
    <w:p>
      <w:pPr>
        <w:sectPr>
          <w:pgSz w:w="11900" w:h="16838" w:orient="portrait"/>
          <w:cols w:equalWidth="0" w:num="1">
            <w:col w:w="11240"/>
          </w:cols>
          <w:pgMar w:left="320" w:top="10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940" w:right="320"/>
        <w:spacing w:after="0" w:line="256" w:lineRule="auto"/>
        <w:rPr>
          <w:sz w:val="20"/>
          <w:szCs w:val="20"/>
          <w:color w:val="auto"/>
        </w:rPr>
      </w:pPr>
      <w:r>
        <w:rPr>
          <w:rFonts w:ascii="Times New Roman" w:cs="Times New Roman" w:eastAsia="Times New Roman" w:hAnsi="Times New Roman"/>
          <w:sz w:val="20"/>
          <w:szCs w:val="20"/>
          <w:color w:val="auto"/>
        </w:rPr>
        <w:t>Amended and Restated Long-Term Incentive Plan, as may be amended by the Company in its sole discretion from time to time (the “</w:t>
      </w:r>
      <w:r>
        <w:rPr>
          <w:rFonts w:ascii="Times New Roman" w:cs="Times New Roman" w:eastAsia="Times New Roman" w:hAnsi="Times New Roman"/>
          <w:sz w:val="20"/>
          <w:szCs w:val="20"/>
          <w:b w:val="1"/>
          <w:bCs w:val="1"/>
          <w:color w:val="auto"/>
        </w:rPr>
        <w:t>LTIP</w:t>
      </w:r>
      <w:r>
        <w:rPr>
          <w:rFonts w:ascii="Times New Roman" w:cs="Times New Roman" w:eastAsia="Times New Roman" w:hAnsi="Times New Roman"/>
          <w:sz w:val="20"/>
          <w:szCs w:val="20"/>
          <w:color w:val="auto"/>
        </w:rPr>
        <w:t>”), with a grant date fair market value of $100,000.00 USD (the “</w:t>
      </w:r>
      <w:r>
        <w:rPr>
          <w:rFonts w:ascii="Times New Roman" w:cs="Times New Roman" w:eastAsia="Times New Roman" w:hAnsi="Times New Roman"/>
          <w:sz w:val="20"/>
          <w:szCs w:val="20"/>
          <w:b w:val="1"/>
          <w:bCs w:val="1"/>
          <w:color w:val="auto"/>
        </w:rPr>
        <w:t>Signing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Grant</w:t>
      </w:r>
      <w:r>
        <w:rPr>
          <w:rFonts w:ascii="Times New Roman" w:cs="Times New Roman" w:eastAsia="Times New Roman" w:hAnsi="Times New Roman"/>
          <w:sz w:val="20"/>
          <w:szCs w:val="20"/>
          <w:color w:val="auto"/>
        </w:rPr>
        <w:t>”). The Signing Grant will be granted on a date designated by the Company following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w:t>
      </w:r>
    </w:p>
    <w:p>
      <w:pPr>
        <w:spacing w:after="0" w:line="212" w:lineRule="exact"/>
        <w:rPr>
          <w:sz w:val="20"/>
          <w:szCs w:val="20"/>
          <w:color w:val="auto"/>
        </w:rPr>
      </w:pPr>
    </w:p>
    <w:p>
      <w:pPr>
        <w:jc w:val="both"/>
        <w:ind w:left="1940" w:right="320"/>
        <w:spacing w:after="0" w:line="252" w:lineRule="auto"/>
        <w:rPr>
          <w:sz w:val="20"/>
          <w:szCs w:val="20"/>
          <w:color w:val="auto"/>
        </w:rPr>
      </w:pPr>
      <w:r>
        <w:rPr>
          <w:rFonts w:ascii="Times New Roman" w:cs="Times New Roman" w:eastAsia="Times New Roman" w:hAnsi="Times New Roman"/>
          <w:sz w:val="20"/>
          <w:szCs w:val="20"/>
          <w:color w:val="auto"/>
        </w:rPr>
        <w:t>The Signing Grant, if approved, will be calculated in accordance with and will be governed by the terms and conditions contained in the LTIP and the applicable grant agreement(s), and will vest according to the following schedule:</w:t>
      </w:r>
    </w:p>
    <w:p>
      <w:pPr>
        <w:ind w:left="2580"/>
        <w:spacing w:after="0" w:line="232" w:lineRule="auto"/>
        <w:rPr>
          <w:sz w:val="20"/>
          <w:szCs w:val="20"/>
          <w:color w:val="auto"/>
        </w:rPr>
      </w:pPr>
      <w:r>
        <w:rPr>
          <w:rFonts w:ascii="Times New Roman" w:cs="Times New Roman" w:eastAsia="Times New Roman" w:hAnsi="Times New Roman"/>
          <w:sz w:val="20"/>
          <w:szCs w:val="20"/>
          <w:color w:val="auto"/>
        </w:rPr>
        <w:t>On the first anniversary of the grant date: 33.33%;</w:t>
      </w:r>
    </w:p>
    <w:p>
      <w:pPr>
        <w:ind w:left="2580"/>
        <w:spacing w:after="0"/>
        <w:rPr>
          <w:sz w:val="20"/>
          <w:szCs w:val="20"/>
          <w:color w:val="auto"/>
        </w:rPr>
      </w:pPr>
      <w:r>
        <w:rPr>
          <w:rFonts w:ascii="Times New Roman" w:cs="Times New Roman" w:eastAsia="Times New Roman" w:hAnsi="Times New Roman"/>
          <w:sz w:val="20"/>
          <w:szCs w:val="20"/>
          <w:color w:val="auto"/>
        </w:rPr>
        <w:t>On the second anniversary of the grant date: 33.33%; and On the third anniversary of</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the grant date: 33.34%.</w:t>
      </w:r>
    </w:p>
    <w:p>
      <w:pPr>
        <w:spacing w:after="0" w:line="210" w:lineRule="exact"/>
        <w:rPr>
          <w:sz w:val="20"/>
          <w:szCs w:val="20"/>
          <w:color w:val="auto"/>
        </w:rPr>
      </w:pPr>
    </w:p>
    <w:p>
      <w:pPr>
        <w:ind w:left="1940" w:right="820"/>
        <w:spacing w:after="0" w:line="280" w:lineRule="auto"/>
        <w:rPr>
          <w:sz w:val="20"/>
          <w:szCs w:val="20"/>
          <w:color w:val="auto"/>
        </w:rPr>
      </w:pPr>
      <w:r>
        <w:rPr>
          <w:rFonts w:ascii="Times New Roman" w:cs="Times New Roman" w:eastAsia="Times New Roman" w:hAnsi="Times New Roman"/>
          <w:sz w:val="20"/>
          <w:szCs w:val="20"/>
          <w:color w:val="auto"/>
        </w:rPr>
        <w:t>The Signing Grant is subject to the same terms and conditions as those included in the “Equity” Section below.</w:t>
      </w:r>
    </w:p>
    <w:p>
      <w:pPr>
        <w:spacing w:after="0" w:line="143" w:lineRule="exact"/>
        <w:rPr>
          <w:sz w:val="20"/>
          <w:szCs w:val="20"/>
          <w:color w:val="auto"/>
        </w:rPr>
      </w:pPr>
    </w:p>
    <w:p>
      <w:pPr>
        <w:ind w:left="880" w:right="320" w:hanging="1930"/>
        <w:spacing w:after="0" w:line="284" w:lineRule="auto"/>
        <w:tabs>
          <w:tab w:leader="none" w:pos="860" w:val="left"/>
        </w:tabs>
        <w:rPr>
          <w:sz w:val="20"/>
          <w:szCs w:val="20"/>
          <w:color w:val="auto"/>
        </w:rPr>
      </w:pPr>
      <w:r>
        <w:rPr>
          <w:rFonts w:ascii="Times New Roman" w:cs="Times New Roman" w:eastAsia="Times New Roman" w:hAnsi="Times New Roman"/>
          <w:sz w:val="20"/>
          <w:szCs w:val="20"/>
          <w:color w:val="auto"/>
        </w:rPr>
        <w:t>Bonus:</w:t>
      </w:r>
      <w:r>
        <w:rPr>
          <w:sz w:val="20"/>
          <w:szCs w:val="20"/>
          <w:color w:val="auto"/>
        </w:rPr>
        <w:tab/>
      </w:r>
      <w:r>
        <w:rPr>
          <w:rFonts w:ascii="Times New Roman" w:cs="Times New Roman" w:eastAsia="Times New Roman" w:hAnsi="Times New Roman"/>
          <w:sz w:val="20"/>
          <w:szCs w:val="20"/>
          <w:color w:val="auto"/>
        </w:rPr>
        <w:t>You will be eligible to receive an annual bonus with a target of 30% of your eligible earnings (the “</w:t>
      </w:r>
      <w:r>
        <w:rPr>
          <w:rFonts w:ascii="Times New Roman" w:cs="Times New Roman" w:eastAsia="Times New Roman" w:hAnsi="Times New Roman"/>
          <w:sz w:val="20"/>
          <w:szCs w:val="20"/>
          <w:b w:val="1"/>
          <w:bCs w:val="1"/>
          <w:color w:val="auto"/>
        </w:rPr>
        <w:t>STI Bonus</w:t>
      </w:r>
      <w:r>
        <w:rPr>
          <w:rFonts w:ascii="Times New Roman" w:cs="Times New Roman" w:eastAsia="Times New Roman" w:hAnsi="Times New Roman"/>
          <w:sz w:val="20"/>
          <w:szCs w:val="20"/>
          <w:color w:val="auto"/>
        </w:rPr>
        <w:t>”), in accordance with the IMAX Short-Term Incentive Plan (bonus).</w:t>
      </w:r>
    </w:p>
    <w:p>
      <w:pPr>
        <w:spacing w:after="0" w:line="157" w:lineRule="exact"/>
        <w:rPr>
          <w:sz w:val="20"/>
          <w:szCs w:val="20"/>
          <w:color w:val="auto"/>
        </w:rPr>
      </w:pPr>
    </w:p>
    <w:p>
      <w:pPr>
        <w:jc w:val="both"/>
        <w:ind w:left="1940" w:right="320"/>
        <w:spacing w:after="0" w:line="233" w:lineRule="auto"/>
        <w:rPr>
          <w:sz w:val="20"/>
          <w:szCs w:val="20"/>
          <w:color w:val="auto"/>
        </w:rPr>
      </w:pPr>
      <w:r>
        <w:rPr>
          <w:rFonts w:ascii="Times New Roman" w:cs="Times New Roman" w:eastAsia="Times New Roman" w:hAnsi="Times New Roman"/>
          <w:sz w:val="20"/>
          <w:szCs w:val="20"/>
          <w:color w:val="auto"/>
        </w:rPr>
        <w:t>Calculation of the STI Bonus is based on Company performance and individual performance. Current year eligibility requires that you start employment prior to October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and any STI Bonus for the current year will be prorated based on the Effective Date.</w:t>
      </w:r>
    </w:p>
    <w:p>
      <w:pPr>
        <w:spacing w:after="0" w:line="226" w:lineRule="exact"/>
        <w:rPr>
          <w:sz w:val="20"/>
          <w:szCs w:val="20"/>
          <w:color w:val="auto"/>
        </w:rPr>
      </w:pPr>
    </w:p>
    <w:p>
      <w:pPr>
        <w:jc w:val="both"/>
        <w:ind w:left="1940" w:right="320"/>
        <w:spacing w:after="0" w:line="250" w:lineRule="auto"/>
        <w:rPr>
          <w:sz w:val="20"/>
          <w:szCs w:val="20"/>
          <w:color w:val="auto"/>
        </w:rPr>
      </w:pPr>
      <w:r>
        <w:rPr>
          <w:rFonts w:ascii="Times New Roman" w:cs="Times New Roman" w:eastAsia="Times New Roman" w:hAnsi="Times New Roman"/>
          <w:sz w:val="20"/>
          <w:szCs w:val="20"/>
          <w:color w:val="auto"/>
        </w:rPr>
        <w:t>The STI Bonus, if any, will be payable following the completion of the year to which it relates. You acknowledge and agree that: (i) terms of the STI Bonus may change each year at the discretion of the Company; (ii) you have no expectation that in any particular year there will be an STI Bonus; (iii) the amount of the STI Bonus, if any, that you may be awarded may change from year to year; (iv) the STI Bonus, if any, will be calculated on a pro-rata basis for any period of the fiscal year in which you are on a leave of absence (excluding any period of vacation taken in accordance with this Agreement); and (iv) subject to the requirements of the ESA, you must be Actively Employed on the date any STI Bonus is paid in order to be eligible to receive such bonus payment. Your entitlement to the STI Bonus on termination of employment is governed by the “Termination” section of this Agreement.</w:t>
      </w:r>
    </w:p>
    <w:p>
      <w:pPr>
        <w:spacing w:after="0" w:line="203" w:lineRule="exact"/>
        <w:rPr>
          <w:sz w:val="20"/>
          <w:szCs w:val="20"/>
          <w:color w:val="auto"/>
        </w:rPr>
      </w:pPr>
    </w:p>
    <w:p>
      <w:pPr>
        <w:jc w:val="both"/>
        <w:ind w:left="820" w:right="320" w:hanging="1930"/>
        <w:spacing w:after="0" w:line="255" w:lineRule="auto"/>
        <w:tabs>
          <w:tab w:leader="none" w:pos="800" w:val="left"/>
        </w:tabs>
        <w:rPr>
          <w:sz w:val="20"/>
          <w:szCs w:val="20"/>
          <w:color w:val="auto"/>
        </w:rPr>
      </w:pPr>
      <w:r>
        <w:rPr>
          <w:rFonts w:ascii="Times New Roman" w:cs="Times New Roman" w:eastAsia="Times New Roman" w:hAnsi="Times New Roman"/>
          <w:sz w:val="20"/>
          <w:szCs w:val="20"/>
          <w:color w:val="auto"/>
        </w:rPr>
        <w:t>Equity:</w:t>
        <w:tab/>
        <w:t>Subject to the approval of the Board, you will be eligible to receive an award of RSUs and an award of performance stock units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under the LTIP, with a grant target of a grant date fair market value equal to $150,000.00 USD. Grants are made on a discretionary basis annually. The mix of equity vehicles, grant timing, and vesting schedules for any annual grant will be consistent with that provided to similarly-situated employees at the Company and in accordance with the Company’s standard processes at the time of the grant.</w:t>
      </w:r>
    </w:p>
    <w:p>
      <w:pPr>
        <w:spacing w:after="0" w:line="186" w:lineRule="exact"/>
        <w:rPr>
          <w:sz w:val="20"/>
          <w:szCs w:val="20"/>
          <w:color w:val="auto"/>
        </w:rPr>
      </w:pPr>
    </w:p>
    <w:p>
      <w:pPr>
        <w:jc w:val="both"/>
        <w:ind w:left="1940" w:right="320"/>
        <w:spacing w:after="0" w:line="256" w:lineRule="auto"/>
        <w:rPr>
          <w:sz w:val="20"/>
          <w:szCs w:val="20"/>
          <w:color w:val="auto"/>
        </w:rPr>
      </w:pPr>
      <w:r>
        <w:rPr>
          <w:rFonts w:ascii="Times New Roman" w:cs="Times New Roman" w:eastAsia="Times New Roman" w:hAnsi="Times New Roman"/>
          <w:sz w:val="20"/>
          <w:szCs w:val="20"/>
          <w:color w:val="auto"/>
        </w:rPr>
        <w:t>The award of any grant, if approved, will be governed by, and will vest in accordance with, the terms and conditions contained in the LTIP and the applicable grant agreement(s). A copy of the LTIP and the standard form of the grant agreement have been provided to you and you agree that the consequences of termination of employment on any equity awards you receive have been brought to your attention.</w:t>
      </w:r>
    </w:p>
    <w:p>
      <w:pPr>
        <w:sectPr>
          <w:pgSz w:w="11900" w:h="16838" w:orient="portrait"/>
          <w:cols w:equalWidth="0" w:num="1">
            <w:col w:w="10920"/>
          </w:cols>
          <w:pgMar w:left="640" w:top="10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940" w:right="320"/>
        <w:spacing w:after="0" w:line="252" w:lineRule="auto"/>
        <w:rPr>
          <w:sz w:val="20"/>
          <w:szCs w:val="20"/>
          <w:color w:val="auto"/>
        </w:rPr>
      </w:pPr>
      <w:r>
        <w:rPr>
          <w:rFonts w:ascii="Times New Roman" w:cs="Times New Roman" w:eastAsia="Times New Roman" w:hAnsi="Times New Roman"/>
          <w:sz w:val="20"/>
          <w:szCs w:val="20"/>
          <w:color w:val="auto"/>
        </w:rPr>
        <w:t>You understand and agree that (i) the terms of the LTIP and the applicable grant agreement(s) govern any and all rights and obligations that you may have as a result of receiving a grant of awards, (ii) your receipt of any grant shall not constitute a guarantee of continued employment for any particular period of time,</w:t>
      </w:r>
    </w:p>
    <w:p>
      <w:pPr>
        <w:spacing w:after="0" w:line="2" w:lineRule="exact"/>
        <w:rPr>
          <w:sz w:val="20"/>
          <w:szCs w:val="20"/>
          <w:color w:val="auto"/>
        </w:rPr>
      </w:pPr>
    </w:p>
    <w:p>
      <w:pPr>
        <w:jc w:val="both"/>
        <w:ind w:left="1940" w:right="320" w:hanging="2"/>
        <w:spacing w:after="0" w:line="290" w:lineRule="auto"/>
        <w:tabs>
          <w:tab w:leader="none" w:pos="2295"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have no expectation that a grant will occur at any particular time in a fiscal year, and (iv) you shall have no entitlement to any grant until the award is actually granted to you as evidenced by a grant agreement.</w:t>
      </w:r>
    </w:p>
    <w:p>
      <w:pPr>
        <w:spacing w:after="0" w:line="167" w:lineRule="exact"/>
        <w:rPr>
          <w:sz w:val="20"/>
          <w:szCs w:val="20"/>
          <w:color w:val="auto"/>
        </w:rPr>
      </w:pPr>
    </w:p>
    <w:p>
      <w:pPr>
        <w:jc w:val="both"/>
        <w:ind w:left="1620" w:right="320" w:hanging="1930"/>
        <w:spacing w:after="0" w:line="255" w:lineRule="auto"/>
        <w:tabs>
          <w:tab w:leader="none" w:pos="1600" w:val="left"/>
        </w:tabs>
        <w:rPr>
          <w:sz w:val="20"/>
          <w:szCs w:val="20"/>
          <w:color w:val="auto"/>
        </w:rPr>
      </w:pPr>
      <w:r>
        <w:rPr>
          <w:rFonts w:ascii="Times New Roman" w:cs="Times New Roman" w:eastAsia="Times New Roman" w:hAnsi="Times New Roman"/>
          <w:sz w:val="20"/>
          <w:szCs w:val="20"/>
          <w:color w:val="auto"/>
        </w:rPr>
        <w:t>Car Allowance:</w:t>
      </w:r>
      <w:r>
        <w:rPr>
          <w:sz w:val="20"/>
          <w:szCs w:val="20"/>
          <w:color w:val="auto"/>
        </w:rPr>
        <w:tab/>
      </w:r>
      <w:r>
        <w:rPr>
          <w:rFonts w:ascii="Times New Roman" w:cs="Times New Roman" w:eastAsia="Times New Roman" w:hAnsi="Times New Roman"/>
          <w:sz w:val="20"/>
          <w:szCs w:val="20"/>
          <w:color w:val="auto"/>
        </w:rPr>
        <w:t>The Company shall pay to you an automobile allowance of $10,200.00 CAD annually, subject to applicable deductions and withholdings. Additionally, you may expense and be reimbursed for vehicle gas, maintenance, and insurance costs up to an annual maximum of $4,800.00 CAD, subject to applicable deductions and withholdings (collectively, the “</w:t>
      </w:r>
      <w:r>
        <w:rPr>
          <w:rFonts w:ascii="Times New Roman" w:cs="Times New Roman" w:eastAsia="Times New Roman" w:hAnsi="Times New Roman"/>
          <w:sz w:val="20"/>
          <w:szCs w:val="20"/>
          <w:b w:val="1"/>
          <w:bCs w:val="1"/>
          <w:color w:val="auto"/>
        </w:rPr>
        <w:t>Vehicle Allowance</w:t>
      </w:r>
      <w:r>
        <w:rPr>
          <w:rFonts w:ascii="Times New Roman" w:cs="Times New Roman" w:eastAsia="Times New Roman" w:hAnsi="Times New Roman"/>
          <w:sz w:val="20"/>
          <w:szCs w:val="20"/>
          <w:color w:val="auto"/>
        </w:rPr>
        <w:t>”). You will be responsible for the taxes associated with the Vehicle Allowance, if any.</w:t>
      </w:r>
    </w:p>
    <w:p>
      <w:pPr>
        <w:spacing w:after="0" w:line="159" w:lineRule="exact"/>
        <w:rPr>
          <w:sz w:val="20"/>
          <w:szCs w:val="20"/>
          <w:color w:val="auto"/>
        </w:rPr>
      </w:pPr>
    </w:p>
    <w:p>
      <w:pPr>
        <w:jc w:val="both"/>
        <w:ind w:left="920" w:right="320" w:hanging="1930"/>
        <w:spacing w:after="0" w:line="258" w:lineRule="auto"/>
        <w:tabs>
          <w:tab w:leader="none" w:pos="900" w:val="left"/>
        </w:tabs>
        <w:rPr>
          <w:sz w:val="20"/>
          <w:szCs w:val="20"/>
          <w:color w:val="auto"/>
        </w:rPr>
      </w:pPr>
      <w:r>
        <w:rPr>
          <w:rFonts w:ascii="Times New Roman" w:cs="Times New Roman" w:eastAsia="Times New Roman" w:hAnsi="Times New Roman"/>
          <w:sz w:val="20"/>
          <w:szCs w:val="20"/>
          <w:color w:val="auto"/>
        </w:rPr>
        <w:t>Benefits:</w:t>
        <w:tab/>
        <w:t>You will be eligible to participate in the Company’s benefits plan, which may be subject to benefit premiums to be paid by you, as of the Effective Date, in accordance with the terms of the applicable program documents, as may be amended from time to time, and you shall have no independent right as against the Company in connection with said benefits.</w:t>
      </w:r>
    </w:p>
    <w:p>
      <w:pPr>
        <w:spacing w:after="0" w:line="200" w:lineRule="exact"/>
        <w:rPr>
          <w:sz w:val="20"/>
          <w:szCs w:val="20"/>
          <w:color w:val="auto"/>
        </w:rPr>
      </w:pPr>
    </w:p>
    <w:p>
      <w:pPr>
        <w:spacing w:after="0" w:line="238" w:lineRule="exact"/>
        <w:rPr>
          <w:sz w:val="20"/>
          <w:szCs w:val="20"/>
          <w:color w:val="auto"/>
        </w:rPr>
      </w:pPr>
    </w:p>
    <w:p>
      <w:pPr>
        <w:jc w:val="both"/>
        <w:ind w:left="1940" w:right="320"/>
        <w:spacing w:after="0" w:line="251" w:lineRule="auto"/>
        <w:rPr>
          <w:sz w:val="20"/>
          <w:szCs w:val="20"/>
          <w:color w:val="auto"/>
        </w:rPr>
      </w:pPr>
      <w:r>
        <w:rPr>
          <w:rFonts w:ascii="Times New Roman" w:cs="Times New Roman" w:eastAsia="Times New Roman" w:hAnsi="Times New Roman"/>
          <w:sz w:val="20"/>
          <w:szCs w:val="20"/>
          <w:color w:val="auto"/>
        </w:rPr>
        <w:t>The benefit program includes a contribution to the Canadian Defined Contribution Registered Pension (“</w:t>
      </w:r>
      <w:r>
        <w:rPr>
          <w:rFonts w:ascii="Times New Roman" w:cs="Times New Roman" w:eastAsia="Times New Roman" w:hAnsi="Times New Roman"/>
          <w:sz w:val="20"/>
          <w:szCs w:val="20"/>
          <w:b w:val="1"/>
          <w:bCs w:val="1"/>
          <w:color w:val="auto"/>
        </w:rPr>
        <w:t>DCRPP</w:t>
      </w:r>
      <w:r>
        <w:rPr>
          <w:rFonts w:ascii="Times New Roman" w:cs="Times New Roman" w:eastAsia="Times New Roman" w:hAnsi="Times New Roman"/>
          <w:sz w:val="20"/>
          <w:szCs w:val="20"/>
          <w:color w:val="auto"/>
        </w:rPr>
        <w:t xml:space="preserve">”), which equals 5% of your Base Salary, up to the annual maximum contribution in compliance with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In addition, you are eligible to participate in the voluntary Registered Retirement Pension Plan (“</w:t>
      </w:r>
      <w:r>
        <w:rPr>
          <w:rFonts w:ascii="Times New Roman" w:cs="Times New Roman" w:eastAsia="Times New Roman" w:hAnsi="Times New Roman"/>
          <w:sz w:val="20"/>
          <w:szCs w:val="20"/>
          <w:b w:val="1"/>
          <w:bCs w:val="1"/>
          <w:color w:val="auto"/>
        </w:rPr>
        <w:t>RRSP</w:t>
      </w:r>
      <w:r>
        <w:rPr>
          <w:rFonts w:ascii="Times New Roman" w:cs="Times New Roman" w:eastAsia="Times New Roman" w:hAnsi="Times New Roman"/>
          <w:sz w:val="20"/>
          <w:szCs w:val="20"/>
          <w:color w:val="auto"/>
        </w:rPr>
        <w:t xml:space="preserve">”). You are responsible for ensuring that contributions to your RRSP do not exceed the RRSP contribution limits under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Subject to the ESA, you must be Actively Employed on the date a DCRPP contribution is made in order to receive the payment.</w:t>
      </w:r>
    </w:p>
    <w:p>
      <w:pPr>
        <w:spacing w:after="0" w:line="206" w:lineRule="exact"/>
        <w:rPr>
          <w:sz w:val="20"/>
          <w:szCs w:val="20"/>
          <w:color w:val="auto"/>
        </w:rPr>
      </w:pPr>
    </w:p>
    <w:p>
      <w:pPr>
        <w:jc w:val="both"/>
        <w:ind w:left="1940" w:right="320"/>
        <w:spacing w:after="0" w:line="258" w:lineRule="auto"/>
        <w:rPr>
          <w:sz w:val="20"/>
          <w:szCs w:val="20"/>
          <w:color w:val="auto"/>
        </w:rPr>
      </w:pPr>
      <w:r>
        <w:rPr>
          <w:rFonts w:ascii="Times New Roman" w:cs="Times New Roman" w:eastAsia="Times New Roman" w:hAnsi="Times New Roman"/>
          <w:sz w:val="20"/>
          <w:szCs w:val="20"/>
          <w:color w:val="auto"/>
        </w:rPr>
        <w:t>To the fullest extent permitted by law, the Company reserves the right to change, amend, delete, or alter the DCRPP, the RRSP and/or Group Flexible Plan plans or programs from time to time at its sole discretion, without notice or compensation to you in lieu of notice.</w:t>
      </w:r>
    </w:p>
    <w:p>
      <w:pPr>
        <w:spacing w:after="0" w:line="210" w:lineRule="exact"/>
        <w:rPr>
          <w:sz w:val="20"/>
          <w:szCs w:val="20"/>
          <w:color w:val="auto"/>
        </w:rPr>
      </w:pPr>
    </w:p>
    <w:p>
      <w:pPr>
        <w:jc w:val="both"/>
        <w:ind w:left="1940" w:right="320"/>
        <w:spacing w:after="0" w:line="280" w:lineRule="auto"/>
        <w:rPr>
          <w:sz w:val="20"/>
          <w:szCs w:val="20"/>
          <w:color w:val="auto"/>
        </w:rPr>
      </w:pPr>
      <w:r>
        <w:rPr>
          <w:rFonts w:ascii="Times New Roman" w:cs="Times New Roman" w:eastAsia="Times New Roman" w:hAnsi="Times New Roman"/>
          <w:sz w:val="20"/>
          <w:szCs w:val="20"/>
          <w:color w:val="auto"/>
        </w:rPr>
        <w:t>You are not entitled to any payment, benefit, perquisite, allowance or entitlement other than as specifically set out in this Agreement or as otherwise agreed to in writing by the Company and you.</w:t>
      </w:r>
    </w:p>
    <w:p>
      <w:pPr>
        <w:spacing w:after="0" w:line="147" w:lineRule="exact"/>
        <w:rPr>
          <w:sz w:val="20"/>
          <w:szCs w:val="20"/>
          <w:color w:val="auto"/>
        </w:rPr>
      </w:pPr>
    </w:p>
    <w:p>
      <w:pPr>
        <w:ind w:left="1000" w:right="320" w:hanging="1930"/>
        <w:spacing w:after="0" w:line="266" w:lineRule="auto"/>
        <w:tabs>
          <w:tab w:leader="none" w:pos="980" w:val="left"/>
        </w:tabs>
        <w:rPr>
          <w:sz w:val="20"/>
          <w:szCs w:val="20"/>
          <w:color w:val="auto"/>
        </w:rPr>
      </w:pPr>
      <w:r>
        <w:rPr>
          <w:rFonts w:ascii="Times New Roman" w:cs="Times New Roman" w:eastAsia="Times New Roman" w:hAnsi="Times New Roman"/>
          <w:sz w:val="20"/>
          <w:szCs w:val="20"/>
          <w:color w:val="auto"/>
        </w:rPr>
        <w:t>Vacation:</w:t>
        <w:tab/>
        <w:t>You will be entitled to accrue vacation with pay in each calendar year of 20 days. Your vacation days will accrue on a weekly basis in accordance with the IMAX Vacation Policy.</w:t>
      </w:r>
    </w:p>
    <w:p>
      <w:pPr>
        <w:spacing w:after="0" w:line="201" w:lineRule="exact"/>
        <w:rPr>
          <w:sz w:val="20"/>
          <w:szCs w:val="20"/>
          <w:color w:val="auto"/>
        </w:rPr>
      </w:pPr>
    </w:p>
    <w:p>
      <w:pPr>
        <w:jc w:val="both"/>
        <w:ind w:left="1940" w:right="320"/>
        <w:spacing w:after="0" w:line="258" w:lineRule="auto"/>
        <w:rPr>
          <w:sz w:val="20"/>
          <w:szCs w:val="20"/>
          <w:color w:val="auto"/>
        </w:rPr>
      </w:pPr>
      <w:r>
        <w:rPr>
          <w:rFonts w:ascii="Times New Roman" w:cs="Times New Roman" w:eastAsia="Times New Roman" w:hAnsi="Times New Roman"/>
          <w:sz w:val="20"/>
          <w:szCs w:val="20"/>
          <w:color w:val="auto"/>
        </w:rPr>
        <w:t>You are not permitted to carry over unused vacation entitlements, except as required by the ESA. No payment shall be made for unused vacation entitlements, except on termination of your employment in accordance with the ESA.</w:t>
      </w:r>
    </w:p>
    <w:p>
      <w:pPr>
        <w:spacing w:after="0" w:line="183" w:lineRule="exact"/>
        <w:rPr>
          <w:sz w:val="20"/>
          <w:szCs w:val="20"/>
          <w:color w:val="auto"/>
        </w:rPr>
      </w:pPr>
    </w:p>
    <w:p>
      <w:pPr>
        <w:jc w:val="both"/>
        <w:ind w:left="1940" w:right="320"/>
        <w:spacing w:after="0" w:line="280" w:lineRule="auto"/>
        <w:rPr>
          <w:sz w:val="20"/>
          <w:szCs w:val="20"/>
          <w:color w:val="auto"/>
        </w:rPr>
      </w:pPr>
      <w:r>
        <w:rPr>
          <w:rFonts w:ascii="Times New Roman" w:cs="Times New Roman" w:eastAsia="Times New Roman" w:hAnsi="Times New Roman"/>
          <w:sz w:val="20"/>
          <w:szCs w:val="20"/>
          <w:color w:val="auto"/>
        </w:rPr>
        <w:t>Additionally, you will be entitled to be paid for all public holidays in accordance with the provisions of the ESA.</w:t>
      </w:r>
    </w:p>
    <w:p>
      <w:pPr>
        <w:sectPr>
          <w:pgSz w:w="11900" w:h="16838" w:orient="portrait"/>
          <w:cols w:equalWidth="0" w:num="1">
            <w:col w:w="10920"/>
          </w:cols>
          <w:pgMar w:left="640" w:top="10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940" w:right="320" w:hanging="1929"/>
        <w:spacing w:after="0" w:line="249" w:lineRule="auto"/>
        <w:rPr>
          <w:sz w:val="20"/>
          <w:szCs w:val="20"/>
          <w:color w:val="auto"/>
        </w:rPr>
      </w:pPr>
      <w:r>
        <w:rPr>
          <w:rFonts w:ascii="Times New Roman" w:cs="Times New Roman" w:eastAsia="Times New Roman" w:hAnsi="Times New Roman"/>
          <w:sz w:val="20"/>
          <w:szCs w:val="20"/>
          <w:color w:val="auto"/>
        </w:rPr>
        <w:t>Relocation Assistance: To assist you with your relocation, the Company will provide Relocation Assistance not to exceed a total of $36,000.00 CAD (collectively, the “</w:t>
      </w:r>
      <w:r>
        <w:rPr>
          <w:rFonts w:ascii="Times New Roman" w:cs="Times New Roman" w:eastAsia="Times New Roman" w:hAnsi="Times New Roman"/>
          <w:sz w:val="20"/>
          <w:szCs w:val="20"/>
          <w:b w:val="1"/>
          <w:bCs w:val="1"/>
          <w:color w:val="auto"/>
        </w:rPr>
        <w:t>Relocation Assistance</w:t>
      </w:r>
      <w:r>
        <w:rPr>
          <w:rFonts w:ascii="Times New Roman" w:cs="Times New Roman" w:eastAsia="Times New Roman" w:hAnsi="Times New Roman"/>
          <w:sz w:val="20"/>
          <w:szCs w:val="20"/>
          <w:color w:val="auto"/>
        </w:rPr>
        <w:t xml:space="preserve">”). The Company will reimburse you up to $6000 a month for relocation assistance for temporary housing up to 4 months. If more than 4 months is required for relocation assistance for temporary housing, IMAX will consider an additional 2 months of relocation assistance for temporary housing at $6000 a month and will confirm if payment will be processed via expense reimbursement or lump sum bonus (grossed up to cover taxes) in May/June 2025. If your employment is terminated for any reason pursuant to the “Termination” section below (either by you or the Company) other than by the Company without Cause within 18 months following the Effective Date, you shall be required to repay the Company the entire Relocation Assistance provided by the Company within 30 days of the termination date. You agree that, subject to applicable laws, the Company may deduct any such repayment amounts in respect of the Relocation Assistance from any payments owing to you. If you sell your current residence at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the Relocation Assistance will cease immediately.</w:t>
      </w:r>
    </w:p>
    <w:p>
      <w:pPr>
        <w:spacing w:after="0" w:line="178" w:lineRule="exact"/>
        <w:rPr>
          <w:sz w:val="20"/>
          <w:szCs w:val="20"/>
          <w:color w:val="auto"/>
        </w:rPr>
      </w:pPr>
    </w:p>
    <w:p>
      <w:pPr>
        <w:jc w:val="both"/>
        <w:ind w:left="1360" w:right="320" w:hanging="1930"/>
        <w:spacing w:after="0" w:line="252" w:lineRule="auto"/>
        <w:tabs>
          <w:tab w:leader="none" w:pos="1340" w:val="left"/>
        </w:tabs>
        <w:rPr>
          <w:sz w:val="20"/>
          <w:szCs w:val="20"/>
          <w:color w:val="auto"/>
        </w:rPr>
      </w:pPr>
      <w:r>
        <w:rPr>
          <w:rFonts w:ascii="Times New Roman" w:cs="Times New Roman" w:eastAsia="Times New Roman" w:hAnsi="Times New Roman"/>
          <w:sz w:val="20"/>
          <w:szCs w:val="20"/>
          <w:color w:val="auto"/>
        </w:rPr>
        <w:t>Termination:</w:t>
      </w:r>
      <w:r>
        <w:rPr>
          <w:sz w:val="20"/>
          <w:szCs w:val="20"/>
          <w:color w:val="auto"/>
        </w:rPr>
        <w:tab/>
      </w:r>
      <w:r>
        <w:rPr>
          <w:rFonts w:ascii="Times New Roman" w:cs="Times New Roman" w:eastAsia="Times New Roman" w:hAnsi="Times New Roman"/>
          <w:sz w:val="20"/>
          <w:szCs w:val="20"/>
          <w:i w:val="1"/>
          <w:iCs w:val="1"/>
          <w:color w:val="auto"/>
        </w:rPr>
        <w:t xml:space="preserve">By You: </w:t>
      </w:r>
      <w:r>
        <w:rPr>
          <w:rFonts w:ascii="Times New Roman" w:cs="Times New Roman" w:eastAsia="Times New Roman" w:hAnsi="Times New Roman"/>
          <w:sz w:val="20"/>
          <w:szCs w:val="20"/>
          <w:color w:val="auto"/>
        </w:rPr>
        <w:t>You may resign from your employment by providing the Company with 30 days’ prior written notice.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receipt of your notice, the Company may excuse you from the further performance of your duties and may restrict you from attending the Company's premises and/or accessing its systems or information. If you resign, the Company’s only obligation will be to pay you accrued wages and vacation pay, if any, earned by you up to your date of termination but not yet paid, and continue your benefits until your date of termination (the “</w:t>
      </w:r>
      <w:r>
        <w:rPr>
          <w:rFonts w:ascii="Times New Roman" w:cs="Times New Roman" w:eastAsia="Times New Roman" w:hAnsi="Times New Roman"/>
          <w:sz w:val="20"/>
          <w:szCs w:val="20"/>
          <w:b w:val="1"/>
          <w:bCs w:val="1"/>
          <w:color w:val="auto"/>
        </w:rPr>
        <w:t>Basic Entitlements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left="1940" w:right="32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By the Company without Notice, for Cause: </w:t>
      </w:r>
      <w:r>
        <w:rPr>
          <w:rFonts w:ascii="Times New Roman" w:cs="Times New Roman" w:eastAsia="Times New Roman" w:hAnsi="Times New Roman"/>
          <w:sz w:val="20"/>
          <w:szCs w:val="20"/>
          <w:color w:val="auto"/>
        </w:rPr>
        <w:t>The Company may terminate your employment in writing at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without prior notice to you and without pay in lieu thereof for your wilful misconduct, disobedience or wilful neglect of duty that is not trivial and has not been expressly condoned by the Company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by providing you with only your Basic Entitlements.</w:t>
      </w:r>
    </w:p>
    <w:p>
      <w:pPr>
        <w:spacing w:after="0" w:line="195" w:lineRule="exact"/>
        <w:rPr>
          <w:sz w:val="20"/>
          <w:szCs w:val="20"/>
          <w:color w:val="auto"/>
        </w:rPr>
      </w:pPr>
    </w:p>
    <w:p>
      <w:pPr>
        <w:jc w:val="both"/>
        <w:ind w:left="1940" w:right="32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By the Company without Cause: </w:t>
      </w:r>
      <w:r>
        <w:rPr>
          <w:rFonts w:ascii="Times New Roman" w:cs="Times New Roman" w:eastAsia="Times New Roman" w:hAnsi="Times New Roman"/>
          <w:sz w:val="20"/>
          <w:szCs w:val="20"/>
          <w:color w:val="auto"/>
        </w:rPr>
        <w:t>In the absence of Cause, the Company may terminate your employment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writing at any time and shall provide you with notice, or pay in lieu of notice, in accordance with applicable law.</w:t>
      </w:r>
    </w:p>
    <w:p>
      <w:pPr>
        <w:spacing w:after="0" w:line="191" w:lineRule="exact"/>
        <w:rPr>
          <w:sz w:val="20"/>
          <w:szCs w:val="20"/>
          <w:color w:val="auto"/>
        </w:rPr>
      </w:pPr>
    </w:p>
    <w:p>
      <w:pPr>
        <w:jc w:val="both"/>
        <w:ind w:left="1940" w:right="32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STI Bonus: </w:t>
      </w:r>
      <w:r>
        <w:rPr>
          <w:rFonts w:ascii="Times New Roman" w:cs="Times New Roman" w:eastAsia="Times New Roman" w:hAnsi="Times New Roman"/>
          <w:sz w:val="20"/>
          <w:szCs w:val="20"/>
          <w:color w:val="auto"/>
        </w:rPr>
        <w:t>No STI Bonus, pro-rated or otherwise, will be payable to you in respect of the year in which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employment terminates, for any reason, or, if applicable, in the period of notice of termination that follows, except as may be required by the ESA, and you waive the right to receive damages or payment in lieu of any forfeited STI Bonus payment. The foregoing shall apply regardless of any plan or program terms providing otherwise.</w:t>
      </w:r>
    </w:p>
    <w:p>
      <w:pPr>
        <w:spacing w:after="0" w:line="199" w:lineRule="exact"/>
        <w:rPr>
          <w:sz w:val="20"/>
          <w:szCs w:val="20"/>
          <w:color w:val="auto"/>
        </w:rPr>
      </w:pPr>
    </w:p>
    <w:p>
      <w:pPr>
        <w:jc w:val="both"/>
        <w:ind w:left="1940" w:right="320"/>
        <w:spacing w:after="0" w:line="267" w:lineRule="auto"/>
        <w:rPr>
          <w:sz w:val="20"/>
          <w:szCs w:val="20"/>
          <w:color w:val="auto"/>
        </w:rPr>
      </w:pPr>
      <w:r>
        <w:rPr>
          <w:rFonts w:ascii="Times New Roman" w:cs="Times New Roman" w:eastAsia="Times New Roman" w:hAnsi="Times New Roman"/>
          <w:sz w:val="20"/>
          <w:szCs w:val="20"/>
          <w:i w:val="1"/>
          <w:iCs w:val="1"/>
          <w:color w:val="auto"/>
        </w:rPr>
        <w:t>LTIP / Signing Grant</w:t>
      </w:r>
      <w:r>
        <w:rPr>
          <w:rFonts w:ascii="Times New Roman" w:cs="Times New Roman" w:eastAsia="Times New Roman" w:hAnsi="Times New Roman"/>
          <w:sz w:val="20"/>
          <w:szCs w:val="20"/>
          <w:color w:val="auto"/>
        </w:rPr>
        <w:t>: Any entitlement upon termination of employment in respect of a Signing Grant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grant (as referenced herein) will be governed by the terms of the LTIP or grant agreement, as applicable.</w:t>
      </w:r>
    </w:p>
    <w:p>
      <w:pPr>
        <w:spacing w:after="0" w:line="184" w:lineRule="exact"/>
        <w:rPr>
          <w:sz w:val="20"/>
          <w:szCs w:val="20"/>
          <w:color w:val="auto"/>
        </w:rPr>
      </w:pPr>
    </w:p>
    <w:p>
      <w:pPr>
        <w:jc w:val="both"/>
        <w:ind w:left="1940" w:right="320"/>
        <w:spacing w:after="0" w:line="282" w:lineRule="auto"/>
        <w:rPr>
          <w:sz w:val="20"/>
          <w:szCs w:val="20"/>
          <w:color w:val="auto"/>
        </w:rPr>
      </w:pPr>
      <w:r>
        <w:rPr>
          <w:rFonts w:ascii="Times New Roman" w:cs="Times New Roman" w:eastAsia="Times New Roman" w:hAnsi="Times New Roman"/>
          <w:sz w:val="20"/>
          <w:szCs w:val="20"/>
          <w:i w:val="1"/>
          <w:iCs w:val="1"/>
          <w:color w:val="auto"/>
        </w:rPr>
        <w:t xml:space="preserve">Vehicle Allowance: </w:t>
      </w:r>
      <w:r>
        <w:rPr>
          <w:rFonts w:ascii="Times New Roman" w:cs="Times New Roman" w:eastAsia="Times New Roman" w:hAnsi="Times New Roman"/>
          <w:sz w:val="20"/>
          <w:szCs w:val="20"/>
          <w:color w:val="auto"/>
        </w:rPr>
        <w:t>the Company shall continue to provide the Vehicle Allowance to you until the end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minimum notice of termination period, if any, required to be provided by the ESA.</w:t>
      </w:r>
    </w:p>
    <w:p>
      <w:pPr>
        <w:sectPr>
          <w:pgSz w:w="11900" w:h="16838" w:orient="portrait"/>
          <w:cols w:equalWidth="0" w:num="1">
            <w:col w:w="10920"/>
          </w:cols>
          <w:pgMar w:left="640" w:top="10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940" w:right="320"/>
        <w:spacing w:after="0" w:line="252" w:lineRule="auto"/>
        <w:rPr>
          <w:sz w:val="20"/>
          <w:szCs w:val="20"/>
          <w:color w:val="auto"/>
        </w:rPr>
      </w:pPr>
      <w:r>
        <w:rPr>
          <w:rFonts w:ascii="Times New Roman" w:cs="Times New Roman" w:eastAsia="Times New Roman" w:hAnsi="Times New Roman"/>
          <w:sz w:val="20"/>
          <w:szCs w:val="20"/>
          <w:i w:val="1"/>
          <w:iCs w:val="1"/>
          <w:color w:val="auto"/>
        </w:rPr>
        <w:t>Acknowledgment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agree that except as set out in this “Termination” section, no further notice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termination, pay in lieu thereof, severance pay or any other amounts will be payable to you in respect of the termination of your employment for any reason, including in the event of a constructive dismissal (in which case the “Termination without Cause” entitlements shall apply). You also agree that regardless of the length of your employment with the Company, any change in your position or other terms of employment, this provision will continue to apply to you</w:t>
      </w:r>
      <w:r>
        <w:rPr>
          <w:rFonts w:ascii="Times New Roman" w:cs="Times New Roman" w:eastAsia="Times New Roman" w:hAnsi="Times New Roman"/>
          <w:sz w:val="20"/>
          <w:szCs w:val="20"/>
          <w:b w:val="1"/>
          <w:bCs w:val="1"/>
          <w:color w:val="auto"/>
        </w:rPr>
        <w:t>.</w:t>
      </w:r>
    </w:p>
    <w:p>
      <w:pPr>
        <w:spacing w:after="0" w:line="177" w:lineRule="exact"/>
        <w:rPr>
          <w:sz w:val="20"/>
          <w:szCs w:val="20"/>
          <w:color w:val="auto"/>
        </w:rPr>
      </w:pPr>
    </w:p>
    <w:p>
      <w:pPr>
        <w:ind w:left="1760" w:right="740" w:hanging="1930"/>
        <w:spacing w:after="0" w:line="280" w:lineRule="auto"/>
        <w:tabs>
          <w:tab w:leader="none" w:pos="1740" w:val="left"/>
        </w:tabs>
        <w:rPr>
          <w:sz w:val="20"/>
          <w:szCs w:val="20"/>
          <w:color w:val="auto"/>
        </w:rPr>
      </w:pPr>
      <w:r>
        <w:rPr>
          <w:rFonts w:ascii="Times New Roman" w:cs="Times New Roman" w:eastAsia="Times New Roman" w:hAnsi="Times New Roman"/>
          <w:sz w:val="20"/>
          <w:szCs w:val="20"/>
          <w:color w:val="auto"/>
        </w:rPr>
        <w:t>Background Check:</w:t>
        <w:tab/>
        <w:t>This offer is subject to the satisfactory completion of a background check. This may include verification of previous employment, as permitted by the ESA.</w:t>
      </w:r>
    </w:p>
    <w:p>
      <w:pPr>
        <w:spacing w:after="0" w:line="147" w:lineRule="exact"/>
        <w:rPr>
          <w:sz w:val="20"/>
          <w:szCs w:val="20"/>
          <w:color w:val="auto"/>
        </w:rPr>
      </w:pPr>
    </w:p>
    <w:p>
      <w:pPr>
        <w:ind w:left="1940" w:right="320" w:hanging="1929"/>
        <w:spacing w:after="0" w:line="266" w:lineRule="auto"/>
        <w:rPr>
          <w:sz w:val="20"/>
          <w:szCs w:val="20"/>
          <w:color w:val="auto"/>
        </w:rPr>
      </w:pPr>
      <w:r>
        <w:rPr>
          <w:rFonts w:ascii="Times New Roman" w:cs="Times New Roman" w:eastAsia="Times New Roman" w:hAnsi="Times New Roman"/>
          <w:sz w:val="20"/>
          <w:szCs w:val="20"/>
          <w:color w:val="auto"/>
        </w:rPr>
        <w:t>IMAX Documents: The IMAX Employee Confidentiality, Non-Competition, and Intellectual Property Agreement you previously signed will remain in effect for the duration of your employment.</w:t>
      </w:r>
    </w:p>
    <w:p>
      <w:pPr>
        <w:spacing w:after="0" w:line="187" w:lineRule="exact"/>
        <w:rPr>
          <w:sz w:val="20"/>
          <w:szCs w:val="20"/>
          <w:color w:val="auto"/>
        </w:rPr>
      </w:pPr>
    </w:p>
    <w:p>
      <w:pPr>
        <w:ind w:left="1940" w:right="520"/>
        <w:spacing w:after="0" w:line="256" w:lineRule="auto"/>
        <w:rPr>
          <w:sz w:val="20"/>
          <w:szCs w:val="20"/>
          <w:color w:val="auto"/>
        </w:rPr>
      </w:pPr>
      <w:r>
        <w:rPr>
          <w:rFonts w:ascii="Times New Roman" w:cs="Times New Roman" w:eastAsia="Times New Roman" w:hAnsi="Times New Roman"/>
          <w:sz w:val="20"/>
          <w:szCs w:val="20"/>
          <w:color w:val="auto"/>
        </w:rPr>
        <w:t>In addition, you are required to review and acknowledge by way of signature the IMAX Code of Business Conduct and Ethics and the IMAX Anti-Bribery and Anti-Corruption policy prior to the Effective Date. Upon joining, you will be required to abide by existing IMAX policies that pertain to your employment and other such policies that are introduced during your employment.</w:t>
      </w:r>
    </w:p>
    <w:p>
      <w:pPr>
        <w:spacing w:after="0" w:line="172" w:lineRule="exact"/>
        <w:rPr>
          <w:sz w:val="20"/>
          <w:szCs w:val="20"/>
          <w:color w:val="auto"/>
        </w:rPr>
      </w:pPr>
    </w:p>
    <w:p>
      <w:pPr>
        <w:jc w:val="both"/>
        <w:ind w:left="1940" w:right="320" w:hanging="1930"/>
        <w:spacing w:after="0" w:line="251" w:lineRule="auto"/>
        <w:rPr>
          <w:sz w:val="20"/>
          <w:szCs w:val="20"/>
          <w:color w:val="auto"/>
        </w:rPr>
      </w:pPr>
      <w:r>
        <w:rPr>
          <w:rFonts w:ascii="Times New Roman" w:cs="Times New Roman" w:eastAsia="Times New Roman" w:hAnsi="Times New Roman"/>
          <w:sz w:val="20"/>
          <w:szCs w:val="20"/>
          <w:color w:val="auto"/>
        </w:rPr>
        <w:t>Continuing Obligations: By signing this letter, you confirm that you are under no contractual or other legal obligations that would prohibit you from performing your duties with IMAX. You further confirm that you will not remove or take any documents or proprietary data or materials of any kind, electronic or otherwise, with you from your current or former employer to IMAX without written authorization from your current or former employer, nor will you use or disclose any such confidential information during the course and scope of your employment with IMAX.</w:t>
      </w:r>
    </w:p>
    <w:p>
      <w:pPr>
        <w:spacing w:after="0" w:line="192" w:lineRule="exact"/>
        <w:rPr>
          <w:sz w:val="20"/>
          <w:szCs w:val="20"/>
          <w:color w:val="auto"/>
        </w:rPr>
      </w:pPr>
    </w:p>
    <w:p>
      <w:pPr>
        <w:jc w:val="both"/>
        <w:ind w:left="1940" w:right="320" w:hanging="1930"/>
        <w:spacing w:after="0" w:line="258" w:lineRule="auto"/>
        <w:rPr>
          <w:sz w:val="20"/>
          <w:szCs w:val="20"/>
          <w:color w:val="auto"/>
        </w:rPr>
      </w:pPr>
      <w:r>
        <w:rPr>
          <w:rFonts w:ascii="Times New Roman" w:cs="Times New Roman" w:eastAsia="Times New Roman" w:hAnsi="Times New Roman"/>
          <w:sz w:val="20"/>
          <w:szCs w:val="20"/>
          <w:color w:val="auto"/>
        </w:rPr>
        <w:t>Suspension with Pay: You acknowledge that, during the course of your employment, the Company may exercise its discretion to suspend you with pay in furtherance of any internal investigation relating to your conduct, and that such suspension shall not constitute constructive dismissal or a breach of this Agreement.</w:t>
      </w:r>
    </w:p>
    <w:p>
      <w:pPr>
        <w:spacing w:after="0" w:line="208" w:lineRule="exact"/>
        <w:rPr>
          <w:sz w:val="20"/>
          <w:szCs w:val="20"/>
          <w:color w:val="auto"/>
        </w:rPr>
      </w:pPr>
    </w:p>
    <w:p>
      <w:pPr>
        <w:jc w:val="both"/>
        <w:ind w:left="1340" w:right="320" w:hanging="1929"/>
        <w:spacing w:after="0" w:line="260" w:lineRule="auto"/>
        <w:tabs>
          <w:tab w:leader="none" w:pos="1320" w:val="left"/>
        </w:tabs>
        <w:rPr>
          <w:sz w:val="20"/>
          <w:szCs w:val="20"/>
          <w:color w:val="auto"/>
        </w:rPr>
      </w:pPr>
      <w:r>
        <w:rPr>
          <w:rFonts w:ascii="Times New Roman" w:cs="Times New Roman" w:eastAsia="Times New Roman" w:hAnsi="Times New Roman"/>
          <w:sz w:val="20"/>
          <w:szCs w:val="20"/>
          <w:color w:val="auto"/>
        </w:rPr>
        <w:t>Accessibility:</w:t>
        <w:tab/>
        <w:t xml:space="preserve">The Company is committed to complying with the </w:t>
      </w:r>
      <w:r>
        <w:rPr>
          <w:rFonts w:ascii="Times New Roman" w:cs="Times New Roman" w:eastAsia="Times New Roman" w:hAnsi="Times New Roman"/>
          <w:sz w:val="20"/>
          <w:szCs w:val="20"/>
          <w:i w:val="1"/>
          <w:iCs w:val="1"/>
          <w:color w:val="auto"/>
        </w:rPr>
        <w:t>Accessibility for Ontarians with Disabilities Act, 2005</w:t>
      </w:r>
      <w:r>
        <w:rPr>
          <w:rFonts w:ascii="Times New Roman" w:cs="Times New Roman" w:eastAsia="Times New Roman" w:hAnsi="Times New Roman"/>
          <w:sz w:val="20"/>
          <w:szCs w:val="20"/>
          <w:color w:val="auto"/>
        </w:rPr>
        <w:t>, and has policies in place to accommodate its employees with disabilities. Should you require accommodation or have a question regarding any of these policies, please contact the IMAX Human Resources Department.</w:t>
      </w:r>
    </w:p>
    <w:p>
      <w:pPr>
        <w:spacing w:after="0" w:line="180" w:lineRule="exact"/>
        <w:rPr>
          <w:sz w:val="20"/>
          <w:szCs w:val="20"/>
          <w:color w:val="auto"/>
        </w:rPr>
      </w:pPr>
    </w:p>
    <w:p>
      <w:pPr>
        <w:jc w:val="both"/>
        <w:ind w:left="960" w:right="320" w:hanging="1929"/>
        <w:spacing w:after="0" w:line="280" w:lineRule="auto"/>
        <w:tabs>
          <w:tab w:leader="none" w:pos="940" w:val="left"/>
        </w:tabs>
        <w:rPr>
          <w:sz w:val="20"/>
          <w:szCs w:val="20"/>
          <w:color w:val="auto"/>
        </w:rPr>
      </w:pPr>
      <w:r>
        <w:rPr>
          <w:rFonts w:ascii="Times New Roman" w:cs="Times New Roman" w:eastAsia="Times New Roman" w:hAnsi="Times New Roman"/>
          <w:sz w:val="20"/>
          <w:szCs w:val="20"/>
          <w:color w:val="auto"/>
        </w:rPr>
        <w:t>General:</w:t>
        <w:tab/>
        <w:t>This Agreement will ensure to the benefit of and be binding upon the parties and their respective heirs, executors and administrators or successors and permitted assigns, as the case may be.</w:t>
      </w:r>
    </w:p>
    <w:p>
      <w:pPr>
        <w:spacing w:after="0" w:line="160" w:lineRule="exact"/>
        <w:rPr>
          <w:sz w:val="20"/>
          <w:szCs w:val="20"/>
          <w:color w:val="auto"/>
        </w:rPr>
      </w:pPr>
    </w:p>
    <w:p>
      <w:pPr>
        <w:jc w:val="both"/>
        <w:ind w:left="1940" w:right="320"/>
        <w:spacing w:after="0" w:line="256" w:lineRule="auto"/>
        <w:rPr>
          <w:sz w:val="20"/>
          <w:szCs w:val="20"/>
          <w:color w:val="auto"/>
        </w:rPr>
      </w:pPr>
      <w:r>
        <w:rPr>
          <w:rFonts w:ascii="Times New Roman" w:cs="Times New Roman" w:eastAsia="Times New Roman" w:hAnsi="Times New Roman"/>
          <w:sz w:val="20"/>
          <w:szCs w:val="20"/>
          <w:color w:val="auto"/>
        </w:rPr>
        <w:t>Except as permitted by the terms of any plan, no supplement, modification, amendment or waiver of this Agreement will be binding unless executed in writing by both parties. No waiver of any of the provisions of this Agreement will constitute a waiver of any other provision (whether or not similar) nor will such waiver constitute a continuing waiver unless otherwise expressly provided.</w:t>
      </w:r>
    </w:p>
    <w:p>
      <w:pPr>
        <w:sectPr>
          <w:pgSz w:w="11900" w:h="16838" w:orient="portrait"/>
          <w:cols w:equalWidth="0" w:num="1">
            <w:col w:w="10920"/>
          </w:cols>
          <w:pgMar w:left="640" w:top="10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940" w:right="320"/>
        <w:spacing w:after="0" w:line="258"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province of Ontario and the federal laws of Canada applicable therein. The courts of the Province of Ontario shall have exclusive jurisdiction to deal with all disputes arising from or relating to this Agreement.</w:t>
      </w:r>
    </w:p>
    <w:p>
      <w:pPr>
        <w:spacing w:after="0" w:line="210" w:lineRule="exact"/>
        <w:rPr>
          <w:sz w:val="20"/>
          <w:szCs w:val="20"/>
          <w:color w:val="auto"/>
        </w:rPr>
      </w:pPr>
    </w:p>
    <w:p>
      <w:pPr>
        <w:jc w:val="both"/>
        <w:ind w:left="1940" w:right="320"/>
        <w:spacing w:after="0" w:line="251" w:lineRule="auto"/>
        <w:rPr>
          <w:sz w:val="20"/>
          <w:szCs w:val="20"/>
          <w:color w:val="auto"/>
        </w:rPr>
      </w:pPr>
      <w:r>
        <w:rPr>
          <w:rFonts w:ascii="Times New Roman" w:cs="Times New Roman" w:eastAsia="Times New Roman" w:hAnsi="Times New Roman"/>
          <w:sz w:val="20"/>
          <w:szCs w:val="20"/>
          <w:color w:val="auto"/>
        </w:rPr>
        <w:t>If any provision in this Agreement is determined to be invalid, void or unenforceable by the decision of any court of competent jurisdiction, which determination is not appealed or appealable for any reason whatsoever, the provision in question will not be deemed to affect or impair the validity or enforceability of any other provision of this Agreement and such invalid or unenforceable provision or portion thereof will be severed from this Agreement.</w:t>
      </w:r>
    </w:p>
    <w:p>
      <w:pPr>
        <w:spacing w:after="0" w:line="218" w:lineRule="exact"/>
        <w:rPr>
          <w:sz w:val="20"/>
          <w:szCs w:val="20"/>
          <w:color w:val="auto"/>
        </w:rPr>
      </w:pPr>
    </w:p>
    <w:p>
      <w:pPr>
        <w:jc w:val="both"/>
        <w:ind w:left="1940" w:right="320"/>
        <w:spacing w:after="0" w:line="258" w:lineRule="auto"/>
        <w:rPr>
          <w:sz w:val="20"/>
          <w:szCs w:val="20"/>
          <w:color w:val="auto"/>
        </w:rPr>
      </w:pPr>
      <w:r>
        <w:rPr>
          <w:rFonts w:ascii="Times New Roman" w:cs="Times New Roman" w:eastAsia="Times New Roman" w:hAnsi="Times New Roman"/>
          <w:sz w:val="20"/>
          <w:szCs w:val="20"/>
          <w:color w:val="auto"/>
        </w:rPr>
        <w:t>In the event that the minimum standards set out in the ESA are more favourable to you than a term or provision provided for in this Agreement, including, without limitation, the terms set out in the “Termination” section above, then the provisions of the ESA will apply in respect of that term or provision.</w:t>
      </w:r>
    </w:p>
    <w:p>
      <w:pPr>
        <w:spacing w:after="0" w:line="197" w:lineRule="exact"/>
        <w:rPr>
          <w:sz w:val="20"/>
          <w:szCs w:val="20"/>
          <w:color w:val="auto"/>
        </w:rPr>
      </w:pPr>
    </w:p>
    <w:p>
      <w:pPr>
        <w:jc w:val="both"/>
        <w:ind w:left="1940" w:right="320"/>
        <w:spacing w:after="0" w:line="266" w:lineRule="auto"/>
        <w:rPr>
          <w:sz w:val="20"/>
          <w:szCs w:val="20"/>
          <w:color w:val="auto"/>
        </w:rPr>
      </w:pPr>
      <w:r>
        <w:rPr>
          <w:rFonts w:ascii="Times New Roman" w:cs="Times New Roman" w:eastAsia="Times New Roman" w:hAnsi="Times New Roman"/>
          <w:sz w:val="20"/>
          <w:szCs w:val="20"/>
          <w:color w:val="auto"/>
        </w:rPr>
        <w:t>By signing this Agreement, you represent and warrant that you are, or by your Effective Date will be, lawfully entitled to work in Canada.</w:t>
      </w:r>
    </w:p>
    <w:p>
      <w:pPr>
        <w:spacing w:after="0" w:line="187" w:lineRule="exact"/>
        <w:rPr>
          <w:sz w:val="20"/>
          <w:szCs w:val="20"/>
          <w:color w:val="auto"/>
        </w:rPr>
      </w:pPr>
    </w:p>
    <w:p>
      <w:pPr>
        <w:jc w:val="both"/>
        <w:ind w:left="1940" w:right="320"/>
        <w:spacing w:after="0" w:line="266" w:lineRule="auto"/>
        <w:rPr>
          <w:sz w:val="20"/>
          <w:szCs w:val="20"/>
          <w:color w:val="auto"/>
        </w:rPr>
      </w:pPr>
      <w:r>
        <w:rPr>
          <w:rFonts w:ascii="Times New Roman" w:cs="Times New Roman" w:eastAsia="Times New Roman" w:hAnsi="Times New Roman"/>
          <w:sz w:val="20"/>
          <w:szCs w:val="20"/>
          <w:color w:val="auto"/>
        </w:rPr>
        <w:t>You acknowledge that you have been afforded an opportunity to obtain independent legal advice with respect to this Agreement and its terms, and are executing it freely, voluntarily and without duress.</w:t>
      </w:r>
    </w:p>
    <w:p>
      <w:pPr>
        <w:spacing w:after="0" w:line="200" w:lineRule="exact"/>
        <w:rPr>
          <w:sz w:val="20"/>
          <w:szCs w:val="20"/>
          <w:color w:val="auto"/>
        </w:rPr>
      </w:pPr>
    </w:p>
    <w:p>
      <w:pPr>
        <w:spacing w:after="0" w:line="229" w:lineRule="exact"/>
        <w:rPr>
          <w:sz w:val="20"/>
          <w:szCs w:val="20"/>
          <w:color w:val="auto"/>
        </w:rPr>
      </w:pPr>
    </w:p>
    <w:p>
      <w:pPr>
        <w:jc w:val="both"/>
        <w:ind w:right="320"/>
        <w:spacing w:after="0" w:line="251" w:lineRule="auto"/>
        <w:rPr>
          <w:sz w:val="20"/>
          <w:szCs w:val="20"/>
          <w:color w:val="auto"/>
        </w:rPr>
      </w:pPr>
      <w:r>
        <w:rPr>
          <w:rFonts w:ascii="Times New Roman" w:cs="Times New Roman" w:eastAsia="Times New Roman" w:hAnsi="Times New Roman"/>
          <w:sz w:val="20"/>
          <w:szCs w:val="20"/>
          <w:color w:val="auto"/>
        </w:rPr>
        <w:t>Please indicate your formal acceptance by signing this Agreement. This letter, together with the IMAX Employee Confidentiality, Non-Competition, and Intellectual Property Agreement, contains the entire agreement between you and the Company and cancels and supersedes any and all prior understandings, negotiations, written and/or oral agreements. Please note that it is the Company’s policy that an employee may not commence work prior to signing this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look forward to welcoming you to our IMAX team. Sincerely,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Michele Golden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Michele Golden, Global Chief People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accept the above offer of employment as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 Zlatar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 Zlatar</w:t>
      </w:r>
    </w:p>
    <w:p>
      <w:pPr>
        <w:spacing w:after="0" w:line="22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March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-55245</wp:posOffset>
            </wp:positionV>
            <wp:extent cx="2434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ectPr>
          <w:pgSz w:w="11900" w:h="16838" w:orient="portrait"/>
          <w:cols w:equalWidth="0" w:num="1">
            <w:col w:w="10920"/>
          </w:cols>
          <w:pgMar w:left="640" w:top="10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850265</wp:posOffset>
            </wp:positionV>
            <wp:extent cx="1157605" cy="221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57605"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0" w:right="360"/>
        <w:spacing w:after="0" w:line="265"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NOT MATERIAL AND IS THE TYPE THAT THE REGISTRANT TREATS AS PRIVATE OR CONFIDENTIAL. [***] INDICATES THAT INFORMATION HAS BEEN REDACTED.</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January 12, 2024</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Strictly Private &amp; Confidential</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Anne Globe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Dear Anne,</w:t>
      </w:r>
    </w:p>
    <w:p>
      <w:pPr>
        <w:spacing w:after="0" w:line="119" w:lineRule="exact"/>
        <w:rPr>
          <w:sz w:val="20"/>
          <w:szCs w:val="20"/>
          <w:color w:val="auto"/>
        </w:rPr>
      </w:pPr>
    </w:p>
    <w:p>
      <w:pPr>
        <w:ind w:left="240" w:right="760"/>
        <w:spacing w:after="0" w:line="266" w:lineRule="auto"/>
        <w:rPr>
          <w:sz w:val="20"/>
          <w:szCs w:val="20"/>
          <w:color w:val="auto"/>
        </w:rPr>
      </w:pPr>
      <w:r>
        <w:rPr>
          <w:rFonts w:ascii="Arial" w:cs="Arial" w:eastAsia="Arial" w:hAnsi="Arial"/>
          <w:sz w:val="20"/>
          <w:szCs w:val="20"/>
          <w:color w:val="auto"/>
        </w:rPr>
        <w:t>We are excited about the prospect of your joining us at IMAX. The terms and conditions of your employment offer are summarized below:</w:t>
      </w:r>
    </w:p>
    <w:p>
      <w:pPr>
        <w:sectPr>
          <w:pgSz w:w="11900" w:h="16838" w:orient="portrait"/>
          <w:cols w:equalWidth="0" w:num="1">
            <w:col w:w="11160"/>
          </w:cols>
          <w:pgMar w:left="400" w:top="82" w:right="339" w:bottom="1440" w:gutter="0" w:footer="0" w:header="0"/>
        </w:sect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Title:</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Reporting to:</w:t>
      </w:r>
    </w:p>
    <w:p>
      <w:pPr>
        <w:spacing w:after="0" w:line="35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Start Date:</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Salary:</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Vacation: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spacing w:after="0" w:line="280" w:lineRule="auto"/>
        <w:rPr>
          <w:sz w:val="20"/>
          <w:szCs w:val="20"/>
          <w:color w:val="auto"/>
        </w:rPr>
      </w:pPr>
      <w:r>
        <w:rPr>
          <w:rFonts w:ascii="Arial" w:cs="Arial" w:eastAsia="Arial" w:hAnsi="Arial"/>
          <w:sz w:val="20"/>
          <w:szCs w:val="20"/>
          <w:color w:val="auto"/>
        </w:rPr>
        <w:t>Chief Marketing Officer and Executive Vice President. You will be the most senior marketing officer in the Company.</w:t>
      </w:r>
    </w:p>
    <w:p>
      <w:pPr>
        <w:spacing w:after="0" w:line="40" w:lineRule="exact"/>
        <w:rPr>
          <w:sz w:val="20"/>
          <w:szCs w:val="20"/>
          <w:color w:val="auto"/>
        </w:rPr>
      </w:pPr>
    </w:p>
    <w:p>
      <w:pPr>
        <w:ind w:right="220"/>
        <w:spacing w:after="0" w:line="280" w:lineRule="auto"/>
        <w:rPr>
          <w:sz w:val="20"/>
          <w:szCs w:val="20"/>
          <w:color w:val="auto"/>
        </w:rPr>
      </w:pPr>
      <w:r>
        <w:rPr>
          <w:rFonts w:ascii="Arial" w:cs="Arial" w:eastAsia="Arial" w:hAnsi="Arial"/>
          <w:sz w:val="20"/>
          <w:szCs w:val="20"/>
          <w:color w:val="auto"/>
        </w:rPr>
        <w:t>Rich Gelfond, Chief Executive Officer, with anticipated dotted line reporting to the Head of Content that the Company plans to hire.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January 29, 2024</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Your annual base salary will be $725,000, less applicable withholding taxes.</w:t>
      </w:r>
    </w:p>
    <w:p>
      <w:pPr>
        <w:spacing w:after="0" w:line="11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You will be eligible to participate in the IMAX performance bonus program. Calculation of this bonus is based on both Company performance and personal performance. Your target annual bonus will be 50% of your then current base salary. Any bonus payment shall be at the discretion of the Company, and eligibility is subject to employment on the day of payment. Payment will be made at the same time bonuses are paid to other Company employees, generally in March. In the event that you become a named executive officer (“NEO”) of the Company in the future, the Compensation Committee of the Board of Directors annually establishes non-discretionary criteria used to calculate 50% of the annual bonus of NEOs.</w:t>
      </w:r>
    </w:p>
    <w:p>
      <w:pPr>
        <w:spacing w:after="0" w:line="89"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You will be eligible to participate in the Company’s benefit plans consistent with benefits given to senior executives at the Company, including entitlement to a Personal Spending (Wellness) Allowance reimbursement of up to $2,500 per year, which is a taxable benefit. Air travel and accommodations will be commensurate with the arrangements of other senior executives, pursuant to the Company’s Travel &amp; Expense Policy.</w:t>
      </w:r>
    </w:p>
    <w:p>
      <w:pPr>
        <w:spacing w:after="0" w:line="65" w:lineRule="exact"/>
        <w:rPr>
          <w:sz w:val="20"/>
          <w:szCs w:val="20"/>
          <w:color w:val="auto"/>
        </w:rPr>
      </w:pPr>
    </w:p>
    <w:p>
      <w:pPr>
        <w:ind w:right="280"/>
        <w:spacing w:after="0" w:line="280" w:lineRule="auto"/>
        <w:rPr>
          <w:sz w:val="20"/>
          <w:szCs w:val="20"/>
          <w:color w:val="auto"/>
        </w:rPr>
      </w:pPr>
      <w:r>
        <w:rPr>
          <w:rFonts w:ascii="Arial" w:cs="Arial" w:eastAsia="Arial" w:hAnsi="Arial"/>
          <w:sz w:val="20"/>
          <w:szCs w:val="20"/>
          <w:color w:val="auto"/>
        </w:rPr>
        <w:t>You will be entitled to receive vacation time of twenty (20) work days per year, subject to proration based on partial years of service.</w:t>
      </w:r>
    </w:p>
    <w:p>
      <w:pPr>
        <w:spacing w:after="0" w:line="200" w:lineRule="exact"/>
        <w:rPr>
          <w:sz w:val="20"/>
          <w:szCs w:val="20"/>
          <w:color w:val="auto"/>
        </w:rPr>
      </w:pPr>
    </w:p>
    <w:p>
      <w:pPr>
        <w:sectPr>
          <w:pgSz w:w="11900" w:h="16838" w:orient="portrait"/>
          <w:cols w:equalWidth="0" w:num="2">
            <w:col w:w="1700" w:space="720"/>
            <w:col w:w="8740"/>
          </w:cols>
          <w:pgMar w:left="400" w:top="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60"/>
          </w:cols>
          <w:pgMar w:left="400" w:top="82" w:right="339" w:bottom="1440" w:gutter="0" w:footer="0" w:header="0"/>
          <w:type w:val="continuous"/>
        </w:sectPr>
      </w:pPr>
    </w:p>
    <w:bookmarkStart w:id="75" w:name="page76"/>
    <w:bookmarkEnd w:id="75"/>
    <w:p>
      <w:pPr>
        <w:ind w:left="10160"/>
        <w:spacing w:after="0"/>
        <w:rPr>
          <w:sz w:val="20"/>
          <w:szCs w:val="20"/>
          <w:color w:val="auto"/>
        </w:rPr>
      </w:pPr>
      <w:r>
        <w:rPr>
          <w:rFonts w:ascii="Arial" w:cs="Arial" w:eastAsia="Arial" w:hAnsi="Arial"/>
          <w:sz w:val="17"/>
          <w:szCs w:val="17"/>
          <w:b w:val="1"/>
          <w:bCs w:val="1"/>
          <w:color w:val="auto"/>
        </w:rPr>
        <w:t>Exhibit 10.2</w:t>
      </w:r>
    </w:p>
    <w:p>
      <w:pPr>
        <w:sectPr>
          <w:pgSz w:w="11900" w:h="16838" w:orient="portrait"/>
          <w:cols w:equalWidth="0" w:num="1">
            <w:col w:w="11160"/>
          </w:cols>
          <w:pgMar w:left="400" w:top="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Car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Employment at-will: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Background Check: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spacing w:after="0" w:line="249" w:lineRule="auto"/>
        <w:rPr>
          <w:sz w:val="20"/>
          <w:szCs w:val="20"/>
          <w:color w:val="auto"/>
        </w:rPr>
      </w:pPr>
      <w:r>
        <w:rPr>
          <w:rFonts w:ascii="Arial" w:cs="Arial" w:eastAsia="Arial" w:hAnsi="Arial"/>
          <w:sz w:val="20"/>
          <w:szCs w:val="20"/>
          <w:color w:val="auto"/>
        </w:rPr>
        <w:t>You will be eligible to participate in the Company’s Second Amended and Restated Long-Term Incentive Plan, as may be amended from time to time and as administered by the Compensation Committee. Grants are made on a discretionary basis annually, generally in March, commencing in 2024.</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Your target annual grant will be $825,000, in the mix of equity vehicles (currently restricted share units (“RSUs”) and performance stock units (“PSUs”)) and on a vesting schedule consistent with grants given to senior executives at the Company. The annual grants for executives other than NEOs currently consist of 75% RSUs and 25% PSUs. The annual grants for NEOs currently consist of 50% RSUs and 50% PSUs. You must be employed by the Company on the grant date to receive a grant.</w:t>
      </w:r>
    </w:p>
    <w:p>
      <w:pPr>
        <w:spacing w:after="0" w:line="84"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You will be based in the Company’s Playa Vista offices, with travel to the Company’s other domestic and international offices and additional locations as reasonably required by the performance of your duties and the business of the Company. If any long-term travel is planned, you and the Company will agree in advance on a schedule. You will have office accommodations similar to those of other senior executives in Playa Vista.</w:t>
      </w:r>
    </w:p>
    <w:p>
      <w:pPr>
        <w:spacing w:after="0" w:line="80" w:lineRule="exact"/>
        <w:rPr>
          <w:sz w:val="20"/>
          <w:szCs w:val="20"/>
          <w:color w:val="auto"/>
        </w:rPr>
      </w:pPr>
    </w:p>
    <w:p>
      <w:pPr>
        <w:jc w:val="both"/>
        <w:ind w:right="100"/>
        <w:spacing w:after="0" w:line="256" w:lineRule="auto"/>
        <w:rPr>
          <w:sz w:val="20"/>
          <w:szCs w:val="20"/>
          <w:color w:val="auto"/>
        </w:rPr>
      </w:pPr>
      <w:r>
        <w:rPr>
          <w:rFonts w:ascii="Arial" w:cs="Arial" w:eastAsia="Arial" w:hAnsi="Arial"/>
          <w:sz w:val="20"/>
          <w:szCs w:val="20"/>
          <w:color w:val="auto"/>
        </w:rPr>
        <w:t>You will receive a car allowance in the annualized amount of $13,200, paid with your regular pay on a semi-monthly basis as taxable income. Additionally, you may expense and be reimbursed for car-related expenses such as gasoline, maintenance, and insurance costs up to an annual maximum of $11,800.</w:t>
      </w:r>
    </w:p>
    <w:p>
      <w:pPr>
        <w:spacing w:after="0" w:line="64"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Your employment with IMAX will be at-will, such that the employment relationship may be terminated at any time, with or without notice or cause, by you or by the Company. You agree to provide the Company with written notice of at least 30 days before resigning. If the Company terminates your employment without cause, you will receive severance pay equal to one month of base salary and target bonus for every year of service (pro-rated for partial years); provided that the minimum severance period will be six months, and the maximum severance period will be twelve months. If you resign for Good Reason, as defined in the next sentence, you will receive the same severance pay as if you had been terminated without cause. “Good Reason” shall mean (a) a material reduction in your responsibilities, or (b) the Company requiring you to be permanently based at any office or location more than twenty (20) miles from Playa Vista; provided, however, that no such event shall constitute Good Reason unless you first give the Company written notice of your intention to resign your employment for Good Reason and the grounds for such resignation, and such grounds for resignation are not corrected by the Company within thirty (30) days of its receipt of such notice.</w:t>
      </w:r>
    </w:p>
    <w:p>
      <w:pPr>
        <w:spacing w:after="0" w:line="78"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This offer is subject to the satisfactory completion of a background check, including a criminal record check, which you have authorized.</w:t>
      </w:r>
    </w:p>
    <w:p>
      <w:pPr>
        <w:spacing w:after="0" w:line="200" w:lineRule="exact"/>
        <w:rPr>
          <w:sz w:val="20"/>
          <w:szCs w:val="20"/>
          <w:color w:val="auto"/>
        </w:rPr>
      </w:pPr>
    </w:p>
    <w:p>
      <w:pPr>
        <w:sectPr>
          <w:pgSz w:w="11900" w:h="16838" w:orient="portrait"/>
          <w:cols w:equalWidth="0" w:num="2">
            <w:col w:w="1900" w:space="520"/>
            <w:col w:w="8740"/>
          </w:cols>
          <w:pgMar w:left="400" w:top="82" w:right="339" w:bottom="1440" w:gutter="0" w:footer="0" w:header="0"/>
          <w:type w:val="continuous"/>
        </w:sectPr>
      </w:pPr>
    </w:p>
    <w:p>
      <w:pPr>
        <w:spacing w:after="0" w:line="309" w:lineRule="exact"/>
        <w:rPr>
          <w:sz w:val="20"/>
          <w:szCs w:val="20"/>
          <w:color w:val="auto"/>
        </w:rPr>
      </w:pPr>
    </w:p>
    <w:p>
      <w:pPr>
        <w:ind w:left="240" w:right="280"/>
        <w:spacing w:after="0" w:line="280" w:lineRule="auto"/>
        <w:rPr>
          <w:sz w:val="20"/>
          <w:szCs w:val="20"/>
          <w:color w:val="auto"/>
        </w:rPr>
      </w:pPr>
      <w:r>
        <w:rPr>
          <w:rFonts w:ascii="Arial" w:cs="Arial" w:eastAsia="Arial" w:hAnsi="Arial"/>
          <w:sz w:val="20"/>
          <w:szCs w:val="20"/>
          <w:color w:val="auto"/>
        </w:rPr>
        <w:t>This acknowledges we approve your prior commitment and unavailability to the Company for the period from and including February 7 through February 9, 2024. You will be required to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60"/>
          </w:cols>
          <w:pgMar w:left="400" w:top="82" w:right="3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240" w:right="320"/>
        <w:spacing w:after="0" w:line="259" w:lineRule="auto"/>
        <w:rPr>
          <w:sz w:val="20"/>
          <w:szCs w:val="20"/>
          <w:color w:val="auto"/>
        </w:rPr>
      </w:pPr>
      <w:r>
        <w:rPr>
          <w:rFonts w:ascii="Arial" w:cs="Arial" w:eastAsia="Arial" w:hAnsi="Arial"/>
          <w:sz w:val="20"/>
          <w:szCs w:val="20"/>
          <w:color w:val="auto"/>
        </w:rPr>
        <w:t>and sign the IMAX Code of Business Conduct and Ethics, the IMAX Confidentiality, Conflict of Interest, and Intellectual Property Agreement, and the IMAX Anti-Bribery and Anti-Corruption policy prior to your start date. Additionally, you will be required to abide by all IMAX policies that pertain to your employment.</w:t>
      </w:r>
    </w:p>
    <w:p>
      <w:pPr>
        <w:spacing w:after="0" w:line="194" w:lineRule="exact"/>
        <w:rPr>
          <w:sz w:val="20"/>
          <w:szCs w:val="20"/>
          <w:color w:val="auto"/>
        </w:rPr>
      </w:pPr>
    </w:p>
    <w:p>
      <w:pPr>
        <w:jc w:val="both"/>
        <w:ind w:left="240" w:right="300"/>
        <w:spacing w:after="0" w:line="280" w:lineRule="auto"/>
        <w:rPr>
          <w:sz w:val="20"/>
          <w:szCs w:val="20"/>
          <w:color w:val="auto"/>
        </w:rPr>
      </w:pPr>
      <w:r>
        <w:rPr>
          <w:rFonts w:ascii="Arial" w:cs="Arial" w:eastAsia="Arial" w:hAnsi="Arial"/>
          <w:sz w:val="20"/>
          <w:szCs w:val="20"/>
          <w:color w:val="auto"/>
        </w:rPr>
        <w:t xml:space="preserve">Please indicate your formal acceptance by signing this offer and returning it via email no later than January 12, 2024 to me at </w:t>
      </w:r>
      <w:r>
        <w:rPr>
          <w:rFonts w:ascii="Arial" w:cs="Arial" w:eastAsia="Arial" w:hAnsi="Arial"/>
          <w:sz w:val="20"/>
          <w:szCs w:val="20"/>
          <w:u w:val="single" w:color="auto"/>
          <w:color w:val="0000FF"/>
        </w:rPr>
        <w:t>mgolden@imax.com</w:t>
      </w:r>
      <w:r>
        <w:rPr>
          <w:rFonts w:ascii="Arial" w:cs="Arial" w:eastAsia="Arial" w:hAnsi="Arial"/>
          <w:sz w:val="20"/>
          <w:szCs w:val="20"/>
          <w:color w:val="auto"/>
        </w:rPr>
        <w:t>.</w:t>
      </w:r>
    </w:p>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400" w:top="8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0" w:right="360"/>
        <w:spacing w:after="0" w:line="266" w:lineRule="auto"/>
        <w:rPr>
          <w:sz w:val="20"/>
          <w:szCs w:val="20"/>
          <w:color w:val="auto"/>
        </w:rPr>
      </w:pPr>
      <w:r>
        <w:rPr>
          <w:rFonts w:ascii="Arial" w:cs="Arial" w:eastAsia="Arial" w:hAnsi="Arial"/>
          <w:sz w:val="20"/>
          <w:szCs w:val="20"/>
          <w:color w:val="auto"/>
        </w:rPr>
        <w:t>Anne, we look forward to having you join the team and hope that you find the opportunity with IMAX both challenging and rewarding.</w:t>
      </w:r>
    </w:p>
    <w:p>
      <w:pPr>
        <w:spacing w:after="0" w:line="37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Sincerely,</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/s/ Michele Golden</w:t>
      </w:r>
    </w:p>
    <w:p>
      <w:pPr>
        <w:spacing w:after="0" w:line="29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Michele Golden</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EVP &amp; Chief People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I accept the above offer of employment as written.</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Anne Globe</w:t>
      </w:r>
    </w:p>
    <w:p>
      <w:pPr>
        <w:spacing w:after="0"/>
        <w:rPr>
          <w:sz w:val="20"/>
          <w:szCs w:val="20"/>
          <w:color w:val="auto"/>
        </w:rPr>
      </w:pPr>
      <w:r>
        <w:rPr>
          <w:rFonts w:ascii="Arial" w:cs="Arial" w:eastAsia="Arial" w:hAnsi="Arial"/>
          <w:sz w:val="20"/>
          <w:szCs w:val="20"/>
          <w:b w:val="1"/>
          <w:bCs w:val="1"/>
          <w:color w:val="auto"/>
        </w:rPr>
        <w:t>Anne Globe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1747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9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8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1"/>
          <w:szCs w:val="21"/>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174750" cy="221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7475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to Employment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04" w:lineRule="exact"/>
        <w:rPr>
          <w:sz w:val="20"/>
          <w:szCs w:val="20"/>
          <w:color w:val="auto"/>
        </w:rPr>
      </w:pPr>
    </w:p>
    <w:p>
      <w:pPr>
        <w:jc w:val="both"/>
        <w:ind w:firstLine="389"/>
        <w:spacing w:after="0" w:line="299" w:lineRule="auto"/>
        <w:rPr>
          <w:sz w:val="20"/>
          <w:szCs w:val="20"/>
          <w:color w:val="auto"/>
        </w:rPr>
      </w:pPr>
      <w:r>
        <w:rPr>
          <w:rFonts w:ascii="Arial" w:cs="Arial" w:eastAsia="Arial" w:hAnsi="Arial"/>
          <w:sz w:val="21"/>
          <w:szCs w:val="21"/>
          <w:color w:val="auto"/>
        </w:rPr>
        <w:t>This agreement (this “Amendment”) amends, effective as of June 1, 2025, the terms and conditions of your employment (the “Employment Terms”) with IMAX Corporation (the “Company”). Except as otherwise expressly set forth below in this Amendment, all other Employment Terms with the Company will remain the same.</w:t>
      </w:r>
    </w:p>
    <w:p>
      <w:pPr>
        <w:spacing w:after="0" w:line="103" w:lineRule="exact"/>
        <w:rPr>
          <w:sz w:val="20"/>
          <w:szCs w:val="20"/>
          <w:color w:val="auto"/>
        </w:rPr>
      </w:pPr>
    </w:p>
    <w:p>
      <w:pPr>
        <w:jc w:val="both"/>
        <w:ind w:firstLine="573"/>
        <w:spacing w:after="0" w:line="319" w:lineRule="auto"/>
        <w:rPr>
          <w:sz w:val="20"/>
          <w:szCs w:val="20"/>
          <w:color w:val="auto"/>
        </w:rPr>
      </w:pPr>
      <w:r>
        <w:rPr>
          <w:rFonts w:ascii="Arial" w:cs="Arial" w:eastAsia="Arial" w:hAnsi="Arial"/>
          <w:sz w:val="21"/>
          <w:szCs w:val="21"/>
          <w:color w:val="auto"/>
        </w:rPr>
        <w:t>WHEREAS, the Company wishes to remove the provision of car allowances and car-related expense reimbursements in the Employment Terms (the “Car Allowance”) and replace with a cash allowance as set forth herein.</w:t>
      </w:r>
    </w:p>
    <w:p>
      <w:pPr>
        <w:spacing w:after="0" w:line="350" w:lineRule="exact"/>
        <w:rPr>
          <w:sz w:val="20"/>
          <w:szCs w:val="20"/>
          <w:color w:val="auto"/>
        </w:rPr>
      </w:pPr>
    </w:p>
    <w:p>
      <w:pPr>
        <w:jc w:val="both"/>
        <w:ind w:right="20" w:firstLine="492"/>
        <w:spacing w:after="0" w:line="333" w:lineRule="auto"/>
        <w:rPr>
          <w:sz w:val="20"/>
          <w:szCs w:val="20"/>
          <w:color w:val="auto"/>
        </w:rPr>
      </w:pPr>
      <w:r>
        <w:rPr>
          <w:rFonts w:ascii="Arial" w:cs="Arial" w:eastAsia="Arial" w:hAnsi="Arial"/>
          <w:sz w:val="21"/>
          <w:szCs w:val="21"/>
          <w:color w:val="auto"/>
        </w:rPr>
        <w:t>NOW, THEREFORE, for good and valuable consideration, the receipt and sufficiency of which is hereby acknowledged, the parties hereto agree to delete the Car Allowance in entirety and replace with the following:</w:t>
      </w:r>
    </w:p>
    <w:p>
      <w:pPr>
        <w:spacing w:after="0" w:line="92" w:lineRule="exact"/>
        <w:rPr>
          <w:sz w:val="20"/>
          <w:szCs w:val="20"/>
          <w:color w:val="auto"/>
        </w:rPr>
      </w:pPr>
    </w:p>
    <w:p>
      <w:pPr>
        <w:jc w:val="both"/>
        <w:ind w:left="2720" w:right="340" w:hanging="2653"/>
        <w:spacing w:after="0" w:line="271" w:lineRule="auto"/>
        <w:tabs>
          <w:tab w:leader="none" w:pos="2700" w:val="left"/>
        </w:tabs>
        <w:rPr>
          <w:sz w:val="20"/>
          <w:szCs w:val="20"/>
          <w:color w:val="auto"/>
        </w:rPr>
      </w:pPr>
      <w:r>
        <w:rPr>
          <w:rFonts w:ascii="Arial" w:cs="Arial" w:eastAsia="Arial" w:hAnsi="Arial"/>
          <w:sz w:val="21"/>
          <w:szCs w:val="21"/>
          <w:b w:val="1"/>
          <w:bCs w:val="1"/>
          <w:color w:val="auto"/>
        </w:rPr>
        <w:t>Cash Allowance:</w:t>
      </w:r>
      <w:r>
        <w:rPr>
          <w:sz w:val="20"/>
          <w:szCs w:val="20"/>
          <w:color w:val="auto"/>
        </w:rPr>
        <w:tab/>
      </w:r>
      <w:r>
        <w:rPr>
          <w:rFonts w:ascii="Arial" w:cs="Arial" w:eastAsia="Arial" w:hAnsi="Arial"/>
          <w:sz w:val="21"/>
          <w:szCs w:val="21"/>
          <w:color w:val="auto"/>
        </w:rPr>
        <w:t>The Company shall pay to you an annual cash allowance of $18,500 CAD, subject to applicable deductions and withholdings. You will be paid pursuant to IMAX’s normal payroll practices. This Cash Allowance program may be amended by the Company in its sole discretion from time to time.</w:t>
      </w:r>
    </w:p>
    <w:p>
      <w:pPr>
        <w:spacing w:after="0" w:line="185" w:lineRule="exact"/>
        <w:rPr>
          <w:sz w:val="20"/>
          <w:szCs w:val="20"/>
          <w:color w:val="auto"/>
        </w:rPr>
      </w:pPr>
    </w:p>
    <w:p>
      <w:pPr>
        <w:jc w:val="both"/>
        <w:ind w:left="2720" w:right="360"/>
        <w:spacing w:after="0" w:line="266" w:lineRule="auto"/>
        <w:rPr>
          <w:sz w:val="20"/>
          <w:szCs w:val="20"/>
          <w:color w:val="auto"/>
        </w:rPr>
      </w:pPr>
      <w:r>
        <w:rPr>
          <w:rFonts w:ascii="Arial" w:cs="Arial" w:eastAsia="Arial" w:hAnsi="Arial"/>
          <w:sz w:val="21"/>
          <w:szCs w:val="21"/>
          <w:color w:val="auto"/>
        </w:rPr>
        <w:t>In case of any resignation or termination of your employment with the Company, the Company shall continue to provide the Cash Allowance to you until the end of the minimum notice of termination period, if any, required to be provided by the Employment Standards Act, 2000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undersigned have duly executed this Amendment as of May 20,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300" w:type="dxa"/>
            <w:vAlign w:val="bottom"/>
            <w:gridSpan w:val="2"/>
          </w:tcPr>
          <w:p>
            <w:pPr>
              <w:ind w:left="20"/>
              <w:spacing w:after="0"/>
              <w:rPr>
                <w:sz w:val="20"/>
                <w:szCs w:val="20"/>
                <w:color w:val="auto"/>
              </w:rPr>
            </w:pPr>
            <w:r>
              <w:rPr>
                <w:rFonts w:ascii="Arial" w:cs="Arial" w:eastAsia="Arial" w:hAnsi="Arial"/>
                <w:sz w:val="21"/>
                <w:szCs w:val="21"/>
                <w:b w:val="1"/>
                <w:bCs w:val="1"/>
                <w:color w:val="auto"/>
              </w:rPr>
              <w:t>IMAX Corporation</w:t>
            </w:r>
          </w:p>
        </w:tc>
        <w:tc>
          <w:tcPr>
            <w:tcW w:w="5660" w:type="dxa"/>
            <w:vAlign w:val="bottom"/>
          </w:tcPr>
          <w:p>
            <w:pPr>
              <w:ind w:left="20"/>
              <w:spacing w:after="0"/>
              <w:rPr>
                <w:sz w:val="20"/>
                <w:szCs w:val="20"/>
                <w:color w:val="auto"/>
              </w:rPr>
            </w:pPr>
            <w:r>
              <w:rPr>
                <w:rFonts w:ascii="Arial" w:cs="Arial" w:eastAsia="Arial" w:hAnsi="Arial"/>
                <w:sz w:val="21"/>
                <w:szCs w:val="21"/>
                <w:b w:val="1"/>
                <w:bCs w:val="1"/>
                <w:color w:val="auto"/>
              </w:rPr>
              <w:t>Jose Zlatar</w:t>
            </w:r>
          </w:p>
        </w:tc>
      </w:tr>
      <w:tr>
        <w:trPr>
          <w:trHeight w:val="785"/>
        </w:trPr>
        <w:tc>
          <w:tcPr>
            <w:tcW w:w="496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Michele Golden</w:t>
            </w:r>
          </w:p>
        </w:tc>
        <w:tc>
          <w:tcPr>
            <w:tcW w:w="340" w:type="dxa"/>
            <w:vAlign w:val="bottom"/>
          </w:tcPr>
          <w:p>
            <w:pPr>
              <w:spacing w:after="0"/>
              <w:rPr>
                <w:sz w:val="24"/>
                <w:szCs w:val="24"/>
                <w:color w:val="auto"/>
              </w:rPr>
            </w:pPr>
          </w:p>
        </w:tc>
        <w:tc>
          <w:tcPr>
            <w:tcW w:w="566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Jose Zlatar</w:t>
            </w:r>
          </w:p>
        </w:tc>
      </w:tr>
      <w:tr>
        <w:trPr>
          <w:trHeight w:val="296"/>
        </w:trPr>
        <w:tc>
          <w:tcPr>
            <w:tcW w:w="5300" w:type="dxa"/>
            <w:vAlign w:val="bottom"/>
            <w:gridSpan w:val="2"/>
          </w:tcPr>
          <w:p>
            <w:pPr>
              <w:ind w:left="80"/>
              <w:spacing w:after="0"/>
              <w:rPr>
                <w:sz w:val="20"/>
                <w:szCs w:val="20"/>
                <w:color w:val="auto"/>
              </w:rPr>
            </w:pPr>
            <w:r>
              <w:rPr>
                <w:rFonts w:ascii="Arial" w:cs="Arial" w:eastAsia="Arial" w:hAnsi="Arial"/>
                <w:sz w:val="21"/>
                <w:szCs w:val="21"/>
                <w:color w:val="auto"/>
              </w:rPr>
              <w:t>Name: Michele Golden</w:t>
            </w:r>
          </w:p>
        </w:tc>
        <w:tc>
          <w:tcPr>
            <w:tcW w:w="5660" w:type="dxa"/>
            <w:vAlign w:val="bottom"/>
          </w:tcPr>
          <w:p>
            <w:pPr>
              <w:ind w:left="60"/>
              <w:spacing w:after="0"/>
              <w:rPr>
                <w:sz w:val="20"/>
                <w:szCs w:val="20"/>
                <w:color w:val="auto"/>
              </w:rPr>
            </w:pPr>
            <w:r>
              <w:rPr>
                <w:rFonts w:ascii="Arial" w:cs="Arial" w:eastAsia="Arial" w:hAnsi="Arial"/>
                <w:sz w:val="21"/>
                <w:szCs w:val="21"/>
                <w:color w:val="auto"/>
              </w:rPr>
              <w:t>Name: Jose Zlatar</w:t>
            </w:r>
          </w:p>
        </w:tc>
      </w:tr>
      <w:tr>
        <w:trPr>
          <w:trHeight w:val="308"/>
        </w:trPr>
        <w:tc>
          <w:tcPr>
            <w:tcW w:w="5300" w:type="dxa"/>
            <w:vAlign w:val="bottom"/>
            <w:gridSpan w:val="2"/>
          </w:tcPr>
          <w:p>
            <w:pPr>
              <w:ind w:left="80"/>
              <w:spacing w:after="0"/>
              <w:rPr>
                <w:sz w:val="20"/>
                <w:szCs w:val="20"/>
                <w:color w:val="auto"/>
              </w:rPr>
            </w:pPr>
            <w:r>
              <w:rPr>
                <w:rFonts w:ascii="Arial" w:cs="Arial" w:eastAsia="Arial" w:hAnsi="Arial"/>
                <w:sz w:val="21"/>
                <w:szCs w:val="21"/>
                <w:color w:val="auto"/>
              </w:rPr>
              <w:t>Title: EVP &amp; Chief People Officer</w:t>
            </w:r>
          </w:p>
        </w:tc>
        <w:tc>
          <w:tcPr>
            <w:tcW w:w="5660" w:type="dxa"/>
            <w:vAlign w:val="bottom"/>
          </w:tcPr>
          <w:p>
            <w:pPr>
              <w:ind w:left="60"/>
              <w:spacing w:after="0"/>
              <w:rPr>
                <w:sz w:val="20"/>
                <w:szCs w:val="20"/>
                <w:color w:val="auto"/>
              </w:rPr>
            </w:pPr>
            <w:r>
              <w:rPr>
                <w:rFonts w:ascii="Arial" w:cs="Arial" w:eastAsia="Arial" w:hAnsi="Arial"/>
                <w:sz w:val="21"/>
                <w:szCs w:val="21"/>
                <w:color w:val="auto"/>
              </w:rPr>
              <w:t>Title: SVP, Finance &amp;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72CE"/>
        </w:rPr>
        <w:t>IMAX Corporation | 2525 Speakman Drive, Mississauga, Ontario, L5K 1B1, Canada</w:t>
      </w:r>
    </w:p>
    <w:p>
      <w:pPr>
        <w:sectPr>
          <w:pgSz w:w="11900" w:h="16838" w:orient="portrait"/>
          <w:cols w:equalWidth="0" w:num="1">
            <w:col w:w="11240"/>
          </w:cols>
          <w:pgMar w:left="320" w:top="12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1"/>
          <w:szCs w:val="21"/>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174750" cy="221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7475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to Employment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04" w:lineRule="exact"/>
        <w:rPr>
          <w:sz w:val="20"/>
          <w:szCs w:val="20"/>
          <w:color w:val="auto"/>
        </w:rPr>
      </w:pPr>
    </w:p>
    <w:p>
      <w:pPr>
        <w:jc w:val="both"/>
        <w:ind w:firstLine="389"/>
        <w:spacing w:after="0" w:line="299" w:lineRule="auto"/>
        <w:rPr>
          <w:sz w:val="20"/>
          <w:szCs w:val="20"/>
          <w:color w:val="auto"/>
        </w:rPr>
      </w:pPr>
      <w:r>
        <w:rPr>
          <w:rFonts w:ascii="Arial" w:cs="Arial" w:eastAsia="Arial" w:hAnsi="Arial"/>
          <w:sz w:val="21"/>
          <w:szCs w:val="21"/>
          <w:color w:val="auto"/>
        </w:rPr>
        <w:t>This agreement (this “Amendment”) amends, effective as of June 1, 2025, the terms and conditions of your employment (the “Employment Terms”) with IMAX Corporation (the “Company”). Except as otherwise expressly set forth below in this Amendment, all other Employment Terms with the Company will remain the same.</w:t>
      </w:r>
    </w:p>
    <w:p>
      <w:pPr>
        <w:spacing w:after="0" w:line="103" w:lineRule="exact"/>
        <w:rPr>
          <w:sz w:val="20"/>
          <w:szCs w:val="20"/>
          <w:color w:val="auto"/>
        </w:rPr>
      </w:pPr>
    </w:p>
    <w:p>
      <w:pPr>
        <w:jc w:val="both"/>
        <w:ind w:firstLine="573"/>
        <w:spacing w:after="0" w:line="319" w:lineRule="auto"/>
        <w:rPr>
          <w:sz w:val="20"/>
          <w:szCs w:val="20"/>
          <w:color w:val="auto"/>
        </w:rPr>
      </w:pPr>
      <w:r>
        <w:rPr>
          <w:rFonts w:ascii="Arial" w:cs="Arial" w:eastAsia="Arial" w:hAnsi="Arial"/>
          <w:sz w:val="21"/>
          <w:szCs w:val="21"/>
          <w:color w:val="auto"/>
        </w:rPr>
        <w:t>WHEREAS, the Company wishes to remove the provision of car allowances and car-related expense reimbursements in the Employment Terms (the “Car Allowance”) and replace with a cash allowance as set forth herein.</w:t>
      </w:r>
    </w:p>
    <w:p>
      <w:pPr>
        <w:spacing w:after="0" w:line="350" w:lineRule="exact"/>
        <w:rPr>
          <w:sz w:val="20"/>
          <w:szCs w:val="20"/>
          <w:color w:val="auto"/>
        </w:rPr>
      </w:pPr>
    </w:p>
    <w:p>
      <w:pPr>
        <w:jc w:val="both"/>
        <w:ind w:right="20" w:firstLine="492"/>
        <w:spacing w:after="0" w:line="333" w:lineRule="auto"/>
        <w:rPr>
          <w:sz w:val="20"/>
          <w:szCs w:val="20"/>
          <w:color w:val="auto"/>
        </w:rPr>
      </w:pPr>
      <w:r>
        <w:rPr>
          <w:rFonts w:ascii="Arial" w:cs="Arial" w:eastAsia="Arial" w:hAnsi="Arial"/>
          <w:sz w:val="21"/>
          <w:szCs w:val="21"/>
          <w:color w:val="auto"/>
        </w:rPr>
        <w:t>NOW, THEREFORE, for good and valuable consideration, the receipt and sufficiency of which is hereby acknowledged, the parties hereto agree to delete the Car Allowance in entirety and replace with the following:</w:t>
      </w:r>
    </w:p>
    <w:p>
      <w:pPr>
        <w:spacing w:after="0" w:line="92" w:lineRule="exact"/>
        <w:rPr>
          <w:sz w:val="20"/>
          <w:szCs w:val="20"/>
          <w:color w:val="auto"/>
        </w:rPr>
      </w:pPr>
    </w:p>
    <w:p>
      <w:pPr>
        <w:jc w:val="both"/>
        <w:ind w:left="2720" w:right="340" w:hanging="2653"/>
        <w:spacing w:after="0" w:line="271" w:lineRule="auto"/>
        <w:tabs>
          <w:tab w:leader="none" w:pos="2700" w:val="left"/>
        </w:tabs>
        <w:rPr>
          <w:sz w:val="20"/>
          <w:szCs w:val="20"/>
          <w:color w:val="auto"/>
        </w:rPr>
      </w:pPr>
      <w:r>
        <w:rPr>
          <w:rFonts w:ascii="Arial" w:cs="Arial" w:eastAsia="Arial" w:hAnsi="Arial"/>
          <w:sz w:val="21"/>
          <w:szCs w:val="21"/>
          <w:b w:val="1"/>
          <w:bCs w:val="1"/>
          <w:color w:val="auto"/>
        </w:rPr>
        <w:t>Cash Allowance:</w:t>
      </w:r>
      <w:r>
        <w:rPr>
          <w:sz w:val="20"/>
          <w:szCs w:val="20"/>
          <w:color w:val="auto"/>
        </w:rPr>
        <w:tab/>
      </w:r>
      <w:r>
        <w:rPr>
          <w:rFonts w:ascii="Arial" w:cs="Arial" w:eastAsia="Arial" w:hAnsi="Arial"/>
          <w:sz w:val="21"/>
          <w:szCs w:val="21"/>
          <w:color w:val="auto"/>
        </w:rPr>
        <w:t>The Company shall pay to you an annual cash allowance of $30,000 USD, subject to applicable deductions and withholdings. You will be paid pursuant to IMAX’s normal payroll practices. This Cash Allowance program may be amended by the Company in its sole discretion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undersigned have duly executed this Amendment as of May 20,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300" w:type="dxa"/>
            <w:vAlign w:val="bottom"/>
            <w:gridSpan w:val="2"/>
          </w:tcPr>
          <w:p>
            <w:pPr>
              <w:ind w:left="20"/>
              <w:spacing w:after="0"/>
              <w:rPr>
                <w:sz w:val="20"/>
                <w:szCs w:val="20"/>
                <w:color w:val="auto"/>
              </w:rPr>
            </w:pPr>
            <w:r>
              <w:rPr>
                <w:rFonts w:ascii="Arial" w:cs="Arial" w:eastAsia="Arial" w:hAnsi="Arial"/>
                <w:sz w:val="21"/>
                <w:szCs w:val="21"/>
                <w:b w:val="1"/>
                <w:bCs w:val="1"/>
                <w:color w:val="auto"/>
              </w:rPr>
              <w:t>IMAX Corporation</w:t>
            </w:r>
          </w:p>
        </w:tc>
        <w:tc>
          <w:tcPr>
            <w:tcW w:w="5660" w:type="dxa"/>
            <w:vAlign w:val="bottom"/>
          </w:tcPr>
          <w:p>
            <w:pPr>
              <w:ind w:left="20"/>
              <w:spacing w:after="0"/>
              <w:rPr>
                <w:sz w:val="20"/>
                <w:szCs w:val="20"/>
                <w:color w:val="auto"/>
              </w:rPr>
            </w:pPr>
            <w:r>
              <w:rPr>
                <w:rFonts w:ascii="Arial" w:cs="Arial" w:eastAsia="Arial" w:hAnsi="Arial"/>
                <w:sz w:val="21"/>
                <w:szCs w:val="21"/>
                <w:b w:val="1"/>
                <w:bCs w:val="1"/>
                <w:color w:val="auto"/>
              </w:rPr>
              <w:t>Anne Globe</w:t>
            </w:r>
          </w:p>
        </w:tc>
      </w:tr>
      <w:tr>
        <w:trPr>
          <w:trHeight w:val="785"/>
        </w:trPr>
        <w:tc>
          <w:tcPr>
            <w:tcW w:w="496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Michele Golden</w:t>
            </w:r>
          </w:p>
        </w:tc>
        <w:tc>
          <w:tcPr>
            <w:tcW w:w="340" w:type="dxa"/>
            <w:vAlign w:val="bottom"/>
          </w:tcPr>
          <w:p>
            <w:pPr>
              <w:spacing w:after="0"/>
              <w:rPr>
                <w:sz w:val="24"/>
                <w:szCs w:val="24"/>
                <w:color w:val="auto"/>
              </w:rPr>
            </w:pPr>
          </w:p>
        </w:tc>
        <w:tc>
          <w:tcPr>
            <w:tcW w:w="566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Anne Globe</w:t>
            </w:r>
          </w:p>
        </w:tc>
      </w:tr>
      <w:tr>
        <w:trPr>
          <w:trHeight w:val="296"/>
        </w:trPr>
        <w:tc>
          <w:tcPr>
            <w:tcW w:w="5300" w:type="dxa"/>
            <w:vAlign w:val="bottom"/>
            <w:gridSpan w:val="2"/>
          </w:tcPr>
          <w:p>
            <w:pPr>
              <w:ind w:left="80"/>
              <w:spacing w:after="0"/>
              <w:rPr>
                <w:sz w:val="20"/>
                <w:szCs w:val="20"/>
                <w:color w:val="auto"/>
              </w:rPr>
            </w:pPr>
            <w:r>
              <w:rPr>
                <w:rFonts w:ascii="Arial" w:cs="Arial" w:eastAsia="Arial" w:hAnsi="Arial"/>
                <w:sz w:val="21"/>
                <w:szCs w:val="21"/>
                <w:color w:val="auto"/>
              </w:rPr>
              <w:t>Name: Michele Golden</w:t>
            </w:r>
          </w:p>
        </w:tc>
        <w:tc>
          <w:tcPr>
            <w:tcW w:w="5660" w:type="dxa"/>
            <w:vAlign w:val="bottom"/>
          </w:tcPr>
          <w:p>
            <w:pPr>
              <w:ind w:left="60"/>
              <w:spacing w:after="0"/>
              <w:rPr>
                <w:sz w:val="20"/>
                <w:szCs w:val="20"/>
                <w:color w:val="auto"/>
              </w:rPr>
            </w:pPr>
            <w:r>
              <w:rPr>
                <w:rFonts w:ascii="Arial" w:cs="Arial" w:eastAsia="Arial" w:hAnsi="Arial"/>
                <w:sz w:val="21"/>
                <w:szCs w:val="21"/>
                <w:color w:val="auto"/>
              </w:rPr>
              <w:t>Name: Anne Globe</w:t>
            </w:r>
          </w:p>
        </w:tc>
      </w:tr>
      <w:tr>
        <w:trPr>
          <w:trHeight w:val="308"/>
        </w:trPr>
        <w:tc>
          <w:tcPr>
            <w:tcW w:w="5300" w:type="dxa"/>
            <w:vAlign w:val="bottom"/>
            <w:gridSpan w:val="2"/>
          </w:tcPr>
          <w:p>
            <w:pPr>
              <w:ind w:left="80"/>
              <w:spacing w:after="0"/>
              <w:rPr>
                <w:sz w:val="20"/>
                <w:szCs w:val="20"/>
                <w:color w:val="auto"/>
              </w:rPr>
            </w:pPr>
            <w:r>
              <w:rPr>
                <w:rFonts w:ascii="Arial" w:cs="Arial" w:eastAsia="Arial" w:hAnsi="Arial"/>
                <w:sz w:val="21"/>
                <w:szCs w:val="21"/>
                <w:color w:val="auto"/>
              </w:rPr>
              <w:t>Title: EVP &amp; Chief People Officer</w:t>
            </w:r>
          </w:p>
        </w:tc>
        <w:tc>
          <w:tcPr>
            <w:tcW w:w="5660" w:type="dxa"/>
            <w:vAlign w:val="bottom"/>
          </w:tcPr>
          <w:p>
            <w:pPr>
              <w:ind w:left="60"/>
              <w:spacing w:after="0"/>
              <w:rPr>
                <w:sz w:val="20"/>
                <w:szCs w:val="20"/>
                <w:color w:val="auto"/>
              </w:rPr>
            </w:pPr>
            <w:r>
              <w:rPr>
                <w:rFonts w:ascii="Arial" w:cs="Arial" w:eastAsia="Arial" w:hAnsi="Arial"/>
                <w:sz w:val="21"/>
                <w:szCs w:val="21"/>
                <w:color w:val="auto"/>
              </w:rPr>
              <w:t>Title: Chief Marketing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72CE"/>
        </w:rPr>
        <w:t>IMAX Corporation | 12582 West Millennium Drive, Los Angeles, CA 90094</w:t>
      </w:r>
    </w:p>
    <w:p>
      <w:pPr>
        <w:sectPr>
          <w:pgSz w:w="11900" w:h="16838" w:orient="portrait"/>
          <w:cols w:equalWidth="0" w:num="1">
            <w:col w:w="11240"/>
          </w:cols>
          <w:pgMar w:left="320" w:top="12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22225</wp:posOffset>
            </wp:positionV>
            <wp:extent cx="1174750" cy="221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7475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E0E0E"/>
        </w:rPr>
        <w:t>Amendment to Employment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22860</wp:posOffset>
            </wp:positionV>
            <wp:extent cx="4962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62525" cy="8255"/>
                    </a:xfrm>
                    <a:prstGeom prst="rect">
                      <a:avLst/>
                    </a:prstGeom>
                    <a:noFill/>
                  </pic:spPr>
                </pic:pic>
              </a:graphicData>
            </a:graphic>
          </wp:anchor>
        </w:drawing>
      </w:r>
    </w:p>
    <w:p>
      <w:pPr>
        <w:spacing w:after="0" w:line="284" w:lineRule="exact"/>
        <w:rPr>
          <w:sz w:val="20"/>
          <w:szCs w:val="20"/>
          <w:color w:val="auto"/>
        </w:rPr>
      </w:pPr>
    </w:p>
    <w:p>
      <w:pPr>
        <w:jc w:val="both"/>
        <w:ind w:left="80" w:right="180" w:firstLine="611"/>
        <w:spacing w:after="0" w:line="329" w:lineRule="auto"/>
        <w:rPr>
          <w:sz w:val="20"/>
          <w:szCs w:val="20"/>
          <w:color w:val="auto"/>
        </w:rPr>
      </w:pPr>
      <w:r>
        <w:rPr>
          <w:rFonts w:ascii="Arial" w:cs="Arial" w:eastAsia="Arial" w:hAnsi="Arial"/>
          <w:sz w:val="19"/>
          <w:szCs w:val="19"/>
          <w:color w:val="0E0E0E"/>
        </w:rPr>
        <w:t>This agreement (this "Amendment") amends, effective as of June 1, 2025, the terms and conditions of your employment agreement dated September 18, 2020, as amended on October 13, 2021 (the "Employment Agreement") with IMAX Corporation (the "Company"). Except as otherwise expressly set forth below in this Amendment, all other Employment Terms with the Company will remain the same.</w:t>
      </w:r>
    </w:p>
    <w:p>
      <w:pPr>
        <w:spacing w:after="0" w:line="116" w:lineRule="exact"/>
        <w:rPr>
          <w:sz w:val="20"/>
          <w:szCs w:val="20"/>
          <w:color w:val="auto"/>
        </w:rPr>
      </w:pPr>
    </w:p>
    <w:p>
      <w:pPr>
        <w:jc w:val="both"/>
        <w:ind w:left="80" w:right="180" w:firstLine="611"/>
        <w:spacing w:after="0" w:line="341" w:lineRule="auto"/>
        <w:rPr>
          <w:sz w:val="20"/>
          <w:szCs w:val="20"/>
          <w:color w:val="auto"/>
        </w:rPr>
      </w:pPr>
      <w:r>
        <w:rPr>
          <w:rFonts w:ascii="Arial" w:cs="Arial" w:eastAsia="Arial" w:hAnsi="Arial"/>
          <w:sz w:val="19"/>
          <w:szCs w:val="19"/>
          <w:color w:val="0E0E0E"/>
        </w:rPr>
        <w:t>WHEREAS, the Company wishes to remove the provision of car allowances and car-related expense reimbursements in the Employment Terms (the "Car Allowance") and replace with a cash allowance as set forth herein.</w:t>
      </w:r>
    </w:p>
    <w:p>
      <w:pPr>
        <w:spacing w:after="0" w:line="103" w:lineRule="exact"/>
        <w:rPr>
          <w:sz w:val="20"/>
          <w:szCs w:val="20"/>
          <w:color w:val="auto"/>
        </w:rPr>
      </w:pPr>
    </w:p>
    <w:p>
      <w:pPr>
        <w:jc w:val="both"/>
        <w:ind w:left="80" w:right="200" w:firstLine="612"/>
        <w:spacing w:after="0" w:line="341" w:lineRule="auto"/>
        <w:rPr>
          <w:sz w:val="20"/>
          <w:szCs w:val="20"/>
          <w:color w:val="auto"/>
        </w:rPr>
      </w:pPr>
      <w:r>
        <w:rPr>
          <w:rFonts w:ascii="Arial" w:cs="Arial" w:eastAsia="Arial" w:hAnsi="Arial"/>
          <w:sz w:val="19"/>
          <w:szCs w:val="19"/>
          <w:color w:val="0E0E0E"/>
        </w:rPr>
        <w:t>NOW, THEREFORE, for good and valuable consideration, the receipt and sufficiency of which is hereby acknowledged, the parties hereto agree to delete the Car Allowance in entirety and replace with the following:</w:t>
      </w:r>
    </w:p>
    <w:p>
      <w:pPr>
        <w:spacing w:after="0" w:line="108" w:lineRule="exact"/>
        <w:rPr>
          <w:sz w:val="20"/>
          <w:szCs w:val="20"/>
          <w:color w:val="auto"/>
        </w:rPr>
      </w:pPr>
    </w:p>
    <w:p>
      <w:pPr>
        <w:ind w:left="140"/>
        <w:spacing w:after="0"/>
        <w:tabs>
          <w:tab w:leader="none" w:pos="3180" w:val="left"/>
        </w:tabs>
        <w:rPr>
          <w:sz w:val="20"/>
          <w:szCs w:val="20"/>
          <w:color w:val="auto"/>
        </w:rPr>
      </w:pPr>
      <w:r>
        <w:rPr>
          <w:rFonts w:ascii="Arial" w:cs="Arial" w:eastAsia="Arial" w:hAnsi="Arial"/>
          <w:sz w:val="19"/>
          <w:szCs w:val="19"/>
          <w:b w:val="1"/>
          <w:bCs w:val="1"/>
          <w:color w:val="0E0E0E"/>
        </w:rPr>
        <w:t>Cash Allowance:</w:t>
      </w:r>
      <w:r>
        <w:rPr>
          <w:sz w:val="20"/>
          <w:szCs w:val="20"/>
          <w:color w:val="auto"/>
        </w:rPr>
        <w:tab/>
      </w:r>
      <w:r>
        <w:rPr>
          <w:rFonts w:ascii="Arial" w:cs="Arial" w:eastAsia="Arial" w:hAnsi="Arial"/>
          <w:sz w:val="19"/>
          <w:szCs w:val="19"/>
          <w:color w:val="0E0E0E"/>
        </w:rPr>
        <w:t>The Company shall pay to you an annual cash allowance of $33,500 CAD, subject to</w:t>
      </w:r>
    </w:p>
    <w:p>
      <w:pPr>
        <w:spacing w:after="0" w:line="41" w:lineRule="exact"/>
        <w:rPr>
          <w:sz w:val="20"/>
          <w:szCs w:val="20"/>
          <w:color w:val="auto"/>
        </w:rPr>
      </w:pPr>
    </w:p>
    <w:p>
      <w:pPr>
        <w:jc w:val="both"/>
        <w:ind w:left="3200" w:right="220"/>
        <w:spacing w:after="0" w:line="249" w:lineRule="auto"/>
        <w:rPr>
          <w:sz w:val="20"/>
          <w:szCs w:val="20"/>
          <w:color w:val="auto"/>
        </w:rPr>
      </w:pPr>
      <w:r>
        <w:rPr>
          <w:rFonts w:ascii="Arial" w:cs="Arial" w:eastAsia="Arial" w:hAnsi="Arial"/>
          <w:sz w:val="20"/>
          <w:szCs w:val="20"/>
          <w:color w:val="0E0E0E"/>
        </w:rPr>
        <w:t>applicable deductions and withholdings. You will be paid pursuant to IMAX's normal payroll practices. This Cash Allowance program may be amended by the Company in its sole discretion from time to time.</w:t>
      </w:r>
    </w:p>
    <w:p>
      <w:pPr>
        <w:spacing w:after="0" w:line="200" w:lineRule="exact"/>
        <w:rPr>
          <w:sz w:val="20"/>
          <w:szCs w:val="20"/>
          <w:color w:val="auto"/>
        </w:rPr>
      </w:pPr>
    </w:p>
    <w:p>
      <w:pPr>
        <w:spacing w:after="0" w:line="388" w:lineRule="exact"/>
        <w:rPr>
          <w:sz w:val="20"/>
          <w:szCs w:val="20"/>
          <w:color w:val="auto"/>
        </w:rPr>
      </w:pPr>
    </w:p>
    <w:p>
      <w:pPr>
        <w:ind w:left="60" w:right="3660" w:hanging="3"/>
        <w:spacing w:after="0" w:line="367" w:lineRule="auto"/>
        <w:rPr>
          <w:sz w:val="20"/>
          <w:szCs w:val="20"/>
          <w:color w:val="auto"/>
        </w:rPr>
      </w:pPr>
      <w:r>
        <w:rPr>
          <w:rFonts w:ascii="Arial" w:cs="Arial" w:eastAsia="Arial" w:hAnsi="Arial"/>
          <w:sz w:val="19"/>
          <w:szCs w:val="19"/>
          <w:color w:val="0E0E0E"/>
        </w:rPr>
        <w:t xml:space="preserve">IN WITNESS WHEREOF, the undersigned have duly executed this Amendment as of May </w:t>
      </w:r>
      <w:r>
        <w:rPr>
          <w:rFonts w:ascii="Arial" w:cs="Arial" w:eastAsia="Arial" w:hAnsi="Arial"/>
          <w:sz w:val="19"/>
          <w:szCs w:val="19"/>
          <w:b w:val="1"/>
          <w:bCs w:val="1"/>
          <w:color w:val="0E0E0E"/>
        </w:rPr>
        <w:t>20, 2025.</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440" w:type="dxa"/>
            <w:vAlign w:val="bottom"/>
            <w:gridSpan w:val="2"/>
          </w:tcPr>
          <w:p>
            <w:pPr>
              <w:ind w:left="60"/>
              <w:spacing w:after="0"/>
              <w:rPr>
                <w:sz w:val="20"/>
                <w:szCs w:val="20"/>
                <w:color w:val="auto"/>
              </w:rPr>
            </w:pPr>
            <w:r>
              <w:rPr>
                <w:rFonts w:ascii="Arial" w:cs="Arial" w:eastAsia="Arial" w:hAnsi="Arial"/>
                <w:sz w:val="19"/>
                <w:szCs w:val="19"/>
                <w:b w:val="1"/>
                <w:bCs w:val="1"/>
                <w:color w:val="auto"/>
              </w:rPr>
              <w:t>IMAX Corporation</w:t>
            </w:r>
          </w:p>
        </w:tc>
        <w:tc>
          <w:tcPr>
            <w:tcW w:w="5560" w:type="dxa"/>
            <w:vAlign w:val="bottom"/>
          </w:tcPr>
          <w:p>
            <w:pPr>
              <w:ind w:left="60"/>
              <w:spacing w:after="0"/>
              <w:rPr>
                <w:sz w:val="20"/>
                <w:szCs w:val="20"/>
                <w:color w:val="auto"/>
              </w:rPr>
            </w:pPr>
            <w:r>
              <w:rPr>
                <w:rFonts w:ascii="Arial" w:cs="Arial" w:eastAsia="Arial" w:hAnsi="Arial"/>
                <w:sz w:val="19"/>
                <w:szCs w:val="19"/>
                <w:b w:val="1"/>
                <w:bCs w:val="1"/>
                <w:color w:val="auto"/>
              </w:rPr>
              <w:t>Mark Welton</w:t>
            </w:r>
          </w:p>
        </w:tc>
      </w:tr>
      <w:tr>
        <w:trPr>
          <w:trHeight w:val="241"/>
        </w:trPr>
        <w:tc>
          <w:tcPr>
            <w:tcW w:w="510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Michele Golden</w:t>
            </w:r>
          </w:p>
        </w:tc>
        <w:tc>
          <w:tcPr>
            <w:tcW w:w="340" w:type="dxa"/>
            <w:vAlign w:val="bottom"/>
          </w:tcPr>
          <w:p>
            <w:pPr>
              <w:spacing w:after="0"/>
              <w:rPr>
                <w:sz w:val="20"/>
                <w:szCs w:val="20"/>
                <w:color w:val="auto"/>
              </w:rPr>
            </w:pPr>
          </w:p>
        </w:tc>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Mark Welton</w:t>
            </w:r>
          </w:p>
        </w:tc>
      </w:tr>
      <w:tr>
        <w:trPr>
          <w:trHeight w:val="322"/>
        </w:trPr>
        <w:tc>
          <w:tcPr>
            <w:tcW w:w="5440" w:type="dxa"/>
            <w:vAlign w:val="bottom"/>
            <w:gridSpan w:val="2"/>
          </w:tcPr>
          <w:p>
            <w:pPr>
              <w:ind w:left="60"/>
              <w:spacing w:after="0"/>
              <w:rPr>
                <w:sz w:val="20"/>
                <w:szCs w:val="20"/>
                <w:color w:val="auto"/>
              </w:rPr>
            </w:pPr>
            <w:r>
              <w:rPr>
                <w:rFonts w:ascii="Arial" w:cs="Arial" w:eastAsia="Arial" w:hAnsi="Arial"/>
                <w:sz w:val="19"/>
                <w:szCs w:val="19"/>
                <w:color w:val="auto"/>
              </w:rPr>
              <w:t>Name: Michele Golden</w:t>
            </w:r>
          </w:p>
        </w:tc>
        <w:tc>
          <w:tcPr>
            <w:tcW w:w="5560" w:type="dxa"/>
            <w:vAlign w:val="bottom"/>
          </w:tcPr>
          <w:p>
            <w:pPr>
              <w:ind w:left="60"/>
              <w:spacing w:after="0"/>
              <w:rPr>
                <w:sz w:val="20"/>
                <w:szCs w:val="20"/>
                <w:color w:val="auto"/>
              </w:rPr>
            </w:pPr>
            <w:r>
              <w:rPr>
                <w:rFonts w:ascii="Arial" w:cs="Arial" w:eastAsia="Arial" w:hAnsi="Arial"/>
                <w:sz w:val="19"/>
                <w:szCs w:val="19"/>
                <w:color w:val="auto"/>
              </w:rPr>
              <w:t>Name: Mark Welton</w:t>
            </w:r>
          </w:p>
        </w:tc>
      </w:tr>
      <w:tr>
        <w:trPr>
          <w:trHeight w:val="295"/>
        </w:trPr>
        <w:tc>
          <w:tcPr>
            <w:tcW w:w="5440" w:type="dxa"/>
            <w:vAlign w:val="bottom"/>
            <w:gridSpan w:val="2"/>
          </w:tcPr>
          <w:p>
            <w:pPr>
              <w:ind w:left="60"/>
              <w:spacing w:after="0"/>
              <w:rPr>
                <w:sz w:val="20"/>
                <w:szCs w:val="20"/>
                <w:color w:val="auto"/>
              </w:rPr>
            </w:pPr>
            <w:r>
              <w:rPr>
                <w:rFonts w:ascii="Arial" w:cs="Arial" w:eastAsia="Arial" w:hAnsi="Arial"/>
                <w:sz w:val="19"/>
                <w:szCs w:val="19"/>
                <w:color w:val="auto"/>
              </w:rPr>
              <w:t>Title: EVP &amp; Chief People Officer</w:t>
            </w:r>
          </w:p>
        </w:tc>
        <w:tc>
          <w:tcPr>
            <w:tcW w:w="5560" w:type="dxa"/>
            <w:vAlign w:val="bottom"/>
          </w:tcPr>
          <w:p>
            <w:pPr>
              <w:ind w:left="60"/>
              <w:spacing w:after="0"/>
              <w:rPr>
                <w:sz w:val="20"/>
                <w:szCs w:val="20"/>
                <w:color w:val="auto"/>
              </w:rPr>
            </w:pPr>
            <w:r>
              <w:rPr>
                <w:rFonts w:ascii="Arial" w:cs="Arial" w:eastAsia="Arial" w:hAnsi="Arial"/>
                <w:sz w:val="19"/>
                <w:szCs w:val="19"/>
                <w:color w:val="auto"/>
              </w:rPr>
              <w:t>Title: President, IMAX Global Theatres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0034BD"/>
        </w:rPr>
        <w:t xml:space="preserve">IMAX Corporation </w:t>
      </w:r>
      <w:r>
        <w:rPr>
          <w:rFonts w:ascii="Arial" w:cs="Arial" w:eastAsia="Arial" w:hAnsi="Arial"/>
          <w:sz w:val="16"/>
          <w:szCs w:val="16"/>
          <w:color w:val="0034BD"/>
        </w:rPr>
        <w:t>I</w:t>
      </w:r>
      <w:r>
        <w:rPr>
          <w:rFonts w:ascii="Arial" w:cs="Arial" w:eastAsia="Arial" w:hAnsi="Arial"/>
          <w:sz w:val="13"/>
          <w:szCs w:val="13"/>
          <w:b w:val="1"/>
          <w:bCs w:val="1"/>
          <w:color w:val="0034BD"/>
        </w:rPr>
        <w:t xml:space="preserve"> </w:t>
      </w:r>
      <w:r>
        <w:rPr>
          <w:rFonts w:ascii="Arial" w:cs="Arial" w:eastAsia="Arial" w:hAnsi="Arial"/>
          <w:sz w:val="11"/>
          <w:szCs w:val="11"/>
          <w:color w:val="0034BD"/>
        </w:rPr>
        <w:t>2525 Speakman Drive, Mississauga, Ontario, L5K 1B1, Canada</w:t>
      </w:r>
    </w:p>
    <w:p>
      <w:pPr>
        <w:sectPr>
          <w:pgSz w:w="11900" w:h="16838" w:orient="portrait"/>
          <w:cols w:equalWidth="0" w:num="1">
            <w:col w:w="11200"/>
          </w:cols>
          <w:pgMar w:left="360" w:top="70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1"/>
          <w:szCs w:val="21"/>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17780</wp:posOffset>
            </wp:positionV>
            <wp:extent cx="1174750" cy="221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7475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Amendment to Employment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154305</wp:posOffset>
            </wp:positionV>
            <wp:extent cx="52095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0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80" w:right="320" w:firstLine="642"/>
        <w:spacing w:after="0" w:line="304" w:lineRule="auto"/>
        <w:rPr>
          <w:sz w:val="20"/>
          <w:szCs w:val="20"/>
          <w:color w:val="auto"/>
        </w:rPr>
      </w:pPr>
      <w:r>
        <w:rPr>
          <w:rFonts w:ascii="Arial" w:cs="Arial" w:eastAsia="Arial" w:hAnsi="Arial"/>
          <w:sz w:val="21"/>
          <w:szCs w:val="21"/>
          <w:color w:val="auto"/>
        </w:rPr>
        <w:t>This agreement (this “Amendment”) amends, effective as of June 1, 2025, the terms and conditions of your employment (the “Employment Terms”) with IMAX Corporation (the “Company”). Except as otherwise expressly set forth below in this Amendment, all other Employment Terms with the Company will remain the same.</w:t>
      </w:r>
    </w:p>
    <w:p>
      <w:pPr>
        <w:spacing w:after="0" w:line="369" w:lineRule="exact"/>
        <w:rPr>
          <w:sz w:val="20"/>
          <w:szCs w:val="20"/>
          <w:color w:val="auto"/>
        </w:rPr>
      </w:pPr>
    </w:p>
    <w:p>
      <w:pPr>
        <w:jc w:val="both"/>
        <w:ind w:left="180" w:right="320" w:firstLine="642"/>
        <w:spacing w:after="0" w:line="306" w:lineRule="auto"/>
        <w:rPr>
          <w:sz w:val="20"/>
          <w:szCs w:val="20"/>
          <w:color w:val="auto"/>
        </w:rPr>
      </w:pPr>
      <w:r>
        <w:rPr>
          <w:rFonts w:ascii="Arial" w:cs="Arial" w:eastAsia="Arial" w:hAnsi="Arial"/>
          <w:sz w:val="21"/>
          <w:szCs w:val="21"/>
          <w:color w:val="auto"/>
        </w:rPr>
        <w:t>WHEREAS, the Company wishes to remove the provision of car allowances and car-related expense reimbursements in the Employment Terms (the “Car Allowance”) and replace with a cash allowance as set forth herein.</w:t>
      </w:r>
    </w:p>
    <w:p>
      <w:pPr>
        <w:spacing w:after="0" w:line="82" w:lineRule="exact"/>
        <w:rPr>
          <w:sz w:val="20"/>
          <w:szCs w:val="20"/>
          <w:color w:val="auto"/>
        </w:rPr>
      </w:pPr>
    </w:p>
    <w:p>
      <w:pPr>
        <w:jc w:val="both"/>
        <w:ind w:left="180" w:right="320" w:firstLine="642"/>
        <w:spacing w:after="0" w:line="320" w:lineRule="auto"/>
        <w:rPr>
          <w:sz w:val="20"/>
          <w:szCs w:val="20"/>
          <w:color w:val="auto"/>
        </w:rPr>
      </w:pPr>
      <w:r>
        <w:rPr>
          <w:rFonts w:ascii="Arial" w:cs="Arial" w:eastAsia="Arial" w:hAnsi="Arial"/>
          <w:sz w:val="21"/>
          <w:szCs w:val="21"/>
          <w:color w:val="auto"/>
        </w:rPr>
        <w:t>NOW, THEREFORE, for good and valuable consideration, the receipt and sufficiency of which is hereby acknowledged, the parties hereto agree to delete the Car Allowance in entirety and replace with the following:</w:t>
      </w:r>
    </w:p>
    <w:p>
      <w:pPr>
        <w:spacing w:after="0" w:line="120" w:lineRule="exact"/>
        <w:rPr>
          <w:sz w:val="20"/>
          <w:szCs w:val="20"/>
          <w:color w:val="auto"/>
        </w:rPr>
      </w:pPr>
    </w:p>
    <w:p>
      <w:pPr>
        <w:jc w:val="both"/>
        <w:ind w:left="2980" w:right="1040" w:hanging="2835"/>
        <w:spacing w:after="0" w:line="266" w:lineRule="auto"/>
        <w:tabs>
          <w:tab w:leader="none" w:pos="2960" w:val="left"/>
        </w:tabs>
        <w:rPr>
          <w:sz w:val="20"/>
          <w:szCs w:val="20"/>
          <w:color w:val="auto"/>
        </w:rPr>
      </w:pPr>
      <w:r>
        <w:rPr>
          <w:rFonts w:ascii="Arial" w:cs="Arial" w:eastAsia="Arial" w:hAnsi="Arial"/>
          <w:sz w:val="21"/>
          <w:szCs w:val="21"/>
          <w:b w:val="1"/>
          <w:bCs w:val="1"/>
          <w:color w:val="0E0E0E"/>
        </w:rPr>
        <w:t>Cash Allowance:</w:t>
      </w:r>
      <w:r>
        <w:rPr>
          <w:sz w:val="20"/>
          <w:szCs w:val="20"/>
          <w:color w:val="auto"/>
        </w:rPr>
        <w:tab/>
      </w:r>
      <w:r>
        <w:rPr>
          <w:rFonts w:ascii="Arial" w:cs="Arial" w:eastAsia="Arial" w:hAnsi="Arial"/>
          <w:sz w:val="21"/>
          <w:szCs w:val="21"/>
          <w:color w:val="0E0E0E"/>
        </w:rPr>
        <w:t>The Company shall pay to you an annual cash allowance of $33,500 CAD, subject to applicable deductions and withholdings. You will be paid pursuant to IMAX's normal payroll practices. This Cash Allowance program may be amended by the Company in its sole discretion from time to time.</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21"/>
          <w:szCs w:val="21"/>
          <w:color w:val="0E0E0E"/>
        </w:rPr>
        <w:t>IN WITNESS WHEREOF, the undersigned have duly executed this Amendment as of May 20, 2025.</w:t>
      </w:r>
    </w:p>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268"/>
        </w:trPr>
        <w:tc>
          <w:tcPr>
            <w:tcW w:w="5020" w:type="dxa"/>
            <w:vAlign w:val="bottom"/>
            <w:gridSpan w:val="2"/>
          </w:tcPr>
          <w:p>
            <w:pPr>
              <w:ind w:left="80"/>
              <w:spacing w:after="0"/>
              <w:rPr>
                <w:sz w:val="20"/>
                <w:szCs w:val="20"/>
                <w:color w:val="auto"/>
              </w:rPr>
            </w:pPr>
            <w:r>
              <w:rPr>
                <w:rFonts w:ascii="Arial" w:cs="Arial" w:eastAsia="Arial" w:hAnsi="Arial"/>
                <w:sz w:val="21"/>
                <w:szCs w:val="21"/>
                <w:b w:val="1"/>
                <w:bCs w:val="1"/>
                <w:color w:val="auto"/>
              </w:rPr>
              <w:t>IMAX Corporation</w:t>
            </w:r>
          </w:p>
        </w:tc>
        <w:tc>
          <w:tcPr>
            <w:tcW w:w="5160" w:type="dxa"/>
            <w:vAlign w:val="bottom"/>
          </w:tcPr>
          <w:p>
            <w:pPr>
              <w:ind w:left="80"/>
              <w:spacing w:after="0"/>
              <w:rPr>
                <w:sz w:val="20"/>
                <w:szCs w:val="20"/>
                <w:color w:val="auto"/>
              </w:rPr>
            </w:pPr>
            <w:r>
              <w:rPr>
                <w:rFonts w:ascii="Arial" w:cs="Arial" w:eastAsia="Arial" w:hAnsi="Arial"/>
                <w:sz w:val="21"/>
                <w:szCs w:val="21"/>
                <w:b w:val="1"/>
                <w:bCs w:val="1"/>
                <w:color w:val="auto"/>
              </w:rPr>
              <w:t>Natasha Fernandes</w:t>
            </w:r>
          </w:p>
        </w:tc>
        <w:tc>
          <w:tcPr>
            <w:tcW w:w="0" w:type="dxa"/>
            <w:vAlign w:val="bottom"/>
          </w:tcPr>
          <w:p>
            <w:pPr>
              <w:spacing w:after="0"/>
              <w:rPr>
                <w:sz w:val="1"/>
                <w:szCs w:val="1"/>
                <w:color w:val="auto"/>
              </w:rPr>
            </w:pPr>
          </w:p>
        </w:tc>
      </w:tr>
      <w:tr>
        <w:trPr>
          <w:trHeight w:val="296"/>
        </w:trPr>
        <w:tc>
          <w:tcPr>
            <w:tcW w:w="5020" w:type="dxa"/>
            <w:vAlign w:val="bottom"/>
            <w:gridSpan w:val="2"/>
          </w:tcPr>
          <w:p>
            <w:pPr>
              <w:ind w:left="80"/>
              <w:spacing w:after="0"/>
              <w:rPr>
                <w:sz w:val="20"/>
                <w:szCs w:val="20"/>
                <w:color w:val="auto"/>
              </w:rPr>
            </w:pPr>
            <w:r>
              <w:rPr>
                <w:rFonts w:ascii="Arial" w:cs="Arial" w:eastAsia="Arial" w:hAnsi="Arial"/>
                <w:sz w:val="21"/>
                <w:szCs w:val="21"/>
                <w:b w:val="1"/>
                <w:bCs w:val="1"/>
                <w:color w:val="auto"/>
              </w:rPr>
              <w:t>/s/ Michele Golden</w:t>
            </w:r>
          </w:p>
        </w:tc>
        <w:tc>
          <w:tcPr>
            <w:tcW w:w="5160" w:type="dxa"/>
            <w:vAlign w:val="bottom"/>
            <w:vMerge w:val="restart"/>
          </w:tcPr>
          <w:p>
            <w:pPr>
              <w:ind w:left="100"/>
              <w:spacing w:after="0"/>
              <w:rPr>
                <w:sz w:val="20"/>
                <w:szCs w:val="20"/>
                <w:color w:val="auto"/>
              </w:rPr>
            </w:pPr>
            <w:r>
              <w:rPr>
                <w:rFonts w:ascii="Arial" w:cs="Arial" w:eastAsia="Arial" w:hAnsi="Arial"/>
                <w:sz w:val="21"/>
                <w:szCs w:val="21"/>
                <w:color w:val="auto"/>
              </w:rPr>
              <w:t>/s/ Natasha Fernandes</w:t>
            </w:r>
          </w:p>
        </w:tc>
        <w:tc>
          <w:tcPr>
            <w:tcW w:w="0" w:type="dxa"/>
            <w:vAlign w:val="bottom"/>
          </w:tcPr>
          <w:p>
            <w:pPr>
              <w:spacing w:after="0"/>
              <w:rPr>
                <w:sz w:val="1"/>
                <w:szCs w:val="1"/>
                <w:color w:val="auto"/>
              </w:rPr>
            </w:pPr>
          </w:p>
        </w:tc>
      </w:tr>
      <w:tr>
        <w:trPr>
          <w:trHeight w:val="82"/>
        </w:trPr>
        <w:tc>
          <w:tcPr>
            <w:tcW w:w="4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4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5020" w:type="dxa"/>
            <w:vAlign w:val="bottom"/>
            <w:gridSpan w:val="2"/>
          </w:tcPr>
          <w:p>
            <w:pPr>
              <w:ind w:left="80"/>
              <w:spacing w:after="0"/>
              <w:rPr>
                <w:sz w:val="20"/>
                <w:szCs w:val="20"/>
                <w:color w:val="auto"/>
              </w:rPr>
            </w:pPr>
            <w:r>
              <w:rPr>
                <w:rFonts w:ascii="Arial" w:cs="Arial" w:eastAsia="Arial" w:hAnsi="Arial"/>
                <w:sz w:val="21"/>
                <w:szCs w:val="21"/>
                <w:color w:val="auto"/>
              </w:rPr>
              <w:t>Name: Michele Golden</w:t>
            </w:r>
          </w:p>
        </w:tc>
        <w:tc>
          <w:tcPr>
            <w:tcW w:w="5160" w:type="dxa"/>
            <w:vAlign w:val="bottom"/>
          </w:tcPr>
          <w:p>
            <w:pPr>
              <w:ind w:left="100"/>
              <w:spacing w:after="0"/>
              <w:rPr>
                <w:sz w:val="20"/>
                <w:szCs w:val="20"/>
                <w:color w:val="auto"/>
              </w:rPr>
            </w:pPr>
            <w:r>
              <w:rPr>
                <w:rFonts w:ascii="Arial" w:cs="Arial" w:eastAsia="Arial" w:hAnsi="Arial"/>
                <w:sz w:val="21"/>
                <w:szCs w:val="21"/>
                <w:color w:val="auto"/>
              </w:rPr>
              <w:t>Name: Natasha Fernandes</w:t>
            </w:r>
          </w:p>
        </w:tc>
        <w:tc>
          <w:tcPr>
            <w:tcW w:w="0" w:type="dxa"/>
            <w:vAlign w:val="bottom"/>
          </w:tcPr>
          <w:p>
            <w:pPr>
              <w:spacing w:after="0"/>
              <w:rPr>
                <w:sz w:val="1"/>
                <w:szCs w:val="1"/>
                <w:color w:val="auto"/>
              </w:rPr>
            </w:pPr>
          </w:p>
        </w:tc>
      </w:tr>
      <w:tr>
        <w:trPr>
          <w:trHeight w:val="335"/>
        </w:trPr>
        <w:tc>
          <w:tcPr>
            <w:tcW w:w="5020" w:type="dxa"/>
            <w:vAlign w:val="bottom"/>
            <w:gridSpan w:val="2"/>
          </w:tcPr>
          <w:p>
            <w:pPr>
              <w:ind w:left="80"/>
              <w:spacing w:after="0"/>
              <w:rPr>
                <w:sz w:val="20"/>
                <w:szCs w:val="20"/>
                <w:color w:val="auto"/>
              </w:rPr>
            </w:pPr>
            <w:r>
              <w:rPr>
                <w:rFonts w:ascii="Arial" w:cs="Arial" w:eastAsia="Arial" w:hAnsi="Arial"/>
                <w:sz w:val="21"/>
                <w:szCs w:val="21"/>
                <w:color w:val="auto"/>
              </w:rPr>
              <w:t>Title: EVP &amp; Chief People Officer</w:t>
            </w:r>
          </w:p>
        </w:tc>
        <w:tc>
          <w:tcPr>
            <w:tcW w:w="5160" w:type="dxa"/>
            <w:vAlign w:val="bottom"/>
          </w:tcPr>
          <w:p>
            <w:pPr>
              <w:ind w:left="100"/>
              <w:spacing w:after="0"/>
              <w:rPr>
                <w:sz w:val="20"/>
                <w:szCs w:val="20"/>
                <w:color w:val="auto"/>
              </w:rPr>
            </w:pPr>
            <w:r>
              <w:rPr>
                <w:rFonts w:ascii="Arial" w:cs="Arial" w:eastAsia="Arial" w:hAnsi="Arial"/>
                <w:sz w:val="21"/>
                <w:szCs w:val="21"/>
                <w:color w:val="auto"/>
              </w:rPr>
              <w:t>Title: EVP,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71CE"/>
        </w:rPr>
        <w:t xml:space="preserve">IMAX Corporation </w:t>
      </w:r>
      <w:r>
        <w:rPr>
          <w:rFonts w:ascii="Arial" w:cs="Arial" w:eastAsia="Arial" w:hAnsi="Arial"/>
          <w:sz w:val="13"/>
          <w:szCs w:val="13"/>
          <w:b w:val="1"/>
          <w:bCs w:val="1"/>
          <w:color w:val="0071CE"/>
        </w:rPr>
        <w:t>| 2525 Speakman Drive, Mississauga, Ontario, L5K 1B1, Canada</w:t>
      </w:r>
    </w:p>
    <w:p>
      <w:pPr>
        <w:sectPr>
          <w:pgSz w:w="11900" w:h="16838" w:orient="portrait"/>
          <w:cols w:equalWidth="0" w:num="1">
            <w:col w:w="11200"/>
          </w:cols>
          <w:pgMar w:left="360" w:top="12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49" w:lineRule="exact"/>
        <w:rPr>
          <w:sz w:val="20"/>
          <w:szCs w:val="20"/>
          <w:color w:val="auto"/>
        </w:rPr>
      </w:pPr>
    </w:p>
    <w:p>
      <w:pPr>
        <w:ind w:left="380" w:hanging="320"/>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Gelfond</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Gelfond</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49" w:lineRule="exact"/>
        <w:rPr>
          <w:sz w:val="20"/>
          <w:szCs w:val="20"/>
          <w:color w:val="auto"/>
        </w:rPr>
      </w:pPr>
    </w:p>
    <w:p>
      <w:pPr>
        <w:ind w:left="380" w:hanging="320"/>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55"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020" w:hanging="317"/>
        <w:spacing w:after="0" w:line="253" w:lineRule="auto"/>
        <w:tabs>
          <w:tab w:leader="none" w:pos="10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940" w:type="dxa"/>
            <w:vAlign w:val="bottom"/>
          </w:tcPr>
          <w:p>
            <w:pPr>
              <w:ind w:left="196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1">
            <w:col w:w="11240"/>
          </w:cols>
          <w:pgMar w:left="320" w:top="756"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204"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79"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780" w:type="dxa"/>
            <w:vAlign w:val="bottom"/>
          </w:tcPr>
          <w:p>
            <w:pPr>
              <w:ind w:left="202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 w:lineRule="exact"/>
        <w:rPr>
          <w:sz w:val="20"/>
          <w:szCs w:val="20"/>
          <w:color w:val="auto"/>
        </w:rPr>
      </w:pP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Roman"/>
      <w:start w:val="4"/>
    </w:lvl>
  </w:abstractNum>
  <w:abstractNum w:abstractNumId="4">
    <w:nsid w:val="4353D0CD"/>
    <w:multiLevelType w:val="hybridMultilevel"/>
    <w:lvl w:ilvl="0">
      <w:lvlJc w:val="left"/>
      <w:lvlText w:val="(%1)"/>
      <w:numFmt w:val="lowerRoman"/>
      <w:start w:val="6"/>
    </w:lvl>
  </w:abstractNum>
  <w:abstractNum w:abstractNumId="5">
    <w:nsid w:val="B03E0C6"/>
    <w:multiLevelType w:val="hybridMultilevel"/>
    <w:lvl w:ilvl="0">
      <w:lvlJc w:val="left"/>
      <w:lvlText w:val="(%1)"/>
      <w:numFmt w:val="lowerRoman"/>
      <w:start w:val="9"/>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1."/>
      <w:numFmt w:val="decimal"/>
      <w:start w:val="4"/>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1."/>
      <w:numFmt w:val="decimal"/>
      <w:start w:val="6"/>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emdash "/>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emdash "/>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emdash "/>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Roman"/>
      <w:start w:val="3"/>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2025-07-24T07:55:48Z</dcterms:created>
  <dcterms:modified xsi:type="dcterms:W3CDTF">2025-07-24T07:55:48Z</dcterms:modified>
</cp:coreProperties>
</file>