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608330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625475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jc w:val="center"/>
        <w:ind w:left="3660" w:right="980" w:hanging="2679"/>
        <w:spacing w:after="0" w:line="255" w:lineRule="auto"/>
        <w:tabs>
          <w:tab w:leader="none" w:pos="11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jc w:val="center"/>
        <w:ind w:left="4380" w:right="960" w:hanging="3406"/>
        <w:spacing w:after="0" w:line="251" w:lineRule="auto"/>
        <w:tabs>
          <w:tab w:leader="none" w:pos="118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1306" w:right="3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65" w:lineRule="exact"/>
        <w:rPr>
          <w:sz w:val="24"/>
          <w:szCs w:val="24"/>
          <w:color w:val="auto"/>
        </w:rPr>
      </w:pPr>
    </w:p>
    <w:p>
      <w:pPr>
        <w:ind w:left="20" w:right="860"/>
        <w:spacing w:after="0" w:line="309"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98-0140269</w:t>
      </w:r>
    </w:p>
    <w:p>
      <w:pPr>
        <w:spacing w:after="0" w:line="13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62" w:lineRule="exact"/>
        <w:rPr>
          <w:sz w:val="24"/>
          <w:szCs w:val="24"/>
          <w:color w:val="auto"/>
        </w:rPr>
      </w:pPr>
    </w:p>
    <w:p>
      <w:pPr>
        <w:sectPr>
          <w:pgSz w:w="11900" w:h="16838" w:orient="portrait"/>
          <w:cols w:equalWidth="0" w:num="2">
            <w:col w:w="3040" w:space="720"/>
            <w:col w:w="7480"/>
          </w:cols>
          <w:pgMar w:left="320" w:top="1306" w:right="339" w:bottom="784" w:gutter="0" w:footer="0" w:header="0"/>
          <w:type w:val="continuous"/>
        </w:sect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2525 Speakman Drive,</w:t>
      </w:r>
      <w:r>
        <w:rPr>
          <w:sz w:val="20"/>
          <w:szCs w:val="20"/>
          <w:color w:val="auto"/>
        </w:rPr>
        <w:tab/>
      </w:r>
      <w:r>
        <w:rPr>
          <w:rFonts w:ascii="Times New Roman" w:cs="Times New Roman" w:eastAsia="Times New Roman" w:hAnsi="Times New Roman"/>
          <w:sz w:val="17"/>
          <w:szCs w:val="17"/>
          <w:b w:val="1"/>
          <w:bCs w:val="1"/>
          <w:color w:val="auto"/>
        </w:rPr>
        <w:t>902 Broadway, Floor 20</w:t>
      </w:r>
    </w:p>
    <w:p>
      <w:pPr>
        <w:spacing w:after="0" w:line="30"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Mississauga, Ontario, Canada L5K 1B1</w:t>
      </w:r>
      <w:r>
        <w:rPr>
          <w:sz w:val="20"/>
          <w:szCs w:val="20"/>
          <w:color w:val="auto"/>
        </w:rPr>
        <w:tab/>
      </w:r>
      <w:r>
        <w:rPr>
          <w:rFonts w:ascii="Times New Roman" w:cs="Times New Roman" w:eastAsia="Times New Roman" w:hAnsi="Times New Roman"/>
          <w:sz w:val="17"/>
          <w:szCs w:val="17"/>
          <w:b w:val="1"/>
          <w:bCs w:val="1"/>
          <w:color w:val="auto"/>
        </w:rPr>
        <w:t>New York, New York, USA 10010</w:t>
      </w:r>
    </w:p>
    <w:p>
      <w:pPr>
        <w:spacing w:after="0" w:line="7"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(905) 403-6457</w:t>
      </w:r>
      <w:r>
        <w:rPr>
          <w:sz w:val="20"/>
          <w:szCs w:val="20"/>
          <w:color w:val="auto"/>
        </w:rPr>
        <w:tab/>
      </w:r>
      <w:r>
        <w:rPr>
          <w:rFonts w:ascii="Times New Roman" w:cs="Times New Roman" w:eastAsia="Times New Roman" w:hAnsi="Times New Roman"/>
          <w:sz w:val="17"/>
          <w:szCs w:val="17"/>
          <w:b w:val="1"/>
          <w:bCs w:val="1"/>
          <w:color w:val="auto"/>
        </w:rPr>
        <w:t>(212) 821-0142</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5"/>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IMAX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00" w:lineRule="exact"/>
        <w:rPr>
          <w:sz w:val="24"/>
          <w:szCs w:val="24"/>
          <w:color w:val="auto"/>
        </w:rPr>
      </w:pPr>
    </w:p>
    <w:p>
      <w:pPr>
        <w:spacing w:after="0" w:line="385"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2" w:lineRule="exact"/>
        <w:rPr>
          <w:sz w:val="24"/>
          <w:szCs w:val="24"/>
          <w:color w:val="auto"/>
        </w:rPr>
      </w:pPr>
    </w:p>
    <w:p>
      <w:pPr>
        <w:ind w:right="20" w:firstLine="193"/>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96"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as of September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p>
      <w:pPr>
        <w:spacing w:after="0" w:line="87"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Common Shares, no par value</w:t>
      </w:r>
      <w:r>
        <w:rPr>
          <w:sz w:val="20"/>
          <w:szCs w:val="20"/>
          <w:color w:val="auto"/>
        </w:rPr>
        <w:tab/>
      </w:r>
      <w:r>
        <w:rPr>
          <w:rFonts w:ascii="Times New Roman" w:cs="Times New Roman" w:eastAsia="Times New Roman" w:hAnsi="Times New Roman"/>
          <w:sz w:val="17"/>
          <w:szCs w:val="17"/>
          <w:color w:val="auto"/>
        </w:rPr>
        <w:t>55,202,901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306070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153035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IMAX 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200" w:type="dxa"/>
            <w:vAlign w:val="bottom"/>
            <w:gridSpan w:val="1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160" w:type="dxa"/>
            <w:vAlign w:val="bottom"/>
            <w:gridSpan w:val="4"/>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00" w:type="dxa"/>
            <w:vAlign w:val="bottom"/>
            <w:gridSpan w:val="2"/>
          </w:tcPr>
          <w:p>
            <w:pPr>
              <w:spacing w:after="0"/>
              <w:rPr>
                <w:sz w:val="21"/>
                <w:szCs w:val="21"/>
                <w:color w:val="auto"/>
              </w:rPr>
            </w:pPr>
          </w:p>
        </w:tc>
        <w:tc>
          <w:tcPr>
            <w:tcW w:w="49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4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5"/>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3000" w:type="dxa"/>
            <w:vAlign w:val="bottom"/>
            <w:gridSpan w:val="5"/>
          </w:tcPr>
          <w:p>
            <w:pPr>
              <w:spacing w:after="0"/>
              <w:rPr>
                <w:sz w:val="21"/>
                <w:szCs w:val="21"/>
                <w:color w:val="auto"/>
              </w:rPr>
            </w:pPr>
          </w:p>
        </w:tc>
        <w:tc>
          <w:tcPr>
            <w:tcW w:w="48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0640" w:type="dxa"/>
            <w:vAlign w:val="bottom"/>
            <w:gridSpan w:val="7"/>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2026 and December 31, 2025</w:t>
            </w:r>
          </w:p>
        </w:tc>
        <w:tc>
          <w:tcPr>
            <w:tcW w:w="4100" w:type="dxa"/>
            <w:vAlign w:val="bottom"/>
            <w:gridSpan w:val="5"/>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2026 and 2025</w:t>
            </w:r>
          </w:p>
        </w:tc>
        <w:tc>
          <w:tcPr>
            <w:tcW w:w="2200" w:type="dxa"/>
            <w:vAlign w:val="bottom"/>
            <w:gridSpan w:val="3"/>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2026 and 2025</w:t>
            </w:r>
          </w:p>
        </w:tc>
        <w:tc>
          <w:tcPr>
            <w:tcW w:w="128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128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September 30, 2026 and 2025</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80" w:type="dxa"/>
            <w:vAlign w:val="bottom"/>
            <w:gridSpan w:val="2"/>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207,918</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151,168</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121,954</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91,402</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incentives and other assets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1,029,944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894,031</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244,034</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439,843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466,298</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55,202,901 issued and outstanding (December 31, 2025 — 53,921,676 issued and outstanding)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456,128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419,162</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164,782</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(239,967)</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491,549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337,891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89,176</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589,372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427,067</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1,029,944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894,031</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r>
      <w:tr>
        <w:trPr>
          <w:trHeight w:val="235"/>
        </w:trPr>
        <w:tc>
          <w:tcPr>
            <w:tcW w:w="6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174,552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358,773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285,005</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48,250</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123,764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110,956</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126,302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235,009</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174,049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74,876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60,125</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 recovery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73,777</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101,684</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56,689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117,079</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139,058</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43,001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113,805</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133,433</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2"/>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2"/>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55,242</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117,079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139,058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43,001</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before tax</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(loss) gain from cash flow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(gain) from cash flow hedging instruments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recovery (expense) related to other comprehensive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118,950</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146,355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48,656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115,078</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137,959</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39,141</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28"/>
        </w:trPr>
        <w:tc>
          <w:tcPr>
            <w:tcW w:w="7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r>
      <w:tr>
        <w:trPr>
          <w:trHeight w:val="38"/>
        </w:trPr>
        <w:tc>
          <w:tcPr>
            <w:tcW w:w="79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139,058</w:t>
            </w:r>
          </w:p>
        </w:tc>
        <w:tc>
          <w:tcPr>
            <w:tcW w:w="140" w:type="dxa"/>
            <w:vAlign w:val="bottom"/>
          </w:tcPr>
          <w:p>
            <w:pPr>
              <w:spacing w:after="0"/>
              <w:rPr>
                <w:sz w:val="20"/>
                <w:szCs w:val="20"/>
                <w:color w:val="auto"/>
              </w:rPr>
            </w:pPr>
          </w:p>
        </w:tc>
        <w:tc>
          <w:tcPr>
            <w:tcW w:w="5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43,001</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57,735</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46,415</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goodwill and asset impairments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(recovery)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loss (gain)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incentives provided to exhibitor customers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w:t>
            </w:r>
          </w:p>
        </w:tc>
      </w:tr>
      <w:tr>
        <w:trPr>
          <w:trHeight w:val="235"/>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241"/>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122,119</w:t>
            </w:r>
          </w:p>
        </w:tc>
        <w:tc>
          <w:tcPr>
            <w:tcW w:w="1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97,694</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(24,114)</w:t>
            </w:r>
          </w:p>
        </w:tc>
      </w:tr>
      <w:tr>
        <w:trPr>
          <w:trHeight w:val="2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4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35"/>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(21,772)</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(34,779)</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capped calls related to convertible notes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convertible notes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 related to convertible notes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facility amendment fees paid</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 - IMAX China</w:t>
            </w:r>
          </w:p>
        </w:tc>
        <w:tc>
          <w:tcPr>
            <w:tcW w:w="9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(17,879)</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(9,742)</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26,649</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35"/>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(44,055)</w:t>
            </w:r>
          </w:p>
        </w:tc>
        <w:tc>
          <w:tcPr>
            <w:tcW w:w="1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(20,381)</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 during period</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56,750</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42,514</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151,168</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r>
      <w:tr>
        <w:trPr>
          <w:trHeight w:val="26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207,918</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143,106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2026</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3700" w:type="dxa"/>
            <w:vAlign w:val="bottom"/>
          </w:tcPr>
          <w:p>
            <w:pPr>
              <w:spacing w:after="0"/>
              <w:rPr>
                <w:sz w:val="10"/>
                <w:szCs w:val="10"/>
                <w:color w:val="auto"/>
              </w:rPr>
            </w:pPr>
          </w:p>
        </w:tc>
        <w:tc>
          <w:tcPr>
            <w:tcW w:w="19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700" w:type="dxa"/>
            <w:vAlign w:val="bottom"/>
          </w:tcPr>
          <w:p>
            <w:pPr>
              <w:spacing w:after="0"/>
              <w:rPr>
                <w:sz w:val="4"/>
                <w:szCs w:val="4"/>
                <w:color w:val="auto"/>
              </w:rPr>
            </w:pPr>
          </w:p>
        </w:tc>
        <w:tc>
          <w:tcPr>
            <w:tcW w:w="190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Surplus</w:t>
            </w: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20" w:type="dxa"/>
            <w:vAlign w:val="bottom"/>
            <w:gridSpan w:val="3"/>
            <w:vMerge w:val="restart"/>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6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92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Equity</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7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53,921,676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419,162</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(239,967)</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89,176</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427,067</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vested, net of shares withheld for</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812,277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0" w:type="dxa"/>
            <w:vAlign w:val="bottom"/>
          </w:tcPr>
          <w:p>
            <w:pPr>
              <w:spacing w:after="0"/>
              <w:rPr>
                <w:sz w:val="1"/>
                <w:szCs w:val="1"/>
                <w:color w:val="auto"/>
              </w:rPr>
            </w:pPr>
          </w:p>
        </w:tc>
      </w:tr>
      <w:tr>
        <w:trPr>
          <w:trHeight w:val="22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withheld for employee tax obligations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42"/>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54,855,176</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429,650</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(235,741)</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92,184</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427,646</w:t>
            </w:r>
          </w:p>
        </w:tc>
        <w:tc>
          <w:tcPr>
            <w:tcW w:w="0" w:type="dxa"/>
            <w:vAlign w:val="bottom"/>
          </w:tcPr>
          <w:p>
            <w:pPr>
              <w:spacing w:after="0"/>
              <w:rPr>
                <w:sz w:val="1"/>
                <w:szCs w:val="1"/>
                <w:color w:val="auto"/>
              </w:rPr>
            </w:pPr>
          </w:p>
        </w:tc>
      </w:tr>
      <w:tr>
        <w:trPr>
          <w:trHeight w:val="26"/>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vested, net of shares withheld for</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withheld for employee tax obligations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2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capped calls related to 2026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and retirement of common shares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0" w:type="dxa"/>
            <w:vAlign w:val="bottom"/>
          </w:tcPr>
          <w:p>
            <w:pPr>
              <w:spacing w:after="0"/>
              <w:rPr>
                <w:sz w:val="1"/>
                <w:szCs w:val="1"/>
                <w:color w:val="auto"/>
              </w:rPr>
            </w:pPr>
          </w:p>
        </w:tc>
      </w:tr>
      <w:tr>
        <w:trPr>
          <w:trHeight w:val="242"/>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54,842,114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441,338</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148,201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(230,817)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93,828</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449,717</w:t>
            </w:r>
          </w:p>
        </w:tc>
        <w:tc>
          <w:tcPr>
            <w:tcW w:w="0" w:type="dxa"/>
            <w:vAlign w:val="bottom"/>
          </w:tcPr>
          <w:p>
            <w:pPr>
              <w:spacing w:after="0"/>
              <w:rPr>
                <w:sz w:val="1"/>
                <w:szCs w:val="1"/>
                <w:color w:val="auto"/>
              </w:rPr>
            </w:pPr>
          </w:p>
        </w:tc>
      </w:tr>
      <w:tr>
        <w:trPr>
          <w:trHeight w:val="26"/>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vested, net of shares withheld for</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tax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withheld for employee tax obligations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42"/>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117,065</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55,202,901</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456,128</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(117,012)</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97,823</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589,372</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62"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2025</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3740" w:type="dxa"/>
            <w:vAlign w:val="bottom"/>
          </w:tcPr>
          <w:p>
            <w:pPr>
              <w:spacing w:after="0"/>
              <w:rPr>
                <w:sz w:val="10"/>
                <w:szCs w:val="10"/>
                <w:color w:val="auto"/>
              </w:rPr>
            </w:pPr>
          </w:p>
        </w:tc>
        <w:tc>
          <w:tcPr>
            <w:tcW w:w="19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192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Surplus</w:t>
            </w:r>
          </w:p>
        </w:tc>
        <w:tc>
          <w:tcPr>
            <w:tcW w:w="9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20" w:type="dxa"/>
            <w:vAlign w:val="bottom"/>
            <w:gridSpan w:val="3"/>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6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92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Equity</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
        </w:trPr>
        <w:tc>
          <w:tcPr>
            <w:tcW w:w="3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7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52,946,200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(274,675)</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78,069</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377,535</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vested, net of shares withheld for employee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obligations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751,817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0" w:type="dxa"/>
            <w:vAlign w:val="bottom"/>
          </w:tcPr>
          <w:p>
            <w:pPr>
              <w:spacing w:after="0"/>
              <w:rPr>
                <w:sz w:val="1"/>
                <w:szCs w:val="1"/>
                <w:color w:val="auto"/>
              </w:rPr>
            </w:pPr>
          </w:p>
        </w:tc>
      </w:tr>
      <w:tr>
        <w:trPr>
          <w:trHeight w:val="22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withheld for employee tax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0" w:type="dxa"/>
            <w:vAlign w:val="bottom"/>
          </w:tcPr>
          <w:p>
            <w:pPr>
              <w:spacing w:after="0"/>
              <w:rPr>
                <w:sz w:val="1"/>
                <w:szCs w:val="1"/>
                <w:color w:val="auto"/>
              </w:rPr>
            </w:pPr>
          </w:p>
        </w:tc>
      </w:tr>
      <w:tr>
        <w:trPr>
          <w:trHeight w:val="22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statutory surplus reserve, IMAX</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0" w:type="dxa"/>
            <w:vAlign w:val="bottom"/>
          </w:tcPr>
          <w:p>
            <w:pPr>
              <w:spacing w:after="0"/>
              <w:rPr>
                <w:sz w:val="1"/>
                <w:szCs w:val="1"/>
                <w:color w:val="auto"/>
              </w:rPr>
            </w:pPr>
          </w:p>
        </w:tc>
      </w:tr>
      <w:tr>
        <w:trPr>
          <w:trHeight w:val="242"/>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6"/>
        </w:trPr>
        <w:tc>
          <w:tcPr>
            <w:tcW w:w="3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53,742,048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(272,403)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383,613</w:t>
            </w:r>
          </w:p>
        </w:tc>
        <w:tc>
          <w:tcPr>
            <w:tcW w:w="0" w:type="dxa"/>
            <w:vAlign w:val="bottom"/>
          </w:tcPr>
          <w:p>
            <w:pPr>
              <w:spacing w:after="0"/>
              <w:rPr>
                <w:sz w:val="1"/>
                <w:szCs w:val="1"/>
                <w:color w:val="auto"/>
              </w:rPr>
            </w:pPr>
          </w:p>
        </w:tc>
      </w:tr>
      <w:tr>
        <w:trPr>
          <w:trHeight w:val="203"/>
        </w:trPr>
        <w:tc>
          <w:tcPr>
            <w:tcW w:w="37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vested, net of shares withheld for employee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withheld for employee tax obligations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statutory surplus reserve, IMAX</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0" w:type="dxa"/>
            <w:vAlign w:val="bottom"/>
          </w:tcPr>
          <w:p>
            <w:pPr>
              <w:spacing w:after="0"/>
              <w:rPr>
                <w:sz w:val="1"/>
                <w:szCs w:val="1"/>
                <w:color w:val="auto"/>
              </w:rPr>
            </w:pPr>
          </w:p>
        </w:tc>
      </w:tr>
      <w:tr>
        <w:trPr>
          <w:trHeight w:val="242"/>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6"/>
        </w:trPr>
        <w:tc>
          <w:tcPr>
            <w:tcW w:w="3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53,782,520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(261,261)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404,382</w:t>
            </w:r>
          </w:p>
        </w:tc>
        <w:tc>
          <w:tcPr>
            <w:tcW w:w="0" w:type="dxa"/>
            <w:vAlign w:val="bottom"/>
          </w:tcPr>
          <w:p>
            <w:pPr>
              <w:spacing w:after="0"/>
              <w:rPr>
                <w:sz w:val="1"/>
                <w:szCs w:val="1"/>
                <w:color w:val="auto"/>
              </w:rPr>
            </w:pPr>
          </w:p>
        </w:tc>
      </w:tr>
      <w:tr>
        <w:trPr>
          <w:trHeight w:val="203"/>
        </w:trPr>
        <w:tc>
          <w:tcPr>
            <w:tcW w:w="37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vested, net of shares withheld for employee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withheld for employee tax obligations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and performance stock</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0" w:type="dxa"/>
            <w:vAlign w:val="bottom"/>
          </w:tcPr>
          <w:p>
            <w:pPr>
              <w:spacing w:after="0"/>
              <w:rPr>
                <w:sz w:val="1"/>
                <w:szCs w:val="1"/>
                <w:color w:val="auto"/>
              </w:rPr>
            </w:pPr>
          </w:p>
        </w:tc>
      </w:tr>
      <w:tr>
        <w:trPr>
          <w:trHeight w:val="242"/>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6"/>
        </w:trPr>
        <w:tc>
          <w:tcPr>
            <w:tcW w:w="3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53,798,934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(240,604)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26" w:lineRule="exact"/>
        <w:rPr>
          <w:sz w:val="20"/>
          <w:szCs w:val="20"/>
          <w:color w:val="auto"/>
        </w:rPr>
      </w:pPr>
    </w:p>
    <w:p>
      <w:pPr>
        <w:jc w:val="both"/>
        <w:ind w:left="200" w:right="9400" w:hanging="193"/>
        <w:spacing w:after="0" w:line="562" w:lineRule="auto"/>
        <w:tabs>
          <w:tab w:leader="none" w:pos="18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Accounting Principles</w:t>
      </w: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Corporation (together with its subsidiaries, unless the context requires otherwise, the “Company” or “IMAX”) prepares financial statements in accordance with United States Generally Accepted Accounting Principles (“U.S. GAAP” or “GAAP”) and pursuant to the rules and regulations of the Securities and Exchange Commission (the “SEC”). Certain information and footnote disclosures have been condensed or omitted as permitted by such rules and regulations. In the opinion of the Company’s management, the unaudited Condensed Consolidated Financial Statements reflect all necessary adjustments for a fair statement of interim results. The Condensed Consolidated Balance Sheet at December 31, 2025 was derived from the Company’s audited annual Consolidated Financial Statements in the Company’s 2025 Annual Report on Form 10-K (the “2025 Form 10-K”). The interim results presented in the Company’s Condensed Consolidated Statements of Operations and Condensed Consolidated Statements of Cash Flows are not necessarily indicative of results for a full year. Certain prior period comparatives have been revised to conform with the current period presentation.</w:t>
      </w:r>
    </w:p>
    <w:p>
      <w:pPr>
        <w:spacing w:after="0" w:line="212"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2025 Form 10-K, which includes significant accounting policies adopted by the Company.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IMAX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Condensed Consolidated Financial Statements. A change in the value of an equity method investment that is other than temporary is recognized in the Condensed Consolidated Statements of Operations.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2026 and December 31, 2025, total assets and liabilities of the Company’s consolidated VIEs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3"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7"/>
          <w:szCs w:val="17"/>
          <w:color w:val="auto"/>
        </w:rPr>
        <w:t>In preparing the Company’s Condensed Consolidated Financial Statements, management makes judgments in applying various accounting policies. The areas of policy judgment are consistent with those reported in Note 2 of the Company’s audited Consolidated Financial Statements included in its 2025 Form 10-K.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w:t>
      </w:r>
    </w:p>
    <w:p>
      <w:pPr>
        <w:spacing w:after="0" w:line="4" w:lineRule="exact"/>
        <w:rPr>
          <w:sz w:val="20"/>
          <w:szCs w:val="20"/>
          <w:color w:val="auto"/>
        </w:rPr>
      </w:pPr>
    </w:p>
    <w:p>
      <w:pPr>
        <w:jc w:val="both"/>
        <w:ind w:firstLine="7"/>
        <w:spacing w:after="0" w:line="250"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the write-down of excess and obsolete inventories; (v) the fair values of the reporting units used in assessing the recoverability of goodwill; (vi) the cash flow projections used in testing the recoverability of long-lived assets such as the system equipment supporting joint revenue sharing arrangements (“JRSAs”); (vii) the economic lives of the system equipment supporting joint revenue sharing arrangements; (viii) the useful lives of tangible and intangible assets; (ix) the ultimate revenue forecasts used to test the recoverability of film assets; (x) the discount rates used to determine the present value of financing receivables, variable consideration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allowance of deferred income tax assets; and (xiv) reserves related to uncertain tax positions.</w:t>
      </w:r>
    </w:p>
    <w:p>
      <w:pPr>
        <w:spacing w:after="0" w:line="211" w:lineRule="exact"/>
        <w:rPr>
          <w:sz w:val="20"/>
          <w:szCs w:val="20"/>
          <w:color w:val="auto"/>
        </w:rPr>
      </w:pPr>
    </w:p>
    <w:p>
      <w:pPr>
        <w:ind w:left="200" w:right="7020" w:hanging="193"/>
        <w:spacing w:after="0" w:line="560" w:lineRule="auto"/>
        <w:tabs>
          <w:tab w:leader="none" w:pos="18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New Accounting Standards and Accounting Changes </w:t>
      </w:r>
      <w:r>
        <w:rPr>
          <w:rFonts w:ascii="Times New Roman" w:cs="Times New Roman" w:eastAsia="Times New Roman" w:hAnsi="Times New Roman"/>
          <w:sz w:val="17"/>
          <w:szCs w:val="17"/>
          <w:b w:val="1"/>
          <w:bCs w:val="1"/>
          <w:i w:val="1"/>
          <w:iCs w:val="1"/>
          <w:color w:val="auto"/>
        </w:rPr>
        <w:t>Adoption of New Accounting Pronouncements</w:t>
      </w:r>
    </w:p>
    <w:p>
      <w:pPr>
        <w:spacing w:after="0" w:line="1" w:lineRule="exact"/>
        <w:rPr>
          <w:rFonts w:ascii="Times New Roman" w:cs="Times New Roman" w:eastAsia="Times New Roman" w:hAnsi="Times New Roman"/>
          <w:sz w:val="17"/>
          <w:szCs w:val="17"/>
          <w:b w:val="1"/>
          <w:bCs w:val="1"/>
          <w:color w:val="auto"/>
        </w:rPr>
      </w:pPr>
    </w:p>
    <w:p>
      <w:pPr>
        <w:ind w:left="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Measurement of Credit Losses for Accounts Receivable and Contract Assets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No. 2025-05, “Financial Instruments - Credit Losses (Topic 326): Measurement of Credit Losses for Accounts Receivable and Contract Assets” (“ASU 2025-05”). The amendments in ASU 2025-05 provide a practical expedient that allows entities to assume current economic conditions as of the balance sheet date will remain unchanged throughout the reasonable and supportable forecast period when estimating expected credit losses for eligible financial assets, including trade receivables and contract assets. The Company adopted ASU 2025-05 as of January 1, 2026. The adoption did not have a material impact on its Condensed Consolidated Financial Statements.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FASB Accounting Standards Codification Updates Not Yet Adopted</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(“ASU 2024-03”). The amendments in ASU 2024-03 expand disclosures about specific expense categories presented on the face of the income statement and address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fiscal periods beginning after December 15, 2026, and interim periods within fiscal years beginning after December 15, 2027, with early adoption permitted. The Company is in the process of evaluating the impact of ASU 2024-03 on its Consolidated Financial Statements.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in the process of evaluating the impact of this ASU on its Consolidated Financial Statements.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Hedge Accounting Improvements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The amendments in ASU 2025-09 more closely align hedge accounting with the economics of an entity’s risk management activities for (i) similar risk assessment for cash flow hedges, (ii) hedging forecasted interest payment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in the process of evaluating the impact of this ASU on its Consolidated Financial Statements.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(“ASU 2025-10”). The amendments in ASU 2025-10 establishes accounting and guidance for a government grant received by an entity. Under the new guidance, a government grant is not recognized until it is probable that an entity will comply with the conditions attached to the grant and the grant will be received, and recognition guidance is met. A grant related to an asset is recognized on the balance sheet as an entity incurs the related costs for which the grant is intended to compensate. ASU 2025-10 is effective for fiscal periods beginning after December 15, 2028, and interim periods thereafter. The Company is in the process of evaluating the impact of this ASU on its Consolidated Financial Statements.</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ASUs that are not noted above were assessed and determined to be not applicable or not significant to the Company’s Condensed Consolidated Financial Statements for the period ended September 30,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order to mitigate the credit risk associated with the Company’s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reported in Note 4 of the Company’s audited Consolidated Financial Statements included in its 2025 Form 10-K.</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60" w:type="dxa"/>
            <w:vAlign w:val="bottom"/>
          </w:tcPr>
          <w:p>
            <w:pPr>
              <w:spacing w:after="0"/>
              <w:rPr>
                <w:sz w:val="16"/>
                <w:szCs w:val="16"/>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80" w:type="dxa"/>
            <w:vAlign w:val="bottom"/>
          </w:tcPr>
          <w:p>
            <w:pPr>
              <w:spacing w:after="0"/>
              <w:rPr>
                <w:sz w:val="16"/>
                <w:szCs w:val="16"/>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r>
      <w:tr>
        <w:trPr>
          <w:trHeight w:val="242"/>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6"/>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2"/>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6"/>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4"/>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56"/>
        </w:trPr>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4"/>
          </w:tcPr>
          <w:p>
            <w:pPr>
              <w:jc w:val="center"/>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1"/>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7"/>
                <w:szCs w:val="17"/>
                <w:color w:val="auto"/>
              </w:rPr>
            </w:pPr>
          </w:p>
        </w:tc>
        <w:tc>
          <w:tcPr>
            <w:tcW w:w="9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60" w:type="dxa"/>
            <w:vAlign w:val="bottom"/>
          </w:tcPr>
          <w:p>
            <w:pPr>
              <w:spacing w:after="0"/>
              <w:rPr>
                <w:sz w:val="17"/>
                <w:szCs w:val="17"/>
                <w:color w:val="auto"/>
              </w:rPr>
            </w:pP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80" w:type="dxa"/>
            <w:vAlign w:val="bottom"/>
          </w:tcPr>
          <w:p>
            <w:pPr>
              <w:spacing w:after="0"/>
              <w:rPr>
                <w:sz w:val="17"/>
                <w:szCs w:val="17"/>
                <w:color w:val="auto"/>
              </w:rPr>
            </w:pP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2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6"/>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42"/>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2"/>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Company’s allowance for current expected credit losses related to Accounts Receivable increased by $1.1 million and $1.4 million, respectively (2025 — increased by $0.3 million, in each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September 30, 2026 and December 31, 2025, financing receivables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31,613</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127,099</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100,939</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85,620</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90,799</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60,139</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2026 and December 31, 2025,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sales receivables, as applicable,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16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72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8.68 %</w:t>
            </w:r>
          </w:p>
        </w:tc>
      </w:tr>
      <w:tr>
        <w:trPr>
          <w:trHeight w:val="26"/>
        </w:trPr>
        <w:tc>
          <w:tcPr>
            <w:tcW w:w="77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September 30, 2026 and December 31, 2025. The amounts disclosed for each credit quality classification are determined on a theater-by-theater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31,145</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September 30, 2026 and December 31, 2025. The amounts disclosed for each credit quality classification are determined on a theater-by-theater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20" w:type="dxa"/>
            <w:vAlign w:val="bottom"/>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76,474</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September 30, 2026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Accrued</w:t>
            </w:r>
          </w:p>
        </w:tc>
        <w:tc>
          <w:tcPr>
            <w:tcW w:w="20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85,620</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4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8"/>
        </w:trPr>
        <w:tc>
          <w:tcPr>
            <w:tcW w:w="2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039"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039"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continues to accrue finance income as of September 30, 2026 and December 31, 2025. The amounts disclosed for each credit quality classification are determined on a theater-by-theater basis and include both billed and unbilled amounts.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38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0"/>
        </w:trPr>
        <w:tc>
          <w:tcPr>
            <w:tcW w:w="3880" w:type="dxa"/>
            <w:vAlign w:val="bottom"/>
          </w:tcPr>
          <w:p>
            <w:pPr>
              <w:spacing w:after="0"/>
              <w:rPr>
                <w:sz w:val="14"/>
                <w:szCs w:val="14"/>
                <w:color w:val="auto"/>
              </w:rPr>
            </w:pPr>
          </w:p>
        </w:tc>
        <w:tc>
          <w:tcPr>
            <w:tcW w:w="11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30-89</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90+</w:t>
            </w: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40" w:type="dxa"/>
            <w:vAlign w:val="bottom"/>
          </w:tcPr>
          <w:p>
            <w:pPr>
              <w:spacing w:after="0"/>
              <w:rPr>
                <w:sz w:val="14"/>
                <w:szCs w:val="14"/>
                <w:color w:val="auto"/>
              </w:rPr>
            </w:pPr>
          </w:p>
        </w:tc>
      </w:tr>
      <w:tr>
        <w:trPr>
          <w:trHeight w:val="187"/>
        </w:trPr>
        <w:tc>
          <w:tcPr>
            <w:tcW w:w="3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6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Days</w:t>
            </w:r>
          </w:p>
        </w:tc>
        <w:tc>
          <w:tcPr>
            <w:tcW w:w="16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16,388</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41,201</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57,589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6"/>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390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56"/>
        </w:trPr>
        <w:tc>
          <w:tcPr>
            <w:tcW w:w="3900" w:type="dxa"/>
            <w:vAlign w:val="bottom"/>
          </w:tcPr>
          <w:p>
            <w:pPr>
              <w:spacing w:after="0"/>
              <w:rPr>
                <w:sz w:val="13"/>
                <w:szCs w:val="13"/>
                <w:color w:val="auto"/>
              </w:rPr>
            </w:pPr>
          </w:p>
        </w:tc>
        <w:tc>
          <w:tcPr>
            <w:tcW w:w="10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40" w:type="dxa"/>
            <w:vAlign w:val="bottom"/>
          </w:tcPr>
          <w:p>
            <w:pPr>
              <w:jc w:val="right"/>
              <w:ind w:right="215"/>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77"/>
              <w:spacing w:after="0" w:line="157" w:lineRule="exact"/>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18,902</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39,773</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58,675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sales receivables that were on nonaccrual status as of September 30, 2026 and December 31,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(10,121)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Company did not recognize Finance Income related to the net investment in leases on nonaccrual status. For the three and nine months ended September 30, 2026, the Company recognized $0.1 million and $0.2 million, respectively (2025 — $0.1 million and $0.2 million, respectively) in Finance Income related to the financed sales receivables on nonaccrual status.</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sales receivables for the three and nine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3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0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00" w:type="dxa"/>
            <w:vAlign w:val="bottom"/>
          </w:tcPr>
          <w:p>
            <w:pPr>
              <w:spacing w:after="0"/>
              <w:rPr>
                <w:sz w:val="19"/>
                <w:szCs w:val="19"/>
                <w:color w:val="auto"/>
              </w:rPr>
            </w:pPr>
          </w:p>
        </w:tc>
        <w:tc>
          <w:tcPr>
            <w:tcW w:w="33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9"/>
                <w:szCs w:val="19"/>
                <w:color w:val="auto"/>
              </w:rPr>
            </w:pPr>
          </w:p>
        </w:tc>
        <w:tc>
          <w:tcPr>
            <w:tcW w:w="30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38"/>
        </w:trPr>
        <w:tc>
          <w:tcPr>
            <w:tcW w:w="46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2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4"/>
                <w:szCs w:val="14"/>
                <w:color w:val="auto"/>
              </w:rPr>
            </w:pPr>
          </w:p>
        </w:tc>
        <w:tc>
          <w:tcPr>
            <w:tcW w:w="13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22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6"/>
                <w:szCs w:val="16"/>
                <w:color w:val="auto"/>
              </w:rPr>
            </w:pP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8"/>
        </w:trPr>
        <w:tc>
          <w:tcPr>
            <w:tcW w:w="46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tcBorders>
              <w:bottom w:val="single" w:sz="8" w:color="CCEEFF"/>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126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6"/>
        </w:trPr>
        <w:tc>
          <w:tcPr>
            <w:tcW w:w="4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60" w:type="dxa"/>
            <w:vAlign w:val="bottom"/>
            <w:tcBorders>
              <w:top w:val="single" w:sz="8" w:color="auto"/>
              <w:bottom w:val="single" w:sz="8" w:color="auto"/>
            </w:tcBorders>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r>
      <w:tr>
        <w:trPr>
          <w:trHeight w:val="20"/>
        </w:trPr>
        <w:tc>
          <w:tcPr>
            <w:tcW w:w="4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0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9"/>
                <w:szCs w:val="19"/>
                <w:color w:val="auto"/>
              </w:rPr>
            </w:pPr>
          </w:p>
        </w:tc>
        <w:tc>
          <w:tcPr>
            <w:tcW w:w="30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8"/>
        </w:trPr>
        <w:tc>
          <w:tcPr>
            <w:tcW w:w="4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2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4"/>
                <w:szCs w:val="14"/>
                <w:color w:val="auto"/>
              </w:rPr>
            </w:pPr>
          </w:p>
        </w:tc>
        <w:tc>
          <w:tcPr>
            <w:tcW w:w="13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22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6"/>
                <w:szCs w:val="16"/>
                <w:color w:val="auto"/>
              </w:rPr>
            </w:pP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8"/>
        </w:trPr>
        <w:tc>
          <w:tcPr>
            <w:tcW w:w="4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both"/>
        <w:ind w:firstLine="193"/>
        <w:spacing w:after="0" w:line="309" w:lineRule="auto"/>
        <w:rPr>
          <w:sz w:val="20"/>
          <w:szCs w:val="20"/>
          <w:color w:val="auto"/>
        </w:rPr>
      </w:pPr>
      <w:r>
        <w:rPr>
          <w:rFonts w:ascii="Times New Roman" w:cs="Times New Roman" w:eastAsia="Times New Roman" w:hAnsi="Times New Roman"/>
          <w:sz w:val="17"/>
          <w:szCs w:val="17"/>
          <w:color w:val="auto"/>
        </w:rPr>
        <w:t>For the three and nine months ended September 30, 2026, the Company’s allowance for current expected credit losses related to its net investment in leases had no change and decreased by $0.4 million, respectively, and net financed sales receivables increased by $0.1 million and $0.7 million, respectively.</w:t>
      </w:r>
    </w:p>
    <w:p>
      <w:pPr>
        <w:spacing w:after="0" w:line="16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Company’s allowance for current expected credit losses related to its net investment in leases increased by less than $0.1 million and decreased by $0.2 million, respectively, and net financed sales receivables increased by $0.1 million and decreased by $0.3 million, respectively.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and nine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8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9"/>
                <w:szCs w:val="19"/>
                <w:color w:val="auto"/>
              </w:rPr>
            </w:pPr>
          </w:p>
        </w:tc>
      </w:tr>
      <w:tr>
        <w:trPr>
          <w:trHeight w:val="38"/>
        </w:trPr>
        <w:tc>
          <w:tcPr>
            <w:tcW w:w="46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6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0"/>
        </w:trPr>
        <w:tc>
          <w:tcPr>
            <w:tcW w:w="460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40" w:type="dxa"/>
            <w:vAlign w:val="bottom"/>
          </w:tcPr>
          <w:p>
            <w:pPr>
              <w:spacing w:after="0"/>
              <w:rPr>
                <w:sz w:val="18"/>
                <w:szCs w:val="18"/>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40" w:type="dxa"/>
            <w:vAlign w:val="bottom"/>
          </w:tcPr>
          <w:p>
            <w:pPr>
              <w:spacing w:after="0"/>
              <w:rPr>
                <w:sz w:val="17"/>
                <w:szCs w:val="17"/>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8"/>
        </w:trPr>
        <w:tc>
          <w:tcPr>
            <w:tcW w:w="46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tcBorders>
              <w:bottom w:val="single" w:sz="8" w:color="CCEEFF"/>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11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
        </w:trPr>
        <w:tc>
          <w:tcPr>
            <w:tcW w:w="4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Company’s allowance for current expected credit losses related to Variable Consideration Receivables had no change and decreased by less than $0.1 million, respectively (2025 — $nil and increased by less than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 of the Company’s audited Consolidated Financial Statements included in its 2025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1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Under JRSAs, the customer has the ability and the right to operate the hardware components or direct others to operate them in a manner determined by the customer. The Company’s JRSAs are typically non-cancellable for ten years or longer with renewal provisions. Title to the IMAX System under a JRSA generally does not transfer to the customer. The Company’s JRSAs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4" w:lineRule="exact"/>
        <w:rPr>
          <w:sz w:val="20"/>
          <w:szCs w:val="20"/>
          <w:color w:val="auto"/>
        </w:rPr>
      </w:pPr>
    </w:p>
    <w:p>
      <w:pPr>
        <w:jc w:val="both"/>
        <w:ind w:firstLine="193"/>
        <w:spacing w:after="0" w:line="276"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in each of the remainder of 2026, next four years and thereafter following the September 30, 2026 balance sheet date:</w:t>
      </w:r>
    </w:p>
    <w:tbl>
      <w:tblPr>
        <w:tblLayout w:type="fixed"/>
        <w:tblInd w:w="0" w:type="dxa"/>
        <w:tblCellMar>
          <w:top w:w="0" w:type="dxa"/>
          <w:left w:w="0" w:type="dxa"/>
          <w:bottom w:w="0" w:type="dxa"/>
          <w:right w:w="0" w:type="dxa"/>
        </w:tblCellMar>
      </w:tblPr>
      <w:tr>
        <w:trPr>
          <w:trHeight w:val="174"/>
        </w:trPr>
        <w:tc>
          <w:tcPr>
            <w:tcW w:w="9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Sales-Type</w:t>
            </w:r>
          </w:p>
        </w:tc>
      </w:tr>
      <w:tr>
        <w:trPr>
          <w:trHeight w:val="187"/>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2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8"/>
        </w:trPr>
        <w:tc>
          <w:tcPr>
            <w:tcW w:w="9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2"/>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remaining)</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6"/>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6"/>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2026 and December 31, 2025, Inventories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7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2026, Inventories included balances of $5.1 million (December 31, 2025 — $1.0 million) for which title had passed to the customers, but the criteria for revenue recognition were not met as of the balance sheet date.</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recorded write-downs of $1.4 million and $1.5 million, respectively (2025 — write-downs of less than $0.1 million and $0.2 million, respectively) in Costs and Expenses Applicable to Revenues ― Technology Sales. The write-downs during the three months ended September 30, 2026 are primarily due to excess spare parts inventory resulting from evolving service and support requirements for certain IMAX Systems.</w:t>
      </w:r>
    </w:p>
    <w:p>
      <w:pPr>
        <w:spacing w:after="0" w:line="205" w:lineRule="exact"/>
        <w:rPr>
          <w:sz w:val="20"/>
          <w:szCs w:val="20"/>
          <w:color w:val="auto"/>
        </w:rPr>
      </w:pPr>
    </w:p>
    <w:p>
      <w:pPr>
        <w:ind w:left="180" w:hanging="173"/>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2026 and December 31, 2025, Revolving Credit Facility Borrowings, Net included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96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1280" w:type="dxa"/>
            <w:vAlign w:val="bottom"/>
            <w:tcBorders>
              <w:bottom w:val="single" w:sz="8" w:color="CCEEFF"/>
            </w:tcBorders>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37,000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8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(2,423)</w:t>
            </w:r>
          </w:p>
        </w:tc>
      </w:tr>
      <w:tr>
        <w:trPr>
          <w:trHeight w:val="26"/>
        </w:trPr>
        <w:tc>
          <w:tcPr>
            <w:tcW w:w="7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2"/>
        </w:trPr>
        <w:tc>
          <w:tcPr>
            <w:tcW w:w="796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Revolving Credit Facility Borrowings, net</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34,577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99" w:lineRule="auto"/>
        <w:tabs>
          <w:tab w:leader="none" w:pos="332"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of September 30, 2026, Deferred financing fees associated with the Company’s Credit Agreement are included in Lease incentives and other assets on the Condensed Consolidated Balance Sheets as there are no outstanding borrowings on the Revolving Credit Facility.</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51"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The Company is a party to a Seventh Amended and Restated Credit Agreement, dated as of July 14, 2025 (the “Credit Agreement”), that provides for a credit facility (the “Credit Facility”).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revolving borrowing capacity of $375.0 million, and contains an uncommitted accordion feature that allows the Company to further increase its borrowing capacity by the greater of $140.0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Credit Agreement requires that the Company does not exceed a maximum Senior Secured Net Leverage Ratio (as defined therein) of 3.25:1.00, which may be increased under certain circumstances and is tested on the last day of each fiscal quarter. The Company was in compliance with this requirement as of September 30, 2026 as the Senior Secured Net Leverage Ratio was 0.00:1.00.</w:t>
      </w:r>
    </w:p>
    <w:p>
      <w:pPr>
        <w:spacing w:after="0" w:line="204"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Loans under the Credit Facility will bear interest, at the Company’s option, at (i) Term SOFR, Eurocurrency Rate or Term CORRA plus a margin ranging from 1.00% to 1.75% per annum or (ii) the U.S. base rate or the Canadian prime rate plus a margin ranging from 0.25% to 1.00% per annum, in each case depending on the Company’s total leverage ratio. In no event will Term SOFR, Eurocurrency Rate or Term CORRA be less than 0.00% per annum.</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there were no borrowings outstanding under the Credit Facility (December 31, 2025 — $37.0 million). Borrowings during the period bore interest at Term SOFR (as defined in the Credit Agreement), plus a margin of 1.50% per annum (December 31, 2025 — 1.50%) based on the Company’s total leverage ratio. The effective interest rates for the three and nine months ended September 30, 2026 were 5.16%, in each period (2025 — 6.09% and 6.15%, respectively).</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no letters of credit or advance payment guarantees outstanding under the Credit Facility. As of September 30, 2026, the amount available for future borrowings under the Credit Facility was $375.0 million (December 31, 2025 — $338.0 million).</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September 30, 2026, the net unrealized loss on the Company’s outstanding foreign currency forward contracts was $1.0 million, representing the amount by which the notional value of these forward contracts exceeded their fair value (December 31, 2025 — net unrealized gain of $1.0 million). As of September 30, 2026, the notional value of the Company’s outstanding foreign currency forward contracts was $45.0 million (December 31, 2025 — $48.4 million).</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2026, and December 31, 2025, there were no borrowings outstanding under the Bank of China Facility (as defined and described in Note 13 to the Company’s audited Consolidated Financial Statements in its 2025 Form 10-K). As of September 30, 2026, there were no outstanding letters of guarantee.</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As of September 30, 2026, the amount available for future borrowings under the Bank of China Facility was RMB 190.0 million ($28.2 million) and the amounts drawn and available for letters of guarantee was RMB 1.3 million ($0.2 million) and RMB 8.7 million ($1.3 million), respectively. The amount available for future borrowings under the Bank of China Facility is not subject to a standby fee. The effective interest rates for the three and nine months ended September 30, 2026 was 0% (2025 — 0%). There were no amounts drawn under the Bank of China Facility for the three and nine months ended September 30, 2026. The Bank of China Facility has been renewed to April 15, 2027.</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no borrowings were outstanding under the HSBC China Facility (as defined and described in Note 13 to the Company’s audited Consolidated Financial Statements in its 2025 Form 10-K). As of September 30, 2026, and December 31, 2025, the amount available for future borrowings under the HSBC China Facility was RMB 200.0 million ($29.7 million). The effective interest rate for the three and nine months ended September 30, 2026 was 0% (2025 — 0%).</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letters of credit or advance payment guarantees outstanding under the NBC Facility (as defined and described in Note 13 to the Company’s audited Consolidated Financial Statements in its 2025 Form 10-K. Subsequent to September 30, 2026, the NBC Facility has been renewed to October 8, 2027.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2026 and December 31, 2025, Convertible Notes and Other Borrowings, Net included the following:</w:t>
      </w:r>
    </w:p>
    <w:p>
      <w:pPr>
        <w:spacing w:after="0" w:line="296" w:lineRule="exact"/>
        <w:rPr>
          <w:sz w:val="20"/>
          <w:szCs w:val="20"/>
          <w:color w:val="auto"/>
        </w:rPr>
      </w:pPr>
    </w:p>
    <w:p>
      <w:pPr>
        <w:jc w:val="right"/>
        <w:ind w:right="3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7" w:lineRule="exact"/>
        <w:rPr>
          <w:sz w:val="20"/>
          <w:szCs w:val="20"/>
          <w:color w:val="auto"/>
        </w:rPr>
      </w:pPr>
    </w:p>
    <w:p>
      <w:pPr>
        <w:ind w:left="20"/>
        <w:spacing w:after="0"/>
        <w:tabs>
          <w:tab w:leader="none" w:pos="8600" w:val="left"/>
          <w:tab w:leader="none" w:pos="10300" w:val="left"/>
        </w:tabs>
        <w:rPr>
          <w:sz w:val="20"/>
          <w:szCs w:val="20"/>
          <w:color w:val="auto"/>
        </w:rPr>
      </w:pPr>
      <w:r>
        <w:rPr>
          <w:rFonts w:ascii="Times New Roman" w:cs="Times New Roman" w:eastAsia="Times New Roman" w:hAnsi="Times New Roman"/>
          <w:sz w:val="14"/>
          <w:szCs w:val="14"/>
          <w:i w:val="1"/>
          <w:iCs w:val="1"/>
          <w:color w:val="auto"/>
        </w:rPr>
        <w:t>(In thousands of U.S. Dollars)</w:t>
      </w:r>
      <w:r>
        <w:rPr>
          <w:sz w:val="20"/>
          <w:szCs w:val="20"/>
          <w:color w:val="auto"/>
        </w:rPr>
        <w:tab/>
      </w: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17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Unamortized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33590" cy="179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 net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0"/>
                <w:szCs w:val="20"/>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250,743</w:t>
            </w:r>
          </w:p>
        </w:tc>
      </w:tr>
      <w:tr>
        <w:trPr>
          <w:trHeight w:val="268"/>
        </w:trPr>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r>
      <w:tr>
        <w:trPr>
          <w:trHeight w:val="26"/>
        </w:trPr>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243,556</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243,107</w:t>
            </w:r>
          </w:p>
        </w:tc>
      </w:tr>
      <w:tr>
        <w:trPr>
          <w:trHeight w:val="26"/>
        </w:trPr>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362"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3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3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
        </w:trPr>
        <w:tc>
          <w:tcPr>
            <w:tcW w:w="44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3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40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244,053</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151"/>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44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2026 Convertible Notes</w:t>
      </w:r>
    </w:p>
    <w:p>
      <w:pPr>
        <w:spacing w:after="0" w:line="251"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“2026 Convertible Notes”). In connection with the pricing of the 2026 Convertible Notes, the Company entered into privately negotiated capped call transactions (the “2026 Capped Call Transactions”) with certain financial institutions to reduce potential dilution in connection with the redemption of the 2026 Convertible Notes.</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On November 6, 2025, the Company completed the repurchase of $229.3 million (or 99.7%) of the outstanding principal amount of the 2026 Convertible Notes in separate, privately negotiated repurchase transactions with a limited number of holders. During the three months ended March 31, 2026, certain holders of the remaining outstanding 2026 Convertible Notes elected to convert 217 notes representing $0.2 million of the outstanding principal. As a result of this election, the Company recorded a loss on debt extinguishment of $0.1 million in Interest Expense in the Condensed Consolidated Statement of Operations. The liability for the converted bonds was settled on April 1, 2026, along with the remaining unconverted and outstanding 2026 Convertible Notes. Concurrently with this April 1, 2026 transaction, the Company terminated the remaining portion of the associated 2026 capped call transactions.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5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On November 6, 2025, the Company issued $250.0 million of 0.750% Convertible Senior Notes due 2030 (the “2030 Convertible Notes”) in a private placement conducted pursuant to Rule 144A under the Securities Act of 1933, as amended. The net proceeds from the issuance of the 2030 Convertible Notes were $243.1 million, after deducting the initial purchasers’ discounts and commissions, and were used to repurchase $229.3 million of the outstanding principal amount of the 2026 Convertible Notes.</w:t>
      </w:r>
    </w:p>
    <w:p>
      <w:pPr>
        <w:spacing w:after="0" w:line="209" w:lineRule="exact"/>
        <w:rPr>
          <w:sz w:val="20"/>
          <w:szCs w:val="20"/>
          <w:color w:val="auto"/>
        </w:rPr>
      </w:pPr>
    </w:p>
    <w:p>
      <w:pPr>
        <w:jc w:val="both"/>
        <w:ind w:right="20" w:firstLine="161"/>
        <w:spacing w:after="0" w:line="263" w:lineRule="auto"/>
        <w:rPr>
          <w:sz w:val="20"/>
          <w:szCs w:val="20"/>
          <w:color w:val="auto"/>
        </w:rPr>
      </w:pPr>
      <w:r>
        <w:rPr>
          <w:rFonts w:ascii="Times New Roman" w:cs="Times New Roman" w:eastAsia="Times New Roman" w:hAnsi="Times New Roman"/>
          <w:sz w:val="18"/>
          <w:szCs w:val="18"/>
          <w:color w:val="auto"/>
        </w:rPr>
        <w:t>The 2030 Convertible Notes are senior unsecured obligations of the Company and bear interest at a rate of 0.750% per annum on the principal of $250.0 million, payable semi-annually in arrears on May 15 and November 15 of each year. The 2030 Convertible Notes will mature on November 15, 2030, unless they are redeemed or repurchased by the Company or converted on an earlier date.</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on the Condensed Consolidated Balance Sheets, net of initial purchasers’ discounts and commissions and other debt issuance costs, with interest expense reflecting the cash coupon plus the amortization of the discounts and capitalized costs.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the Federal Economic Development Loan (as defined and described in Note 13 to the Company’s audited Consolidated Financial Statements in its 2025 Form 10-K) had a carrying value of $0.5 million, net of unaccreted interest benefit and is recorded within Convertible Notes and Other Borrowings, Net on the Company’s Condensed Consolidated Balance Sheets. The Company expects to fully repay the remainder of the Federal Economic Development Loan by December 31, 2026.</w:t>
      </w:r>
    </w:p>
    <w:p>
      <w:pPr>
        <w:spacing w:after="0" w:line="205" w:lineRule="exact"/>
        <w:rPr>
          <w:sz w:val="20"/>
          <w:szCs w:val="20"/>
          <w:color w:val="auto"/>
        </w:rPr>
      </w:pPr>
    </w:p>
    <w:p>
      <w:pPr>
        <w:ind w:left="200" w:right="7560" w:hanging="193"/>
        <w:spacing w:after="0" w:line="530" w:lineRule="auto"/>
        <w:tabs>
          <w:tab w:leader="none" w:pos="18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December 30, 2025, the Commercial Appellate Division of the Bombay High Court rejected E-City’s objections to enforcement of the arbitration award and recognized the award as a decree of the Court. The E-City parties have appealed this decision to the Supreme Court of India. The Company fully intends to continue pursuing its rights and seeking to enforce the arbitration award. No amounts have been recognized in connection with this matter.</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on the Company’s Condensed Consolidated Balance Sheets as of September 30, 2026 and December 31, 2025, with respect to this indemnity.</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253"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right="4980" w:hanging="193"/>
        <w:spacing w:after="0" w:line="530" w:lineRule="auto"/>
        <w:tabs>
          <w:tab w:leader="none" w:pos="18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Consolidated Statements of Operations – Supplemental Information </w:t>
      </w:r>
      <w:r>
        <w:rPr>
          <w:rFonts w:ascii="Times New Roman" w:cs="Times New Roman" w:eastAsia="Times New Roman" w:hAnsi="Times New Roman"/>
          <w:sz w:val="18"/>
          <w:szCs w:val="18"/>
          <w:b w:val="1"/>
          <w:bCs w:val="1"/>
          <w:i w:val="1"/>
          <w:iCs w:val="1"/>
          <w:color w:val="auto"/>
        </w:rPr>
        <w:t>Selling Expenses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the three and nine months ended September 30, 2026 and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364</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573</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597</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 and may be reversed when the contractual obligation ceases to exist.</w:t>
      </w:r>
    </w:p>
    <w:p>
      <w:pPr>
        <w:ind w:left="340" w:hanging="315"/>
        <w:spacing w:after="0"/>
        <w:tabs>
          <w:tab w:leader="none" w:pos="3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jc w:val="both"/>
        <w:ind w:left="340" w:right="20" w:hanging="315"/>
        <w:spacing w:after="0" w:line="269" w:lineRule="auto"/>
        <w:tabs>
          <w:tab w:leader="none" w:pos="3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 and may be reversed when the contractual obligation ceases to exist.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56"/>
        </w:trPr>
        <w:tc>
          <w:tcPr>
            <w:tcW w:w="4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4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140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260" w:type="dxa"/>
            <w:vAlign w:val="bottom"/>
          </w:tcPr>
          <w:p>
            <w:pPr>
              <w:spacing w:after="0"/>
              <w:rPr>
                <w:sz w:val="13"/>
                <w:szCs w:val="13"/>
                <w:color w:val="auto"/>
              </w:rPr>
            </w:pPr>
          </w:p>
        </w:tc>
        <w:tc>
          <w:tcPr>
            <w:tcW w:w="146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1280" w:type="dxa"/>
            <w:vAlign w:val="bottom"/>
          </w:tcPr>
          <w:p>
            <w:pPr>
              <w:jc w:val="right"/>
              <w:ind w:right="377"/>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7"/>
                <w:szCs w:val="17"/>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6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 and may be reversed when the contractual obligation ceases to exist.</w:t>
      </w:r>
    </w:p>
    <w:p>
      <w:pPr>
        <w:ind w:left="340" w:hanging="315"/>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jc w:val="both"/>
        <w:ind w:left="340" w:right="20" w:hanging="315"/>
        <w:spacing w:after="0" w:line="25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 and may be reversed when the contractual obligation ceases to exist.</w:t>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and nine months ended September 30, 2026 were foreign currency net losses of $0.4 million and $0.6 million, respectively (2025 — net losses of $0.2 million and $0.4 million, respectively) resulting from changes in exchange rates related to foreign currency denominated monetary assets and liabilities. See Note 15 for additional information.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$2.7 million as a reduction to Selling, General and Administrative Expenses, and a $1.3 million reduction to Costs and Expenses Applicable to Revenues for benefits received from the Internal Revenue Service under the Employee Retention Credit (“ERC”) program which provides for a refundable tax credit for eligible businesses that had employees and were affected during the COVID-19 pandemic. No such assistance was received during the nine months ended September 30, 2026.</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accounting policy for the Company’s JRSAs is disclosed in Note 2 of the Company’s audited Consolidated Financial Statements in its 2025 Form 10-</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3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JRSAs is recorded within Revenues — Technology Sales (for hybrid JRSAs) and Revenues — Technology Rentals (for traditional JRSAs). For the three and nine months ended September 30, 2026, such revenues totaled $41.3 million and $77.5 million, respectively (2025 — $23.0 million and $60.9 million, respectively).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earns revenue through the digital remastering of films and other content into IMAX formats for distribution to the IMAX network (“IMAX Film Remastering”). The accounting policy for IMAX Film Remastering and distribution arrangements is disclosed in Note 2 of the Company’s audited Consolidated Financial Statements in its 2025 Form 10-K.</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Film Remastering and distribution arrangements is included in Revenues – Image Enhancement and Maintenance Services. For the three and nine months ended September 30, 2026, such revenues totaled $90.4 million and $152.2 million, respectively (2025 — $41.9 million and $105.7 million, respectively). See Note 12 for a disaggregated presentation of the Company’s revenues.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policies relating to co-produced film arrangements are disclosed in Notes 2 and 3 of the Company’s audited Consolidated Financial Statements in its 2025 Form 10-K.</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2026, the Company is party to one co-produced film arrangement, which represented the VIE total assets balance of $1.8 million and liabilities balance of $0.4 million, and four other co-produced film arrangements, the terms of which are similar.</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2026, expenses of $0.1 million and $0.3 million, respectively (2025 — $0.2 million and $0.3 million, respectively) attributable to transactions between the Company and other parties involved in the production of the films have been included in Costs and Expenses Applicable to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Cash Flows – Supplemental Information</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excluding lease incentives provided to exhibitor customers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 including asset impairments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6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right="20" w:firstLine="5"/>
        <w:spacing w:after="0" w:line="269" w:lineRule="auto"/>
        <w:tabs>
          <w:tab w:leader="none" w:pos="224"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2026, the Company recorded goodwill impairment losses of $6.8 million (2025 ― $nil) related to the Streaming and Consumer Technology reporting unit.</w:t>
      </w:r>
    </w:p>
    <w:p>
      <w:pPr>
        <w:ind w:left="20" w:right="20" w:firstLine="5"/>
        <w:spacing w:after="0" w:line="259" w:lineRule="auto"/>
        <w:tabs>
          <w:tab w:leader="none" w:pos="248"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2026, the Company incurred a $2.0 million (2025 ― $0.1 million) partial impairment on a documentary film asset. (Refer to Note 17 ― Restructuring Charges and Other Impairments for additional information).</w:t>
      </w:r>
    </w:p>
    <w:p>
      <w:pPr>
        <w:spacing w:after="0" w:line="1" w:lineRule="exact"/>
        <w:rPr>
          <w:rFonts w:ascii="Times New Roman" w:cs="Times New Roman" w:eastAsia="Times New Roman" w:hAnsi="Times New Roman"/>
          <w:sz w:val="14"/>
          <w:szCs w:val="14"/>
          <w:i w:val="1"/>
          <w:iCs w:val="1"/>
          <w:color w:val="auto"/>
        </w:rPr>
      </w:pPr>
    </w:p>
    <w:p>
      <w:pPr>
        <w:jc w:val="both"/>
        <w:ind w:left="20" w:right="20" w:firstLine="5"/>
        <w:spacing w:after="0" w:line="259" w:lineRule="auto"/>
        <w:tabs>
          <w:tab w:leader="none" w:pos="238"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Inventory is stated at the lower of cost and net realizable value. A provision for obsolete and slow-moving inventory is recorded based on the Company’s assessment of inventory aging, forecasted demand, product life cycles, and expected future use. For the nine months ended September 30, 2026, the Company recorded inventory provisions primarily from its assessment of excess spare parts inventory, resulting from evolving service and support requirements for certain IMAX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-774065</wp:posOffset>
            </wp:positionV>
            <wp:extent cx="20770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accruals related to:</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JRSAs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recorded an income tax recovery of $43.3 million (2025 — expense of $5.2 million). The Company’s effective tax rate of (58.7%) for the three months ended September 30, 2026 reflects the release of a valuation allowance related to certain Canadian federal and provincial deferred tax assets along with the geographic allocation of income earned in taxing jurisdictions, and reversals of tax reserves, partially offset by withholding taxes. The Company’s release of the valuation allowance, based on having demonstrated sustained profitability, was $59.0 million and is discussed below. The Company’s effective tax rate of 18.7% for the three months ended September 30, 2025 reflects the geographic allocation of income earned in taxing jurisdictions and a $2.7 million decrease in the valuation allowance.</w:t>
      </w:r>
    </w:p>
    <w:p>
      <w:pPr>
        <w:spacing w:after="0" w:line="21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recorded an income tax recovery of $37.4 million (2025 — expense of $13.7 million). The Company’s effective tax rate of (36.8%) for the nine months ended September 30, 2026, is primarily related to the net release of $54.2 million of valuation allowance related to certain Canadian federal and provincial deferred tax assets and reflects the geographic allocation of income earned in taxing jurisdictions, tax benefit from share-based compensation, and reversals of tax reserves, partially offset by withholding taxes. The Company’s effective tax rate of 24.1% for the nine months ended September 30, 2025, reflects the geographic allocation of income earned in taxing jurisdictions, withholding taxes, a tax benefit related to share-based compensation and a $1.7 million decrease of valuation allowance.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 and Related Valuation Allowance</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As of September 30, 2026, the Company’s Condensed Consolidated Balance Sheets included net deferred income tax assets of $60.0 million (December 31, 2025 — $12.6 million). Management evaluates the realizability of deferred tax assets on a quarterly basis by considering all available positive and negative evidence, including recent operating results, forecasts of future taxable income, and other relevant factors specific to our industry such as the success of new film releases. During the three months ended September 30, 2026, based on all available positive and negative evidence, having demonstrated sustained profitability which is objective and verifiable, and taking into account anticipated future earnings, the Company concluded that is more likely than not that certain of its Canadian federal and provincial deferred tax assets will be realized. The Company released the related valuation allowance, resulting in an income tax benefit in the period of $59.0 million, of which $36.7 million relates to deferred tax assets expected to be utilized in future years.</w:t>
      </w:r>
    </w:p>
    <w:p>
      <w:pPr>
        <w:spacing w:after="0" w:line="212"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2026, the Company’s Condensed Consolidated Balance Sheets also included deferred tax liabilities of $12.5 million (December 31, 2025 — $12.5 million) primarily related to foreign withholding taxes associated with the remaining balance of non-repatriated historical earnings that will not be indefinitely reinvested outside of Canada.</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Canada Revenue Agency Reassessments</w:t>
      </w:r>
    </w:p>
    <w:p>
      <w:pPr>
        <w:spacing w:after="0" w:line="253" w:lineRule="exact"/>
        <w:rPr>
          <w:sz w:val="20"/>
          <w:szCs w:val="20"/>
          <w:color w:val="auto"/>
        </w:rPr>
      </w:pPr>
    </w:p>
    <w:p>
      <w:pPr>
        <w:ind w:right="20" w:firstLine="193"/>
        <w:spacing w:after="0" w:line="258" w:lineRule="auto"/>
        <w:rPr>
          <w:sz w:val="20"/>
          <w:szCs w:val="20"/>
          <w:color w:val="auto"/>
        </w:rPr>
      </w:pPr>
      <w:r>
        <w:rPr>
          <w:rFonts w:ascii="Times New Roman" w:cs="Times New Roman" w:eastAsia="Times New Roman" w:hAnsi="Times New Roman"/>
          <w:sz w:val="18"/>
          <w:szCs w:val="18"/>
          <w:color w:val="auto"/>
        </w:rPr>
        <w:t>As disclosed in Note 2 — Summary of Significant Accounting Policies of the 2025 Form 10-K, the Company is subject to ongoing tax audits. During the quarter ended September 30, 2026, the Canada Revenue Agency (the “CRA”) issued Notices of Reassessment to the Company in respect of its 2017 through 2019 taxation years relating primarily to the transactions between the Canadian entity and a Chinese subsidiary in those years. The reassessments would, if successful, increase the Canadian entity’s taxable income by a total of $102 million across those years.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believes CRA’s position to be without merit, and intends to vigorously defend the original filing position by submitting Notices of Objection and pursuing available appeal rights. In addition, should the CRA’s reassessments prevail in whole or in part, the Company would seek relief through the competent authority Mutual Agreement Procedure (“MAP”) to avoid double taxation by reducing the income of the Chinese subsidiary and recover taxes paid in China in the same taxation years. Until this matter is resolved, a significant amount of Canadian tax attributes will not be available to reduce taxable income and it is expected that the Company will be required to make Canadian income tax payments that exceed current tax expense.</w:t>
      </w:r>
    </w:p>
    <w:p>
      <w:pPr>
        <w:spacing w:after="0" w:line="210" w:lineRule="exact"/>
        <w:rPr>
          <w:sz w:val="20"/>
          <w:szCs w:val="20"/>
          <w:color w:val="auto"/>
        </w:rPr>
      </w:pPr>
    </w:p>
    <w:p>
      <w:pPr>
        <w:jc w:val="both"/>
        <w:ind w:right="120" w:firstLine="193"/>
        <w:spacing w:after="0" w:line="263" w:lineRule="auto"/>
        <w:rPr>
          <w:sz w:val="20"/>
          <w:szCs w:val="20"/>
          <w:color w:val="auto"/>
        </w:rPr>
      </w:pPr>
      <w:r>
        <w:rPr>
          <w:rFonts w:ascii="Times New Roman" w:cs="Times New Roman" w:eastAsia="Times New Roman" w:hAnsi="Times New Roman"/>
          <w:sz w:val="18"/>
          <w:szCs w:val="18"/>
          <w:color w:val="auto"/>
        </w:rPr>
        <w:t>The Company has evaluated its filing positions under ASC 740 and concluded it has met the more-likely-than-not recognition threshold. Accordingly, as of September 30, 2026, no unrecognized tax benefit has been recorded for these matters. The ultimate outcome is uncertain, and an unfavorable resolution could be material.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Capital Stock and Reserves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did not repurchase any common shares. During the nine months ended September 30, 2026, the Company repurchased 404,866 common shares at an average price of $33.91 per share, for a total of $13.7 million, excluding commission. During the three and nine months ended September 30, 2025, the Company did not have any repurchases of common shares. During the nine months ended September 30, 2026 and 2025, there were no shares purchased in the administration of employee share-based plans.</w:t>
      </w:r>
    </w:p>
    <w:p>
      <w:pPr>
        <w:spacing w:after="0" w:line="209"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2026, share-based compensation expense totaled $9.8 million and $22.8 million, respectively (2025 — $6.3 million and $18.9 million, respectively)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4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Company’s share-based compensation expense included restricted share units (“RSUs”) to non-employees of $nil and $1.7 million for each such period, of which $1.7 million granted during the nine month period vested immediately (2025 — less than $0.1 million and $1.7 million, respectively).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for the nine months ended September 30, 2026 and 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1,818,698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(843,044)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226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(470,582)</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975,654</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1,934,793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975,654</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1,934,793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 options are no longer granted under the SOP.</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 Summary</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Corporation Second Amended and Restated Long-Term Incentive Plan (as may be amended, “IMAX LTIP”) for the nine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1,244,670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1,465,977</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555,819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(687,142)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(713,130)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916,686</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1,268,153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these targets is assessed over a three-year performance period, with vesting ranging from 0% to 200% of the initial Adjusted EBITDA PSU award or 200% of the initial TSR PSU award, depending upon actual performance.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2026 grants, the grant date fair value for Adjusted EBITDA PSUs is determined using the volume-weighted average price of the Company’s common shares on the New York Stock Exchange for the sixty calendar days prior to the date of grant. The grant date fair value for TSR PSUs is determined using a Monte Carlo Model, influenced by share price and various assumptions, such as market conditions and expected share price volatility over the term of the awards.</w:t>
      </w: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compensation expense attributable for each type of PSU is recognized on a straight-line basis over the requisite service period. If, as a result of management’s assessment, it is projected that a greater or lesser number of Adjusted EBITDA PSUs will vest than previously anticipated, a life-to-date adjustment to increase or decrease compensation expense is recorded in the period that such determination is made. The expense recognized in the three and nine months ended September 30, 2026 and 2025 includes adjustments reflecting management’s estimate of the number of Adjusted EBITDA PSUs expected to vest.</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nine months ended September 30, 2026 and 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201"/>
        </w:trPr>
        <w:tc>
          <w:tcPr>
            <w:tcW w:w="4600" w:type="dxa"/>
            <w:vAlign w:val="bottom"/>
          </w:tcPr>
          <w:p>
            <w:pPr>
              <w:spacing w:after="0"/>
              <w:rPr>
                <w:sz w:val="17"/>
                <w:szCs w:val="17"/>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7"/>
                <w:szCs w:val="17"/>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1,140,515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68"/>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493,499</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555,247</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(605,004)</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(463,212)</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1,005,373</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1,155,368</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20" w:right="100" w:firstLine="5"/>
        <w:spacing w:after="0" w:line="274" w:lineRule="auto"/>
        <w:tabs>
          <w:tab w:leader="none" w:pos="22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For the nine months ended September 30, 2026, the balance of shares granted includes 199,473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159,376) additional shares, at a weighted average grant date fair value per share of $16.98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$19.18), as PSUs granted in 2023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granted in 2022) with Adjusted EBITDA targets vested at 175%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175%) on account of full achievement of the targets.</w:t>
      </w:r>
    </w:p>
    <w:p>
      <w:pPr>
        <w:spacing w:after="0" w:line="1" w:lineRule="exact"/>
        <w:rPr>
          <w:rFonts w:ascii="Times New Roman" w:cs="Times New Roman" w:eastAsia="Times New Roman" w:hAnsi="Times New Roman"/>
          <w:sz w:val="14"/>
          <w:szCs w:val="14"/>
          <w:i w:val="1"/>
          <w:iCs w:val="1"/>
          <w:color w:val="auto"/>
        </w:rPr>
      </w:pPr>
    </w:p>
    <w:p>
      <w:pPr>
        <w:ind w:left="220" w:hanging="195"/>
        <w:spacing w:after="0"/>
        <w:tabs>
          <w:tab w:leader="none" w:pos="2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For the nine months ended September 30, 2026, the balance of shares granted includes 46,510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17,375) additional shares, at a weighted average grant date fair value per share of</w:t>
      </w:r>
    </w:p>
    <w:p>
      <w:pPr>
        <w:spacing w:after="0" w:line="19" w:lineRule="exact"/>
        <w:rPr>
          <w:sz w:val="20"/>
          <w:szCs w:val="20"/>
          <w:color w:val="auto"/>
        </w:rPr>
      </w:pPr>
    </w:p>
    <w:p>
      <w:pPr>
        <w:ind w:left="20" w:right="220"/>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$19.73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$22.72), as PSUs granted in 2023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granted in 2022) with TSR targets vested at 150% on account of full achievement of the targets (2025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123.5% based on actual performance versus the targets).</w:t>
      </w:r>
    </w:p>
    <w:p>
      <w:pPr>
        <w:spacing w:after="0" w:line="318"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2026, the maximum number of common shares that may be issued with respect to PSUs outstanding was 1,764,168, assuming full achievement of the Adjusted EBITDA and TSR targets.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3" w:lineRule="exact"/>
        <w:rPr>
          <w:sz w:val="20"/>
          <w:szCs w:val="20"/>
          <w:color w:val="auto"/>
        </w:rPr>
      </w:pPr>
    </w:p>
    <w:p>
      <w:pPr>
        <w:jc w:val="both"/>
        <w:ind w:firstLine="193"/>
        <w:spacing w:after="0" w:line="272" w:lineRule="auto"/>
        <w:rPr>
          <w:sz w:val="20"/>
          <w:szCs w:val="20"/>
          <w:color w:val="auto"/>
        </w:rPr>
      </w:pPr>
      <w:r>
        <w:rPr>
          <w:rFonts w:ascii="Times New Roman" w:cs="Times New Roman" w:eastAsia="Times New Roman" w:hAnsi="Times New Roman"/>
          <w:sz w:val="17"/>
          <w:szCs w:val="17"/>
          <w:color w:val="auto"/>
        </w:rPr>
        <w:t>On June 12, 2017, the Company announced that its Board of Directors approved a $200.0 million share repurchase program for its common shares that would have expired on June 30, 2020, which was subsequently extended through June 30, 2027 and increased to a total share repurchase authority of $500.0 million under the current share repurchase program. As of September 30, 2026, the Company had $237.0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9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2026, the IMAX LTIP trustee did not hold any shares. Any shares held with the trustee are recorded at cost and are reported as a reduction against Capital Stock on the Company’s Condensed Consolidated Balance Sheets.</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2025, IMAX China’s shareholders granted its Board of Directors a general mandate authorizing IMAX China’s Board of Directors, subject to applicable laws, to repurchase shares of IMAX China not to exceed 10% of the total number of issued shares as of June 12, 2025 (33,919,122 shares). This program expired on the date of the 2026 Annual General Meeting of IMAX China on June 11, 2026. During IMAX China’s 2026 Annual General Meeting, shareholders granted its Board of Directors a general mandate, subject to applicable laws, to repurchase shares of IMAX China not to exceed 10% of the total number of issued shares as of June 11, 2026 (33,988,722 shares). This program will be valid until the 2027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2026, IMAX China did not repurchase any common shares. During the three months ended September 30, 2025, IMAX China did not repurchase any common shares. During the nine months ended September 30, 2025, IMAX China repurchased 1,495,900 common shares, at an average price of HKD 7.56 per share ($0.96 per share) for a total of HKD 11.3 million ($1.4 million), excluding commission.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53,783</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net</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53,561</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Weighted average effect of potential common shares, if dilutive</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9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calculation of diluted weighted average shares outstanding excludes 677 and 79,530 shares, respectively (2025 — 844,551 and 928,945 shares, respectively) that are issuable upon the vesting or exercise of share-based compensation including: (i) nil and 3,817 RSUs, respectively (2025 — nil RSUs), (ii) 677 and 75,713 PSUs, respectively (2025 — 1,510 and 85,904 PSUs, respectively) and (iii) nil stock options (2025 — 843,041 stock options), as the effect would be anti-dilutive.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for the nine months ended September 30, 2026 and the three and nine months ended September 30, 2025, the calculation of diluted weighted average shares outstanding excludes any shares potentially issuable upon the conversion of the 2030 Convertible Notes as the average market price of the Company’s common shares during the period of time they were outstanding was less than the conversion price of the 2030 Convertible Notes.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any shares potentially issuable upon conversion of the 2030 Convertible Notes were included in diluted weighted average shares outstanding under the if-converted method because the assumed conversion of the 2030 Convertible Notes was dilutive, as the average market price of the Company’s common shares exceeded the conversion price and the effect was dilutive. Potential conversion shares are included in diluted earnings per share when dilutive, regardless of whether the market-price conversion condition has been met.</w:t>
      </w: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2030 Convertible Notes, the Company entered into 2030 Capped Call Transactions (as defined and described in Note 13 to the Company’s audited Consolidated Financial Statements included in its 2025 Form 10-K) designed to reduce potential dilution upon conversion and mitigate potential cash payments in excess of the principal amount, subject to a cap. The 2030 Capped Call Transactions are excluded from diluted earnings per share because their effect would be antidilutive. Accordingly, diluted weighted average shares outstanding reflect the dilutive effect of the 2030 Convertible Notes without giving effect to the 2030 Capped Call Transactions.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statutory surplus reserve of RMB 37.7 million ($5.8 million) has reached 50% of the Company’s PRC subsidiaries’ registered capital, and as such, no further contributions to the reserve are required.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and nine months ended September 30, 2026 and 2025: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93,974</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77,260</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171,234</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152,154</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157,546</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160,030</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190,407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207,225</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350,437</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212,710</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105,720</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60,891</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159,675</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162,636</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2026, revenues earned from Technology Sales include variable consideration of $3.5 million and $18.3 million, respectively (2025 — $5.1 million and $11.4 million, respectively).</w:t>
      </w:r>
    </w:p>
    <w:p>
      <w:pPr>
        <w:spacing w:after="0" w:line="18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For the three and nine months ended September 30, 2026, revenues earned from leasing arrangements total $41.5 million and $78.1 million, respectively (2025 — $23.3 million and $61.8 million, respectively), including $41.4 million and $78.0 million, respectively, in Revenues ― Technology Rentals (2025</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$23.3 million and $61.8 million, respectively), and less than $0.1 million and $0.1 million in the three and nine months ended September 30, 2026, respectively, in Revenues ― Technology Sales (2025 — $nil and $0.1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September 30, 2026, $19.2 million of consideration has been deferred in relation to outstanding maintenance services to be provided on existing maintenance contracts (December 31, 2025 — $28.3 million).</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and nine months ended September 30, 2026, $7.6 million and $26.9 million of revenue, respectively, was recognized from the $50.4 million balance of deferred revenue as of December 31, 2025. During the three and nine months ended September 30, 2025, $9.6 million and $29.4 million of revenue, respectively, was recognized from the $52.7 million balance of deferred revenue as of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of the 2025 Form 10-K. Intercompany profit or loss is not included in the evaluation of performance and allocation of resources.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September 30, 2026 and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171,234</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125,065</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126,302</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jc w:val="both"/>
        <w:ind w:left="340" w:right="20" w:hanging="315"/>
        <w:spacing w:after="0" w:line="269"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12% of total Revenues for the three months ended September 30, 2026 (2025 — 10%). Two customers each individually comprised more than 10% of the Company’s total Accounts Receivable balance as of September 30, 2026. No single customer accounted for more than 10% of the Company’s total Accounts Receivable balance as of December 31, 2025.</w:t>
      </w: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nine months ended September 30, 2026 and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111,900</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119,295</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94,084</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350,437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231,195</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171,992</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358,773</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235,009</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5"/>
        <w:spacing w:after="0" w:line="279" w:lineRule="auto"/>
        <w:tabs>
          <w:tab w:leader="none" w:pos="332"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15% of total Revenues for the nine months ended September 30, 2026 (2025 — 9%). Two customers each individually comprised more than 10% of the Company’s total Accounts Receivable balance as of September 30, 2026. No single customer accounted for more than 10% of the Company’s total Accounts Receivable balance as of December 31, 2025.</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Content Solutions segment that is made available to the CODM as part of the Company’s annual and quarterly financial reporting requirements in accordance with U.S. GAAP: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300" w:type="dxa"/>
            <w:vAlign w:val="bottom"/>
          </w:tcPr>
          <w:p>
            <w:pPr>
              <w:spacing w:after="0"/>
              <w:rPr>
                <w:sz w:val="20"/>
                <w:szCs w:val="20"/>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0"/>
                <w:szCs w:val="20"/>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asset amortization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Co-produced film participation expenses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film distribution, post-production costs, production costs, and network connectivity fees.</w:t>
      </w:r>
    </w:p>
    <w:p>
      <w:pPr>
        <w:spacing w:after="0" w:line="36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300" w:type="dxa"/>
            <w:vAlign w:val="bottom"/>
          </w:tcPr>
          <w:p>
            <w:pPr>
              <w:spacing w:after="0"/>
              <w:rPr>
                <w:sz w:val="20"/>
                <w:szCs w:val="20"/>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0"/>
                <w:szCs w:val="20"/>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00" w:type="dxa"/>
            <w:vAlign w:val="bottom"/>
            <w:tcBorders>
              <w:bottom w:val="single" w:sz="8" w:color="494949"/>
            </w:tcBorders>
          </w:tcPr>
          <w:p>
            <w:pPr>
              <w:spacing w:after="0"/>
              <w:rPr>
                <w:sz w:val="3"/>
                <w:szCs w:val="3"/>
                <w:color w:val="auto"/>
              </w:rPr>
            </w:pPr>
          </w:p>
        </w:tc>
        <w:tc>
          <w:tcPr>
            <w:tcW w:w="126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18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494949"/>
            </w:tcBorders>
          </w:tcPr>
          <w:p>
            <w:pPr>
              <w:spacing w:after="0"/>
              <w:rPr>
                <w:sz w:val="3"/>
                <w:szCs w:val="3"/>
                <w:color w:val="auto"/>
              </w:rPr>
            </w:pPr>
          </w:p>
        </w:tc>
        <w:tc>
          <w:tcPr>
            <w:tcW w:w="124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200" w:type="dxa"/>
            <w:vAlign w:val="bottom"/>
            <w:tcBorders>
              <w:bottom w:val="single" w:sz="8" w:color="494949"/>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equipment supporting JRSAs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 of equipment supporting JRSAs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inventory</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0" w:type="dxa"/>
            <w:vAlign w:val="bottom"/>
          </w:tcPr>
          <w:p>
            <w:pPr>
              <w:spacing w:after="0"/>
              <w:rPr>
                <w:sz w:val="1"/>
                <w:szCs w:val="1"/>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72,568</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119,295</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right="180" w:hanging="315"/>
        <w:spacing w:after="0" w:line="269" w:lineRule="auto"/>
        <w:tabs>
          <w:tab w:leader="none" w:pos="332"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three and nine months ended September 30, 2026, the Company recorded inventory provisions primarily from its assessment of excess spare parts inventory, resulting from evolving service and support requirements for certain IMAX Systems.</w:t>
      </w:r>
    </w:p>
    <w:p>
      <w:pPr>
        <w:ind w:left="340" w:right="180" w:hanging="315"/>
        <w:spacing w:after="0" w:line="279" w:lineRule="auto"/>
        <w:tabs>
          <w:tab w:leader="none" w:pos="332"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the manufacturing and build of IMAX Systems recognized in the period, maintenance and warranty costs, and other product related costs.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the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4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104,469</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0" w:type="dxa"/>
            <w:vAlign w:val="bottom"/>
          </w:tcPr>
          <w:p>
            <w:pPr>
              <w:spacing w:after="0"/>
              <w:rPr>
                <w:sz w:val="1"/>
                <w:szCs w:val="1"/>
                <w:color w:val="auto"/>
              </w:rPr>
            </w:pPr>
          </w:p>
        </w:tc>
      </w:tr>
      <w:tr>
        <w:trPr>
          <w:trHeight w:val="26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United States, Greater China (which includes the mainland of the People’s Republic of China, Hong Kong, Macau, and Taiwan), Asia (excluding Greater China), and Western Europe each comprise greater than 10% of the Company’s total revenues for the three and nine months ended September 30, 2026. The United States, Greater China, Asia and Western Europe each comprise greater than 10% of the Company’s total revenues for the three and nine months ended September 30,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Gelfond. Under the terms of his employment agreement, as amended, the total benefit payable to Mr. Gelfond under the SERP is fixed at $20.3 million.</w:t>
      </w:r>
    </w:p>
    <w:p>
      <w:pPr>
        <w:spacing w:after="0" w:line="23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Company’s projected benefit obligation under the SERP was $18.0 million (December 31, 2025 — $17.5 million). For the three and nine months ended September 30, 2026, the Company recorded interest costs of $0.2 million and $0.5 million, respectively, (2025 — $0.1 million and $0.5 million, respectively) related to the SERP. The Company expects to recognize additional interest costs of $0.2 million related to the SERP during the remainder of 2026. No contributions are expected to be made to the SERP in 2026.</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2026, the Company’s postretirement benefits obligation under this plan was $0.5 million (December 31, 2025 — $0.5 million). For the three and nine months ended September 30, 2026, the Company has recorded an expense of less than $0.1 million, in each period (2025 — less than $0.1 million, in each period) related to this plan.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September 30, 2026, the Company’s postretirement benefits obligation under this plan was $0.9 million (December 31, 2025 — $1.0 million). For the three and nine months ended September 30, 2026, the Company has recorded expense of less than $0.1 million, in each period (2025 — less than $0.1 million, in each period) related to this plan.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the benefit obligation related to the Retirement Plan was $4.6 million (December 31, 2025 — $4.4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which equates to its cash surrender value, on the Company’s Condensed Consolidated Balance Sheets within Prepaid Expenses. As of September 30, 2026, fair value of the COLI asset was $3.9 million (December 31, 2025 — $3.8 million). Gains and losses resulting from changes in the cash surrender value of the COLI asset are recognized in the Condensed Consolidated Statements of Operations within Realized and Unrealized Investment Gains.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$207.9 million balance of cash and cash equivalents as of September 30, 2026 (December 31, 2025 — $151.2 million) included $171.6 million in cash held outside of Canada (December 31, 2025 — $137.4 million), of which $121.8 million was held in the PRC (December 31, 2025 — $97.2 million).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80" w:type="dxa"/>
            <w:vAlign w:val="bottom"/>
          </w:tcPr>
          <w:p>
            <w:pPr>
              <w:spacing w:after="0"/>
              <w:rPr>
                <w:sz w:val="16"/>
                <w:szCs w:val="16"/>
                <w:color w:val="auto"/>
              </w:rPr>
            </w:pPr>
          </w:p>
        </w:tc>
        <w:tc>
          <w:tcPr>
            <w:tcW w:w="308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38"/>
        </w:trPr>
        <w:tc>
          <w:tcPr>
            <w:tcW w:w="4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80,036</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310"/>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2030 Convertible notes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(278,708)</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40" w:hanging="315"/>
        <w:spacing w:after="0"/>
        <w:tabs>
          <w:tab w:leader="none" w:pos="3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estimated based on discounting future cash flows at currently available interest rates with comparable terms.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49" w:lineRule="exact"/>
        <w:rPr>
          <w:sz w:val="20"/>
          <w:szCs w:val="20"/>
          <w:color w:val="auto"/>
        </w:rPr>
      </w:pPr>
    </w:p>
    <w:p>
      <w:pPr>
        <w:jc w:val="both"/>
        <w:ind w:firstLine="193"/>
        <w:spacing w:after="0" w:line="271" w:lineRule="auto"/>
        <w:rPr>
          <w:sz w:val="20"/>
          <w:szCs w:val="20"/>
          <w:color w:val="auto"/>
        </w:rPr>
      </w:pPr>
      <w:r>
        <w:rPr>
          <w:rFonts w:ascii="Times New Roman" w:cs="Times New Roman" w:eastAsia="Times New Roman" w:hAnsi="Times New Roman"/>
          <w:sz w:val="17"/>
          <w:szCs w:val="17"/>
          <w:color w:val="auto"/>
        </w:rPr>
        <w:t>A majority of the Company’s revenues are denominated in U.S. Dollars while a significant portion of its costs and expenses are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91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198"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September 30, 2026 (the “Foreign Currency Hedges”), with settlement dates throughout 2026, 2027 and 2028.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Comprehensive Loss (“AOCI”) and reclassified to the Condensed Consolidated Statements of Operations when the forecasted transaction occurs. Any ineffective portion is recognized immediately in the Condensed Consolidated Statements of Operations.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8"/>
        </w:trPr>
        <w:tc>
          <w:tcPr>
            <w:tcW w:w="200" w:type="dxa"/>
            <w:vAlign w:val="bottom"/>
            <w:tcBorders>
              <w:bottom w:val="single" w:sz="8" w:color="CCEEFF"/>
            </w:tcBorders>
          </w:tcPr>
          <w:p>
            <w:pPr>
              <w:spacing w:after="0"/>
              <w:rPr>
                <w:sz w:val="3"/>
                <w:szCs w:val="3"/>
                <w:color w:val="auto"/>
              </w:rPr>
            </w:pPr>
          </w:p>
        </w:tc>
        <w:tc>
          <w:tcPr>
            <w:tcW w:w="38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44,967</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48,357</w:t>
            </w:r>
          </w:p>
        </w:tc>
      </w:tr>
      <w:tr>
        <w:trPr>
          <w:trHeight w:val="536"/>
        </w:trPr>
        <w:tc>
          <w:tcPr>
            <w:tcW w:w="20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8"/>
        </w:trPr>
        <w:tc>
          <w:tcPr>
            <w:tcW w:w="20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8"/>
        </w:trPr>
        <w:tc>
          <w:tcPr>
            <w:tcW w:w="40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2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5"/>
        </w:trPr>
        <w:tc>
          <w:tcPr>
            <w:tcW w:w="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228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Derivative (Loss) Gain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Recognized in OCI</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551"/>
        </w:trPr>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tcPr>
          <w:p>
            <w:pPr>
              <w:spacing w:after="0"/>
              <w:rPr>
                <w:sz w:val="3"/>
                <w:szCs w:val="3"/>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 Gain</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36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Selling, general and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6"/>
        </w:trPr>
        <w:tc>
          <w:tcPr>
            <w:tcW w:w="2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estimated net amount of the existing loss as of September 30, 2026 is $0.9 million, which is expected to be reclassified to the Condensed Consolidated Statements of Operations within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As of September 30, 2026, the Company indirectly owned 71.57% of the outstanding equity interest in IMAX China, whose shares trade on the Hong Kong Stock Exchange (December 31, 2025 — 71.57%). IMAX China remains a consolidated subsidiary of the Company. As of September 30, 2026, the balance of the Company’s non-controlling interest in IMAX China was $97.8 million (December 31, 2025 — $89.2 million). For the three and nine months ended September 30, 2026, the net income attributable to the non-controlling interest in IMAX China was $3.3 million and $5.6 million, respectively (2025 — $1.9 million and $8.7 million, respectively).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Charges and Other Impairments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In the three and nine months ended September 30, 2026, the Company incurred $nil and $2.3 million, respectively (2025 — $nil and $0.8 million, respectively) in Restructuring charges and other impairments in the Condensed Consolidated Statements of Operations.</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Specifically, in the nine months ended September 30, 2026, the Company recognized an impairment charge of $2.0 million (2025 — $nil) on an individual documentary film asset following a reassessment of estimated future revenues. The revised estimates reflects updates to estimated market performance and future monetization of the title.</w:t>
      </w:r>
    </w:p>
    <w:p>
      <w:pPr>
        <w:spacing w:after="0" w:line="204"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In addition, in the nine months ended September 30, 2026, the Company incurred termination charges of $0.3 million (2025 — $0.8 million) in connection with its plan to optimize its organizational structure, including eliminating redundant roles, addressing spans and layers to capture efficiencies and centralizing certain operational roles.</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2026, the Company’s liability was $0.4 million (December 31, 2025 — $1.4 million) on the Consolidated Balance Sheets within Accrued and other liabilities related to Restructuring charges and other impairments.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Goodwill</w:t>
      </w:r>
    </w:p>
    <w:p>
      <w:pPr>
        <w:spacing w:after="0" w:line="253" w:lineRule="exact"/>
        <w:rPr>
          <w:sz w:val="20"/>
          <w:szCs w:val="20"/>
          <w:color w:val="auto"/>
        </w:rPr>
      </w:pPr>
    </w:p>
    <w:p>
      <w:pPr>
        <w:jc w:val="both"/>
        <w:ind w:left="20" w:firstLine="161"/>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Company’s total Goodwill was $39.0 million (December 31, 2025 — $45.8 million) of which $39.0 million (December 31, 2025 — $39.0 million) relates to the Technology Products and Services (“TPS”) reporting unit and $nil (December 31, 2025 — $6.8 million) relates to the Streaming and Consumer Technology (“SCT”) reporting unit which is described in Note 20 to the Company’s Consolidated Financial Statements in its 2025 Form 10-K.</w:t>
      </w:r>
    </w:p>
    <w:p>
      <w:pPr>
        <w:spacing w:after="0" w:line="209"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The Company performed both a qualitative and quantitative assessment of the fair value of the SCT reporting unit as of September 30, 2026, and recognized an impairment charge equal to the carrying amount of the SCT reporting unit’s goodwill of $6.8 million on the statement of operations in the three and nine months ended September 30, 2026, with no goodwill remaining within the SCT reporting unit. The Company first evaluated the recoverability of the intangible assets within the SCT reporting unit and concluded no impairment existed as of September 30, 2026. The decline in the fair value of the SCT reporting unit and resulting goodwill impairment charge was due to the Company’s shift in product and service offerings during the third quarter of 2026, and the potential cash flows that these offerings are projected to generate, as well as organizational changes within the quarter. The discounted cash flow method, which estimates fair value based on the present value of future cash flows, required the Company to make various assumptions regarding the timing and amount of these cash flows, including revenue growth rates, projected operating expenditures, the terminal value of the business at the end of the projection period and the underlying discount rate used to determine the net present value of the future cash flows. The Company’s 2026 assessment included assumptions about future cash flows based on its internal forecasts and the revenue growth rates were based on expected trends supported by market growth projections. The terminal value was estimated using a long-term growth rate that closely approximated inflation. The discount rate determined for the reporting unit was based on the risks of achieving the future cash flows, including risks applicable to the industry and market as a whole, as well as the capital structure of comparable entities. For the impairment test of the SCT reporting unit, the Company utilized a discount rate of 20.0% and a revenue growth rate of 5.0% in certain years, which represent the most significant assumptions in the model.</w:t>
      </w:r>
    </w:p>
    <w:p>
      <w:pPr>
        <w:spacing w:after="0" w:line="213"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Assumptions and estimates about future cash flows and discount rates are complex, subjective, and require significant judgment. The analysis is dependent on internal forecasts, estimation of the long-term rates of revenue growth rates, terminal growth rates, profitability measures, and determination of the discount rates for the SCT reporting unit.</w:t>
      </w:r>
    </w:p>
    <w:p>
      <w:pPr>
        <w:spacing w:after="0" w:line="204"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Company also performed a qualitative assessment of the fair value of the TPS reporting unit as of September 30, 2026, and did not identify any triggering events that would indicate the carrying value is more likely than not less than the fair value of the reporting unit.</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Changes to the carrying amount of goodwill for the nine months ended September 30, 2026 and the year ended December 31, 2025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8"/>
        </w:trPr>
        <w:tc>
          <w:tcPr>
            <w:tcW w:w="62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41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24"/>
                <w:szCs w:val="24"/>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8"/>
        </w:trPr>
        <w:tc>
          <w:tcPr>
            <w:tcW w:w="62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13,788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6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
        </w:trPr>
        <w:tc>
          <w:tcPr>
            <w:tcW w:w="62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41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24"/>
                <w:szCs w:val="24"/>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8"/>
        </w:trPr>
        <w:tc>
          <w:tcPr>
            <w:tcW w:w="62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Presented below is Management’s Discussion and Analysis of Financial Condition and Results of Operations (“MD&amp;A”) for IMAX Corporation (together with its consolidated subsidiaries, unless the context requires otherwise, “IMAX” or the “Company”) for the three and nine months ended September 30, 2026 and 2025. This MD&amp;A should be read in conjunction with the accompanying Condensed Consolidated Financial Statements in Item 1 as well as the Company’s audited consolidated financial statements and related notes and the discussion under the heading “Management’s Discussion and Analysis of Financial Condition and Results of Operations” for the fiscal year ended December 31, 2025 included in the Company’s 2025 Annual Report on Form 10-K (the “2025 Form 10-K”).</w:t>
      </w:r>
    </w:p>
    <w:p>
      <w:pPr>
        <w:spacing w:after="0" w:line="21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indirectly owned 71.57% of the outstanding equity interest in IMAX China Holding, Inc. (“IMAX China”), whose shares trade on the Hong Kong Stock Exchange. IMAX China is a consolidated subsidiary of the Company. For the nine months ended September 30, 2026, net income attributable to IMAX China was $19.6 million, of which $14.0 million was attributable to the shareholders of the Company (2025 — $30.5 million and $21.9 million,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U.S. Private Securities Litigation Reform Act of 1995 or “forward-looking information” within the meaning of Canadian securities laws. Words such as “anticipate,” “assume,” “believe,” “continue,” “could,” “drive,” “estimate,” “expect,” “forecast,” “future,” “if,” “improvement,” “intend,” “likely,” “may,” “plan,” “possibility,” “potential,” “project,” “projection,” “prospect,” “remain,” “scheduled,” “seek,” “strategy,” “subject to,” “upcoming,” “will,” “would,” or the negative thereof, and similar expressions identify forward-looking statements and information. These forward-looking statements and information include, but are not limited to, statements regarding the Company’s business and technology strategies and measures to implement such strategies, including with respect to its brand extensions and repositioning and new business initiatives; the Company’s competitive strengths, goals, market opportunity and penetration, including opportunities in and expected growth from international markets, networks, operations and technology; future cash flow and revenue realization; capital allocation, including the amount and nature of future capital expenditures and the sufficiency of capital and liquidity to fund the Company’s anticipated operating needs; the Company’s capital structure, including the incurrence and repayment of debt; the outcome of legal proceedings and tax reassessments, the Company’s technological capabilities and the differentiation thereof; the Company’s ability to enhance its brand equity and brand awareness and the benefits thereof; industry prospects and developments and shifts in consumer behavior; the Company’s upcoming film slate and content pipeline, including the timing and performance thereof; and plans and references to the future success of the Company and expectations regarding its future operating, financial and technological results.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industry conditions affecting both the Company and its partners; the ability of the Company’s exhibitor customers to fulfill their contractual payment obligations; risks related to the Company’s ability to attract and retain its employee population or the loss of the Company’s key personnel; the performance of IMAX remastered films and other films released to the IMAX network; conditions, changes and developments in the commercial exhibition industry; the Company’s ability to enter into new IMAX theater system agreements and sales and lease agreements and the effects thereof; fluctuations in operating results and cash flow;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with respect to AI products and AI-generated content; the potential impacts of consolidation among commercial exhibitors and studios; the success of brand extensions and new business initiatives; conditions and competition in the in-home (including streaming) and out-of-home entertainment industries;</w:t>
      </w:r>
    </w:p>
    <w:p>
      <w:pPr>
        <w:spacing w:after="0" w:line="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ability to identify and pursue new business opportunities (or lack thereof); cybersecurity and data privacy incidents; the Company’s ability to protect its intellectual property and to avoid infringing, misappropriating, or violating the intellectual property rights of others; effects of environmental laws and regulations, including with respect to climate 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and the resulting disruptions to the Company’s operations or supply chain; the Company’s ability to convert system backlog into revenue and cash flows; accuracy of assumptions underlying goodwill impairment assessment and fair value measurements;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on the System for Electronic Data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3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0" w:right="180"/>
        <w:spacing w:after="0" w:line="228"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34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website at www.imax.com or by calling the Company’s Investor Relations Department at 212-821-0154.</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filing, except where expressly indicated. All references to the Company’s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September 30, 2026, there were 1,887 IMAX Systems operating in locations in 91 countries and territories, including 1,820 commercial multiplexes, 10 commercial destinations, and 57 institutional locations in the Company’s global network. This compares to 1,829 IMAX Systems operating in locations in 89 countries and territories as of September 30, 2025, including 1,759 commercial multiplexes, 10 commercial destinations, and 60 institutional locations in the Company’s global network. (Refer to the table under “IMAX Network and Backlog” for additional information on the composition of the IMAX network.)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49" w:lineRule="exact"/>
        <w:rPr>
          <w:sz w:val="20"/>
          <w:szCs w:val="20"/>
          <w:color w:val="auto"/>
        </w:rPr>
      </w:pPr>
    </w:p>
    <w:p>
      <w:pPr>
        <w:ind w:left="780" w:right="20" w:hanging="387"/>
        <w:spacing w:after="0" w:line="279"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than conventional theater systems so that the screen extends to the edge of a viewer’s peripheral vision and creates more realistic images;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than conventional theater systems and pinpointed origination of sound to any specific spot in an auditorium equipped with an IMAX System;</w:t>
      </w:r>
    </w:p>
    <w:p>
      <w:pPr>
        <w:spacing w:after="0" w:line="189"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compared to conventional cinema experiences;</w:t>
      </w:r>
    </w:p>
    <w:p>
      <w:pPr>
        <w:spacing w:after="0" w:line="248"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to ensure a consistent image and sound quality presentation across the IMAX global network; and</w:t>
      </w:r>
    </w:p>
    <w:p>
      <w:pPr>
        <w:spacing w:after="0" w:line="189"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62"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 For additional discussion, see section titled “Sources of Revenue—IMAX Film Remastering and Distribution” below.</w:t>
      </w:r>
    </w:p>
    <w:p>
      <w:pPr>
        <w:spacing w:after="0" w:line="201" w:lineRule="exact"/>
        <w:rPr>
          <w:sz w:val="20"/>
          <w:szCs w:val="20"/>
          <w:color w:val="auto"/>
        </w:rPr>
      </w:pPr>
    </w:p>
    <w:p>
      <w:pPr>
        <w:jc w:val="both"/>
        <w:ind w:firstLine="193"/>
        <w:spacing w:after="0" w:line="235"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generates incremental box office receipts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(“global box office”) for the Company’s exhibitor customers and for the movie studios releasing their films to the IMAX network. IMAX has become a key premium distribution and marketing platform for Hollywood and local language films driven by IMAX’s leading global network footprint and scale, the incremental global box office generated by IMAX films and the growing demand by moviegoers for the differentiated quality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strength of the IMAX business model and brand are evidenced by its results for the third quarter of 2026, in which the Company delivered the best quarterly financial performance in its history. This includes revenue of $174.6 million, net income of $113.8 million, earnings per diluted share of $1.96, total adjusted EBITDA of $120.9 million, and adjusted earnings per diluted share of $2.21.</w:t>
      </w:r>
    </w:p>
    <w:p>
      <w:pPr>
        <w:spacing w:after="0" w:line="202"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 xml:space="preserve">IMAX generated quarterly box office of $712.1 million, its highest grossing quarter ever led by the performance of Christopher Nolan’s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the first theatrical release ever shot entirely with the IMAX film cameras. The mythic action epic generated IMAX box office of $538 million during the quarter, cementing its status as the Company’s highest grossing film of all time. Box office during the period was further bolstered by </w:t>
      </w:r>
      <w:r>
        <w:rPr>
          <w:rFonts w:ascii="Times New Roman" w:cs="Times New Roman" w:eastAsia="Times New Roman" w:hAnsi="Times New Roman"/>
          <w:sz w:val="18"/>
          <w:szCs w:val="18"/>
          <w:i w:val="1"/>
          <w:iCs w:val="1"/>
          <w:color w:val="auto"/>
        </w:rPr>
        <w:t>Spider-Man: Brand New Day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Resident Evil</w:t>
      </w:r>
      <w:r>
        <w:rPr>
          <w:rFonts w:ascii="Times New Roman" w:cs="Times New Roman" w:eastAsia="Times New Roman" w:hAnsi="Times New Roman"/>
          <w:sz w:val="18"/>
          <w:szCs w:val="18"/>
          <w:color w:val="auto"/>
        </w:rPr>
        <w:t>, the latter of which delivered one of the biggest IMAX opening weekends of all time for a horror film.</w:t>
      </w:r>
    </w:p>
    <w:p>
      <w:pPr>
        <w:spacing w:after="0" w:line="208" w:lineRule="exact"/>
        <w:rPr>
          <w:sz w:val="20"/>
          <w:szCs w:val="20"/>
          <w:color w:val="auto"/>
        </w:rPr>
      </w:pPr>
    </w:p>
    <w:p>
      <w:pPr>
        <w:jc w:val="both"/>
        <w:ind w:firstLine="193"/>
        <w:spacing w:after="0" w:line="237" w:lineRule="auto"/>
        <w:rPr>
          <w:sz w:val="20"/>
          <w:szCs w:val="20"/>
          <w:color w:val="auto"/>
        </w:rPr>
      </w:pPr>
      <w:r>
        <w:rPr>
          <w:rFonts w:ascii="Times New Roman" w:cs="Times New Roman" w:eastAsia="Times New Roman" w:hAnsi="Times New Roman"/>
          <w:sz w:val="18"/>
          <w:szCs w:val="18"/>
          <w:color w:val="auto"/>
        </w:rPr>
        <w:t>Strong demand for IMAX among audiences worldwide continues to create a positive network effect for the Company, as more filmmakers, studios, and artists seek to create content for the IMAX platform. The IMAX film slate for 2027 is more than 65% full and is expected to include more than 12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releases, including </w:t>
      </w:r>
      <w:r>
        <w:rPr>
          <w:rFonts w:ascii="Times New Roman" w:cs="Times New Roman" w:eastAsia="Times New Roman" w:hAnsi="Times New Roman"/>
          <w:sz w:val="18"/>
          <w:szCs w:val="18"/>
          <w:i w:val="1"/>
          <w:iCs w:val="1"/>
          <w:color w:val="auto"/>
        </w:rPr>
        <w:t>Star Wars: Starfighter</w:t>
      </w:r>
      <w:r>
        <w:rPr>
          <w:rFonts w:ascii="Times New Roman" w:cs="Times New Roman" w:eastAsia="Times New Roman" w:hAnsi="Times New Roman"/>
          <w:sz w:val="18"/>
          <w:szCs w:val="18"/>
          <w:color w:val="auto"/>
        </w:rPr>
        <w:t xml:space="preserve"> and the Superman sequel </w:t>
      </w:r>
      <w:r>
        <w:rPr>
          <w:rFonts w:ascii="Times New Roman" w:cs="Times New Roman" w:eastAsia="Times New Roman" w:hAnsi="Times New Roman"/>
          <w:sz w:val="18"/>
          <w:szCs w:val="18"/>
          <w:i w:val="1"/>
          <w:iCs w:val="1"/>
          <w:color w:val="auto"/>
        </w:rPr>
        <w:t>Man of Tomorrow</w:t>
      </w:r>
      <w:r>
        <w:rPr>
          <w:rFonts w:ascii="Times New Roman" w:cs="Times New Roman" w:eastAsia="Times New Roman" w:hAnsi="Times New Roman"/>
          <w:sz w:val="18"/>
          <w:szCs w:val="18"/>
          <w:color w:val="auto"/>
        </w:rPr>
        <w:t>. Filmed For IMAX releases continue to be a key driver of the Company’s surging market share; as of September 30, 2026, its trailing twelve-month box office market share was 6.2% domestic and 4.5% global.</w:t>
      </w:r>
    </w:p>
    <w:p>
      <w:pPr>
        <w:spacing w:after="0" w:line="22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 xml:space="preserve">Furthermore, IMAX continues to build its portfolio of local language films from around the world. In the third quarter of 2026, local language films delivered $36.5 million in IMAX global box office, led by the Chinese local language film, </w:t>
      </w:r>
      <w:r>
        <w:rPr>
          <w:rFonts w:ascii="Times New Roman" w:cs="Times New Roman" w:eastAsia="Times New Roman" w:hAnsi="Times New Roman"/>
          <w:sz w:val="18"/>
          <w:szCs w:val="18"/>
          <w:i w:val="1"/>
          <w:iCs w:val="1"/>
          <w:color w:val="auto"/>
        </w:rPr>
        <w:t>All Wishes Come True!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See “Results of Operations” below for a discussion of the Company’s 2026 three and nine months results as compared to the corresponding prior year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Content Solutions segment earns revenue from IMAX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to commercial IMAX theaters, as well as the provision of film post-production services. The Company earns merchandising revenue which includes IMAX branded merchandise and cooperative merchandising with studios.</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global box office performance of the films and other content released to the IMAX network, as well as other factors, including the timing of the releases, the length of play across the IMAX network, and the global box office share take rates under the Company’s Film Remastering and distribution arrangements. Variations in the number, timing and performance of releases, including a significant film outperformance in a period, can result in fluctuations between periods, greater concentration of results in a particular period, and limit the comparability of year-over-year results. Other factors influencing segment results include the timing of documentary downstream sales, marketing expenditures associated with releases, and fluctuation in foreign currencies relative to U.S. Dollars.</w:t>
      </w:r>
    </w:p>
    <w:p>
      <w:pPr>
        <w:spacing w:after="0" w:line="21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global box office from a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receives a lower percentage of net box office due to an incremental importation fee paid by the studios. All of the Company’s box office results in this Form 10-Q are inclusive of China booking fees to be consistent with market reporting of global box office.</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21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versus a conventional screen. In select IMAX locations worldwide, movies filmed with IMAX cameras have an IMAX-exclusive 1.43 film aspect ratio, delivering up to 67% more image onto a standard conventional movie screen.</w:t>
      </w:r>
    </w:p>
    <w:p>
      <w:pPr>
        <w:spacing w:after="0" w:line="21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 The global box office metrics have demonstrated audiences respond extremely favorably to Filmed For IMAX titles, resulting in a higher market share for IMAX. In the first nine months of 2026, Filmed For IMAX titles on average indexed approximately 11% higher than titles with no IMAX DNA on opening weekend.</w:t>
      </w:r>
    </w:p>
    <w:p>
      <w:pPr>
        <w:spacing w:after="0" w:line="212"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Management believes that growth in global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Japan, India, Thailand, and South Korea. As the popularity of local language films has continued to increase, the Company has extended its content strategy to distribute local language content beyond native markets. For the three and nine months ended September 30, 2026, local language films exhibited across the Company’s global network generated $36 million and $117 million in box office, representing 5% and 9%, respectively, of the Company’s global box office.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right="20" w:firstLine="193"/>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released to the Company’s global network during the three and nine months ended September 30, 2026 and 2025:</w:t>
      </w: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30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2300" w:type="dxa"/>
            <w:vAlign w:val="bottom"/>
            <w:gridSpan w:val="3"/>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4620" w:type="dxa"/>
            <w:vAlign w:val="bottom"/>
          </w:tcPr>
          <w:p>
            <w:pPr>
              <w:spacing w:after="0"/>
              <w:rPr>
                <w:sz w:val="15"/>
                <w:szCs w:val="15"/>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6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2"/>
        </w:trPr>
        <w:tc>
          <w:tcPr>
            <w:tcW w:w="46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Vietnam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Saudi Arabia</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Taiwan, China</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2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Egypt</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5"/>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5"/>
        </w:trPr>
        <w:tc>
          <w:tcPr>
            <w:tcW w:w="46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
        </w:trPr>
        <w:tc>
          <w:tcPr>
            <w:tcW w:w="46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and nine months ended September 30, 2026, the films released to the Company’s global network include four and 11 with IMAX DNA (2025 — four and 13).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In addition to the 101 IMAX films and other content experiences released on the Company’s global network during the nine months ended September 30, 2026, the Company has announced the following 32 films and other content experiences for release in the remainder of 2026: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040" w:type="dxa"/>
            <w:vAlign w:val="bottom"/>
          </w:tcPr>
          <w:p>
            <w:pPr>
              <w:spacing w:after="0"/>
              <w:rPr>
                <w:sz w:val="14"/>
                <w:szCs w:val="14"/>
                <w:color w:val="auto"/>
              </w:rPr>
            </w:pPr>
          </w:p>
        </w:tc>
      </w:tr>
      <w:tr>
        <w:trPr>
          <w:trHeight w:val="229"/>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Release Date</w:t>
            </w:r>
            <w:r>
              <w:rPr>
                <w:rFonts w:ascii="Times New Roman" w:cs="Times New Roman" w:eastAsia="Times New Roman" w:hAnsi="Times New Roman"/>
                <w:sz w:val="18"/>
                <w:szCs w:val="18"/>
                <w:b w:val="1"/>
                <w:bCs w:val="1"/>
                <w:color w:val="auto"/>
                <w:w w:val="97"/>
                <w:vertAlign w:val="superscript"/>
              </w:rPr>
              <w:t>(1)</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Traces of Justice</w:t>
            </w:r>
            <w:r>
              <w:rPr>
                <w:rFonts w:ascii="Times New Roman" w:cs="Times New Roman" w:eastAsia="Times New Roman" w:hAnsi="Times New Roman"/>
                <w:sz w:val="20"/>
                <w:szCs w:val="20"/>
                <w:i w:val="1"/>
                <w:iCs w:val="1"/>
                <w:color w:val="auto"/>
                <w:w w:val="96"/>
                <w:vertAlign w:val="superscript"/>
              </w:rPr>
              <w:t>(2)</w:t>
            </w:r>
          </w:p>
        </w:tc>
        <w:tc>
          <w:tcPr>
            <w:tcW w:w="31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9"/>
              </w:rPr>
              <w:t>Maoyan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Drishyam: The Conclusion</w:t>
            </w:r>
            <w:r>
              <w:rPr>
                <w:rFonts w:ascii="Times New Roman" w:cs="Times New Roman" w:eastAsia="Times New Roman" w:hAnsi="Times New Roman"/>
                <w:sz w:val="20"/>
                <w:szCs w:val="20"/>
                <w:i w:val="1"/>
                <w:iCs w:val="1"/>
                <w:color w:val="auto"/>
                <w:w w:val="98"/>
                <w:vertAlign w:val="superscript"/>
              </w:rPr>
              <w:t>(2)</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Panorama Studios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Digger</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Warner Bros. Pictures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Kuasa Gelap: Perjanjian Darah</w:t>
            </w:r>
            <w:r>
              <w:rPr>
                <w:rFonts w:ascii="Times New Roman" w:cs="Times New Roman" w:eastAsia="Times New Roman" w:hAnsi="Times New Roman"/>
                <w:sz w:val="20"/>
                <w:szCs w:val="20"/>
                <w:i w:val="1"/>
                <w:iCs w:val="1"/>
                <w:color w:val="auto"/>
                <w:w w:val="99"/>
                <w:vertAlign w:val="superscript"/>
              </w:rPr>
              <w:t>(2)</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Paragon Pictures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Queen Budapest</w:t>
            </w:r>
          </w:p>
        </w:tc>
        <w:tc>
          <w:tcPr>
            <w:tcW w:w="31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Trafalgar</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Stormbound</w:t>
            </w:r>
          </w:p>
        </w:tc>
        <w:tc>
          <w:tcPr>
            <w:tcW w:w="312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IMAX</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5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Portrait of an Artist: Stephen Curry</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Disney</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Always LaLisa</w:t>
            </w:r>
            <w:r>
              <w:rPr>
                <w:rFonts w:ascii="Times New Roman" w:cs="Times New Roman" w:eastAsia="Times New Roman" w:hAnsi="Times New Roman"/>
                <w:sz w:val="20"/>
                <w:szCs w:val="20"/>
                <w:i w:val="1"/>
                <w:iCs w:val="1"/>
                <w:color w:val="auto"/>
                <w:w w:val="96"/>
                <w:vertAlign w:val="superscript"/>
              </w:rPr>
              <w:t>(2)</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Trafalgar</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Les Misérables</w:t>
            </w:r>
            <w:r>
              <w:rPr>
                <w:rFonts w:ascii="Times New Roman" w:cs="Times New Roman" w:eastAsia="Times New Roman" w:hAnsi="Times New Roman"/>
                <w:sz w:val="20"/>
                <w:szCs w:val="20"/>
                <w:i w:val="1"/>
                <w:iCs w:val="1"/>
                <w:color w:val="auto"/>
                <w:w w:val="97"/>
                <w:vertAlign w:val="superscript"/>
              </w:rPr>
              <w:t>(2)</w:t>
            </w:r>
          </w:p>
        </w:tc>
        <w:tc>
          <w:tcPr>
            <w:tcW w:w="31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Studio Canal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Jailer 2</w:t>
            </w:r>
            <w:r>
              <w:rPr>
                <w:rFonts w:ascii="Times New Roman" w:cs="Times New Roman" w:eastAsia="Times New Roman" w:hAnsi="Times New Roman"/>
                <w:sz w:val="20"/>
                <w:szCs w:val="20"/>
                <w:i w:val="1"/>
                <w:iCs w:val="1"/>
                <w:color w:val="auto"/>
                <w:w w:val="95"/>
                <w:vertAlign w:val="superscript"/>
              </w:rPr>
              <w:t>(2)</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Sun Pictures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Street Fighter</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Paramount Pictures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F1</w:t>
            </w:r>
            <w:r>
              <w:rPr>
                <w:rFonts w:ascii="Times New Roman" w:cs="Times New Roman" w:eastAsia="Times New Roman" w:hAnsi="Times New Roman"/>
                <w:sz w:val="20"/>
                <w:szCs w:val="20"/>
                <w:i w:val="1"/>
                <w:iCs w:val="1"/>
                <w:color w:val="auto"/>
                <w:w w:val="99"/>
                <w:vertAlign w:val="superscript"/>
              </w:rPr>
              <w:t>®</w:t>
            </w:r>
            <w:r>
              <w:rPr>
                <w:rFonts w:ascii="Times New Roman" w:cs="Times New Roman" w:eastAsia="Times New Roman" w:hAnsi="Times New Roman"/>
                <w:sz w:val="16"/>
                <w:szCs w:val="16"/>
                <w:i w:val="1"/>
                <w:iCs w:val="1"/>
                <w:color w:val="auto"/>
                <w:w w:val="99"/>
              </w:rPr>
              <w:t xml:space="preserve"> on Apple TV Live in IMAX: Austin Race</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Apple TV</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Everest: The Other Side</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National Geographic</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Der Perfekte Urlaub</w:t>
            </w:r>
            <w:r>
              <w:rPr>
                <w:rFonts w:ascii="Times New Roman" w:cs="Times New Roman" w:eastAsia="Times New Roman" w:hAnsi="Times New Roman"/>
                <w:sz w:val="20"/>
                <w:szCs w:val="20"/>
                <w:i w:val="1"/>
                <w:iCs w:val="1"/>
                <w:color w:val="auto"/>
                <w:w w:val="98"/>
                <w:vertAlign w:val="superscript"/>
              </w:rPr>
              <w:t>(2)</w:t>
            </w:r>
          </w:p>
        </w:tc>
        <w:tc>
          <w:tcPr>
            <w:tcW w:w="312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Constantin Films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Nakee 3: The Cursed War</w:t>
            </w:r>
            <w:r>
              <w:rPr>
                <w:rFonts w:ascii="Times New Roman" w:cs="Times New Roman" w:eastAsia="Times New Roman" w:hAnsi="Times New Roman"/>
                <w:sz w:val="20"/>
                <w:szCs w:val="20"/>
                <w:i w:val="1"/>
                <w:iCs w:val="1"/>
                <w:color w:val="auto"/>
                <w:w w:val="97"/>
                <w:vertAlign w:val="superscript"/>
              </w:rPr>
              <w:t>(2)</w:t>
            </w:r>
          </w:p>
        </w:tc>
        <w:tc>
          <w:tcPr>
            <w:tcW w:w="31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9"/>
              </w:rPr>
              <w:t>M Studio</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2"/>
              </w:rPr>
              <w:t>Gupi</w:t>
            </w:r>
            <w:r>
              <w:rPr>
                <w:rFonts w:ascii="Times New Roman" w:cs="Times New Roman" w:eastAsia="Times New Roman" w:hAnsi="Times New Roman"/>
                <w:sz w:val="20"/>
                <w:szCs w:val="20"/>
                <w:i w:val="1"/>
                <w:iCs w:val="1"/>
                <w:color w:val="auto"/>
                <w:w w:val="92"/>
                <w:vertAlign w:val="superscript"/>
              </w:rPr>
              <w:t>(2)</w:t>
            </w:r>
          </w:p>
        </w:tc>
        <w:tc>
          <w:tcPr>
            <w:tcW w:w="312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Gupi Animation Studio</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The Elephant Odyssey</w:t>
            </w:r>
            <w:r>
              <w:rPr>
                <w:rFonts w:ascii="Times New Roman" w:cs="Times New Roman" w:eastAsia="Times New Roman" w:hAnsi="Times New Roman"/>
                <w:sz w:val="20"/>
                <w:szCs w:val="20"/>
                <w:i w:val="1"/>
                <w:iCs w:val="1"/>
                <w:color w:val="auto"/>
                <w:w w:val="98"/>
                <w:vertAlign w:val="superscript"/>
              </w:rPr>
              <w:t>(2)</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Beach House Pictures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Once Upon a Time in Hollywood (Re-release)</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Sony Pictures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Mylène Farmer</w:t>
            </w:r>
            <w:r>
              <w:rPr>
                <w:rFonts w:ascii="Times New Roman" w:cs="Times New Roman" w:eastAsia="Times New Roman" w:hAnsi="Times New Roman"/>
                <w:sz w:val="20"/>
                <w:szCs w:val="20"/>
                <w:i w:val="1"/>
                <w:iCs w:val="1"/>
                <w:color w:val="auto"/>
                <w:w w:val="98"/>
                <w:vertAlign w:val="superscript"/>
              </w:rPr>
              <w:t>(2)</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Pathé Live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Le Fantôme de l'Opéra</w:t>
            </w:r>
            <w:r>
              <w:rPr>
                <w:rFonts w:ascii="Times New Roman" w:cs="Times New Roman" w:eastAsia="Times New Roman" w:hAnsi="Times New Roman"/>
                <w:sz w:val="20"/>
                <w:szCs w:val="20"/>
                <w:i w:val="1"/>
                <w:iCs w:val="1"/>
                <w:color w:val="auto"/>
                <w:w w:val="98"/>
                <w:vertAlign w:val="superscript"/>
              </w:rPr>
              <w:t>(2)</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SND</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The Doll: Ghawiah</w:t>
            </w:r>
            <w:r>
              <w:rPr>
                <w:rFonts w:ascii="Times New Roman" w:cs="Times New Roman" w:eastAsia="Times New Roman" w:hAnsi="Times New Roman"/>
                <w:sz w:val="20"/>
                <w:szCs w:val="20"/>
                <w:i w:val="1"/>
                <w:iCs w:val="1"/>
                <w:color w:val="auto"/>
                <w:w w:val="98"/>
                <w:vertAlign w:val="superscript"/>
              </w:rPr>
              <w:t>(2)</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Hitmaker Studios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Godzilla Minus Zero</w:t>
            </w:r>
            <w:r>
              <w:rPr>
                <w:rFonts w:ascii="Times New Roman" w:cs="Times New Roman" w:eastAsia="Times New Roman" w:hAnsi="Times New Roman"/>
                <w:sz w:val="20"/>
                <w:szCs w:val="20"/>
                <w:i w:val="1"/>
                <w:iCs w:val="1"/>
                <w:color w:val="auto"/>
                <w:w w:val="98"/>
                <w:vertAlign w:val="superscript"/>
              </w:rPr>
              <w:t>(2)</w:t>
            </w:r>
          </w:p>
        </w:tc>
        <w:tc>
          <w:tcPr>
            <w:tcW w:w="312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Toho Cinemas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4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Ramayana</w:t>
            </w:r>
            <w:r>
              <w:rPr>
                <w:rFonts w:ascii="Times New Roman" w:cs="Times New Roman" w:eastAsia="Times New Roman" w:hAnsi="Times New Roman"/>
                <w:sz w:val="20"/>
                <w:szCs w:val="20"/>
                <w:i w:val="1"/>
                <w:iCs w:val="1"/>
                <w:color w:val="auto"/>
                <w:w w:val="97"/>
                <w:vertAlign w:val="superscript"/>
              </w:rPr>
              <w:t>(2)</w:t>
            </w:r>
          </w:p>
        </w:tc>
        <w:tc>
          <w:tcPr>
            <w:tcW w:w="31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8"/>
              </w:rPr>
              <w:t>DNEG</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Dune: Part One (Re-release)</w:t>
            </w:r>
          </w:p>
        </w:tc>
        <w:tc>
          <w:tcPr>
            <w:tcW w:w="312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Warner Bros. Pictures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5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Dune: Part Two (Re-release)</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Warner Bros. Pictures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Hunger Games: Sunrise on the Reaping</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Lionsgate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5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Witch on the Holy Night</w:t>
            </w:r>
            <w:r>
              <w:rPr>
                <w:rFonts w:ascii="Times New Roman" w:cs="Times New Roman" w:eastAsia="Times New Roman" w:hAnsi="Times New Roman"/>
                <w:sz w:val="20"/>
                <w:szCs w:val="20"/>
                <w:i w:val="1"/>
                <w:iCs w:val="1"/>
                <w:color w:val="auto"/>
                <w:w w:val="98"/>
                <w:vertAlign w:val="superscript"/>
              </w:rPr>
              <w:t>(2)</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Toho Cinemas/Aniplex/ufotable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The Further Mis-Adventures of Cliff Booth</w:t>
            </w:r>
          </w:p>
        </w:tc>
        <w:tc>
          <w:tcPr>
            <w:tcW w:w="312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Netflix</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2 Aile Arasında</w:t>
            </w:r>
            <w:r>
              <w:rPr>
                <w:rFonts w:ascii="Times New Roman" w:cs="Times New Roman" w:eastAsia="Times New Roman" w:hAnsi="Times New Roman"/>
                <w:sz w:val="20"/>
                <w:szCs w:val="20"/>
                <w:i w:val="1"/>
                <w:iCs w:val="1"/>
                <w:color w:val="auto"/>
                <w:w w:val="98"/>
                <w:vertAlign w:val="superscript"/>
              </w:rPr>
              <w:t>(2)</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CGV Mars Cinema Group</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George Michael: The Faith Tour</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Mercury Studios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Dune: Part Three</w:t>
            </w:r>
          </w:p>
        </w:tc>
        <w:tc>
          <w:tcPr>
            <w:tcW w:w="312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Warner Bros. Pictures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90"/>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Avengers: Doomsday</w:t>
            </w:r>
            <w:r>
              <w:rPr>
                <w:rFonts w:ascii="Times New Roman" w:cs="Times New Roman" w:eastAsia="Times New Roman" w:hAnsi="Times New Roman"/>
                <w:sz w:val="20"/>
                <w:szCs w:val="20"/>
                <w:i w:val="1"/>
                <w:iCs w:val="1"/>
                <w:color w:val="auto"/>
                <w:w w:val="98"/>
                <w:vertAlign w:val="superscript"/>
              </w:rPr>
              <w:t>(2)</w:t>
            </w:r>
          </w:p>
        </w:tc>
        <w:tc>
          <w:tcPr>
            <w:tcW w:w="31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47" w:lineRule="exact"/>
        <w:rPr>
          <w:sz w:val="20"/>
          <w:szCs w:val="20"/>
          <w:color w:val="auto"/>
        </w:rPr>
      </w:pPr>
    </w:p>
    <w:p>
      <w:pPr>
        <w:ind w:left="340" w:hanging="315"/>
        <w:spacing w:after="0"/>
        <w:tabs>
          <w:tab w:leader="none" w:pos="34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in 2026 and beyond. The Company’s Hollywood film slate in 2027 continues to fill out including major releases such as: </w:t>
      </w:r>
      <w:r>
        <w:rPr>
          <w:rFonts w:ascii="Times New Roman" w:cs="Times New Roman" w:eastAsia="Times New Roman" w:hAnsi="Times New Roman"/>
          <w:sz w:val="18"/>
          <w:szCs w:val="18"/>
          <w:i w:val="1"/>
          <w:iCs w:val="1"/>
          <w:color w:val="auto"/>
        </w:rPr>
        <w:t>Narnia: The Magician’s Nephew,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Thomas Crown Affair, Godzilla x Kong: Supernova, The Legend of Zelda, Star Wars: Starfighter, How to Train Your Dragon 2, Spider-Man: Beyond the Universe, Shrek 5, Man of Tomorrow, Frozen 3 and Avengers: Secret Wars.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distributes large-format documentary feature films through its global commercial network and institutional theaters. Traditionally, the Company receives as its distribution fee either a fixed amount or a fixed percentage of the theater global box office and, following the recoupment of its costs, is typically entitled to receive an additional percentage of gross revenues as participation revenues.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believes that the IMAX network is a valuable global platform to launch and distribute original content, including documentaries. The ownership rights to such films may be held by the film sponsors, the film investors and/or the Company. As of September 30, 2026, the Company had distribution rights with respect to approximately 70 films, which cover subjects such as space, wildlife, music, sports, history, and natural wonders.</w:t>
      </w:r>
    </w:p>
    <w:p>
      <w:pPr>
        <w:spacing w:after="0" w:line="202" w:lineRule="exact"/>
        <w:rPr>
          <w:sz w:val="20"/>
          <w:szCs w:val="20"/>
          <w:color w:val="auto"/>
        </w:rPr>
      </w:pPr>
    </w:p>
    <w:p>
      <w:pPr>
        <w:jc w:val="both"/>
        <w:ind w:firstLine="193"/>
        <w:spacing w:after="0" w:line="271" w:lineRule="auto"/>
        <w:rPr>
          <w:sz w:val="20"/>
          <w:szCs w:val="20"/>
          <w:color w:val="auto"/>
        </w:rPr>
      </w:pPr>
      <w:r>
        <w:rPr>
          <w:rFonts w:ascii="Times New Roman" w:cs="Times New Roman" w:eastAsia="Times New Roman" w:hAnsi="Times New Roman"/>
          <w:sz w:val="17"/>
          <w:szCs w:val="17"/>
          <w:color w:val="auto"/>
        </w:rPr>
        <w:t xml:space="preserve">In early 2026, </w:t>
      </w:r>
      <w:r>
        <w:rPr>
          <w:rFonts w:ascii="Times New Roman" w:cs="Times New Roman" w:eastAsia="Times New Roman" w:hAnsi="Times New Roman"/>
          <w:sz w:val="17"/>
          <w:szCs w:val="17"/>
          <w:i w:val="1"/>
          <w:iCs w:val="1"/>
          <w:color w:val="auto"/>
        </w:rPr>
        <w:t>The Lost Wolves of Yellowstone</w:t>
      </w:r>
      <w:r>
        <w:rPr>
          <w:rFonts w:ascii="Times New Roman" w:cs="Times New Roman" w:eastAsia="Times New Roman" w:hAnsi="Times New Roman"/>
          <w:sz w:val="17"/>
          <w:szCs w:val="17"/>
          <w:color w:val="auto"/>
        </w:rPr>
        <w:t xml:space="preserve">, in collaboration with Grizzly Creek Films LLC, and French language documentary </w:t>
      </w:r>
      <w:r>
        <w:rPr>
          <w:rFonts w:ascii="Times New Roman" w:cs="Times New Roman" w:eastAsia="Times New Roman" w:hAnsi="Times New Roman"/>
          <w:sz w:val="17"/>
          <w:szCs w:val="17"/>
          <w:i w:val="1"/>
          <w:iCs w:val="1"/>
          <w:color w:val="auto"/>
        </w:rPr>
        <w:t>Athos,</w:t>
      </w:r>
      <w:r>
        <w:rPr>
          <w:rFonts w:ascii="Times New Roman" w:cs="Times New Roman" w:eastAsia="Times New Roman" w:hAnsi="Times New Roman"/>
          <w:sz w:val="17"/>
          <w:szCs w:val="17"/>
          <w:color w:val="auto"/>
        </w:rPr>
        <w:t xml:space="preserve"> produced by Federation Studio France, were released. In April 2026, the Company released the restored IMAX documentary </w:t>
      </w:r>
      <w:r>
        <w:rPr>
          <w:rFonts w:ascii="Times New Roman" w:cs="Times New Roman" w:eastAsia="Times New Roman" w:hAnsi="Times New Roman"/>
          <w:sz w:val="17"/>
          <w:szCs w:val="17"/>
          <w:i w:val="1"/>
          <w:iCs w:val="1"/>
          <w:color w:val="auto"/>
        </w:rPr>
        <w:t>Cave of Forgotten Dreams</w:t>
      </w:r>
      <w:r>
        <w:rPr>
          <w:rFonts w:ascii="Times New Roman" w:cs="Times New Roman" w:eastAsia="Times New Roman" w:hAnsi="Times New Roman"/>
          <w:sz w:val="17"/>
          <w:szCs w:val="17"/>
          <w:color w:val="auto"/>
        </w:rPr>
        <w:t xml:space="preserve">, in collaboration with Independent Film Company. In October 2026, the Company released the documentaries </w:t>
      </w:r>
      <w:r>
        <w:rPr>
          <w:rFonts w:ascii="Times New Roman" w:cs="Times New Roman" w:eastAsia="Times New Roman" w:hAnsi="Times New Roman"/>
          <w:sz w:val="17"/>
          <w:szCs w:val="17"/>
          <w:i w:val="1"/>
          <w:iCs w:val="1"/>
          <w:color w:val="auto"/>
        </w:rPr>
        <w:t>Stormbound,</w:t>
      </w:r>
      <w:r>
        <w:rPr>
          <w:rFonts w:ascii="Times New Roman" w:cs="Times New Roman" w:eastAsia="Times New Roman" w:hAnsi="Times New Roman"/>
          <w:sz w:val="17"/>
          <w:szCs w:val="17"/>
          <w:color w:val="auto"/>
        </w:rPr>
        <w:t xml:space="preserve"> produced by Academy Award-winning producer, Adam McKay; </w:t>
      </w:r>
      <w:r>
        <w:rPr>
          <w:rFonts w:ascii="Times New Roman" w:cs="Times New Roman" w:eastAsia="Times New Roman" w:hAnsi="Times New Roman"/>
          <w:sz w:val="17"/>
          <w:szCs w:val="17"/>
          <w:i w:val="1"/>
          <w:iCs w:val="1"/>
          <w:color w:val="auto"/>
        </w:rPr>
        <w:t>Portrait of an Artist: Stephen Curry</w:t>
      </w:r>
      <w:r>
        <w:rPr>
          <w:rFonts w:ascii="Times New Roman" w:cs="Times New Roman" w:eastAsia="Times New Roman" w:hAnsi="Times New Roman"/>
          <w:sz w:val="17"/>
          <w:szCs w:val="17"/>
          <w:color w:val="auto"/>
        </w:rPr>
        <w:t xml:space="preserve"> in collaboration with Religion of Sports, Unanimous Media, and NBA Entertainment; </w:t>
      </w:r>
      <w:r>
        <w:rPr>
          <w:rFonts w:ascii="Times New Roman" w:cs="Times New Roman" w:eastAsia="Times New Roman" w:hAnsi="Times New Roman"/>
          <w:sz w:val="17"/>
          <w:szCs w:val="17"/>
          <w:i w:val="1"/>
          <w:iCs w:val="1"/>
          <w:color w:val="auto"/>
        </w:rPr>
        <w:t>Everest: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Other Side </w:t>
      </w:r>
      <w:r>
        <w:rPr>
          <w:rFonts w:ascii="Times New Roman" w:cs="Times New Roman" w:eastAsia="Times New Roman" w:hAnsi="Times New Roman"/>
          <w:sz w:val="17"/>
          <w:szCs w:val="17"/>
          <w:color w:val="auto"/>
        </w:rPr>
        <w:t>in collaboration with National Geographic; and</w:t>
      </w:r>
      <w:r>
        <w:rPr>
          <w:rFonts w:ascii="Times New Roman" w:cs="Times New Roman" w:eastAsia="Times New Roman" w:hAnsi="Times New Roman"/>
          <w:sz w:val="17"/>
          <w:szCs w:val="17"/>
          <w:i w:val="1"/>
          <w:iCs w:val="1"/>
          <w:color w:val="auto"/>
        </w:rPr>
        <w:t xml:space="preserve"> The Elephant Odyssey</w:t>
      </w:r>
      <w:r>
        <w:rPr>
          <w:rFonts w:ascii="Times New Roman" w:cs="Times New Roman" w:eastAsia="Times New Roman" w:hAnsi="Times New Roman"/>
          <w:sz w:val="17"/>
          <w:szCs w:val="17"/>
          <w:color w:val="auto"/>
        </w:rPr>
        <w:t>, a documentary in collaboration with Beach House Pictures Pte Ltd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China International Communications Group. Upcoming documentaries which are currently in production include </w:t>
      </w:r>
      <w:r>
        <w:rPr>
          <w:rFonts w:ascii="Times New Roman" w:cs="Times New Roman" w:eastAsia="Times New Roman" w:hAnsi="Times New Roman"/>
          <w:sz w:val="17"/>
          <w:szCs w:val="17"/>
          <w:i w:val="1"/>
          <w:iCs w:val="1"/>
          <w:color w:val="auto"/>
        </w:rPr>
        <w:t>Frontier,</w:t>
      </w:r>
      <w:r>
        <w:rPr>
          <w:rFonts w:ascii="Times New Roman" w:cs="Times New Roman" w:eastAsia="Times New Roman" w:hAnsi="Times New Roman"/>
          <w:sz w:val="17"/>
          <w:szCs w:val="17"/>
          <w:color w:val="auto"/>
        </w:rPr>
        <w:t xml:space="preserve"> produced in collaboration with Nocturnal Entertainment Productions, LLC, Atlas Entertainment LLC, and Believe Entertainment Group, LLC, is expected to be released in 2027.</w:t>
      </w:r>
    </w:p>
    <w:p>
      <w:pPr>
        <w:spacing w:after="0" w:line="20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September 30, 2026, the Company was able to deliver live and interactive events to 251 locations worldwide. Furthermore, the Company can use its live streaming technologies to deliver events to additional IMAX locations around the world.</w:t>
      </w:r>
    </w:p>
    <w:p>
      <w:pPr>
        <w:spacing w:after="0" w:line="204"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 xml:space="preserve">In the nine months ended September 30, 2026, the Company partnered with various studios and distributors on a number of alternative content releases and exclusive events. These included the releases of </w:t>
      </w:r>
      <w:r>
        <w:rPr>
          <w:rFonts w:ascii="Times New Roman" w:cs="Times New Roman" w:eastAsia="Times New Roman" w:hAnsi="Times New Roman"/>
          <w:sz w:val="18"/>
          <w:szCs w:val="18"/>
          <w:i w:val="1"/>
          <w:iCs w:val="1"/>
          <w:color w:val="auto"/>
        </w:rPr>
        <w:t>EPiC: Elvis Presley in Concert</w:t>
      </w:r>
      <w:r>
        <w:rPr>
          <w:rFonts w:ascii="Times New Roman" w:cs="Times New Roman" w:eastAsia="Times New Roman" w:hAnsi="Times New Roman"/>
          <w:sz w:val="18"/>
          <w:szCs w:val="18"/>
          <w:color w:val="auto"/>
        </w:rPr>
        <w:t xml:space="preserve"> (Neon Rated and Universal Pictures), </w:t>
      </w:r>
      <w:r>
        <w:rPr>
          <w:rFonts w:ascii="Times New Roman" w:cs="Times New Roman" w:eastAsia="Times New Roman" w:hAnsi="Times New Roman"/>
          <w:sz w:val="18"/>
          <w:szCs w:val="18"/>
          <w:i w:val="1"/>
          <w:iCs w:val="1"/>
          <w:color w:val="auto"/>
        </w:rPr>
        <w:t>Stray Kids: The dominATE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Experience </w:t>
      </w:r>
      <w:r>
        <w:rPr>
          <w:rFonts w:ascii="Times New Roman" w:cs="Times New Roman" w:eastAsia="Times New Roman" w:hAnsi="Times New Roman"/>
          <w:sz w:val="18"/>
          <w:szCs w:val="18"/>
          <w:color w:val="auto"/>
        </w:rPr>
        <w:t>(Bleecker Street and Universal Pictures),</w:t>
      </w:r>
      <w:r>
        <w:rPr>
          <w:rFonts w:ascii="Times New Roman" w:cs="Times New Roman" w:eastAsia="Times New Roman" w:hAnsi="Times New Roman"/>
          <w:sz w:val="18"/>
          <w:szCs w:val="18"/>
          <w:i w:val="1"/>
          <w:iCs w:val="1"/>
          <w:color w:val="auto"/>
        </w:rPr>
        <w:t xml:space="preserve"> Twenty One Pilots: More Than We Ever Imagined </w:t>
      </w:r>
      <w:r>
        <w:rPr>
          <w:rFonts w:ascii="Times New Roman" w:cs="Times New Roman" w:eastAsia="Times New Roman" w:hAnsi="Times New Roman"/>
          <w:sz w:val="18"/>
          <w:szCs w:val="18"/>
          <w:color w:val="auto"/>
        </w:rPr>
        <w:t>(Trafalgar Releasing),</w:t>
      </w:r>
      <w:r>
        <w:rPr>
          <w:rFonts w:ascii="Times New Roman" w:cs="Times New Roman" w:eastAsia="Times New Roman" w:hAnsi="Times New Roman"/>
          <w:sz w:val="18"/>
          <w:szCs w:val="18"/>
          <w:i w:val="1"/>
          <w:iCs w:val="1"/>
          <w:color w:val="auto"/>
        </w:rPr>
        <w:t xml:space="preserve"> Eric Church: Evangeline vs. The Machine Comes Alive </w:t>
      </w:r>
      <w:r>
        <w:rPr>
          <w:rFonts w:ascii="Times New Roman" w:cs="Times New Roman" w:eastAsia="Times New Roman" w:hAnsi="Times New Roman"/>
          <w:sz w:val="18"/>
          <w:szCs w:val="18"/>
          <w:color w:val="auto"/>
        </w:rPr>
        <w:t>(Mercury Studios),</w:t>
      </w:r>
      <w:r>
        <w:rPr>
          <w:rFonts w:ascii="Times New Roman" w:cs="Times New Roman" w:eastAsia="Times New Roman" w:hAnsi="Times New Roman"/>
          <w:sz w:val="18"/>
          <w:szCs w:val="18"/>
          <w:i w:val="1"/>
          <w:iCs w:val="1"/>
          <w:color w:val="auto"/>
        </w:rPr>
        <w:t xml:space="preserve"> TOMMY in IMAX (50th Anniversary) </w:t>
      </w:r>
      <w:r>
        <w:rPr>
          <w:rFonts w:ascii="Times New Roman" w:cs="Times New Roman" w:eastAsia="Times New Roman" w:hAnsi="Times New Roman"/>
          <w:sz w:val="18"/>
          <w:szCs w:val="18"/>
          <w:color w:val="auto"/>
        </w:rPr>
        <w:t>(Sony Pictures), and</w:t>
      </w:r>
      <w:r>
        <w:rPr>
          <w:rFonts w:ascii="Times New Roman" w:cs="Times New Roman" w:eastAsia="Times New Roman" w:hAnsi="Times New Roman"/>
          <w:sz w:val="18"/>
          <w:szCs w:val="18"/>
          <w:i w:val="1"/>
          <w:iCs w:val="1"/>
          <w:color w:val="auto"/>
        </w:rPr>
        <w:t xml:space="preserve"> Oasis: Don’t Look Back in Anger </w:t>
      </w:r>
      <w:r>
        <w:rPr>
          <w:rFonts w:ascii="Times New Roman" w:cs="Times New Roman" w:eastAsia="Times New Roman" w:hAnsi="Times New Roman"/>
          <w:sz w:val="18"/>
          <w:szCs w:val="18"/>
          <w:color w:val="auto"/>
        </w:rPr>
        <w:t>(Walt Disney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Studios). The Company also exhibited limited releases of </w:t>
      </w:r>
      <w:r>
        <w:rPr>
          <w:rFonts w:ascii="Times New Roman" w:cs="Times New Roman" w:eastAsia="Times New Roman" w:hAnsi="Times New Roman"/>
          <w:sz w:val="18"/>
          <w:szCs w:val="18"/>
          <w:i w:val="1"/>
          <w:iCs w:val="1"/>
          <w:color w:val="auto"/>
        </w:rPr>
        <w:t>Marty Supreme</w:t>
      </w:r>
      <w:r>
        <w:rPr>
          <w:rFonts w:ascii="Times New Roman" w:cs="Times New Roman" w:eastAsia="Times New Roman" w:hAnsi="Times New Roman"/>
          <w:sz w:val="18"/>
          <w:szCs w:val="18"/>
          <w:color w:val="auto"/>
        </w:rPr>
        <w:t xml:space="preserve"> (A24), </w:t>
      </w:r>
      <w:r>
        <w:rPr>
          <w:rFonts w:ascii="Times New Roman" w:cs="Times New Roman" w:eastAsia="Times New Roman" w:hAnsi="Times New Roman"/>
          <w:sz w:val="18"/>
          <w:szCs w:val="18"/>
          <w:i w:val="1"/>
          <w:iCs w:val="1"/>
          <w:color w:val="auto"/>
        </w:rPr>
        <w:t>Memento</w:t>
      </w:r>
      <w:r>
        <w:rPr>
          <w:rFonts w:ascii="Times New Roman" w:cs="Times New Roman" w:eastAsia="Times New Roman" w:hAnsi="Times New Roman"/>
          <w:sz w:val="18"/>
          <w:szCs w:val="18"/>
          <w:color w:val="auto"/>
        </w:rPr>
        <w:t xml:space="preserve"> (China Film Group), </w:t>
      </w:r>
      <w:r>
        <w:rPr>
          <w:rFonts w:ascii="Times New Roman" w:cs="Times New Roman" w:eastAsia="Times New Roman" w:hAnsi="Times New Roman"/>
          <w:sz w:val="18"/>
          <w:szCs w:val="18"/>
          <w:i w:val="1"/>
          <w:iCs w:val="1"/>
          <w:color w:val="auto"/>
        </w:rPr>
        <w:t>Ghost: 2 Big to Rig</w:t>
      </w:r>
      <w:r>
        <w:rPr>
          <w:rFonts w:ascii="Times New Roman" w:cs="Times New Roman" w:eastAsia="Times New Roman" w:hAnsi="Times New Roman"/>
          <w:sz w:val="18"/>
          <w:szCs w:val="18"/>
          <w:color w:val="auto"/>
        </w:rPr>
        <w:t xml:space="preserve"> (Popecorn Cinematic Pictures), </w:t>
      </w:r>
      <w:r>
        <w:rPr>
          <w:rFonts w:ascii="Times New Roman" w:cs="Times New Roman" w:eastAsia="Times New Roman" w:hAnsi="Times New Roman"/>
          <w:sz w:val="18"/>
          <w:szCs w:val="18"/>
          <w:i w:val="1"/>
          <w:iCs w:val="1"/>
          <w:color w:val="auto"/>
        </w:rPr>
        <w:t>Queen Budapest</w:t>
      </w:r>
      <w:r>
        <w:rPr>
          <w:rFonts w:ascii="Times New Roman" w:cs="Times New Roman" w:eastAsia="Times New Roman" w:hAnsi="Times New Roman"/>
          <w:sz w:val="18"/>
          <w:szCs w:val="18"/>
          <w:color w:val="auto"/>
        </w:rPr>
        <w:t xml:space="preserve"> (Trafalgar Releasing), and </w:t>
      </w:r>
      <w:r>
        <w:rPr>
          <w:rFonts w:ascii="Times New Roman" w:cs="Times New Roman" w:eastAsia="Times New Roman" w:hAnsi="Times New Roman"/>
          <w:sz w:val="18"/>
          <w:szCs w:val="18"/>
          <w:i w:val="1"/>
          <w:iCs w:val="1"/>
          <w:color w:val="auto"/>
        </w:rPr>
        <w:t>Katy Perry: The Lifetimes Tour - Live From Paris</w:t>
      </w:r>
      <w:r>
        <w:rPr>
          <w:rFonts w:ascii="Times New Roman" w:cs="Times New Roman" w:eastAsia="Times New Roman" w:hAnsi="Times New Roman"/>
          <w:sz w:val="18"/>
          <w:szCs w:val="18"/>
          <w:color w:val="auto"/>
        </w:rPr>
        <w:t xml:space="preserve"> (Trafalgar Releasing). The Company partnered with MGM Studios in March 2026 and Universal Pictures in June 2026 to present exclusive Q&amp;A livestreams in advance of screenings of </w:t>
      </w:r>
      <w:r>
        <w:rPr>
          <w:rFonts w:ascii="Times New Roman" w:cs="Times New Roman" w:eastAsia="Times New Roman" w:hAnsi="Times New Roman"/>
          <w:sz w:val="18"/>
          <w:szCs w:val="18"/>
          <w:i w:val="1"/>
          <w:iCs w:val="1"/>
          <w:color w:val="auto"/>
        </w:rPr>
        <w:t>Project Hail Mary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Disclosure Day</w:t>
      </w:r>
      <w:r>
        <w:rPr>
          <w:rFonts w:ascii="Times New Roman" w:cs="Times New Roman" w:eastAsia="Times New Roman" w:hAnsi="Times New Roman"/>
          <w:sz w:val="18"/>
          <w:szCs w:val="18"/>
          <w:color w:val="auto"/>
        </w:rPr>
        <w:t>, respectively, across select connected IMAX locations in North America. Furthermore, the Company partnered with Apple TV to livestream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select races from the 2026 FIA Formula One World Championship across North America, including the </w:t>
      </w:r>
      <w:r>
        <w:rPr>
          <w:rFonts w:ascii="Times New Roman" w:cs="Times New Roman" w:eastAsia="Times New Roman" w:hAnsi="Times New Roman"/>
          <w:sz w:val="18"/>
          <w:szCs w:val="18"/>
          <w:i w:val="1"/>
          <w:iCs w:val="1"/>
          <w:color w:val="auto"/>
        </w:rPr>
        <w:t>Miami Grand Prix</w:t>
      </w:r>
      <w:r>
        <w:rPr>
          <w:rFonts w:ascii="Times New Roman" w:cs="Times New Roman" w:eastAsia="Times New Roman" w:hAnsi="Times New Roman"/>
          <w:sz w:val="18"/>
          <w:szCs w:val="18"/>
          <w:color w:val="auto"/>
        </w:rPr>
        <w:t xml:space="preserve"> in May 2026, the </w:t>
      </w:r>
      <w:r>
        <w:rPr>
          <w:rFonts w:ascii="Times New Roman" w:cs="Times New Roman" w:eastAsia="Times New Roman" w:hAnsi="Times New Roman"/>
          <w:sz w:val="18"/>
          <w:szCs w:val="18"/>
          <w:i w:val="1"/>
          <w:iCs w:val="1"/>
          <w:color w:val="auto"/>
        </w:rPr>
        <w:t>Monaco Grand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Prix </w:t>
      </w:r>
      <w:r>
        <w:rPr>
          <w:rFonts w:ascii="Times New Roman" w:cs="Times New Roman" w:eastAsia="Times New Roman" w:hAnsi="Times New Roman"/>
          <w:sz w:val="18"/>
          <w:szCs w:val="18"/>
          <w:color w:val="auto"/>
        </w:rPr>
        <w:t>in June 2026, the</w:t>
      </w:r>
      <w:r>
        <w:rPr>
          <w:rFonts w:ascii="Times New Roman" w:cs="Times New Roman" w:eastAsia="Times New Roman" w:hAnsi="Times New Roman"/>
          <w:sz w:val="18"/>
          <w:szCs w:val="18"/>
          <w:i w:val="1"/>
          <w:iCs w:val="1"/>
          <w:color w:val="auto"/>
        </w:rPr>
        <w:t xml:space="preserve"> British Grand Prix </w:t>
      </w:r>
      <w:r>
        <w:rPr>
          <w:rFonts w:ascii="Times New Roman" w:cs="Times New Roman" w:eastAsia="Times New Roman" w:hAnsi="Times New Roman"/>
          <w:sz w:val="18"/>
          <w:szCs w:val="18"/>
          <w:color w:val="auto"/>
        </w:rPr>
        <w:t>in July 2026, and the</w:t>
      </w:r>
      <w:r>
        <w:rPr>
          <w:rFonts w:ascii="Times New Roman" w:cs="Times New Roman" w:eastAsia="Times New Roman" w:hAnsi="Times New Roman"/>
          <w:sz w:val="18"/>
          <w:szCs w:val="18"/>
          <w:i w:val="1"/>
          <w:iCs w:val="1"/>
          <w:color w:val="auto"/>
        </w:rPr>
        <w:t xml:space="preserve"> Italian Grand Prix </w:t>
      </w:r>
      <w:r>
        <w:rPr>
          <w:rFonts w:ascii="Times New Roman" w:cs="Times New Roman" w:eastAsia="Times New Roman" w:hAnsi="Times New Roman"/>
          <w:sz w:val="18"/>
          <w:szCs w:val="18"/>
          <w:color w:val="auto"/>
        </w:rPr>
        <w:t>in September 2026. In China, the Company partnered with China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to livestream of the 2026 FIFA World Cup, Huaxia to livestream the German Table Tennis Bundesliga, and Warner Bros. Discovery for the re-release of The Shawshank Redemption, marking the film’s first theatrical release in China.</w:t>
      </w:r>
    </w:p>
    <w:p>
      <w:pPr>
        <w:spacing w:after="0" w:line="2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provides IMAX film and digital cameras to content creators under the IMAX certified camera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20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and lease payments tied to the global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 fees and the present value of future annual minimum payments, which are financing fees, are recognized as revenue. In addition, in sale arrangements, the present value of the estimated contingent fees that may become due if certain annual minimum global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also provides IMAX Systems to exhibitors through joint revenue sharing arrangements (“JRSA(s)”). Under the traditional form of these arrangements, the Company provides the IMAX System under a long-term lease in which the Company assumes the majority of the equipment and installation costs. In exchange for its upfront investment, the Company, generally,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material obligations.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JRSAs can vary from quarter-to-quarter and year-to-year based on a number of factors that drive global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JRSAs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September 30, 2026, the Company had 883 locations under JRSAs in its global commercial multiplex network. The Company also had contracts in backlog for 178 IMAX systems under JRSAs as of September 30, 2026, including 87 new locations and 91 upgrades to existing locations.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IMAX quality standards. Annual maintenance fees are paid throughout the duration of the term of the system agreements.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1"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IMAX’s Streaming and Consumer Technology (“SCT”) business works with content producers, streaming platforms and device manufacturers to deliver differentiated consumer experiences through the IMAX Enhanced program. Powered by proprietary VisionScience™ technology, the program supports premium content experiences consistent with IMAX quality standards and the IMAX brand promise. This program has three core elements:</w:t>
      </w:r>
    </w:p>
    <w:p>
      <w:pPr>
        <w:spacing w:after="0" w:line="204" w:lineRule="exact"/>
        <w:rPr>
          <w:sz w:val="20"/>
          <w:szCs w:val="20"/>
          <w:color w:val="auto"/>
        </w:rPr>
      </w:pPr>
    </w:p>
    <w:p>
      <w:pPr>
        <w:ind w:left="660" w:right="20" w:hanging="331"/>
        <w:spacing w:after="0" w:line="27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Live: Real-time true-to-life enhancement for live-streaming events, including concerts and sports, by measuring, enhancing, optimizing, and validating picture and sound quality.</w:t>
      </w:r>
    </w:p>
    <w:p>
      <w:pPr>
        <w:spacing w:after="0" w:line="189"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On-Demand: As-intended quality preservation and optimization for films and series through IMAX-calibrated fidelity and remastering, preserving creative intent and offering a differentiated, premium IMAX-assured viewing experience. IMAX Enhanced on-demand content is currently available through services including Disney+, Sony Pictures Core, and Tencent Video.</w:t>
      </w:r>
    </w:p>
    <w:p>
      <w:pPr>
        <w:spacing w:after="0" w:line="204" w:lineRule="exact"/>
        <w:rPr>
          <w:rFonts w:ascii="Times New Roman" w:cs="Times New Roman" w:eastAsia="Times New Roman" w:hAnsi="Times New Roman"/>
          <w:sz w:val="18"/>
          <w:szCs w:val="18"/>
          <w:color w:val="auto"/>
        </w:rPr>
      </w:pPr>
    </w:p>
    <w:p>
      <w:pPr>
        <w:jc w:val="both"/>
        <w:ind w:left="660" w:hanging="331"/>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Certification &amp; Calibration: Establishes IMAX quality standards and performance benchmarks for consumer devices to ensure enhancement and preservation of quality applied upstream for both Live and On-Demand workflows are maintained through playback and experienced as intended. Consumer device segments include TVs, soundbars, automotive, virtual reality and others. As of September 30, 2026, IMAX Enhanced device partners included Goer Dynamics, Sony Electronics, Hisense, TCL, Honor and Xiaomi Electronics, with certified devices in market from several of these partners. Within select certified-device relationships, IMAX is working to deliver a premium and differentiated presentation of professionally produced content, including feature films, series, documentaries, and live events.</w:t>
      </w:r>
    </w:p>
    <w:p>
      <w:pPr>
        <w:spacing w:after="0" w:line="214"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IMAX’s SCT business extends the IMAX experience in theaters to a broad range of entertainment for consumers at home and on the go. IMAX Enhanced is designed to create premium value for partners, build preference and engagement among consumers, and give content producers confidence that creative intent is preserved and the experience is as intended.</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and the provision of management services to three other theaters.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September 30, 2026 and 2025. For additional information regarding the composition of the IMAX network, see “Marketing and Customers” in Part I, Item 1 of the Company’s 2025 Form 10-K.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40" w:type="dxa"/>
            <w:vAlign w:val="bottom"/>
          </w:tcPr>
          <w:p>
            <w:pPr>
              <w:spacing w:after="0"/>
              <w:rPr>
                <w:sz w:val="16"/>
                <w:szCs w:val="16"/>
                <w:color w:val="auto"/>
              </w:rPr>
            </w:pPr>
          </w:p>
        </w:tc>
      </w:tr>
      <w:tr>
        <w:trPr>
          <w:trHeight w:val="38"/>
        </w:trPr>
        <w:tc>
          <w:tcPr>
            <w:tcW w:w="20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0"/>
        </w:trPr>
        <w:tc>
          <w:tcPr>
            <w:tcW w:w="20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2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Destination</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0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4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2"/>
        </w:trPr>
        <w:tc>
          <w:tcPr>
            <w:tcW w:w="20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2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“Risk Factors – The Company may not convert all of its backlog into revenue and cash flows,” and “Risk Factors – General political, social and economic conditions can affect the Company’s business by reducing both revenues generated from existing IMAX Systems and the demand for new IMAX Systems” in Part I, Item 1A of the Company’s 2025 Form 10-K.)</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4,466 locations, of which there are 1,820 IMAX Systems operating as of September 30, 2026, representing a market penetration of only 41%. The Company believes that the majority of its future growth will come from international markets outside of Greater China. As of September 30, 2026, 76% of IMAX Systems in the global commercial multiplex network were located within international markets (defined as all countries other than the United States and Canada). Revenues and gross box office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II, Item 1A of this Form 10-Q.</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Systems operating in multiplex locations by arrangement type and geographic location as of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784</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nine months ended September 30, 2026, 31 IMAX Systems were converted from Hybrid JRSA arrangement types to Sales Arrangements.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714</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1" w:lineRule="exact"/>
        <w:rPr>
          <w:sz w:val="20"/>
          <w:szCs w:val="20"/>
          <w:color w:val="auto"/>
        </w:rPr>
      </w:pPr>
    </w:p>
    <w:p>
      <w:pPr>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500" w:type="dxa"/>
            <w:vAlign w:val="bottom"/>
            <w:gridSpan w:val="3"/>
          </w:tcPr>
          <w:p>
            <w:pPr>
              <w:jc w:val="right"/>
              <w:ind w:right="1089"/>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206</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409 includes 198 new IMAX Laser Systems and 152 upgrades of existing locations to IMAX Laser Systems.</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409 includes 257 new systems and 152 upgrades.</w:t>
      </w:r>
    </w:p>
    <w:p>
      <w:pPr>
        <w:spacing w:after="0" w:line="13" w:lineRule="exact"/>
        <w:rPr>
          <w:rFonts w:ascii="Times New Roman" w:cs="Times New Roman" w:eastAsia="Times New Roman" w:hAnsi="Times New Roman"/>
          <w:sz w:val="14"/>
          <w:szCs w:val="14"/>
          <w:i w:val="1"/>
          <w:iCs w:val="1"/>
          <w:color w:val="auto"/>
        </w:rPr>
      </w:pPr>
    </w:p>
    <w:p>
      <w:pPr>
        <w:ind w:left="340" w:right="140" w:hanging="315"/>
        <w:spacing w:after="0" w:line="279" w:lineRule="auto"/>
        <w:tabs>
          <w:tab w:leader="none" w:pos="332"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backlog changes include installations along with restructuring of certain contracts resulting in cancellation of backlog for 17 system locations deemed mutually to no longer be beneficial to IMAX and its exhibition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478 includes 247 new IMAX Laser Systems and 137 upgrades of existing locations to IMAX Laser Systems.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478 includes 341 new systems and 137 upgrades.</w:t>
      </w:r>
    </w:p>
    <w:p>
      <w:pPr>
        <w:spacing w:after="0" w:line="35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signed contracts. The Company believes that the contractual obligations for IMAX System installations that are listed in backlog are valid and binding commitments. From time to time, the Company and its customers may amend the arrangement type of a backlog system, and in the normal course of its business the Company will have customers who are unable to proceed with an IMAX System installation for a variety of reasons, including the inability to obtain certain consents, approvals or financing.</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2026, 75% of IMAX System arrangements in backlog were scheduled to be installed in international markets (2025 — 74%).</w:t>
      </w:r>
    </w:p>
    <w:p>
      <w:pPr>
        <w:spacing w:after="0" w:line="24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(See “Risk Factors – The Company may not convert all of its backlog into revenue and cash flows.” in Part I, Item 1A of the Company’s 2025 Form 10-K.)</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1"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and nine months ended September 30, 2026 and 2025:</w:t>
      </w:r>
    </w:p>
    <w:p>
      <w:pPr>
        <w:spacing w:after="0" w:line="236" w:lineRule="exact"/>
        <w:rPr>
          <w:sz w:val="20"/>
          <w:szCs w:val="20"/>
          <w:color w:val="auto"/>
        </w:rPr>
      </w:pPr>
    </w:p>
    <w:tbl>
      <w:tblPr>
        <w:tblLayout w:type="fixed"/>
        <w:tblInd w:w="462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24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2280" w:type="dxa"/>
            <w:vAlign w:val="bottom"/>
          </w:tcPr>
          <w:p>
            <w:pPr>
              <w:jc w:val="center"/>
              <w:ind w:right="88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940" w:type="dxa"/>
            <w:vAlign w:val="bottom"/>
          </w:tcPr>
          <w:p>
            <w:pPr>
              <w:spacing w:after="0"/>
              <w:rPr>
                <w:sz w:val="19"/>
                <w:szCs w:val="19"/>
                <w:color w:val="auto"/>
              </w:rPr>
            </w:pP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2280" w:type="dxa"/>
            <w:vAlign w:val="bottom"/>
          </w:tcPr>
          <w:p>
            <w:pPr>
              <w:jc w:val="center"/>
              <w:ind w:right="88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8"/>
        </w:trPr>
        <w:tc>
          <w:tcPr>
            <w:tcW w:w="9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183"/>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3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3590" cy="170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System Signings: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63"/>
        </w:trPr>
        <w:tc>
          <w:tcPr>
            <w:tcW w:w="4600" w:type="dxa"/>
            <w:vAlign w:val="bottom"/>
          </w:tcPr>
          <w:p>
            <w:pPr>
              <w:ind w:left="120"/>
              <w:spacing w:after="0" w:line="263" w:lineRule="exact"/>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3"/>
                <w:szCs w:val="23"/>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2"/>
        </w:trPr>
        <w:tc>
          <w:tcPr>
            <w:tcW w:w="4600" w:type="dxa"/>
            <w:vAlign w:val="bottom"/>
          </w:tcPr>
          <w:p>
            <w:pPr>
              <w:spacing w:after="0" w:line="262"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7133590" cy="170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pacing w:after="0" w:line="49" w:lineRule="exact"/>
        <w:rPr>
          <w:sz w:val="20"/>
          <w:szCs w:val="20"/>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70 Traditional JRSA IMAX System signings with AMC Entertainment in nine months ended September 30, 2025.</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IMAX System upgrades of 12 and 32 for the three and nine months ended September 30, 2026, respectively (2025 ― one and 61 upgrades, respectively).</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49</w:t>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33655</wp:posOffset>
            </wp:positionV>
            <wp:extent cx="9874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40640</wp:posOffset>
            </wp:positionV>
            <wp:extent cx="9874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87425" cy="8255"/>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66040</wp:posOffset>
            </wp:positionV>
            <wp:extent cx="9874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896" w:lineRule="exact"/>
        <w:rPr>
          <w:sz w:val="20"/>
          <w:szCs w:val="20"/>
          <w:color w:val="auto"/>
        </w:rPr>
      </w:pPr>
    </w:p>
    <w:p>
      <w:pPr>
        <w:sectPr>
          <w:pgSz w:w="11900" w:h="16838" w:orient="portrait"/>
          <w:cols w:equalWidth="0" w:num="2">
            <w:col w:w="10180" w:space="720"/>
            <w:col w:w="340"/>
          </w:cols>
          <w:pgMar w:left="320" w:top="363"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5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8"/>
        </w:trPr>
        <w:tc>
          <w:tcPr>
            <w:tcW w:w="462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136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556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5"/>
        <w:spacing w:after="0" w:line="266" w:lineRule="auto"/>
        <w:tabs>
          <w:tab w:leader="none" w:pos="332"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One and three IMAX Systems were relocated from their original location for the three and nine months ended September 30, 2026, respectively (2025 ― two and five, respectively). When a system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19 and 51 IMAX System upgrades for the three and nine months ended September 30, 2026, respectively (2025 ― 15 and 40 upgrades,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 xml:space="preserve">The Company’s results for the three and nine months ended September 30, 2026 reflect growth across the business as well as the timing, mix and geographic distribution of global box office performance. The year-over-year increase in total global box office was primarily attributable to the box office performance of Christopher Nolan’s record breaking, global tentpole Filmed For IMAX release,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which became the Company’s highest grossing film of all time, along with significant contributions from Hollywood releases </w:t>
      </w:r>
      <w:r>
        <w:rPr>
          <w:rFonts w:ascii="Times New Roman" w:cs="Times New Roman" w:eastAsia="Times New Roman" w:hAnsi="Times New Roman"/>
          <w:sz w:val="18"/>
          <w:szCs w:val="18"/>
          <w:i w:val="1"/>
          <w:iCs w:val="1"/>
          <w:color w:val="auto"/>
        </w:rPr>
        <w:t>Project Hail 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 xml:space="preserve"> and alternative content release </w:t>
      </w:r>
      <w:r>
        <w:rPr>
          <w:rFonts w:ascii="Times New Roman" w:cs="Times New Roman" w:eastAsia="Times New Roman" w:hAnsi="Times New Roman"/>
          <w:sz w:val="18"/>
          <w:szCs w:val="18"/>
          <w:i w:val="1"/>
          <w:iCs w:val="1"/>
          <w:color w:val="auto"/>
        </w:rPr>
        <w:t>Michael</w:t>
      </w:r>
      <w:r>
        <w:rPr>
          <w:rFonts w:ascii="Times New Roman" w:cs="Times New Roman" w:eastAsia="Times New Roman" w:hAnsi="Times New Roman"/>
          <w:sz w:val="18"/>
          <w:szCs w:val="18"/>
          <w:color w:val="auto"/>
        </w:rPr>
        <w:t xml:space="preserve">. Domestic and international markets outside of Greater China experienced strong box office growth, primarily driven by the performance of Filmed For IMAX Hollywood releases. The increases in global box office were partially offset by lower box office generated during the 2026 Chinese New Year as compared to the 2025 success of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The Company’s future results may continue to be affected by the timing and performance of major film releases, the mix of Hollywood and local language content, and the geographic concentration of box office revenues, as well as by variability in system installations and box office-driven revenues. In addition, broader macroeconomic conditions, including global economic uncertainty, supply chain disruptions, inflationary pressures and geopolitical tensions and conflicts, could adversely impact consumer demand and the Company’s ability to deliver and install IMAX systems, any of which could materially affect the Company’s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2026 and 2025</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34"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net income attributable to common shareholders per diluted share amounts, as well as adjusted net income attributable to common shareholders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adjusted net income attributable to common shareholders per diluted share for the three months ended September 30, 2026 and 2025:</w:t>
      </w:r>
    </w:p>
    <w:p>
      <w:pPr>
        <w:sectPr>
          <w:pgSz w:w="11900" w:h="16838" w:orient="portrait"/>
          <w:cols w:equalWidth="0" w:num="1">
            <w:col w:w="11240"/>
          </w:cols>
          <w:pgMar w:left="320" w:top="36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3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4"/>
                <w:szCs w:val="24"/>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(1) Refer to “Non-GAAP Financial Measures” for a description of this non-GAAP financial measure and a reconciliation to the most comparable GAAP amount.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2026, the Company’s revenues and gross margin were $174.6 million and $126.3 million, respectively. In comparison to the prior year period, the Company’s revenues and gross margin increased by $67.9 million, or 64%, and $59.0 million, or 88%, respectively, principally due to the record box office performance of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the first film to be shot in its entirety with IMAX film cameras, and one where IMAX has delivered over 30% of the global box office.</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8"/>
        </w:trPr>
        <w:tc>
          <w:tcPr>
            <w:tcW w:w="36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6"/>
        </w:trPr>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125,065</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62"/>
        </w:trPr>
        <w:tc>
          <w:tcPr>
            <w:tcW w:w="364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8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126,302</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67,271</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2026, Content Solutions segment revenues and gross margin increased by $49.1 million, or 110%, and $39.7 million, or 125%, respectively, when compared to the same period in 2025.</w:t>
      </w:r>
    </w:p>
    <w:p>
      <w:pPr>
        <w:spacing w:after="0" w:line="18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In the third quarter of 2026, box office generated by IMAX films totaled a record $712.1 million, a $344.5 million, or 94%, increase versus the prior year comparative period of $367.6 million, becoming the highest grossing quarter in the Company’s history.</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In the third quarter of 2026, box office was generated by the exhibition of 32 films (30 new films and two re-releases), led by Christopher Nolan’s record breaking, global tentpole Filmed For IMAX release,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The film generated box office of $538 million during the quarter, cementing its status as the Company’s highest grossing film of all time.</w:t>
      </w:r>
    </w:p>
    <w:p>
      <w:pPr>
        <w:spacing w:after="0" w:line="202"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 xml:space="preserve">Global box office in the third quarter of 2026 also included the following Hollywood titles: </w:t>
      </w:r>
      <w:r>
        <w:rPr>
          <w:rFonts w:ascii="Times New Roman" w:cs="Times New Roman" w:eastAsia="Times New Roman" w:hAnsi="Times New Roman"/>
          <w:sz w:val="18"/>
          <w:szCs w:val="18"/>
          <w:i w:val="1"/>
          <w:iCs w:val="1"/>
          <w:color w:val="auto"/>
        </w:rPr>
        <w:t>Spider-Man: Brand New Day</w:t>
      </w:r>
      <w:r>
        <w:rPr>
          <w:rFonts w:ascii="Times New Roman" w:cs="Times New Roman" w:eastAsia="Times New Roman" w:hAnsi="Times New Roman"/>
          <w:sz w:val="18"/>
          <w:szCs w:val="18"/>
          <w:color w:val="auto"/>
        </w:rPr>
        <w:t xml:space="preserve"> ($58 million), </w:t>
      </w:r>
      <w:r>
        <w:rPr>
          <w:rFonts w:ascii="Times New Roman" w:cs="Times New Roman" w:eastAsia="Times New Roman" w:hAnsi="Times New Roman"/>
          <w:sz w:val="18"/>
          <w:szCs w:val="18"/>
          <w:i w:val="1"/>
          <w:iCs w:val="1"/>
          <w:color w:val="auto"/>
        </w:rPr>
        <w:t>Resident Evil</w:t>
      </w:r>
      <w:r>
        <w:rPr>
          <w:rFonts w:ascii="Times New Roman" w:cs="Times New Roman" w:eastAsia="Times New Roman" w:hAnsi="Times New Roman"/>
          <w:sz w:val="18"/>
          <w:szCs w:val="18"/>
          <w:color w:val="auto"/>
        </w:rPr>
        <w:t xml:space="preserve"> ($24 million), </w:t>
      </w:r>
      <w:r>
        <w:rPr>
          <w:rFonts w:ascii="Times New Roman" w:cs="Times New Roman" w:eastAsia="Times New Roman" w:hAnsi="Times New Roman"/>
          <w:sz w:val="18"/>
          <w:szCs w:val="18"/>
          <w:i w:val="1"/>
          <w:iCs w:val="1"/>
          <w:color w:val="auto"/>
        </w:rPr>
        <w:t>Avengers: Endgame</w:t>
      </w:r>
      <w:r>
        <w:rPr>
          <w:rFonts w:ascii="Times New Roman" w:cs="Times New Roman" w:eastAsia="Times New Roman" w:hAnsi="Times New Roman"/>
          <w:sz w:val="18"/>
          <w:szCs w:val="18"/>
          <w:color w:val="auto"/>
        </w:rPr>
        <w:t xml:space="preserve"> re-release ($17 million) and </w:t>
      </w:r>
      <w:r>
        <w:rPr>
          <w:rFonts w:ascii="Times New Roman" w:cs="Times New Roman" w:eastAsia="Times New Roman" w:hAnsi="Times New Roman"/>
          <w:sz w:val="18"/>
          <w:szCs w:val="18"/>
          <w:i w:val="1"/>
          <w:iCs w:val="1"/>
          <w:color w:val="auto"/>
        </w:rPr>
        <w:t>Minions &amp; Monsters</w:t>
      </w:r>
      <w:r>
        <w:rPr>
          <w:rFonts w:ascii="Times New Roman" w:cs="Times New Roman" w:eastAsia="Times New Roman" w:hAnsi="Times New Roman"/>
          <w:sz w:val="18"/>
          <w:szCs w:val="18"/>
          <w:color w:val="auto"/>
        </w:rPr>
        <w:t xml:space="preserve"> ($10 million). Furthermore, in the third quarter of 2026, local language films exhibited across the Company’s global network generated $36.5 million in box office, representing 5% of its global box office, including the Chinese local language film, </w:t>
      </w:r>
      <w:r>
        <w:rPr>
          <w:rFonts w:ascii="Times New Roman" w:cs="Times New Roman" w:eastAsia="Times New Roman" w:hAnsi="Times New Roman"/>
          <w:sz w:val="18"/>
          <w:szCs w:val="18"/>
          <w:i w:val="1"/>
          <w:iCs w:val="1"/>
          <w:color w:val="auto"/>
        </w:rPr>
        <w:t>All Wishes Come True!</w:t>
      </w:r>
      <w:r>
        <w:rPr>
          <w:rFonts w:ascii="Times New Roman" w:cs="Times New Roman" w:eastAsia="Times New Roman" w:hAnsi="Times New Roman"/>
          <w:sz w:val="18"/>
          <w:szCs w:val="18"/>
          <w:color w:val="auto"/>
        </w:rPr>
        <w:t xml:space="preserve"> ($10 million).</w:t>
      </w:r>
    </w:p>
    <w:p>
      <w:pPr>
        <w:spacing w:after="0" w:line="20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In the third quarter of 2025, IMAX box office was generated by the exhibition of 39 films and other content (37 new films and 2 re-releases), including the following Hollywood titles: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($65 million), </w:t>
      </w:r>
      <w:r>
        <w:rPr>
          <w:rFonts w:ascii="Times New Roman" w:cs="Times New Roman" w:eastAsia="Times New Roman" w:hAnsi="Times New Roman"/>
          <w:sz w:val="18"/>
          <w:szCs w:val="18"/>
          <w:i w:val="1"/>
          <w:iCs w:val="1"/>
          <w:color w:val="auto"/>
        </w:rPr>
        <w:t>Superman</w:t>
      </w:r>
      <w:r>
        <w:rPr>
          <w:rFonts w:ascii="Times New Roman" w:cs="Times New Roman" w:eastAsia="Times New Roman" w:hAnsi="Times New Roman"/>
          <w:sz w:val="18"/>
          <w:szCs w:val="18"/>
          <w:color w:val="auto"/>
        </w:rPr>
        <w:t xml:space="preserve"> ($57 million), and </w:t>
      </w:r>
      <w:r>
        <w:rPr>
          <w:rFonts w:ascii="Times New Roman" w:cs="Times New Roman" w:eastAsia="Times New Roman" w:hAnsi="Times New Roman"/>
          <w:sz w:val="18"/>
          <w:szCs w:val="18"/>
          <w:i w:val="1"/>
          <w:iCs w:val="1"/>
          <w:color w:val="auto"/>
        </w:rPr>
        <w:t>The Fantastic Four: First Steps</w:t>
      </w:r>
      <w:r>
        <w:rPr>
          <w:rFonts w:ascii="Times New Roman" w:cs="Times New Roman" w:eastAsia="Times New Roman" w:hAnsi="Times New Roman"/>
          <w:sz w:val="18"/>
          <w:szCs w:val="18"/>
          <w:color w:val="auto"/>
        </w:rPr>
        <w:t xml:space="preserve"> ($49 million). Furthermore, in the third quarter of 2025, local language films exhibited across the Company’s global network generated $120.2 million in box office, representing 33% of its global box office.</w:t>
      </w:r>
    </w:p>
    <w:p>
      <w:pPr>
        <w:spacing w:after="0" w:line="207"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 xml:space="preserve">In the third quarter of 2026, the Company released four movies that were filmed with IMAX proprietary cameras (Filmed For IMAX): </w:t>
      </w:r>
      <w:r>
        <w:rPr>
          <w:rFonts w:ascii="Times New Roman" w:cs="Times New Roman" w:eastAsia="Times New Roman" w:hAnsi="Times New Roman"/>
          <w:sz w:val="18"/>
          <w:szCs w:val="18"/>
          <w:i w:val="1"/>
          <w:iCs w:val="1"/>
          <w:color w:val="auto"/>
        </w:rPr>
        <w:t>The Odyssey,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End of Oak Street, Resident Evil, </w:t>
      </w:r>
      <w:r>
        <w:rPr>
          <w:rFonts w:ascii="Times New Roman" w:cs="Times New Roman" w:eastAsia="Times New Roman" w:hAnsi="Times New Roman"/>
          <w:sz w:val="18"/>
          <w:szCs w:val="18"/>
          <w:color w:val="auto"/>
        </w:rPr>
        <w:t>and the Chinese local language film,</w:t>
      </w:r>
      <w:r>
        <w:rPr>
          <w:rFonts w:ascii="Times New Roman" w:cs="Times New Roman" w:eastAsia="Times New Roman" w:hAnsi="Times New Roman"/>
          <w:sz w:val="18"/>
          <w:szCs w:val="18"/>
          <w:i w:val="1"/>
          <w:iCs w:val="1"/>
          <w:color w:val="auto"/>
        </w:rPr>
        <w:t xml:space="preserve"> Once Upon a Time in the Middle East. </w:t>
      </w:r>
      <w:r>
        <w:rPr>
          <w:rFonts w:ascii="Times New Roman" w:cs="Times New Roman" w:eastAsia="Times New Roman" w:hAnsi="Times New Roman"/>
          <w:sz w:val="18"/>
          <w:szCs w:val="18"/>
          <w:color w:val="auto"/>
        </w:rPr>
        <w:t>Filmed For IMAX movies historically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outperformed at the box office, with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delivering over 30% of the global box office and </w:t>
      </w:r>
      <w:r>
        <w:rPr>
          <w:rFonts w:ascii="Times New Roman" w:cs="Times New Roman" w:eastAsia="Times New Roman" w:hAnsi="Times New Roman"/>
          <w:sz w:val="18"/>
          <w:szCs w:val="18"/>
          <w:i w:val="1"/>
          <w:iCs w:val="1"/>
          <w:color w:val="auto"/>
        </w:rPr>
        <w:t>Resident Evil</w:t>
      </w:r>
      <w:r>
        <w:rPr>
          <w:rFonts w:ascii="Times New Roman" w:cs="Times New Roman" w:eastAsia="Times New Roman" w:hAnsi="Times New Roman"/>
          <w:sz w:val="18"/>
          <w:szCs w:val="18"/>
          <w:color w:val="auto"/>
        </w:rPr>
        <w:t xml:space="preserve"> delivering approximately 15% of the opening weekend domestic box office.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In the three months ended September 30, 2026, the Company strategically expanded its merchandise program and recorded $2.3 million of revenue from IMAX branded merchandise and cooperative merchandising with studios, including the first IMAX popcorn buckets.</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three months ended September 30, 2026, gross margin percent was 76% compared to 71% in the prior year period. The increase in gross margin reflects the mix of IMAX box office, amount of marketing spend and level of box office outperformance.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JRSAs as revenue is recognized over the lease term, during the three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30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In the three months ended September 30, 2026, one IMAX System was relocated from its original location (2025 ― two IMAX Systems). When a system under a sale or sales-type lease arrangement is relocated, the amount of revenue earned by the Company may vary from transaction to transaction and is typically lower than a new IMAX system. In certain situations when a system is relocated, the original location is upgraded to an IMAX Laser System.</w:t>
      </w:r>
    </w:p>
    <w:p>
      <w:pPr>
        <w:spacing w:after="0" w:line="18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Technology Products and Services segment revenue and gross margin increased by $16.8 million, or 28%, and $18.6 million, or 53%, respectively, when compared to the same period in 2025. The higher level of revenue was primarily driven by higher rental revenues, which are box office dependent. In the three months ended September 30, 2026, rental revenues increased by $18.4 million, as IMAX GBO earned from the Company’s JRSAs increased $101.7 million compared to the prior year period, from $154.6 million to $256.3 million, or 66%.</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increase in revenue described above was partially offset by $0.9 million decrease in revenue from the installation of IMAX Systems under sales and sales-type lease arrangements versus the prior period, which is primarily driven by a variation in timing of installations within a given year.</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2026, gross margin percent was 69% compared to 58% in the prior period, which primarily reflects the higher level of revenues generated from stronger IMAX box office performance across the joint revenue sharing network,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2026, All Other revenue and gross margin increased by $1.9 million and $0.7 million, respectively, when compared to the same period in 2025, which principally reflects the results of the box office performance driven by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from the Company’s one owned and operated theater.</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39,083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ind w:left="178"/>
              <w:spacing w:after="0"/>
              <w:rPr>
                <w:sz w:val="20"/>
                <w:szCs w:val="20"/>
                <w:color w:val="auto"/>
              </w:rPr>
            </w:pPr>
            <w:r>
              <w:rPr>
                <w:rFonts w:ascii="Times New Roman" w:cs="Times New Roman" w:eastAsia="Times New Roman" w:hAnsi="Times New Roman"/>
                <w:sz w:val="18"/>
                <w:szCs w:val="18"/>
                <w:color w:val="auto"/>
                <w:w w:val="98"/>
              </w:rPr>
              <w:t>4,864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(9,075)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(5,763)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left="138"/>
              <w:spacing w:after="0"/>
              <w:rPr>
                <w:sz w:val="20"/>
                <w:szCs w:val="20"/>
                <w:color w:val="auto"/>
              </w:rPr>
            </w:pPr>
            <w:r>
              <w:rPr>
                <w:rFonts w:ascii="Times New Roman" w:cs="Times New Roman" w:eastAsia="Times New Roman" w:hAnsi="Times New Roman"/>
                <w:sz w:val="18"/>
                <w:szCs w:val="18"/>
                <w:color w:val="auto"/>
                <w:w w:val="98"/>
              </w:rPr>
              <w:t>(3,312)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0"/>
        </w:trPr>
        <w:tc>
          <w:tcPr>
            <w:tcW w:w="61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30,008</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28,456</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ind w:left="178"/>
              <w:spacing w:after="0"/>
              <w:rPr>
                <w:sz w:val="20"/>
                <w:szCs w:val="20"/>
                <w:color w:val="auto"/>
              </w:rPr>
            </w:pPr>
            <w:r>
              <w:rPr>
                <w:rFonts w:ascii="Times New Roman" w:cs="Times New Roman" w:eastAsia="Times New Roman" w:hAnsi="Times New Roman"/>
                <w:sz w:val="18"/>
                <w:szCs w:val="18"/>
                <w:color w:val="auto"/>
                <w:w w:val="98"/>
              </w:rPr>
              <w:t>1,552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74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120" w:hanging="315"/>
        <w:spacing w:after="0" w:line="259" w:lineRule="auto"/>
        <w:tabs>
          <w:tab w:leader="none" w:pos="332"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Costs and Expenses Applicable to Revenues, and Research and Development. (Refer to “Capital Stock and Reserves — Share-Based Compensation” in Note 11 of Notes to Condensed Consolidated Financial Statements in Part I, Item 1.)</w:t>
      </w: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68"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third quarter of 2026, the increased level of Selling, General and Administrative Expenses year-over-year reflects higher annual incentive compensation costs driven by the Company’s record performance and fringe benefits, partially offset by management’s continued focus on operational efficiencies.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Increases and decreased in stock-based compensation expense primarily reflects life-to-date adjustments for the Company’s performance stock unit grants which fluctuate based on the Company’s Adjusted EBITDA outlook until such time as the respective units vest. (Refer to Note 11 of Notes to Condensed Consolidated Financial Statements in Part I, Item 1.)</w:t>
      </w: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For the three months ended September 30, 2026, Research and Development expenses were $1.9 million, representing an increase of $0.4 million or 27%, when compared to $1.5 million during the same period in the prior year. The Company continues to expense its investment in other projects, including in the development of new product offerings, data and software projects and improvements to its existing IMAX System and camera product suite.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recorded a credit loss expense of $1.2 million, as compared to a credit loss expense of $0.6 million in the prior year comparative period. The year over year change was primarily due to higher reserves established for specific customers in China resulting from a deterioration in customer credit quality.</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Overall, continued strong global box office performance has contributed to consistent collections. Strong theatrical attendance, driven by a robust film slate, has increased and accelerated cash inflows from studio and exhibitor customers. This trend reflects the continued consumer demand for premium cinematic experiences and effectiveness of IMAX's strategic initiatives to partner with filmmakers, studios, and exhibitors to deliver higher levels of box office.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2026 and 2025, interest expense was $1.8 million in each period. Average borrowings under the Credit Facility (as defined under “—Liquidity and Capital Resources” below) in the third quarter of 2026 and 2025 was $20.5 million in each period. The effective interest rate for the three months ended September 30, 2026 was 5.16% (2025 — 6.09%).</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2026 and 2025, interest income was $0.7 million and $0.6 million, respectively. Interest income primarily comprises interest earned on bank deposits.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recorded an income tax recovery of $43.3 million (2025 — expense of $5.2 million). The Company’s effective tax rate of (58.7%) for the three months ended September 30, 2026 (2025 — 18.7%) reflects the release of a valuation allowance related to certain Canadian federal and provincial deferred tax assets and the geographic allocation of income earned in taxing jurisdictions and a decrease in tax reserves, partially offset by withholding taxes. The</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release of the valuation allowance, based on having demonstrated sustained profitability, was $59.0 million and is discussed below.</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Assets, Liabilities and Related Valuation Allowance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evaluates the realizability of deferred tax assets on a quarterly basis by considering all available positive and negative evidence, including recent operating results, forecasts of future taxable income, and other relevant factors specific to our industry such as the success of new film releases. During the three months ended September 30, 2026, based on all available positive and negative evidence, having demonstrated sustained profitability which is objective and verifiable, and taking into account anticipated future earnings, the Company concluded that is more likely than not that certain of its</w:t>
      </w:r>
    </w:p>
    <w:p>
      <w:pPr>
        <w:spacing w:after="0" w:line="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Canadian federal and provincial deferred tax assets will be realized. The Company released the related valuation allowance, resulting in an income tax benefit in the period of $59.0 million, of which $36.7 million relates to deferred tax assets expected to be utilized in future years.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Canada Revenue Agency Reassessments</w:t>
      </w:r>
    </w:p>
    <w:p>
      <w:pPr>
        <w:spacing w:after="0" w:line="251" w:lineRule="exact"/>
        <w:rPr>
          <w:sz w:val="20"/>
          <w:szCs w:val="20"/>
          <w:color w:val="auto"/>
        </w:rPr>
      </w:pPr>
    </w:p>
    <w:p>
      <w:pPr>
        <w:ind w:right="80" w:firstLine="193"/>
        <w:spacing w:after="0" w:line="288" w:lineRule="auto"/>
        <w:rPr>
          <w:sz w:val="20"/>
          <w:szCs w:val="20"/>
          <w:color w:val="auto"/>
        </w:rPr>
      </w:pPr>
      <w:r>
        <w:rPr>
          <w:rFonts w:ascii="Times New Roman" w:cs="Times New Roman" w:eastAsia="Times New Roman" w:hAnsi="Times New Roman"/>
          <w:sz w:val="17"/>
          <w:szCs w:val="17"/>
          <w:color w:val="auto"/>
        </w:rPr>
        <w:t>As disclosed in Note 2 — Summary of Significant Accounting Policies of the 2025 Form 10-K, the Company is subject to ongoing tax audits. During the three months ended September 30, 2026, the Canada Revenue Agency (the “CRA”) issued Notices of Reassessment to the Company in respect of its 2017</w:t>
      </w:r>
    </w:p>
    <w:p>
      <w:pPr>
        <w:ind w:right="240"/>
        <w:spacing w:after="0" w:line="279" w:lineRule="auto"/>
        <w:rPr>
          <w:sz w:val="20"/>
          <w:szCs w:val="20"/>
          <w:color w:val="auto"/>
        </w:rPr>
      </w:pPr>
      <w:r>
        <w:rPr>
          <w:rFonts w:ascii="Times New Roman" w:cs="Times New Roman" w:eastAsia="Times New Roman" w:hAnsi="Times New Roman"/>
          <w:sz w:val="18"/>
          <w:szCs w:val="18"/>
          <w:color w:val="auto"/>
        </w:rPr>
        <w:t>through 2019 taxation years relating primarily to the transactions between the Canadian entity and a Chinese subsidiary in those years. The reassessments would, if successful, increase the Canadian entity’s taxable income by approximately $102 million across those years.</w:t>
      </w:r>
    </w:p>
    <w:p>
      <w:pPr>
        <w:spacing w:after="0" w:line="189" w:lineRule="exact"/>
        <w:rPr>
          <w:sz w:val="20"/>
          <w:szCs w:val="20"/>
          <w:color w:val="auto"/>
        </w:rPr>
      </w:pPr>
    </w:p>
    <w:p>
      <w:pPr>
        <w:jc w:val="both"/>
        <w:ind w:firstLine="193"/>
        <w:spacing w:after="0" w:line="271" w:lineRule="auto"/>
        <w:rPr>
          <w:sz w:val="20"/>
          <w:szCs w:val="20"/>
          <w:color w:val="auto"/>
        </w:rPr>
      </w:pPr>
      <w:r>
        <w:rPr>
          <w:rFonts w:ascii="Times New Roman" w:cs="Times New Roman" w:eastAsia="Times New Roman" w:hAnsi="Times New Roman"/>
          <w:sz w:val="18"/>
          <w:szCs w:val="18"/>
          <w:color w:val="auto"/>
        </w:rPr>
        <w:t>The Company believes the CRA’s position to be without merit, and intends to vigorously defend the original filing position by submitting Notices of Objection and pursuing available appeal rights. In addition, should the CRA’s reassessments prevail in whole or in part, the Company would seek relief through the competent authority Mutual Agreement Procedure (“MAP”) to avoid double taxation by reducing the income of the Chinese subsidiary and recover taxes paid in China in the same taxation years. Until the matter is resolved, a significant amount of Canadian tax attributes will not be available to reduce taxable income and it is expected that the Company will be required to make Canadian income tax payments that exceed current tax expense.</w:t>
      </w:r>
    </w:p>
    <w:p>
      <w:pPr>
        <w:spacing w:after="0" w:line="19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has evaluated its filing positions under ASC 740 and concluded it has met the more-likely-than-not recognition threshold. Accordingly, as of September 30, 2026, no unrecognized tax benefit has been recorded for these matters. The ultimate outcome is uncertain and an unfavorable resolution could be material.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2026, the net income attributable to non-controlling interests of the Company’s subsidiaries was $3.3 million, an increase of $1.3 million, when compared to the same period in 2025, which was driven by the higher level of IMAX box office earned in Greater China from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Spider-Man: Brand New Day.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recognized an impairment charge for the remaining goodwill value for the SCT reporting unit in the amount of $6.8 million (2025 — $nil). The resulting goodwill impairment charge was due to the Company’s shift in product and service offerings and the potential cash flows that these offerings are projected to generate, as well as organizational changes within the quarter. (Refer to Note 18 to “Condensed Consolidated Financial Statements” in Part I, Item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2026 and 2025</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34"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adjusted net income attributable to common shareholders per diluted share for the nine months ended September 30, 2026 and 2025: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
        </w:trPr>
        <w:tc>
          <w:tcPr>
            <w:tcW w:w="5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5"/>
                <w:szCs w:val="15"/>
                <w:color w:val="auto"/>
              </w:rPr>
            </w:pPr>
          </w:p>
        </w:tc>
      </w:tr>
      <w:tr>
        <w:trPr>
          <w:trHeight w:val="38"/>
        </w:trPr>
        <w:tc>
          <w:tcPr>
            <w:tcW w:w="5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652"/>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3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31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bl>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(1) Refer to “Non-GAAP Financial Measures” for a description of this non-GAAP financial measure and a reconciliation to the most comparable GAAP amount.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right="100" w:firstLine="193"/>
        <w:spacing w:after="0" w:line="258"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2026, the Company’s revenues and gross margin were $358.8 million and $235.0 million, respectively. In comparison to the prior year period, the Company’s revenues and gross margin increased by $73.8 million, or 26%, and $61.0 million, or 35%, respectively, principally due to the record box office performance generated from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the first film to be shot in its entirety with IMAX film cameras, and one where IMAX has delivered over 30% of the global box office on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which became the highest-grossing IMAX film of all time.</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8"/>
        </w:trPr>
        <w:tc>
          <w:tcPr>
            <w:tcW w:w="3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2"/>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94,084</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6"/>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350,437</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231,195</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tcPr>
          <w:p>
            <w:pPr>
              <w:ind w:left="14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8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358,773</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235,009</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right="100"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2026, Content Solutions segment revenues and gross margin increased by $47.0 million, or 42%, and by $34.0 million, or 44%, respectively, when compared to the same period in 2025.</w:t>
      </w:r>
    </w:p>
    <w:p>
      <w:pPr>
        <w:spacing w:after="0" w:line="189" w:lineRule="exact"/>
        <w:rPr>
          <w:sz w:val="20"/>
          <w:szCs w:val="20"/>
          <w:color w:val="auto"/>
        </w:rPr>
      </w:pPr>
    </w:p>
    <w:p>
      <w:pPr>
        <w:jc w:val="both"/>
        <w:ind w:right="100" w:firstLine="193"/>
        <w:spacing w:after="0" w:line="254" w:lineRule="auto"/>
        <w:rPr>
          <w:sz w:val="20"/>
          <w:szCs w:val="20"/>
          <w:color w:val="auto"/>
        </w:rPr>
      </w:pPr>
      <w:r>
        <w:rPr>
          <w:rFonts w:ascii="Times New Roman" w:cs="Times New Roman" w:eastAsia="Times New Roman" w:hAnsi="Times New Roman"/>
          <w:sz w:val="18"/>
          <w:szCs w:val="18"/>
          <w:color w:val="auto"/>
        </w:rPr>
        <w:t xml:space="preserve">In the nine months ended September 30, 2026, box office generated by IMAX films totaled $1.3 billion, a $309.7 million, or 33%, increase versus the prior year comparative period of $946.9 million. This increase was primarily driven by the overperformance of Hollywood titles, led by Christopher Nolan’s record breaking, global tentpole Filmed For IMAX release,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The film generated box office of $538 million during the nine months ended September 30, 2026, cementing its status as the Company’s highest grossing film of all time.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also set a number of additional IMAX records, including becoming the highest grossing domestic IMAX title, the highest grossing international IMAX title, and achieving the highest global indexing for the run of a film at over 30%. As of the date of this report,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has generated a total box office of approximately $556 million.</w:t>
      </w:r>
    </w:p>
    <w:p>
      <w:pPr>
        <w:spacing w:after="0" w:line="214" w:lineRule="exact"/>
        <w:rPr>
          <w:sz w:val="20"/>
          <w:szCs w:val="20"/>
          <w:color w:val="auto"/>
        </w:rPr>
      </w:pPr>
    </w:p>
    <w:p>
      <w:pPr>
        <w:jc w:val="both"/>
        <w:ind w:right="100" w:firstLine="193"/>
        <w:spacing w:after="0" w:line="25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IMAX box office was generated by the exhibition of 101 films and other content (93 new films, seven re-releases and one carry-over), including the following titles: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 Hail Mary</w:t>
      </w:r>
      <w:r>
        <w:rPr>
          <w:rFonts w:ascii="Times New Roman" w:cs="Times New Roman" w:eastAsia="Times New Roman" w:hAnsi="Times New Roman"/>
          <w:sz w:val="18"/>
          <w:szCs w:val="18"/>
          <w:color w:val="auto"/>
        </w:rPr>
        <w:t xml:space="preserve"> ($96 million),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 xml:space="preserve"> ($78 million), </w:t>
      </w:r>
      <w:r>
        <w:rPr>
          <w:rFonts w:ascii="Times New Roman" w:cs="Times New Roman" w:eastAsia="Times New Roman" w:hAnsi="Times New Roman"/>
          <w:sz w:val="18"/>
          <w:szCs w:val="18"/>
          <w:i w:val="1"/>
          <w:iCs w:val="1"/>
          <w:color w:val="auto"/>
        </w:rPr>
        <w:t>Michael</w:t>
      </w:r>
      <w:r>
        <w:rPr>
          <w:rFonts w:ascii="Times New Roman" w:cs="Times New Roman" w:eastAsia="Times New Roman" w:hAnsi="Times New Roman"/>
          <w:sz w:val="18"/>
          <w:szCs w:val="18"/>
          <w:color w:val="auto"/>
        </w:rPr>
        <w:t xml:space="preserve"> ($71 million), and </w:t>
      </w:r>
      <w:r>
        <w:rPr>
          <w:rFonts w:ascii="Times New Roman" w:cs="Times New Roman" w:eastAsia="Times New Roman" w:hAnsi="Times New Roman"/>
          <w:sz w:val="18"/>
          <w:szCs w:val="18"/>
          <w:i w:val="1"/>
          <w:iCs w:val="1"/>
          <w:color w:val="auto"/>
        </w:rPr>
        <w:t>Spider-Man: Brand New Day</w:t>
      </w:r>
      <w:r>
        <w:rPr>
          <w:rFonts w:ascii="Times New Roman" w:cs="Times New Roman" w:eastAsia="Times New Roman" w:hAnsi="Times New Roman"/>
          <w:sz w:val="18"/>
          <w:szCs w:val="18"/>
          <w:color w:val="auto"/>
        </w:rPr>
        <w:t xml:space="preserve"> ($58 million). In addition, in the nine months ended September 30, 2026, local language films exhibited across the Company’s global network generated $117 million in box office, representing 9% of its global box office, including the Chinese local language film, </w:t>
      </w:r>
      <w:r>
        <w:rPr>
          <w:rFonts w:ascii="Times New Roman" w:cs="Times New Roman" w:eastAsia="Times New Roman" w:hAnsi="Times New Roman"/>
          <w:sz w:val="18"/>
          <w:szCs w:val="18"/>
          <w:i w:val="1"/>
          <w:iCs w:val="1"/>
          <w:color w:val="auto"/>
        </w:rPr>
        <w:t>Pegasus 3</w:t>
      </w:r>
      <w:r>
        <w:rPr>
          <w:rFonts w:ascii="Times New Roman" w:cs="Times New Roman" w:eastAsia="Times New Roman" w:hAnsi="Times New Roman"/>
          <w:sz w:val="18"/>
          <w:szCs w:val="18"/>
          <w:color w:val="auto"/>
        </w:rPr>
        <w:t xml:space="preserve"> ($34 million) and </w:t>
      </w:r>
      <w:r>
        <w:rPr>
          <w:rFonts w:ascii="Times New Roman" w:cs="Times New Roman" w:eastAsia="Times New Roman" w:hAnsi="Times New Roman"/>
          <w:sz w:val="18"/>
          <w:szCs w:val="18"/>
          <w:i w:val="1"/>
          <w:iCs w:val="1"/>
          <w:color w:val="auto"/>
        </w:rPr>
        <w:t>All Wishes Come True</w:t>
      </w:r>
      <w:r>
        <w:rPr>
          <w:rFonts w:ascii="Times New Roman" w:cs="Times New Roman" w:eastAsia="Times New Roman" w:hAnsi="Times New Roman"/>
          <w:sz w:val="18"/>
          <w:szCs w:val="18"/>
          <w:color w:val="auto"/>
        </w:rPr>
        <w:t xml:space="preserve"> ($10 million). In the nine months ended September 30, 2025, IMAX box office revenue was generated by the exhibition of 94 films (91 new films and 3 re-releases), including the following Hollywood titles,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($97 million), </w:t>
      </w:r>
      <w:r>
        <w:rPr>
          <w:rFonts w:ascii="Times New Roman" w:cs="Times New Roman" w:eastAsia="Times New Roman" w:hAnsi="Times New Roman"/>
          <w:sz w:val="18"/>
          <w:szCs w:val="18"/>
          <w:i w:val="1"/>
          <w:iCs w:val="1"/>
          <w:color w:val="auto"/>
        </w:rPr>
        <w:t>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Impossible - The Final Reckoning </w:t>
      </w:r>
      <w:r>
        <w:rPr>
          <w:rFonts w:ascii="Times New Roman" w:cs="Times New Roman" w:eastAsia="Times New Roman" w:hAnsi="Times New Roman"/>
          <w:sz w:val="18"/>
          <w:szCs w:val="18"/>
          <w:color w:val="auto"/>
        </w:rPr>
        <w:t>($76 million),</w:t>
      </w:r>
      <w:r>
        <w:rPr>
          <w:rFonts w:ascii="Times New Roman" w:cs="Times New Roman" w:eastAsia="Times New Roman" w:hAnsi="Times New Roman"/>
          <w:sz w:val="18"/>
          <w:szCs w:val="18"/>
          <w:i w:val="1"/>
          <w:iCs w:val="1"/>
          <w:color w:val="auto"/>
        </w:rPr>
        <w:t xml:space="preserve"> Superman </w:t>
      </w:r>
      <w:r>
        <w:rPr>
          <w:rFonts w:ascii="Times New Roman" w:cs="Times New Roman" w:eastAsia="Times New Roman" w:hAnsi="Times New Roman"/>
          <w:sz w:val="18"/>
          <w:szCs w:val="18"/>
          <w:color w:val="auto"/>
        </w:rPr>
        <w:t>($57 million),</w:t>
      </w:r>
      <w:r>
        <w:rPr>
          <w:rFonts w:ascii="Times New Roman" w:cs="Times New Roman" w:eastAsia="Times New Roman" w:hAnsi="Times New Roman"/>
          <w:sz w:val="18"/>
          <w:szCs w:val="18"/>
          <w:i w:val="1"/>
          <w:iCs w:val="1"/>
          <w:color w:val="auto"/>
        </w:rPr>
        <w:t xml:space="preserve"> The Fantastic Four: First Steps </w:t>
      </w:r>
      <w:r>
        <w:rPr>
          <w:rFonts w:ascii="Times New Roman" w:cs="Times New Roman" w:eastAsia="Times New Roman" w:hAnsi="Times New Roman"/>
          <w:sz w:val="18"/>
          <w:szCs w:val="18"/>
          <w:color w:val="auto"/>
        </w:rPr>
        <w:t>($49 million) and</w:t>
      </w:r>
      <w:r>
        <w:rPr>
          <w:rFonts w:ascii="Times New Roman" w:cs="Times New Roman" w:eastAsia="Times New Roman" w:hAnsi="Times New Roman"/>
          <w:sz w:val="18"/>
          <w:szCs w:val="18"/>
          <w:i w:val="1"/>
          <w:iCs w:val="1"/>
          <w:color w:val="auto"/>
        </w:rPr>
        <w:t xml:space="preserve"> Sinners </w:t>
      </w:r>
      <w:r>
        <w:rPr>
          <w:rFonts w:ascii="Times New Roman" w:cs="Times New Roman" w:eastAsia="Times New Roman" w:hAnsi="Times New Roman"/>
          <w:sz w:val="18"/>
          <w:szCs w:val="18"/>
          <w:color w:val="auto"/>
        </w:rPr>
        <w:t>($39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Additionally, in the nine months ended September 30, 2025, the Company had higher local language box office driven by the breakout performance of </w:t>
      </w:r>
      <w:r>
        <w:rPr>
          <w:rFonts w:ascii="Times New Roman" w:cs="Times New Roman" w:eastAsia="Times New Roman" w:hAnsi="Times New Roman"/>
          <w:sz w:val="18"/>
          <w:szCs w:val="18"/>
          <w:i w:val="1"/>
          <w:iCs w:val="1"/>
          <w:color w:val="auto"/>
        </w:rPr>
        <w:t>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Zha 2 </w:t>
      </w:r>
      <w:r>
        <w:rPr>
          <w:rFonts w:ascii="Times New Roman" w:cs="Times New Roman" w:eastAsia="Times New Roman" w:hAnsi="Times New Roman"/>
          <w:sz w:val="18"/>
          <w:szCs w:val="18"/>
          <w:color w:val="auto"/>
        </w:rPr>
        <w:t>($167 million) and the Japanese local language film,</w:t>
      </w:r>
      <w:r>
        <w:rPr>
          <w:rFonts w:ascii="Times New Roman" w:cs="Times New Roman" w:eastAsia="Times New Roman" w:hAnsi="Times New Roman"/>
          <w:sz w:val="18"/>
          <w:szCs w:val="18"/>
          <w:i w:val="1"/>
          <w:iCs w:val="1"/>
          <w:color w:val="auto"/>
        </w:rPr>
        <w:t xml:space="preserve"> Demon Slayer: Infinity Castle, </w:t>
      </w:r>
      <w:r>
        <w:rPr>
          <w:rFonts w:ascii="Times New Roman" w:cs="Times New Roman" w:eastAsia="Times New Roman" w:hAnsi="Times New Roman"/>
          <w:sz w:val="18"/>
          <w:szCs w:val="18"/>
          <w:color w:val="auto"/>
        </w:rPr>
        <w:t>which became the highest grossing IMAX release of all time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Japan.</w:t>
      </w:r>
    </w:p>
    <w:p>
      <w:pPr>
        <w:spacing w:after="0" w:line="213" w:lineRule="exact"/>
        <w:rPr>
          <w:sz w:val="20"/>
          <w:szCs w:val="20"/>
          <w:color w:val="auto"/>
        </w:rPr>
      </w:pPr>
    </w:p>
    <w:p>
      <w:pPr>
        <w:jc w:val="both"/>
        <w:ind w:right="100" w:firstLine="193"/>
        <w:spacing w:after="0" w:line="263" w:lineRule="auto"/>
        <w:rPr>
          <w:sz w:val="20"/>
          <w:szCs w:val="20"/>
          <w:color w:val="auto"/>
        </w:rPr>
      </w:pPr>
      <w:r>
        <w:rPr>
          <w:rFonts w:ascii="Times New Roman" w:cs="Times New Roman" w:eastAsia="Times New Roman" w:hAnsi="Times New Roman"/>
          <w:sz w:val="18"/>
          <w:szCs w:val="18"/>
          <w:color w:val="auto"/>
        </w:rPr>
        <w:t xml:space="preserve">In the nine months ended September 30, 2026, the Company released 11 movies that were filmed with IMAX proprietary cameras (Filmed For IMAX), including </w:t>
      </w:r>
      <w:r>
        <w:rPr>
          <w:rFonts w:ascii="Times New Roman" w:cs="Times New Roman" w:eastAsia="Times New Roman" w:hAnsi="Times New Roman"/>
          <w:sz w:val="18"/>
          <w:szCs w:val="18"/>
          <w:i w:val="1"/>
          <w:iCs w:val="1"/>
          <w:color w:val="auto"/>
        </w:rPr>
        <w:t>The Odyssey, Project Hail 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Mortal Kombat II, The Mandalorian &amp; Grogu</w:t>
      </w:r>
      <w:r>
        <w:rPr>
          <w:rFonts w:ascii="Times New Roman" w:cs="Times New Roman" w:eastAsia="Times New Roman" w:hAnsi="Times New Roman"/>
          <w:sz w:val="18"/>
          <w:szCs w:val="18"/>
          <w:color w:val="auto"/>
        </w:rPr>
        <w:t xml:space="preserve">, the Chinese local language film </w:t>
      </w:r>
      <w:r>
        <w:rPr>
          <w:rFonts w:ascii="Times New Roman" w:cs="Times New Roman" w:eastAsia="Times New Roman" w:hAnsi="Times New Roman"/>
          <w:sz w:val="18"/>
          <w:szCs w:val="18"/>
          <w:i w:val="1"/>
          <w:iCs w:val="1"/>
          <w:color w:val="auto"/>
        </w:rPr>
        <w:t>Once Upon a Time in the Middle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East </w:t>
      </w:r>
      <w:r>
        <w:rPr>
          <w:rFonts w:ascii="Times New Roman" w:cs="Times New Roman" w:eastAsia="Times New Roman" w:hAnsi="Times New Roman"/>
          <w:sz w:val="18"/>
          <w:szCs w:val="18"/>
          <w:color w:val="auto"/>
        </w:rPr>
        <w:t>and the IMAX documentary</w:t>
      </w:r>
      <w:r>
        <w:rPr>
          <w:rFonts w:ascii="Times New Roman" w:cs="Times New Roman" w:eastAsia="Times New Roman" w:hAnsi="Times New Roman"/>
          <w:sz w:val="18"/>
          <w:szCs w:val="18"/>
          <w:i w:val="1"/>
          <w:iCs w:val="1"/>
          <w:color w:val="auto"/>
        </w:rPr>
        <w:t xml:space="preserve"> Athos. </w:t>
      </w:r>
      <w:r>
        <w:rPr>
          <w:rFonts w:ascii="Times New Roman" w:cs="Times New Roman" w:eastAsia="Times New Roman" w:hAnsi="Times New Roman"/>
          <w:sz w:val="18"/>
          <w:szCs w:val="18"/>
          <w:color w:val="auto"/>
        </w:rPr>
        <w:t>Filmed For IMAX movies historically have</w:t>
      </w:r>
    </w:p>
    <w:p>
      <w:pPr>
        <w:sectPr>
          <w:pgSz w:w="11900" w:h="16838" w:orient="portrait"/>
          <w:cols w:equalWidth="0" w:num="1">
            <w:col w:w="11340"/>
          </w:cols>
          <w:pgMar w:left="320" w:top="363" w:right="239" w:bottom="1440" w:gutter="0" w:footer="0" w:header="0"/>
        </w:sectPr>
      </w:pPr>
    </w:p>
    <w:p>
      <w:pPr>
        <w:spacing w:after="0" w:line="3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outperformed at the box office, and for five of these films, IMAX delivered approximately 20% of more of the opening weekend domestic box office.</w:t>
      </w:r>
    </w:p>
    <w:p>
      <w:pPr>
        <w:spacing w:after="0" w:line="24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In the nine months ended September 30, 2026, the Company strategically expanded its merchandise program and recorded $2.3 million of revenue from IMAX branded merchandise and cooperative merchandising with studios, including the first IMAX popcorn buckets.</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nine months ended September 30, 2026, gross margin percent was 70% compared to 69% in the prior year. The increase in gross margin reflects the mix of IMAX box office, amount of marketing spend and level of box office outperformance.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JRSAs, for which revenue is recognized over the lease term, during the nine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32,648</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38,019</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2026, three IMAX Systems were relocated from their original location (2025 ― five IMAX Systems). When a system under a sale or sales-type lease arrangement is relocated, the amount of revenue earned by the Company may vary from transaction to transaction and is usually less than the amount earned for a new sale. In certain situations when a system is relocated, the original location is upgraded to an IMAX Laser System.</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2026, Technology Products and Services segment revenue and gross margin increased by $23.8 million, or 14%, and $25.2 million, or 27%, respectively, when compared to the same period in the prior year. In the nine months ended September 30, 2026, rental revenues increased by $17.0 million, as IMAX GBO earned from the Company’s JRSAs increased $64.8 million compared to the prior period, from $419.8 million to $484.6 million, or 15%. The increase reflects stronger box office performance during the quarter, driven by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Accordingly, rental revenues were impacted by the mostly higher average rental rates resulting from the geographic box office mix coupled with additional rent specifically earned from locations in which the Company has invested in lease incentives.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increase in revenue was also driven by a $6.3 million increase in revenue contribution from the impact of amendments, renewals and other adjustments, including changes in estimates for variable consideration, to existing IMAX Systems arrangements.</w:t>
      </w:r>
    </w:p>
    <w:p>
      <w:pPr>
        <w:spacing w:after="0" w:line="18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2026, gross margin percent was 63% compared to 56% in the same period in the prior year, which primarily reflects the higher level of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All Other revenue and gross margin increased by $3.0 million, and $1.8 million, respectively, when compared to the same period in 2025, which principally reflects the results of the box office performance from the Company’s one owned and operated theater, and the Company’s SCT business expansion of offerings to Goer Dynamics Group Co., Ltd. (“Goer Dynamics”) under an automotive consumer device partnership, following the re-positioning and relaunch in late 2025 under the brand of IMAX Enhanced.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nine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0"/>
        </w:trPr>
        <w:tc>
          <w:tcPr>
            <w:tcW w:w="61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84,707</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74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Costs and Expenses Applicable to Revenue, and Research and Development. (Refer to “Capital Stock and Reserves — Share-Based Compensation” in Note 11 of Notes to Condensed Consolidated Financial Statements in Part I, Item 1.)</w:t>
      </w:r>
    </w:p>
    <w:p>
      <w:pPr>
        <w:ind w:left="340" w:hanging="315"/>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the higher level of Selling, General and Administrative Expenses year-over-year reflects higher annual incentive compensation costs driven by the Company’s record performance and fringe benefits, partially offset by management’s continued focus on operational efficiencies. Additionally, influencing the prior period, were $2.6 million in benefits resulting from an Employee Retention Credit as a reduction to Selling, General and Administrative expenses, partially offset by higher annual incentive compensation costs.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Research and Development expenses were $5.4 million, representing an increase of $1.0 million, or 23%, when compared to Research and Development expenses of $4.4 million during the same period in the prior year. The year-over-year increase was primarily driven by increased investment in data and software related projects in the current year as well as lower capitalization of costs in the current year related to the Company’s film cameras. The Company continues to expense its investment in other projects, including in the development of new product offerings and improvements to its existing IMAX System product suite.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recorded a credit loss expense of $2.2 million, as compared to a credit loss expense of $0.3 million in the same period of the prior year. The year over year change was primarily due to higher reserves established for specific customers in China resulting from a deterioration in customer credit quality.</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Overall, continued strong global box office performance has contributed to consistent collections. Strong theatrical attendance, driven by a robust film slate, has increased and accelerated cash inflows from studio and exhibitor customers. This trend reflects the continued consumer demand for premium cinematic experiences and effectiveness of IMAX's strategic initiatives to partner with filmmakers, studios, and exhibitors to deliver higher levels of box office.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2026 and 2025, interest expense was $5.6 million, respectively. Average borrowings under the Credit Facility (as defined under “—Liquidity and Capital Resources” below) in the first nine months of 2026 was $18.5 million, compared to $33 million for the same period in 2025. The effective interest rate for the nine months ended September 30, 2026 was 5.16% (2025 — 6.15%).</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2026 and 2025, interest income was $1.8 million and $2.2 million, respectively. Interest income primarily comprises interest earned on bank deposits.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recorded an income tax recovery of $37.4 million (2025 — expense of $13.7 million). The Company’s effective tax rate of (36.8)% for the nine months ended September 30, 2026 (2025 — 24.1%) reflects the release of a valuation allowance related to certain Canadian federal and provincial deferred tax assets and the geographic allocation of income earned in taxing jurisdictions, tax benefit from share-based compensation, and reversals of tax reserves, partially offset by withholding taxes. The Company’s release of the valuation allowance, based on having demonstrated sustained profitability, was $54.2 million and is discussed below.</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Assets, Liabilities and Related Valuation Allowance</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Management evaluates the realizability of deferred tax assets on a quarterly basis by considering all available positive and negative evidence, including recent operating results, forecasts of future taxable income, and other relevant factors specific to our industry such as the success of new film releases. During the nine months ended September 30, 2026, based on all available positive and negative evidence, having demonstrated sustained profitability which is objective and verifiable, and taking into account anticipated future earnings, the Company concluded that is more likely than not that certain of its Canadian federal and provincial deferred tax assets will be realized. The company released the related valuation allowance, resulting in an income tax benefit in the period of $54.2 million, of which $36.7 million relates to deferred tax assets expected to be utilized in future years.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Canada Revenue Agency Reassessments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disclosed in Note 2 — Summary of Significant Accounting Policies of the 2025 Form 10-K, the Company is subject to ongoing tax audits. During the quarter ended September 30, 2026, the CRA issued Notices of Reassessment to the Company in respect of its 2017 through 2019 taxation years relating primarily to the transactions between the Canadian entity and a Chinese subsidiary in those years. The reassessments would, if successful, increase the Canadian entity’s taxable income by approximately $102 million across those years.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believes the CRA’s position to be without merit, and intends to vigorously defend the original filing position by submitting Notices of</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Objection and pursuing available appeal rights. In addition, should the CRA’s reassessments prevail in whole or in part, the Company would seek relief through the competent authority Mutual Agreement Procedure (“MAP”) to avoid double taxation by reducing the income of the Chinese subsidiary and recover taxes paid in China in the same taxation years. Until the matter is resolved, a significant amount of Canadian tax attributes will not be available to reduce taxable income and it is expected that the Company will be required to make Canadian income tax payments that exceed current tax expense.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has evaluated its filing positions under ASC 740 and concluded it has met the more-likely-than-not recognition threshold. Accordingly, as of September 30, 2026, no unrecognized tax benefit has been recorded for these matters. The ultimate outcome is uncertain and an unfavorable resolution could be material.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2026, the net income attributable to non-controlling interests of the Company’s subsidiaries was $5.6 million, a decrease of $3.1 million, which was primarily driven by the lower level of IMAX box office earned in Greater China compared to the same period in 2025, which included the performance of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the highest grossing IMAX release of all time in China.</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Other Impairments</w:t>
      </w:r>
    </w:p>
    <w:p>
      <w:pPr>
        <w:spacing w:after="0" w:line="253"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recorded $2.3 million (2025 — $0.8 million) in Restructuring charges and other impairments.</w:t>
      </w:r>
    </w:p>
    <w:p>
      <w:pPr>
        <w:spacing w:after="0" w:line="189"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Specifically, in the nine months ended September 30, 2026, the Company recognized an impairment charge of $2.0 million (2025 — $nil) on an individual documentary film asset following a reassessment of estimated future revenues. The revised estimates reflect updates to estimated market performance and future monetization of the title.</w:t>
      </w:r>
    </w:p>
    <w:p>
      <w:pPr>
        <w:spacing w:after="0" w:line="204" w:lineRule="exact"/>
        <w:rPr>
          <w:sz w:val="20"/>
          <w:szCs w:val="20"/>
          <w:color w:val="auto"/>
        </w:rPr>
      </w:pPr>
    </w:p>
    <w:p>
      <w:pPr>
        <w:jc w:val="both"/>
        <w:ind w:right="20" w:firstLine="161"/>
        <w:spacing w:after="0" w:line="279" w:lineRule="auto"/>
        <w:rPr>
          <w:sz w:val="20"/>
          <w:szCs w:val="20"/>
          <w:color w:val="auto"/>
        </w:rPr>
      </w:pPr>
      <w:r>
        <w:rPr>
          <w:rFonts w:ascii="Times New Roman" w:cs="Times New Roman" w:eastAsia="Times New Roman" w:hAnsi="Times New Roman"/>
          <w:sz w:val="18"/>
          <w:szCs w:val="18"/>
          <w:color w:val="auto"/>
        </w:rPr>
        <w:t>In addition, the Company incurred termination charges of $0.3 million (2025 — $0.8 million) in connection with its plan to optimize its organizational structure, including eliminating redundant roles, addressing spans and layers to capture efficiencies and centralizing certain operational roles.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recognized an impairment charge for the remaining goodwill value for the SCT reporting unit in the amount of $6.8 million (2025 — $nil). The goodwill impairment charge was due to the Company’s shift in product and service offerings and the potential cash flows that these offerings are projected to generate, as well as organizational changes within the year. (Refer to Note 18 to “Condensed Consolidated Financial Statements” in Part I, Item 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SEPTEMBER 30, 2026 AND 2025</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discussion below summarizes our cash flows from operating, investing, and financing activities as reflected in the Condensed Consolidated Statements of Cash Flows for the nine months ended September 30,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122,119</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56,750</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42,514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Net cash provided by the Company’s operating activities increased $24.4 million in the nine months ended September 30, 2026, when compared to the same period in 2025, primarily driven by an increase in the net income before taxes earned in the current period. The higher level of net cash provided by operating activities year over year was partially offset by a $32.1 million increase in the Accounts Receivable balance which primarily reflects timing of collections for the stronger third quarter 2026 IMAX box office performance and $8.9 million in additional cash outflows for lease incentives provided to exhibitor customers under the Company’s plan to invest at a higher level to grow the IMAX network at a faster pace. (Refer to Note 9 to Condensed Consolidated Financial Statements in Item 1. for more information on the Company’s change in other operating assets and liabilities.)</w:t>
      </w:r>
    </w:p>
    <w:p>
      <w:pPr>
        <w:spacing w:after="0" w:line="21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decreased $13.0 million in the nine months ended September 30, 2026, when compared to the same period in 2025. Cash used in the investment in equipment contributed to the Company’s JRSAs with exhibitor customers was higher in the comparative period of 2025 due in part to the Company shipping systems into the U.S. in advance of planned 2025 system installations as a proactive measure in response to new and potentially changing tariffs. (Refer to “Risk Factors—The Company’s business may be materially adversely affected by the imposition of tariffs and other trade barriers and retaliatory countermeasures implemented by the United States and other governments.” in Part I, Item 1A. in the 2025 Form 10-K.)</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increased $23.7 million in the nine months ended September 30, 2026, when compared to the same period in 2025, mainly driven by repurchases of common shares, higher net repayments of borrowings under the Company’s Credit Facility, and higher taxes withheld and paid on employee stock awards vested due to the Company’s higher stock price relative to grant dates. This increase in net cash used in financing activities year over year was offset by $25.3 million of cash received for stock options exercised.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2026, the Company’s principal sources of liquidity included: (i) its balances of cash and cash equivalents of $207.9 million; (ii) the anticipated collection of trade accounts receivable, which includes amounts owed under JRSAs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addition, as of September 30, 2026, the Company had $375.0 million in available borrowing capacity under its Credit Facility pursuant to its Seventh Amended and Restated Credit Agreement (the “Credit Agreement”), $28.2 million in available borrowing capacity under the IMAX Shanghai revolving credit facility with the Bank of China (the “Bank of China Facility”), and $29.7 million in available borrowing capacity under IMAX Shanghai’s revolving credit facility with HSBC Bank (China) Company Limited, Shanghai Branch (the “HSBC China Facility”). (Refer to “Borrowings — Convertible Notes and Other Borrowings, Net” in Note 6 of Notes to Condensed Consolidated Financial Statements in Part I, Item 1.)</w:t>
      </w:r>
    </w:p>
    <w:p>
      <w:pPr>
        <w:spacing w:after="0" w:line="210"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Company’s $207.9 million balance of cash and cash equivalents as of September 30, 2026 (December 31, 2025 — $151.2 million) included $171.6 million in cash held outside of Canada (December 31, 2025 — $137.4 million), of which $121.8 million was held in the People’s Republic of China (the “PRC”) (December 31, 2025 — $97.2 million). In prior years,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nine months ended September 30, 2026, no historical earnings from a subsidiary in the PRC were distributed</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(2025 — $nil) and, as a result, no foreign withholding taxes were paid to the relevant tax authorities (2025 — $nil). As of September 30, 2026, the Company’s Condensed Consolidated Balance Sheets included a deferred tax liability of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2025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also has certain significant contractual obligations and commitments that have been disclosed in “Contractual Obligations” in Part II, Item 7 of the Company’s 2025 Form 10-K. There are no material changes to these obligations and commitments as of September 30, 2026.</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2025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2 of Notes to Condensed Consolidated Financial Statements in Part I, Item 1 for a discussion of recently issued accounting standards and their impact on the Company’s Condensed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4" w:lineRule="exact"/>
        <w:rPr>
          <w:sz w:val="20"/>
          <w:szCs w:val="20"/>
          <w:color w:val="auto"/>
        </w:rPr>
      </w:pPr>
    </w:p>
    <w:p>
      <w:pPr>
        <w:ind w:left="640" w:hanging="44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 and</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expenses.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goodwill impairment; (iv) restructuring charges and other impairments; and (v) employee retention credits, as well as the related tax impact of these adjustments.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non-recurring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net income attributable to common shareholder per diluted share to adjusted net income attributable to common shareholders and adjusted net income attributable to common shareholders per diluted share are presented in the tables below.</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3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Net income attributable to common shareholders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6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2"/>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2"/>
        </w:trPr>
        <w:tc>
          <w:tcPr>
            <w:tcW w:w="538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140" w:hanging="315"/>
        <w:spacing w:after="0" w:line="259" w:lineRule="auto"/>
        <w:tabs>
          <w:tab w:leader="none" w:pos="332"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months ended September 30, 2026, Net income attributable to common shareholders includes $36.7 million ($0.63 per diluted share) of valuation allowance release related to certain Canadian federal and provincial deferred tax assets that are expected to be utilized in future years.</w:t>
      </w:r>
    </w:p>
    <w:p>
      <w:pPr>
        <w:ind w:left="340" w:hanging="315"/>
        <w:spacing w:after="0"/>
        <w:tabs>
          <w:tab w:leader="none" w:pos="3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amounts attributable to common shareholders.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a result of the valuation allowance release in 2026 the calculated tax impact as a percentage of the related non-GAAP adjustments is higher than in the comparative prior year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3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Net income attributable to common shareholders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6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42"/>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68"/>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82"/>
        </w:trPr>
        <w:tc>
          <w:tcPr>
            <w:tcW w:w="53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180" w:hanging="315"/>
        <w:spacing w:after="0" w:line="259" w:lineRule="auto"/>
        <w:tabs>
          <w:tab w:leader="none" w:pos="332"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2026, Net income attributable to common shareholders includes $36.7 million (or $0.65 per diluted share) of valuation allowance release related to certain Canadian federal and provincial deferred tax assets that are expected to be utilized in future years.</w:t>
      </w:r>
    </w:p>
    <w:p>
      <w:pPr>
        <w:ind w:left="340" w:hanging="315"/>
        <w:spacing w:after="0"/>
        <w:tabs>
          <w:tab w:leader="none" w:pos="34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amounts attributable to common shareholders.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a result of the valuation allowance release in 2026 the calculated tax impact as a percentage of the related non-GAAP adjustments is higher than in the comparative prior year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restructuring charges and other impairments; (iv) write-downs, net of recoveries, including goodwill, asset impairments and credit loss expense or reversal; and (v) induced conversion expense on settlement of convertible notes.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9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38"/>
        </w:trPr>
        <w:tc>
          <w:tcPr>
            <w:tcW w:w="9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117,079</w:t>
            </w:r>
          </w:p>
        </w:tc>
      </w:tr>
      <w:tr>
        <w:trPr>
          <w:trHeight w:val="24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recovery</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(43,302)</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26,815</w:t>
            </w:r>
          </w:p>
        </w:tc>
      </w:tr>
      <w:tr>
        <w:trPr>
          <w:trHeight w:val="268"/>
        </w:trPr>
        <w:tc>
          <w:tcPr>
            <w:tcW w:w="9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2"/>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101,661</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Write-downs, including goodwill, asset impairments and credit loss expense</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r>
      <w:tr>
        <w:trPr>
          <w:trHeight w:val="235"/>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120,897</w:t>
            </w:r>
          </w:p>
        </w:tc>
      </w:tr>
      <w:tr>
        <w:trPr>
          <w:trHeight w:val="26"/>
        </w:trPr>
        <w:tc>
          <w:tcPr>
            <w:tcW w:w="9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r>
      <w:tr>
        <w:trPr>
          <w:trHeight w:val="26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115,250</w:t>
            </w:r>
          </w:p>
        </w:tc>
      </w:tr>
      <w:tr>
        <w:trPr>
          <w:trHeight w:val="20"/>
        </w:trPr>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540" w:hanging="322"/>
        <w:spacing w:after="0"/>
        <w:tabs>
          <w:tab w:leader="none" w:pos="5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0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1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38"/>
        </w:trPr>
        <w:tc>
          <w:tcPr>
            <w:tcW w:w="9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141,583</w:t>
            </w:r>
          </w:p>
        </w:tc>
      </w:tr>
      <w:tr>
        <w:trPr>
          <w:trHeight w:val="242"/>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recovery</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(33,295)</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73,762</w:t>
            </w:r>
          </w:p>
        </w:tc>
      </w:tr>
      <w:tr>
        <w:trPr>
          <w:trHeight w:val="268"/>
        </w:trPr>
        <w:tc>
          <w:tcPr>
            <w:tcW w:w="9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42"/>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187,070</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30,814</w:t>
            </w: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losses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goodwill, asset impairments and credit loss expense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w:t>
            </w:r>
          </w:p>
        </w:tc>
      </w:tr>
      <w:tr>
        <w:trPr>
          <w:trHeight w:val="242"/>
        </w:trPr>
        <w:tc>
          <w:tcPr>
            <w:tcW w:w="9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Induced conversion expense on settlement of convertible notes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r>
      <w:tr>
        <w:trPr>
          <w:trHeight w:val="26"/>
        </w:trPr>
        <w:tc>
          <w:tcPr>
            <w:tcW w:w="9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256,475</w:t>
            </w:r>
          </w:p>
        </w:tc>
      </w:tr>
      <w:tr>
        <w:trPr>
          <w:trHeight w:val="23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w:t>
            </w:r>
          </w:p>
        </w:tc>
      </w:tr>
      <w:tr>
        <w:trPr>
          <w:trHeight w:val="26"/>
        </w:trPr>
        <w:tc>
          <w:tcPr>
            <w:tcW w:w="9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7"/>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hanging="314"/>
        <w:spacing w:after="0"/>
        <w:tabs>
          <w:tab w:leader="none" w:pos="50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also adjusts SG&amp;A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GAAP measure presented in the Condensed Consolidated Statement of Operations in Part I, Item 1, to Adjusted Selling, General and Administrative Expenses is presented in the table below.</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6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8"/>
        </w:trPr>
        <w:tc>
          <w:tcPr>
            <w:tcW w:w="6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39,083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0" w:type="dxa"/>
            <w:vAlign w:val="bottom"/>
          </w:tcPr>
          <w:p>
            <w:pPr>
              <w:spacing w:after="0"/>
              <w:rPr>
                <w:sz w:val="1"/>
                <w:szCs w:val="1"/>
                <w:color w:val="auto"/>
              </w:rPr>
            </w:pPr>
          </w:p>
        </w:tc>
      </w:tr>
      <w:tr>
        <w:trPr>
          <w:trHeight w:val="242"/>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28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(9,075)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(5,763)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0" w:type="dxa"/>
            <w:vAlign w:val="bottom"/>
          </w:tcPr>
          <w:p>
            <w:pPr>
              <w:spacing w:after="0"/>
              <w:rPr>
                <w:sz w:val="1"/>
                <w:szCs w:val="1"/>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28,456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cautions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91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12"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817.1 million ($121.3 million) in cash and cash equivalents as of September 30, 2026 (December 31, 2025 — RMB 678.2 million or $96.5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 of the Company’s 2025 Form 10-K.)</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recorded a foreign exchange net loss of $0.4 million and net loss of $0.6 million respectively, resulting from changes in exchange rates related to foreign currency denominated monetary assets and liabilities (2025 — net losses of $0.2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September 30, 2026, with settlement dates throughout 2026 and 2028.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21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September 30, 2026 was $45.0 million (December 31, 2025 — $48.4 million). Losses of $0.2 million and losses of $1.6 million were recorded to Other Comprehensive Loss with respect to the change in fair value of these contracts for the three and nine months ended September 30, 2026, respectively (2025 — losses of $1.2 million and gains of $0.6 million, respectively). Losses of $0.1 million and gains of $0.4 million were reclassified from Accumulated Other Comprehensive Loss to Selling, General and Administrative Expenses for the three and nine months ended September 30, 2026, respectively (2025 — losses of $0.1 million and $1.7 million, respectively). The Company currently does not hold any derivatives which are not designated as hedging instruments.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2026, the Company’s Financing Receivables and working capital items denominated in Canadian Dollars, RMB, Japanese Yen, Euros and other foreign currencies translated into U.S. Dollars was $133.3 million. Assuming a 10% appreciation or depreciation in foreign currency exchange rates from the quoted foreign currency exchange rates as of September 30, 2026, the potential change in the fair value of foreign currency-denominated financing receivables and working capital items would have been $13.3 million. A significant portion of the Company’s Selling, General, and Administrative Expenses is denominated in Canadian Dollars. Assuming a 1% change appreciation or depreciation in foreign currency exchange rates as of September 30, 2026, the potential change in the amount of Selling, General, and Administrative Expenses would be $0.2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no borrowings outstanding under its Credit Facility (December 31, 2025 — $37.0 million), its HSBC China Facility (December 31, 2025 — $nil) and its Bank of China Facility (December 31, 2025 — $nil). Borrowings during the period were subject to variable effective interest rates. If the interest rates available to the Company increased by 10%, the Company’s interest expense would increase by less than $0.1 million and interest income from cash would increase by $0.4 million.</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had no variable rate debt instruments as of September 30, 2026. Variable debt instruments represented 8% of its total liabilities as of December 31, 2025. These amounts are determined by considering the impact of the hypothetical interest rates on the Company’s variable rate debt and cash balances as of September 30, 2026.</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principal executive and principal financial officers,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its principal executive and principal financial officers, has evaluated the effectiveness of the Company’s “disclosure controls and procedures” (as defined in Rules 13a-15(e) or 15d-15(e) under the Exchange Act) as of September 30, 2026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September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7 of Notes to Condensed Consolidated Financial Statements in Part I, Item 1 for information regarding legal proceedings involving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2025 Form 10-K, which describes various risks and uncertainties to which the Company is or may become subject. The risk factors below update certain risk factors included in the Company’s 2025 Form 10-K in light of recent events. The below risk factors and the risk factors included in the Company’s 2025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20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Company conducts business internationally, which exposes it to uncertainties and risks that could negatively affect its operations, sales, and future growth prospects.</w:t>
      </w:r>
    </w:p>
    <w:p>
      <w:pPr>
        <w:spacing w:after="0" w:line="18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revenues and of the GBO earned by the Company’s exhibitor customers are generated outside the United States and Canada. Approximately 62%, 58%, and 64% of the Company’s revenues were derived outside of the United States and Canada in 2025, 2024, and 2023, respectively. As of September 30, 2026, 75% of IMAX Systems in backlog were scheduled to be installed in international markets. The Company’s network spanned 91 different countries as of September 30, 2026,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among others, include:</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Operational and Supply Chain Risks</w:t>
      </w:r>
    </w:p>
    <w:p>
      <w:pPr>
        <w:spacing w:after="0" w:line="249" w:lineRule="exact"/>
        <w:rPr>
          <w:sz w:val="20"/>
          <w:szCs w:val="20"/>
          <w:color w:val="auto"/>
        </w:rPr>
      </w:pPr>
    </w:p>
    <w:p>
      <w:pPr>
        <w:ind w:left="660" w:hanging="138"/>
        <w:spacing w:after="0" w:line="279"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competitively priced key commodities, raw materials, and component parts from various international sources that are needed to manufacture quality products on a timely basis;</w:t>
      </w:r>
    </w:p>
    <w:p>
      <w:pPr>
        <w:spacing w:after="0" w:line="189"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foreign distributors and their sales channels;</w:t>
      </w:r>
    </w:p>
    <w:p>
      <w:pPr>
        <w:spacing w:after="0" w:line="248"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partners in foreign territories, including in connection with JRSAs;</w:t>
      </w:r>
    </w:p>
    <w:p>
      <w:pPr>
        <w:spacing w:after="0" w:line="248"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48" w:lineRule="exact"/>
        <w:rPr>
          <w:rFonts w:ascii="Times New Roman" w:cs="Times New Roman" w:eastAsia="Times New Roman" w:hAnsi="Times New Roman"/>
          <w:sz w:val="18"/>
          <w:szCs w:val="18"/>
          <w:color w:val="auto"/>
        </w:rPr>
      </w:pPr>
    </w:p>
    <w:p>
      <w:pPr>
        <w:ind w:left="660" w:hanging="138"/>
        <w:spacing w:after="0" w:line="279"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installations of IMAX Systems, including as a result of material disruptions or delays in the Company’s supply chains, or to collect full payment on installations thereof;</w:t>
      </w:r>
    </w:p>
    <w:p>
      <w:pPr>
        <w:spacing w:after="0" w:line="189" w:lineRule="exact"/>
        <w:rPr>
          <w:rFonts w:ascii="Times New Roman" w:cs="Times New Roman" w:eastAsia="Times New Roman" w:hAnsi="Times New Roman"/>
          <w:sz w:val="18"/>
          <w:szCs w:val="18"/>
          <w:color w:val="auto"/>
        </w:rPr>
      </w:pPr>
    </w:p>
    <w:p>
      <w:pPr>
        <w:ind w:left="660" w:hanging="138"/>
        <w:spacing w:after="0" w:line="279"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including pandemics or epidemics, and regulations in response thereto, which could adversely affect the Company’s and its customers’ operations; and</w:t>
      </w:r>
    </w:p>
    <w:p>
      <w:pPr>
        <w:spacing w:after="0" w:line="189"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the IMAX brand from operating in countries with records of controversial government action, including human rights abuses.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Financial and Macroeconomic Risks</w:t>
      </w:r>
    </w:p>
    <w:p>
      <w:pPr>
        <w:spacing w:after="0" w:line="249" w:lineRule="exact"/>
        <w:rPr>
          <w:sz w:val="20"/>
          <w:szCs w:val="20"/>
          <w:color w:val="auto"/>
        </w:rPr>
      </w:pPr>
    </w:p>
    <w:p>
      <w:pPr>
        <w:ind w:left="660" w:right="20" w:hanging="138"/>
        <w:spacing w:after="0" w:line="279"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versus the U.S. Dollar, potential currency devaluations, and imposition of foreign exchange controls in foreign jurisdictions;</w:t>
      </w:r>
    </w:p>
    <w:p>
      <w:pPr>
        <w:spacing w:after="0" w:line="189" w:lineRule="exact"/>
        <w:rPr>
          <w:rFonts w:ascii="Times New Roman" w:cs="Times New Roman" w:eastAsia="Times New Roman" w:hAnsi="Times New Roman"/>
          <w:sz w:val="18"/>
          <w:szCs w:val="18"/>
          <w:color w:val="auto"/>
        </w:rPr>
      </w:pPr>
    </w:p>
    <w:p>
      <w:pPr>
        <w:ind w:left="660" w:hanging="138"/>
        <w:spacing w:after="0" w:line="279"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189"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performance bonds and letters of credit to international customers to secure IMAX System component deliveries;</w:t>
      </w:r>
    </w:p>
    <w:p>
      <w:pPr>
        <w:spacing w:after="0" w:line="248"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accurate and/or less reliable box office reporting;</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640" w:hanging="11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market-appropriate pricing; and</w:t>
      </w:r>
    </w:p>
    <w:p>
      <w:pPr>
        <w:spacing w:after="0" w:line="248" w:lineRule="exact"/>
        <w:rPr>
          <w:rFonts w:ascii="Times New Roman" w:cs="Times New Roman" w:eastAsia="Times New Roman" w:hAnsi="Times New Roman"/>
          <w:sz w:val="18"/>
          <w:szCs w:val="18"/>
          <w:color w:val="auto"/>
        </w:rPr>
      </w:pPr>
    </w:p>
    <w:p>
      <w:pPr>
        <w:ind w:left="200" w:right="6300" w:firstLine="322"/>
        <w:spacing w:after="0" w:line="528" w:lineRule="auto"/>
        <w:tabs>
          <w:tab w:leader="none" w:pos="6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economic conditions in foreign markets, including inflation. </w:t>
      </w:r>
      <w:r>
        <w:rPr>
          <w:rFonts w:ascii="Times New Roman" w:cs="Times New Roman" w:eastAsia="Times New Roman" w:hAnsi="Times New Roman"/>
          <w:sz w:val="18"/>
          <w:szCs w:val="18"/>
          <w:u w:val="single" w:color="auto"/>
          <w:color w:val="auto"/>
        </w:rPr>
        <w:t>Geopolitical, Trade, and Regulatory Compliance Risks</w:t>
      </w:r>
    </w:p>
    <w:p>
      <w:pPr>
        <w:jc w:val="both"/>
        <w:ind w:left="660" w:hanging="138"/>
        <w:spacing w:after="0" w:line="263"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potentially changing tariffs, trade protection measures, import or export licensing requirements, trade embargoes, sanctions and export controls, and other trade barriers, including but not limited to planned, implemented or threatened tariffs and retaliatory responses thereto, or the residual impacts and uncertainty as a result of changes in tariff or trade policy;</w:t>
      </w:r>
    </w:p>
    <w:p>
      <w:pPr>
        <w:spacing w:after="0" w:line="204"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 both for IMAX Systems and content;</w:t>
      </w:r>
    </w:p>
    <w:p>
      <w:pPr>
        <w:spacing w:after="0" w:line="248" w:lineRule="exact"/>
        <w:rPr>
          <w:rFonts w:ascii="Times New Roman" w:cs="Times New Roman" w:eastAsia="Times New Roman" w:hAnsi="Times New Roman"/>
          <w:sz w:val="18"/>
          <w:szCs w:val="18"/>
          <w:color w:val="auto"/>
        </w:rPr>
      </w:pPr>
    </w:p>
    <w:p>
      <w:pPr>
        <w:ind w:left="660" w:hanging="138"/>
        <w:spacing w:after="0" w:line="279"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burdensome foreign laws or regulatory requirements or unexpected changes to those laws or requirements, including censorship of content that may restrict what films or other content are exhibited across the Company’s network;</w:t>
      </w:r>
    </w:p>
    <w:p>
      <w:pPr>
        <w:spacing w:after="0" w:line="189"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that can present challenges to compliance with applicable anti-corruption and bribery laws;</w:t>
      </w:r>
    </w:p>
    <w:p>
      <w:pPr>
        <w:spacing w:after="0" w:line="248"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recognition of intellectual property rights;</w:t>
      </w:r>
    </w:p>
    <w:p>
      <w:pPr>
        <w:spacing w:after="0" w:line="248"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rights; and</w:t>
      </w:r>
    </w:p>
    <w:p>
      <w:pPr>
        <w:spacing w:after="0" w:line="248" w:lineRule="exact"/>
        <w:rPr>
          <w:rFonts w:ascii="Times New Roman" w:cs="Times New Roman" w:eastAsia="Times New Roman" w:hAnsi="Times New Roman"/>
          <w:sz w:val="18"/>
          <w:szCs w:val="18"/>
          <w:color w:val="auto"/>
        </w:rPr>
      </w:pPr>
    </w:p>
    <w:p>
      <w:pPr>
        <w:jc w:val="both"/>
        <w:ind w:left="660" w:hanging="138"/>
        <w:spacing w:after="0" w:line="263"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conflict, geopolitical tensions and other political, economic and social instability, terrorist attacks and security concerns, such as the ongoing conflict between Russia and Ukraine, the war in Iran and other armed conflicts in the Middle East, and escalating tensions in the Taiwan Strait, all of which could result in adverse consequences for the Company’s interests in different regions of the world.</w:t>
      </w:r>
    </w:p>
    <w:p>
      <w:pPr>
        <w:spacing w:after="0" w:line="204"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Global geopolitical tensions and actions that governments take in response and the resulting global and regional economic downturns have had and may in the future adversely impact the Company’s ability to operate in such regions. For example, the ongoing conflict between Russia and Ukraine and responses thereto have had and may continue to have an adverse impact on the Company’s business and results of operations in affected regions, including the continued suspension of the Company’s operations across the Company’s 54 theaters in the region. Three theaters in Israel and one theater in Lebanon have been impacted by closures or are operating in limited capacity due to the Iran war. The other 31 of the Company’s 35 theaters in the Middle East region remain fully operational. Furthermore, disruptions to key global shipping routes, including the Strait of Hormuz, have and may continue to adversely affect global supply chains by increasing transportation time and cost as well as increasing uncertainty in the availability of critical goods and services, which may in turn impact the Company’s operations. Given the uncertainty as to the scope, intensity, duration and outcome of geopolitical conflicts, it is difficult to predict the full extent of the adverse impacts of geopolitical conflicts on the Company’s business and results of operations. Additionally, given the global nature of the Company’s operations, any protracted conflict or the broader macroeconomic impact of geopolitical conflicts and sanctions imposed in response thereto, have had and could continue to have an adverse impact on the Company’s business, results of operations, financial condition, and future performance and may also magnify the impact of other risks described herein, including the risk of cybersecurity attacks, which may impact information technology systems unrelated to the conflict, or jeopardize critical infrastructure in jurisdictions where the Company operates.</w:t>
      </w:r>
    </w:p>
    <w:p>
      <w:pPr>
        <w:spacing w:after="0" w:line="21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While the Company has implemented policies, internal controls, and other measures reasonably designed to promote compliance with applicable laws and regulations related to doing business internationally, any violations of these laws and regulations, or even allegations of such a violation, could disrupt the Company’s operations and harm the Company’s business, financial condition and results of operations. 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particular country may impede the Company’s ability to conduct business in that country and have a negative impact on the Company’s financial condition and future growth prospects.</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through June 30, 2027 and increased to a</w:t>
      </w:r>
    </w:p>
    <w:p>
      <w:pPr>
        <w:sectPr>
          <w:pgSz w:w="11900" w:h="16838" w:orient="portrait"/>
          <w:cols w:equalWidth="0" w:num="1">
            <w:col w:w="11240"/>
          </w:cols>
          <w:pgMar w:left="320" w:top="363"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share repurchase authority to $500.0 million under the current share repurchase program. As of September 30, 2026, the Company had $237.0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During the three months ended September 30, 2026, the Company did not repurchase any common shares.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September 30, 2026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r>
      <w:tr>
        <w:trPr>
          <w:trHeight w:val="161"/>
        </w:trPr>
        <w:tc>
          <w:tcPr>
            <w:tcW w:w="4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4"/>
        </w:trPr>
        <w:tc>
          <w:tcPr>
            <w:tcW w:w="460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87"/>
        </w:trPr>
        <w:tc>
          <w:tcPr>
            <w:tcW w:w="460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38"/>
        </w:trPr>
        <w:tc>
          <w:tcPr>
            <w:tcW w:w="46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2026</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236,991,163</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236,991,163</w:t>
            </w:r>
          </w:p>
        </w:tc>
      </w:tr>
      <w:tr>
        <w:trPr>
          <w:trHeight w:val="26"/>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2026</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236,991,163</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22" w:lineRule="exact"/>
        <w:rPr>
          <w:sz w:val="20"/>
          <w:szCs w:val="20"/>
          <w:color w:val="auto"/>
        </w:rPr>
      </w:pPr>
    </w:p>
    <w:p>
      <w:pPr>
        <w:ind w:left="340" w:right="100" w:hanging="315"/>
        <w:spacing w:after="0" w:line="263" w:lineRule="auto"/>
        <w:tabs>
          <w:tab w:leader="none" w:pos="332"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June 12, 2017, the Company announced that its Board of Directors approved a $200.0 million share repurchase program for its common shares that would have expired on June 30, 2020, which was subsequently extended through June 30, 2027 and increased to a total share repurchase authority to $500.0 million under the current share repurchase program. As of September 30, 2026, the Company had $237.0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 No plan or program expired or was terminated during the period covered by this table, and the Company has not determined to terminate the program prior to its expiration.</w:t>
      </w:r>
    </w:p>
    <w:p>
      <w:pPr>
        <w:spacing w:after="0" w:line="32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2025, IMAX China’s shareholders granted its Board of Directors a general mandate authorizing IMAX China’s Board of Directors, subject to applicable laws, to repurchase shares of IMAX China not to exceed 10% of the total number of issued shares as of June 12, 2025 (33,919,122 shares). This program expired on the date of the 2026 Annual General Meeting of IMAX China on June 11, 2026. During IMAX China’s 2026 Annual General Meeting, shareholders granted its Board of Directors, subject to applicable laws, to repurchase shares of IMAX China not to exceed 10% of the total number of shares as of June 11, 2026 (33,988,722 shares). This program will be valid until the 2027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2026, IMAX China did not repurchase any shares.</w:t>
      </w:r>
    </w:p>
    <w:p>
      <w:pPr>
        <w:spacing w:after="0" w:line="212"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13 to the Company’s audited Consolidated Financial Statements in its 2025 Form 10-K Part I, Item 1 for a summary of the material terms and conditions of the Company’s revolving credit facility, which includes a limitation of the amount of permitted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780" w:hanging="387"/>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Rule 10b5-1 and Non-Rule 10b5-1 Trading Arrangements.</w:t>
      </w:r>
    </w:p>
    <w:p>
      <w:pPr>
        <w:spacing w:after="0" w:line="24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On September 10, 2026, Robert D. Lister, the Company’s Chief Legal Officer &amp; Senior Executive Vice President, entered into a Rule 10b5-1 trading arrangement (as defined in Item 408 of Regulation S-K under the Exchange Act (“Item 408”) and such arrangement, the “Lister Plan”) for the sale of up to 30,000 common shares of the Company. Sales under the Lister Plan, which was previously disclosed in a Company subsidiary filing, may commence on December 10, 2026, after the completion of the required cooling off period under Rule 10b5-1. The Lister Plan will terminate on June 9, 2027, or earlier if all shares under the Lister Plan have been sold. This trading arrangement is intended to satisfy the affirmative defense of Rule 10b5-1(c).</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On September 14, 2026, Richard Gelfond, the CEO, entered into a Rule 10b5-1 trading arrangement (as defined in Item 408 and such arrangement, the “Gelfond Plan”) for (i) the sale of 200,000 common shares; (ii) the exercise of 522,979 of stock options granted in January 2019 (the “Options”), which are due to expire on January 2, 2029, and the sale of up to 522,979 common shares underlying the Options; and (iii) the sale of an additional undetermined number of common shares to be received by Mr. Gelfond upon the vesting</w:t>
      </w:r>
    </w:p>
    <w:p>
      <w:pPr>
        <w:sectPr>
          <w:pgSz w:w="11900" w:h="16838" w:orient="portrait"/>
          <w:cols w:equalWidth="0" w:num="1">
            <w:col w:w="11240"/>
          </w:cols>
          <w:pgMar w:left="320" w:top="363"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722,979 RSUs on January 4, 2027 (continuing to hold well in excess of his share ownership guidelines). Sales under this Gelfond Plan, which was previously disclosed in a Company subsidiary filing, may commence on December 21, 2026, after the completion of the required cooling-off period under Rule 10b5-1. The Gelfond Plan will terminate on June 25, 2027, or earlier if all shares under the Gelfond Plan have been sold. This trading arrangement is intended to satisfy the affirmative defense of Rule 10b5-1(c).</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On September 14, 2026, Natasha Fernandes, the Company’s Chief Financial Officer, terminated a Rule 10b5-1 trading arrangement adopted on June 26, 2026 that was intended to satisfy the affirmative defense of Rule 10b5-1(c) for the sale of up to 30,000 common shares of the Company. As of the date of termination, Ms. Fernandes had not sold any common shares under the plan.</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No other Rule 10b5-1 or non-Rule 10b5-1 trading arrangements (as defined in Item 408) were adopted or terminated by any directors or officers of the Company during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Third Amending Agreement, dated as of August 19, 2026, between IMAX Corporation and Robert D. Lister.</w:t>
            </w:r>
          </w:p>
        </w:tc>
        <w:tc>
          <w:tcPr>
            <w:tcW w:w="60" w:type="dxa"/>
            <w:vAlign w:val="bottom"/>
          </w:tcPr>
          <w:p>
            <w:pPr>
              <w:spacing w:after="0"/>
              <w:rPr>
                <w:sz w:val="19"/>
                <w:szCs w:val="19"/>
                <w:color w:val="auto"/>
              </w:rPr>
            </w:pPr>
          </w:p>
        </w:tc>
      </w:tr>
      <w:tr>
        <w:trPr>
          <w:trHeight w:val="35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November 5, 2026, by</w:t>
            </w:r>
          </w:p>
        </w:tc>
      </w:tr>
      <w:tr>
        <w:trPr>
          <w:trHeight w:val="194"/>
        </w:trPr>
        <w:tc>
          <w:tcPr>
            <w:tcW w:w="880" w:type="dxa"/>
            <w:vAlign w:val="bottom"/>
          </w:tcPr>
          <w:p>
            <w:pPr>
              <w:spacing w:after="0"/>
              <w:rPr>
                <w:sz w:val="16"/>
                <w:szCs w:val="16"/>
                <w:color w:val="auto"/>
              </w:rPr>
            </w:pPr>
          </w:p>
        </w:tc>
        <w:tc>
          <w:tcPr>
            <w:tcW w:w="7320" w:type="dxa"/>
            <w:vAlign w:val="bottom"/>
            <w:tcBorders>
              <w:top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Richard L. Gelfond</w:t>
            </w:r>
          </w:p>
        </w:tc>
        <w:tc>
          <w:tcPr>
            <w:tcW w:w="540" w:type="dxa"/>
            <w:vAlign w:val="bottom"/>
            <w:gridSpan w:val="2"/>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500" w:type="dxa"/>
            <w:vAlign w:val="bottom"/>
            <w:tcBorders>
              <w:left w:val="single" w:sz="8" w:color="0000FF"/>
            </w:tcBorders>
            <w:gridSpan w:val="3"/>
          </w:tcPr>
          <w:p>
            <w:pPr>
              <w:spacing w:after="0" w:line="20" w:lineRule="exact"/>
              <w:rPr>
                <w:sz w:val="1"/>
                <w:szCs w:val="1"/>
                <w:color w:val="auto"/>
              </w:rPr>
            </w:pPr>
          </w:p>
        </w:tc>
      </w:tr>
      <w:tr>
        <w:trPr>
          <w:trHeight w:val="35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November 5, 2026, by</w:t>
            </w:r>
          </w:p>
        </w:tc>
      </w:tr>
      <w:tr>
        <w:trPr>
          <w:trHeight w:val="194"/>
        </w:trPr>
        <w:tc>
          <w:tcPr>
            <w:tcW w:w="880" w:type="dxa"/>
            <w:vAlign w:val="bottom"/>
          </w:tcPr>
          <w:p>
            <w:pPr>
              <w:spacing w:after="0"/>
              <w:rPr>
                <w:sz w:val="16"/>
                <w:szCs w:val="16"/>
                <w:color w:val="auto"/>
              </w:rPr>
            </w:pPr>
          </w:p>
        </w:tc>
        <w:tc>
          <w:tcPr>
            <w:tcW w:w="7320" w:type="dxa"/>
            <w:vAlign w:val="bottom"/>
            <w:tcBorders>
              <w:top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Natasha Fernandes</w:t>
            </w:r>
          </w:p>
        </w:tc>
        <w:tc>
          <w:tcPr>
            <w:tcW w:w="540" w:type="dxa"/>
            <w:vAlign w:val="bottom"/>
            <w:gridSpan w:val="2"/>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r>
      <w:tr>
        <w:trPr>
          <w:trHeight w:val="35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November 5, 2026, by</w:t>
            </w:r>
          </w:p>
        </w:tc>
      </w:tr>
      <w:tr>
        <w:trPr>
          <w:trHeight w:val="194"/>
        </w:trPr>
        <w:tc>
          <w:tcPr>
            <w:tcW w:w="880" w:type="dxa"/>
            <w:vAlign w:val="bottom"/>
          </w:tcPr>
          <w:p>
            <w:pPr>
              <w:spacing w:after="0"/>
              <w:rPr>
                <w:sz w:val="16"/>
                <w:szCs w:val="16"/>
                <w:color w:val="auto"/>
              </w:rPr>
            </w:pPr>
          </w:p>
        </w:tc>
        <w:tc>
          <w:tcPr>
            <w:tcW w:w="7320" w:type="dxa"/>
            <w:vAlign w:val="bottom"/>
            <w:tcBorders>
              <w:top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Richard L. Gelfond</w:t>
            </w:r>
          </w:p>
        </w:tc>
        <w:tc>
          <w:tcPr>
            <w:tcW w:w="540" w:type="dxa"/>
            <w:vAlign w:val="bottom"/>
            <w:gridSpan w:val="2"/>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500" w:type="dxa"/>
            <w:vAlign w:val="bottom"/>
            <w:tcBorders>
              <w:left w:val="single" w:sz="8" w:color="0000FF"/>
            </w:tcBorders>
            <w:gridSpan w:val="3"/>
          </w:tcPr>
          <w:p>
            <w:pPr>
              <w:spacing w:after="0" w:line="20" w:lineRule="exact"/>
              <w:rPr>
                <w:sz w:val="1"/>
                <w:szCs w:val="1"/>
                <w:color w:val="auto"/>
              </w:rPr>
            </w:pPr>
          </w:p>
        </w:tc>
      </w:tr>
      <w:tr>
        <w:trPr>
          <w:trHeight w:val="35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November 5, 2026, by</w:t>
            </w:r>
          </w:p>
        </w:tc>
      </w:tr>
      <w:tr>
        <w:trPr>
          <w:trHeight w:val="194"/>
        </w:trPr>
        <w:tc>
          <w:tcPr>
            <w:tcW w:w="880" w:type="dxa"/>
            <w:vAlign w:val="bottom"/>
          </w:tcPr>
          <w:p>
            <w:pPr>
              <w:spacing w:after="0"/>
              <w:rPr>
                <w:sz w:val="16"/>
                <w:szCs w:val="16"/>
                <w:color w:val="auto"/>
              </w:rPr>
            </w:pPr>
          </w:p>
        </w:tc>
        <w:tc>
          <w:tcPr>
            <w:tcW w:w="7320" w:type="dxa"/>
            <w:vAlign w:val="bottom"/>
            <w:tcBorders>
              <w:top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Natasha Fernandes</w:t>
            </w:r>
          </w:p>
        </w:tc>
        <w:tc>
          <w:tcPr>
            <w:tcW w:w="540" w:type="dxa"/>
            <w:vAlign w:val="bottom"/>
            <w:gridSpan w:val="2"/>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r>
      <w:tr>
        <w:trPr>
          <w:trHeight w:val="3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w:t>
            </w:r>
          </w:p>
        </w:tc>
      </w:tr>
      <w:tr>
        <w:trPr>
          <w:trHeight w:val="233"/>
        </w:trPr>
        <w:tc>
          <w:tcPr>
            <w:tcW w:w="8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 PRE</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36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5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3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6"/>
        </w:trPr>
        <w:tc>
          <w:tcPr>
            <w:tcW w:w="3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68"/>
        </w:trPr>
        <w:tc>
          <w:tcPr>
            <w:tcW w:w="36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Executive Vice President</w:t>
            </w:r>
          </w:p>
        </w:tc>
      </w:tr>
      <w:tr>
        <w:trPr>
          <w:trHeight w:val="268"/>
        </w:trPr>
        <w:tc>
          <w:tcPr>
            <w:tcW w:w="36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3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 ZLATAR</w:t>
            </w:r>
          </w:p>
        </w:tc>
      </w:tr>
      <w:tr>
        <w:trPr>
          <w:trHeight w:val="26"/>
        </w:trPr>
        <w:tc>
          <w:tcPr>
            <w:tcW w:w="3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Zlatar</w:t>
            </w:r>
          </w:p>
        </w:tc>
      </w:tr>
      <w:tr>
        <w:trPr>
          <w:trHeight w:val="268"/>
        </w:trPr>
        <w:tc>
          <w:tcPr>
            <w:tcW w:w="36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68"/>
        </w:trPr>
        <w:tc>
          <w:tcPr>
            <w:tcW w:w="36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362" w:right="339" w:bottom="1440" w:gutter="0" w:footer="0" w:header="0"/>
        </w:sectPr>
      </w:pPr>
    </w:p>
    <w:bookmarkStart w:id="78" w:name="page79"/>
    <w:bookmarkEnd w:id="78"/>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THIRD AMENDING AGREEMENT</w:t>
      </w:r>
    </w:p>
    <w:p>
      <w:pPr>
        <w:spacing w:after="0" w:line="22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1"/>
          <w:szCs w:val="21"/>
          <w:color w:val="auto"/>
        </w:rPr>
        <w:t>This Third Amending Agreement, dated as of August 19, 2026 (the “</w:t>
      </w:r>
      <w:r>
        <w:rPr>
          <w:rFonts w:ascii="Times New Roman" w:cs="Times New Roman" w:eastAsia="Times New Roman" w:hAnsi="Times New Roman"/>
          <w:sz w:val="21"/>
          <w:szCs w:val="21"/>
          <w:b w:val="1"/>
          <w:bCs w:val="1"/>
          <w:i w:val="1"/>
          <w:iCs w:val="1"/>
          <w:color w:val="auto"/>
        </w:rPr>
        <w:t>Third Amending Agreement</w:t>
      </w:r>
      <w:r>
        <w:rPr>
          <w:rFonts w:ascii="Times New Roman" w:cs="Times New Roman" w:eastAsia="Times New Roman" w:hAnsi="Times New Roman"/>
          <w:sz w:val="21"/>
          <w:szCs w:val="21"/>
          <w:color w:val="auto"/>
        </w:rPr>
        <w:t>”), is made between IMAX CORPORATION, a corporation organized under the laws of Canada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ROBERT D. LISTER (the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right="340" w:firstLine="643"/>
        <w:spacing w:after="0" w:line="265" w:lineRule="auto"/>
        <w:rPr>
          <w:sz w:val="20"/>
          <w:szCs w:val="20"/>
          <w:color w:val="auto"/>
        </w:rPr>
      </w:pPr>
      <w:r>
        <w:rPr>
          <w:rFonts w:ascii="Times New Roman" w:cs="Times New Roman" w:eastAsia="Times New Roman" w:hAnsi="Times New Roman"/>
          <w:sz w:val="21"/>
          <w:szCs w:val="21"/>
          <w:color w:val="auto"/>
        </w:rPr>
        <w:t>WHEREAS, the Executive currently serves as the Chief Legal Officer and Senior Executive Vice President of the Company pursuant to an Employment Agreement dated as of December 18, 2017, as previously amended by a First Amending Agreement dated as of March 11, 2020 and a Second Amending Agreement dated as of October 20, 2023 (collectively,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Company and the Executive wish to amend certain provisions of the Agreement as set forth herein.</w:t>
      </w:r>
    </w:p>
    <w:p>
      <w:pPr>
        <w:spacing w:after="0" w:line="228" w:lineRule="exact"/>
        <w:rPr>
          <w:sz w:val="20"/>
          <w:szCs w:val="20"/>
          <w:color w:val="auto"/>
        </w:rPr>
      </w:pPr>
    </w:p>
    <w:p>
      <w:pPr>
        <w:ind w:right="200" w:firstLine="643"/>
        <w:spacing w:after="0" w:line="290" w:lineRule="auto"/>
        <w:rPr>
          <w:sz w:val="20"/>
          <w:szCs w:val="20"/>
          <w:color w:val="auto"/>
        </w:rPr>
      </w:pPr>
      <w:r>
        <w:rPr>
          <w:rFonts w:ascii="Times New Roman" w:cs="Times New Roman" w:eastAsia="Times New Roman" w:hAnsi="Times New Roman"/>
          <w:sz w:val="21"/>
          <w:szCs w:val="21"/>
          <w:color w:val="auto"/>
        </w:rPr>
        <w:t>NOW, THEREFORE, for good and valuable consideration, the receipt and sufficiency of which is hereby acknowledged, the parties hereto agree as follows:</w:t>
      </w:r>
    </w:p>
    <w:p>
      <w:pPr>
        <w:spacing w:after="0" w:line="113" w:lineRule="exact"/>
        <w:rPr>
          <w:sz w:val="20"/>
          <w:szCs w:val="20"/>
          <w:color w:val="auto"/>
        </w:rPr>
      </w:pPr>
    </w:p>
    <w:p>
      <w:pPr>
        <w:ind w:left="660" w:hanging="653"/>
        <w:spacing w:after="0"/>
        <w:tabs>
          <w:tab w:leader="none" w:pos="6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used but not defined herein shall have the meanings set forth in the Agreement.</w:t>
      </w:r>
    </w:p>
    <w:p>
      <w:pPr>
        <w:spacing w:after="0" w:line="187"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 of the Agreement is hereby deleted in its entirety and replaced with the following:</w:t>
      </w:r>
    </w:p>
    <w:p>
      <w:pPr>
        <w:spacing w:after="0" w:line="208" w:lineRule="exact"/>
        <w:rPr>
          <w:sz w:val="20"/>
          <w:szCs w:val="20"/>
          <w:color w:val="auto"/>
        </w:rPr>
      </w:pPr>
    </w:p>
    <w:p>
      <w:pPr>
        <w:ind w:left="1280" w:right="60"/>
        <w:spacing w:after="0" w:line="267" w:lineRule="auto"/>
        <w:rPr>
          <w:sz w:val="20"/>
          <w:szCs w:val="20"/>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Executive’s employment pursuant to this Agreement shall commence on January 1, 2018 (the “</w:t>
      </w:r>
      <w:r>
        <w:rPr>
          <w:rFonts w:ascii="Times New Roman" w:cs="Times New Roman" w:eastAsia="Times New Roman" w:hAnsi="Times New Roman"/>
          <w:sz w:val="21"/>
          <w:szCs w:val="21"/>
          <w:b w:val="1"/>
          <w:bCs w:val="1"/>
          <w:i w:val="1"/>
          <w:i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 and shall terminate upon the earlier to occur of (i) the Executive’s termination of employment pursuant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4 hereunder and (ii) December 31, 2029. The period commencing as of the Effective Date and ending on December 31, 2029, or such earlier date on which this Agreement is terminated, is hereinafter referred to as the “</w:t>
      </w:r>
      <w:r>
        <w:rPr>
          <w:rFonts w:ascii="Times New Roman" w:cs="Times New Roman" w:eastAsia="Times New Roman" w:hAnsi="Times New Roman"/>
          <w:sz w:val="21"/>
          <w:szCs w:val="21"/>
          <w:b w:val="1"/>
          <w:bCs w:val="1"/>
          <w:i w:val="1"/>
          <w:iCs w:val="1"/>
          <w:color w:val="auto"/>
        </w:rPr>
        <w:t>Term</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ind w:left="660" w:hanging="653"/>
        <w:spacing w:after="0" w:line="250" w:lineRule="auto"/>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4(b) of the Agreement is hereby revised by deleting clause (B) in the first sentence thereof and replacing it with the following:</w:t>
      </w:r>
    </w:p>
    <w:p>
      <w:pPr>
        <w:spacing w:after="0" w:line="161" w:lineRule="exact"/>
        <w:rPr>
          <w:rFonts w:ascii="Times New Roman" w:cs="Times New Roman" w:eastAsia="Times New Roman" w:hAnsi="Times New Roman"/>
          <w:sz w:val="21"/>
          <w:szCs w:val="21"/>
          <w:color w:val="auto"/>
        </w:rPr>
      </w:pPr>
    </w:p>
    <w:p>
      <w:pPr>
        <w:ind w:left="1300" w:hanging="6"/>
        <w:spacing w:after="0" w:line="261" w:lineRule="auto"/>
        <w:tabs>
          <w:tab w:leader="none" w:pos="1943"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all granted but unvested RSUs and PSUs (collectively, the “</w:t>
      </w:r>
      <w:r>
        <w:rPr>
          <w:rFonts w:ascii="Times New Roman" w:cs="Times New Roman" w:eastAsia="Times New Roman" w:hAnsi="Times New Roman"/>
          <w:sz w:val="21"/>
          <w:szCs w:val="21"/>
          <w:b w:val="1"/>
          <w:bCs w:val="1"/>
          <w:i w:val="1"/>
          <w:iCs w:val="1"/>
          <w:color w:val="auto"/>
        </w:rPr>
        <w:t>Unvested Equity Awards</w:t>
      </w:r>
      <w:r>
        <w:rPr>
          <w:rFonts w:ascii="Times New Roman" w:cs="Times New Roman" w:eastAsia="Times New Roman" w:hAnsi="Times New Roman"/>
          <w:sz w:val="21"/>
          <w:szCs w:val="21"/>
          <w:color w:val="auto"/>
        </w:rPr>
        <w:t>”) will be cancelled without consideration and the Executive shall have no further rights with respect to such Unvested Equity Awards; provided, however, that in the case of the Executive’s resignation when the Executive has provided the Company with a written notice of intent to resign at least six (6) months prior to the Executive’s final day of employment with the Company, all Unvested Equity Awards will, pursuant to the Service Factor provision in the LTIP and the grant agreements entered into between the Company and the Executive pursuant to the LTIP, continue to vest in accordance with the original vesting schedule (in the case of PSUs, subject to the achievement of the original performance conditions, measured at the conclusion of the relevant performance period).</w:t>
      </w:r>
    </w:p>
    <w:p>
      <w:pPr>
        <w:sectPr>
          <w:pgSz w:w="11900" w:h="16838" w:orient="portrait"/>
          <w:cols w:equalWidth="0" w:num="1">
            <w:col w:w="11240"/>
          </w:cols>
          <w:pgMar w:left="320" w:top="1440" w:right="339" w:bottom="1440" w:gutter="0" w:footer="0" w:header="0"/>
        </w:sectPr>
      </w:pPr>
    </w:p>
    <w:bookmarkStart w:id="79" w:name="page80"/>
    <w:bookmarkEnd w:id="79"/>
    <w:p>
      <w:pPr>
        <w:ind w:left="660" w:hanging="653"/>
        <w:spacing w:after="0"/>
        <w:tabs>
          <w:tab w:leader="none" w:pos="6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4(e)(ii) of the Agreement is hereby deleted in its entirety and replaced with the following:</w:t>
      </w:r>
    </w:p>
    <w:p>
      <w:pPr>
        <w:spacing w:after="0" w:line="214" w:lineRule="exact"/>
        <w:rPr>
          <w:rFonts w:ascii="Times New Roman" w:cs="Times New Roman" w:eastAsia="Times New Roman" w:hAnsi="Times New Roman"/>
          <w:sz w:val="21"/>
          <w:szCs w:val="21"/>
          <w:color w:val="auto"/>
        </w:rPr>
      </w:pPr>
    </w:p>
    <w:p>
      <w:pPr>
        <w:ind w:left="1280" w:hanging="6"/>
        <w:spacing w:after="0" w:line="270" w:lineRule="auto"/>
        <w:tabs>
          <w:tab w:leader="none" w:pos="1937"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(ii) All Unvested Equity Awards as of December 31, 2029 will, pursuant to the Service Factor provision in the LTIP and the grant agreements entered into between the Company and the Executive pursuant to the LTIP, continue to vest in accordance with the original vesting schedule (in the case of PSUs, subject to the achievement of the original performance conditions, measured at the conclusion of the relevant performance period).</w:t>
      </w:r>
    </w:p>
    <w:p>
      <w:pPr>
        <w:spacing w:after="0" w:line="133" w:lineRule="exact"/>
        <w:rPr>
          <w:sz w:val="20"/>
          <w:szCs w:val="20"/>
          <w:color w:val="auto"/>
        </w:rPr>
      </w:pPr>
    </w:p>
    <w:p>
      <w:pPr>
        <w:ind w:left="660" w:hanging="653"/>
        <w:spacing w:after="0"/>
        <w:tabs>
          <w:tab w:leader="none" w:pos="6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amended herein, all other terms of the Agreement shall remain in full force, unamended.</w:t>
      </w:r>
    </w:p>
    <w:p>
      <w:pPr>
        <w:spacing w:after="0" w:line="200" w:lineRule="exact"/>
        <w:rPr>
          <w:sz w:val="20"/>
          <w:szCs w:val="20"/>
          <w:color w:val="auto"/>
        </w:rPr>
      </w:pPr>
    </w:p>
    <w:p>
      <w:pPr>
        <w:spacing w:after="0" w:line="25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21"/>
          <w:szCs w:val="21"/>
          <w:color w:val="auto"/>
        </w:rPr>
        <w:t>IN WITNESS WHEREOF, the Company and the Executive have duly executed and delivered this First Amending Agreement as of the date first set forth above.</w:t>
      </w:r>
    </w:p>
    <w:p>
      <w:pPr>
        <w:spacing w:after="0" w:line="2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IMAX CORPORATION</w:t>
      </w:r>
    </w:p>
    <w:p>
      <w:pPr>
        <w:spacing w:after="0" w:line="71" w:lineRule="exact"/>
        <w:rPr>
          <w:sz w:val="20"/>
          <w:szCs w:val="20"/>
          <w:color w:val="auto"/>
        </w:rPr>
      </w:pPr>
    </w:p>
    <w:tbl>
      <w:tblPr>
        <w:tblLayout w:type="fixed"/>
        <w:tblInd w:w="3340" w:type="dxa"/>
        <w:tblCellMar>
          <w:top w:w="0" w:type="dxa"/>
          <w:left w:w="0" w:type="dxa"/>
          <w:bottom w:w="0" w:type="dxa"/>
          <w:right w:w="0" w:type="dxa"/>
        </w:tblCellMar>
      </w:tblP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 Richard L. Gelfond</w:t>
            </w:r>
          </w:p>
        </w:tc>
      </w:tr>
      <w:tr>
        <w:trPr>
          <w:trHeight w:val="29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0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Richard L. Gelfond</w:t>
            </w:r>
          </w:p>
        </w:tc>
      </w:tr>
      <w:tr>
        <w:trPr>
          <w:trHeight w:val="308"/>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0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Chief Executive Officer</w:t>
            </w:r>
          </w:p>
        </w:tc>
      </w:tr>
    </w:tbl>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7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/s/ Robert. D.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34290</wp:posOffset>
            </wp:positionV>
            <wp:extent cx="31578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57855" cy="8255"/>
                    </a:xfrm>
                    <a:prstGeom prst="rect">
                      <a:avLst/>
                    </a:prstGeom>
                    <a:noFill/>
                  </pic:spPr>
                </pic:pic>
              </a:graphicData>
            </a:graphic>
          </wp:anchor>
        </w:drawing>
      </w:r>
    </w:p>
    <w:p>
      <w:pPr>
        <w:spacing w:after="0" w:line="6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Robert D. Lister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49" w:lineRule="exact"/>
        <w:rPr>
          <w:sz w:val="20"/>
          <w:szCs w:val="20"/>
          <w:color w:val="auto"/>
        </w:rPr>
      </w:pPr>
    </w:p>
    <w:p>
      <w:pPr>
        <w:ind w:left="380" w:hanging="32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5, 2026</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49" w:lineRule="exact"/>
        <w:rPr>
          <w:sz w:val="20"/>
          <w:szCs w:val="20"/>
          <w:color w:val="auto"/>
        </w:rPr>
      </w:pPr>
    </w:p>
    <w:p>
      <w:pPr>
        <w:ind w:left="380" w:hanging="320"/>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55"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020" w:hanging="317"/>
        <w:spacing w:after="0" w:line="253" w:lineRule="auto"/>
        <w:tabs>
          <w:tab w:leader="none" w:pos="10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5, 2026</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940" w:type="dxa"/>
            <w:vAlign w:val="bottom"/>
          </w:tcPr>
          <w:p>
            <w:pPr>
              <w:ind w:left="196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240"/>
          </w:cols>
          <w:pgMar w:left="320" w:top="756"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20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5, 2026</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79"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5, 2026</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760" w:type="dxa"/>
            <w:vAlign w:val="bottom"/>
          </w:tcPr>
          <w:p>
            <w:pPr>
              <w:ind w:left="200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 w:lineRule="exact"/>
        <w:rPr>
          <w:sz w:val="20"/>
          <w:szCs w:val="20"/>
          <w:color w:val="auto"/>
        </w:rPr>
      </w:pP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lowerRoman"/>
      <w:start w:val="4"/>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1."/>
      <w:numFmt w:val="decimal"/>
      <w:start w:val="6"/>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7"/>
    </w:lvl>
  </w:abstractNum>
  <w:abstractNum w:abstractNumId="10">
    <w:nsid w:val="737B8DDC"/>
    <w:multiLevelType w:val="hybridMultilevel"/>
    <w:lvl w:ilvl="0">
      <w:lvlJc w:val="left"/>
      <w:lvlText w:val="%1."/>
      <w:numFmt w:val="decimal"/>
      <w:start w:val="8"/>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emdash "/>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3"/>
    </w:lvl>
    <w:lvl w:ilvl="1">
      <w:lvlJc w:val="left"/>
      <w:lvlText w:val="%2."/>
      <w:numFmt w:val="decimal"/>
      <w:start w:val="4"/>
    </w:lvl>
  </w:abstractNum>
  <w:abstractNum w:abstractNumId="48">
    <w:nsid w:val="3DC240FB"/>
    <w:multiLevelType w:val="hybridMultilevel"/>
    <w:lvl w:ilvl="0">
      <w:lvlJc w:val="left"/>
      <w:lvlText w:val="%1."/>
      <w:numFmt w:val="decimal"/>
      <w:start w:val="5"/>
    </w:lvl>
    <w:lvl w:ilvl="1">
      <w:lvlJc w:val="left"/>
      <w:lvlText w:val="%2."/>
      <w:numFmt w:val="decimal"/>
      <w:start w:val="6"/>
    </w:lvl>
  </w:abstractNum>
  <w:abstractNum w:abstractNumId="49">
    <w:nsid w:val="1BA026FA"/>
    <w:multiLevelType w:val="hybridMultilevel"/>
    <w:lvl w:ilvl="0">
      <w:lvlJc w:val="left"/>
      <w:lvlText w:val="%1."/>
      <w:numFmt w:val="decimal"/>
      <w:start w:val="7"/>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2026-11-05T07:55:12Z</dcterms:created>
  <dcterms:modified xsi:type="dcterms:W3CDTF">2026-11-05T07:55:12Z</dcterms:modified>
</cp:coreProperties>
</file>