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IMAX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Westfield Capital Management Company,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2,572,557.00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2,704,872.00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2,704,872.00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IMAX CORP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SPEAKMAN DRIVE, MISSISSAUGA, ONTARIO, CANADA L5K 1B1</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Westfield Capital Management Company, L.P.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Financial Center, 24th Floor Boston, Massachusetts 02111</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Westfield Capital Management Company, L.P. - MASSACHUSETTS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2,704,872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Westfield Capital Management Company, L.P. - 2,572,557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Westfield Capital Management Company,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Westfield Capital Management Company, L.P. - 2,704,872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Westfield Capital Management Company,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of the security listed in this Schedule are owned of record by clients of Westfield Capital Management Company, L.P. (Westfield) in its capacity as investment adviser. Westfield's clients have the right to receive, or the power to direct the receipt of, dividends or proceeds from the sale of the shares. To the best of Westfield's knowledge, no client has such right or power with respect to more than five percent of this class of security.</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Westfield Capital Management Company, L.P.</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Brandi McMahon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Deputy Chief Compliance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05/05/2026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4786</Characters>
  <CharactersWithSpaces>5697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